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82BA" w14:textId="71113BAF" w:rsidR="00CB1F0F" w:rsidRPr="00CB1F0F" w:rsidRDefault="00CB1F0F" w:rsidP="00CB1F0F">
      <w:pPr>
        <w:pStyle w:val="Heading1"/>
        <w:rPr>
          <w:rFonts w:cs="Arial"/>
          <w:szCs w:val="30"/>
        </w:rPr>
      </w:pPr>
      <w:r>
        <w:rPr>
          <w:rFonts w:cs="Arial"/>
          <w:szCs w:val="30"/>
        </w:rPr>
        <w:t>r</w:t>
      </w:r>
      <w:r w:rsidRPr="009E61BB">
        <w:rPr>
          <w:rFonts w:cs="Arial"/>
          <w:szCs w:val="30"/>
        </w:rPr>
        <w:t>iverstone Energy Limited</w:t>
      </w:r>
    </w:p>
    <w:p w14:paraId="7410749F" w14:textId="44B17899" w:rsidR="00CB1F0F" w:rsidRPr="00CB1F0F" w:rsidRDefault="00CB1F0F" w:rsidP="00CB1F0F">
      <w:pPr>
        <w:pStyle w:val="Heading1"/>
        <w:rPr>
          <w:rFonts w:cs="Arial"/>
          <w:szCs w:val="30"/>
        </w:rPr>
      </w:pPr>
      <w:r w:rsidRPr="00CB1F0F">
        <w:rPr>
          <w:rFonts w:cs="Arial"/>
          <w:szCs w:val="30"/>
        </w:rPr>
        <w:t>Interim Report and Unaudited Interim Condensed Financial Statements for the six months ended 30 June 2025</w:t>
      </w:r>
    </w:p>
    <w:p w14:paraId="7B526EED" w14:textId="3656E83B" w:rsidR="00CB1F0F" w:rsidRDefault="00CB1F0F"/>
    <w:p w14:paraId="66BEEAD5" w14:textId="77777777" w:rsidR="00D91FFE" w:rsidRPr="008A7A35" w:rsidRDefault="00D91FFE">
      <w:pPr>
        <w:rPr>
          <w:rFonts w:ascii="Arial" w:hAnsi="Arial" w:cs="Arial"/>
        </w:rPr>
      </w:pPr>
    </w:p>
    <w:p w14:paraId="2219AD2D" w14:textId="021ABE55" w:rsidR="00D33AA7" w:rsidRPr="008A7A35" w:rsidRDefault="00D33AA7">
      <w:pPr>
        <w:rPr>
          <w:rFonts w:ascii="Arial" w:hAnsi="Arial" w:cs="Arial"/>
          <w:b/>
          <w:caps/>
          <w:sz w:val="30"/>
          <w:szCs w:val="30"/>
        </w:rPr>
      </w:pPr>
      <w:r w:rsidRPr="008A7A35">
        <w:rPr>
          <w:rFonts w:ascii="Arial" w:hAnsi="Arial" w:cs="Arial"/>
          <w:b/>
          <w:caps/>
          <w:sz w:val="30"/>
          <w:szCs w:val="30"/>
        </w:rPr>
        <w:t xml:space="preserve">Financial and Operational </w:t>
      </w:r>
      <w:proofErr w:type="gramStart"/>
      <w:r w:rsidRPr="008A7A35">
        <w:rPr>
          <w:rFonts w:ascii="Arial" w:hAnsi="Arial" w:cs="Arial"/>
          <w:b/>
          <w:caps/>
          <w:sz w:val="30"/>
          <w:szCs w:val="30"/>
        </w:rPr>
        <w:t>Highlights</w:t>
      </w:r>
      <w:r w:rsidR="000F6051" w:rsidRPr="008A7A35">
        <w:rPr>
          <w:rFonts w:ascii="Arial" w:hAnsi="Arial" w:cs="Arial"/>
          <w:b/>
          <w:caps/>
          <w:sz w:val="30"/>
          <w:szCs w:val="30"/>
          <w:vertAlign w:val="superscript"/>
        </w:rPr>
        <w:t>(</w:t>
      </w:r>
      <w:proofErr w:type="gramEnd"/>
      <w:r w:rsidR="000F6051" w:rsidRPr="008A7A35">
        <w:rPr>
          <w:rFonts w:ascii="Arial" w:hAnsi="Arial" w:cs="Arial"/>
          <w:b/>
          <w:caps/>
          <w:sz w:val="30"/>
          <w:szCs w:val="30"/>
          <w:vertAlign w:val="superscript"/>
        </w:rPr>
        <w:t>1)</w:t>
      </w:r>
      <w:r w:rsidR="00CC2D68" w:rsidRPr="008A7A35">
        <w:rPr>
          <w:rFonts w:ascii="Arial" w:hAnsi="Arial" w:cs="Arial"/>
          <w:b/>
          <w:caps/>
          <w:sz w:val="30"/>
          <w:szCs w:val="30"/>
          <w:vertAlign w:val="superscript"/>
        </w:rPr>
        <w:t>(2)</w:t>
      </w:r>
    </w:p>
    <w:p w14:paraId="4E156220" w14:textId="77777777" w:rsidR="00D33AA7" w:rsidRPr="008A7A35" w:rsidRDefault="00D33AA7">
      <w:pPr>
        <w:rPr>
          <w:rFonts w:ascii="Arial" w:hAnsi="Arial" w:cs="Arial"/>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6152"/>
      </w:tblGrid>
      <w:tr w:rsidR="006A1A19" w:rsidRPr="008A7A35" w14:paraId="703412AC" w14:textId="77777777" w:rsidTr="1792F60E">
        <w:trPr>
          <w:trHeight w:val="752"/>
        </w:trPr>
        <w:tc>
          <w:tcPr>
            <w:tcW w:w="3629" w:type="dxa"/>
          </w:tcPr>
          <w:p w14:paraId="485F2477" w14:textId="6D57C2EC" w:rsidR="006A1A19" w:rsidRPr="008A7A35" w:rsidRDefault="006A1A19" w:rsidP="003A08B9">
            <w:pPr>
              <w:rPr>
                <w:rFonts w:ascii="Arial" w:hAnsi="Arial" w:cs="Arial"/>
                <w:sz w:val="20"/>
                <w:szCs w:val="20"/>
              </w:rPr>
            </w:pPr>
            <w:r w:rsidRPr="008A7A35">
              <w:rPr>
                <w:rFonts w:ascii="Arial" w:hAnsi="Arial" w:cs="Arial"/>
                <w:sz w:val="20"/>
                <w:szCs w:val="20"/>
              </w:rPr>
              <w:t xml:space="preserve">Remaining potential unfunded commitments </w:t>
            </w:r>
            <w:proofErr w:type="gramStart"/>
            <w:r w:rsidRPr="008A7A35">
              <w:rPr>
                <w:rFonts w:ascii="Arial" w:hAnsi="Arial" w:cs="Arial"/>
                <w:sz w:val="20"/>
                <w:szCs w:val="20"/>
              </w:rPr>
              <w:t>at</w:t>
            </w:r>
            <w:proofErr w:type="gramEnd"/>
            <w:r w:rsidRPr="008A7A35">
              <w:rPr>
                <w:rFonts w:ascii="Arial" w:hAnsi="Arial" w:cs="Arial"/>
                <w:sz w:val="20"/>
                <w:szCs w:val="20"/>
              </w:rPr>
              <w:t xml:space="preserve"> 30 June 202</w:t>
            </w:r>
            <w:r w:rsidR="008C6323" w:rsidRPr="008A7A35">
              <w:rPr>
                <w:rFonts w:ascii="Arial" w:hAnsi="Arial" w:cs="Arial"/>
                <w:sz w:val="20"/>
                <w:szCs w:val="20"/>
              </w:rPr>
              <w:t>5</w:t>
            </w:r>
          </w:p>
        </w:tc>
        <w:tc>
          <w:tcPr>
            <w:tcW w:w="6152" w:type="dxa"/>
          </w:tcPr>
          <w:p w14:paraId="0506C805" w14:textId="08538ABC" w:rsidR="006A1A19" w:rsidRPr="008A7A35" w:rsidRDefault="006A1A19" w:rsidP="003A08B9">
            <w:pPr>
              <w:rPr>
                <w:rFonts w:ascii="Arial" w:hAnsi="Arial" w:cs="Arial"/>
                <w:sz w:val="20"/>
                <w:szCs w:val="20"/>
              </w:rPr>
            </w:pPr>
            <w:r w:rsidRPr="008A7A35">
              <w:rPr>
                <w:rFonts w:ascii="Arial" w:hAnsi="Arial" w:cs="Arial"/>
                <w:sz w:val="20"/>
                <w:szCs w:val="20"/>
              </w:rPr>
              <w:t>i)          $</w:t>
            </w:r>
            <w:r w:rsidR="0011201E" w:rsidRPr="008A7A35">
              <w:rPr>
                <w:rFonts w:ascii="Arial" w:hAnsi="Arial" w:cs="Arial"/>
                <w:sz w:val="20"/>
                <w:szCs w:val="20"/>
              </w:rPr>
              <w:t>6.2</w:t>
            </w:r>
            <w:r w:rsidRPr="008A7A35">
              <w:rPr>
                <w:rFonts w:ascii="Arial" w:hAnsi="Arial" w:cs="Arial"/>
                <w:sz w:val="20"/>
                <w:szCs w:val="20"/>
              </w:rPr>
              <w:t xml:space="preserve"> million in Onyx </w:t>
            </w:r>
            <w:proofErr w:type="gramStart"/>
            <w:r w:rsidRPr="008A7A35">
              <w:rPr>
                <w:rFonts w:ascii="Arial" w:hAnsi="Arial" w:cs="Arial"/>
                <w:sz w:val="20"/>
                <w:szCs w:val="20"/>
              </w:rPr>
              <w:t>Power</w:t>
            </w:r>
            <w:r w:rsidR="003B450C" w:rsidRPr="008A7A35">
              <w:rPr>
                <w:rFonts w:ascii="Arial" w:hAnsi="Arial" w:cs="Arial"/>
                <w:sz w:val="20"/>
                <w:szCs w:val="20"/>
                <w:vertAlign w:val="superscript"/>
              </w:rPr>
              <w:t>(</w:t>
            </w:r>
            <w:proofErr w:type="gramEnd"/>
            <w:r w:rsidR="003B450C" w:rsidRPr="008A7A35">
              <w:rPr>
                <w:rFonts w:ascii="Arial" w:hAnsi="Arial" w:cs="Arial"/>
                <w:sz w:val="20"/>
                <w:szCs w:val="20"/>
                <w:vertAlign w:val="superscript"/>
              </w:rPr>
              <w:t>3)</w:t>
            </w:r>
          </w:p>
        </w:tc>
      </w:tr>
      <w:tr w:rsidR="00A75F30" w:rsidRPr="008A7A35" w14:paraId="659F482C" w14:textId="77777777" w:rsidTr="1792F60E">
        <w:trPr>
          <w:trHeight w:val="1129"/>
        </w:trPr>
        <w:tc>
          <w:tcPr>
            <w:tcW w:w="3629" w:type="dxa"/>
          </w:tcPr>
          <w:p w14:paraId="2F51B677" w14:textId="27C6342D" w:rsidR="00A75F30" w:rsidRPr="008A7A35" w:rsidRDefault="00A75F30" w:rsidP="00413DF2">
            <w:pPr>
              <w:rPr>
                <w:rFonts w:ascii="Arial" w:hAnsi="Arial" w:cs="Arial"/>
                <w:sz w:val="20"/>
                <w:szCs w:val="20"/>
              </w:rPr>
            </w:pPr>
            <w:r w:rsidRPr="008A7A35">
              <w:rPr>
                <w:rFonts w:ascii="Arial" w:hAnsi="Arial" w:cs="Arial"/>
                <w:sz w:val="20"/>
                <w:szCs w:val="20"/>
              </w:rPr>
              <w:t xml:space="preserve">Realisations </w:t>
            </w:r>
            <w:r w:rsidR="00ED15D7" w:rsidRPr="008A7A35">
              <w:rPr>
                <w:rFonts w:ascii="Arial" w:hAnsi="Arial" w:cs="Arial"/>
                <w:sz w:val="20"/>
                <w:szCs w:val="20"/>
              </w:rPr>
              <w:t xml:space="preserve">and Distributions received </w:t>
            </w:r>
            <w:r w:rsidR="00B254F4" w:rsidRPr="008A7A35">
              <w:rPr>
                <w:rFonts w:ascii="Arial" w:hAnsi="Arial" w:cs="Arial"/>
                <w:sz w:val="20"/>
                <w:szCs w:val="20"/>
              </w:rPr>
              <w:t>dur</w:t>
            </w:r>
            <w:r w:rsidR="00987570" w:rsidRPr="008A7A35">
              <w:rPr>
                <w:rFonts w:ascii="Arial" w:hAnsi="Arial" w:cs="Arial"/>
                <w:sz w:val="20"/>
                <w:szCs w:val="20"/>
              </w:rPr>
              <w:t>ing the</w:t>
            </w:r>
            <w:r w:rsidR="00E71514">
              <w:rPr>
                <w:rFonts w:ascii="Arial" w:hAnsi="Arial" w:cs="Arial"/>
                <w:sz w:val="20"/>
                <w:szCs w:val="20"/>
              </w:rPr>
              <w:t xml:space="preserve"> </w:t>
            </w:r>
            <w:proofErr w:type="gramStart"/>
            <w:r w:rsidR="00E71514">
              <w:rPr>
                <w:rFonts w:ascii="Arial" w:hAnsi="Arial" w:cs="Arial"/>
                <w:sz w:val="20"/>
                <w:szCs w:val="20"/>
              </w:rPr>
              <w:t>six month</w:t>
            </w:r>
            <w:proofErr w:type="gramEnd"/>
            <w:r w:rsidR="00987570" w:rsidRPr="008A7A35">
              <w:rPr>
                <w:rFonts w:ascii="Arial" w:hAnsi="Arial" w:cs="Arial"/>
                <w:sz w:val="20"/>
                <w:szCs w:val="20"/>
              </w:rPr>
              <w:t xml:space="preserve"> period ended 30 June 202</w:t>
            </w:r>
            <w:r w:rsidR="008C6323" w:rsidRPr="008A7A35">
              <w:rPr>
                <w:rFonts w:ascii="Arial" w:hAnsi="Arial" w:cs="Arial"/>
                <w:sz w:val="20"/>
                <w:szCs w:val="20"/>
              </w:rPr>
              <w:t>5</w:t>
            </w:r>
          </w:p>
        </w:tc>
        <w:tc>
          <w:tcPr>
            <w:tcW w:w="6152" w:type="dxa"/>
          </w:tcPr>
          <w:p w14:paraId="2A115658" w14:textId="618995C5" w:rsidR="007F1BBD" w:rsidRPr="008A7A35" w:rsidRDefault="007F1BBD" w:rsidP="007F1BBD">
            <w:pPr>
              <w:rPr>
                <w:rFonts w:ascii="Arial" w:hAnsi="Arial" w:cs="Arial"/>
                <w:sz w:val="20"/>
                <w:szCs w:val="20"/>
              </w:rPr>
            </w:pPr>
            <w:r w:rsidRPr="008A7A35">
              <w:rPr>
                <w:rFonts w:ascii="Arial" w:hAnsi="Arial" w:cs="Arial"/>
                <w:sz w:val="20"/>
                <w:szCs w:val="20"/>
              </w:rPr>
              <w:t>Realis</w:t>
            </w:r>
            <w:r w:rsidR="00BA4421">
              <w:rPr>
                <w:rFonts w:ascii="Arial" w:hAnsi="Arial" w:cs="Arial"/>
                <w:sz w:val="20"/>
                <w:szCs w:val="20"/>
              </w:rPr>
              <w:t>ations</w:t>
            </w:r>
            <w:r w:rsidRPr="008A7A35">
              <w:rPr>
                <w:rFonts w:ascii="Arial" w:hAnsi="Arial" w:cs="Arial"/>
                <w:sz w:val="20"/>
                <w:szCs w:val="20"/>
              </w:rPr>
              <w:t xml:space="preserve"> </w:t>
            </w:r>
            <w:r w:rsidR="00ED15D7" w:rsidRPr="008A7A35">
              <w:rPr>
                <w:rFonts w:ascii="Arial" w:hAnsi="Arial" w:cs="Arial"/>
                <w:sz w:val="20"/>
                <w:szCs w:val="20"/>
              </w:rPr>
              <w:t xml:space="preserve">and distributions received of </w:t>
            </w:r>
            <w:r w:rsidRPr="008A7A35">
              <w:rPr>
                <w:rFonts w:ascii="Arial" w:hAnsi="Arial" w:cs="Arial"/>
                <w:sz w:val="20"/>
                <w:szCs w:val="20"/>
              </w:rPr>
              <w:t>$</w:t>
            </w:r>
            <w:r w:rsidR="009016B6" w:rsidRPr="008A7A35">
              <w:rPr>
                <w:rFonts w:ascii="Arial" w:hAnsi="Arial" w:cs="Arial"/>
                <w:bCs/>
                <w:sz w:val="20"/>
                <w:szCs w:val="20"/>
              </w:rPr>
              <w:t>4.1</w:t>
            </w:r>
            <w:r w:rsidR="0043673D" w:rsidRPr="008A7A35">
              <w:rPr>
                <w:rFonts w:ascii="Arial" w:hAnsi="Arial" w:cs="Arial"/>
                <w:sz w:val="20"/>
                <w:szCs w:val="20"/>
              </w:rPr>
              <w:t xml:space="preserve"> </w:t>
            </w:r>
            <w:proofErr w:type="gramStart"/>
            <w:r w:rsidRPr="008A7A35">
              <w:rPr>
                <w:rFonts w:ascii="Arial" w:hAnsi="Arial" w:cs="Arial"/>
                <w:sz w:val="20"/>
                <w:szCs w:val="20"/>
              </w:rPr>
              <w:t>million</w:t>
            </w:r>
            <w:r w:rsidRPr="008A7A35">
              <w:rPr>
                <w:rFonts w:ascii="Arial" w:hAnsi="Arial" w:cs="Arial"/>
                <w:sz w:val="20"/>
                <w:szCs w:val="20"/>
                <w:vertAlign w:val="superscript"/>
              </w:rPr>
              <w:t>(</w:t>
            </w:r>
            <w:proofErr w:type="gramEnd"/>
            <w:r w:rsidRPr="008A7A35">
              <w:rPr>
                <w:rFonts w:ascii="Arial" w:hAnsi="Arial" w:cs="Arial"/>
                <w:sz w:val="20"/>
                <w:szCs w:val="20"/>
                <w:vertAlign w:val="superscript"/>
              </w:rPr>
              <w:t>2)</w:t>
            </w:r>
            <w:r w:rsidR="00C27693" w:rsidRPr="008A7A35">
              <w:rPr>
                <w:rFonts w:ascii="Arial" w:hAnsi="Arial" w:cs="Arial"/>
                <w:sz w:val="20"/>
                <w:szCs w:val="20"/>
                <w:vertAlign w:val="superscript"/>
              </w:rPr>
              <w:t xml:space="preserve"> </w:t>
            </w:r>
            <w:r w:rsidRPr="008A7A35">
              <w:rPr>
                <w:rFonts w:ascii="Arial" w:hAnsi="Arial" w:cs="Arial"/>
                <w:sz w:val="20"/>
                <w:szCs w:val="20"/>
              </w:rPr>
              <w:t>all of which was pursuant to the legacy conventional strategy</w:t>
            </w:r>
          </w:p>
          <w:p w14:paraId="255E9DA3" w14:textId="77777777" w:rsidR="00ED15D7" w:rsidRPr="008A7A35" w:rsidRDefault="00ED15D7" w:rsidP="00391CE4">
            <w:pPr>
              <w:ind w:left="660"/>
              <w:rPr>
                <w:rFonts w:ascii="Arial" w:hAnsi="Arial" w:cs="Arial"/>
                <w:sz w:val="20"/>
                <w:szCs w:val="20"/>
              </w:rPr>
            </w:pPr>
          </w:p>
          <w:p w14:paraId="30310844" w14:textId="17116E9C" w:rsidR="00ED15D7" w:rsidRPr="008A7A35" w:rsidRDefault="00ED15D7" w:rsidP="00331C35">
            <w:pPr>
              <w:numPr>
                <w:ilvl w:val="0"/>
                <w:numId w:val="3"/>
              </w:numPr>
              <w:ind w:left="660" w:hanging="660"/>
              <w:rPr>
                <w:rFonts w:ascii="Arial" w:hAnsi="Arial" w:cs="Arial"/>
                <w:sz w:val="20"/>
                <w:szCs w:val="20"/>
              </w:rPr>
            </w:pPr>
            <w:r w:rsidRPr="008A7A35">
              <w:rPr>
                <w:rFonts w:ascii="Arial" w:hAnsi="Arial" w:cs="Arial"/>
                <w:sz w:val="20"/>
                <w:szCs w:val="20"/>
              </w:rPr>
              <w:t>$</w:t>
            </w:r>
            <w:r w:rsidR="009016B6" w:rsidRPr="008A7A35">
              <w:rPr>
                <w:rFonts w:ascii="Arial" w:hAnsi="Arial" w:cs="Arial"/>
                <w:bCs/>
                <w:sz w:val="20"/>
                <w:szCs w:val="20"/>
              </w:rPr>
              <w:t>3.0</w:t>
            </w:r>
            <w:r w:rsidRPr="008A7A35">
              <w:rPr>
                <w:rFonts w:ascii="Arial" w:hAnsi="Arial" w:cs="Arial"/>
                <w:sz w:val="20"/>
                <w:szCs w:val="20"/>
              </w:rPr>
              <w:t xml:space="preserve"> million distributions from Permian Resources</w:t>
            </w:r>
          </w:p>
          <w:p w14:paraId="570B3FE6" w14:textId="611B7A99" w:rsidR="00DF14D3" w:rsidRPr="008A7A35" w:rsidRDefault="00ED15D7" w:rsidP="00331C35">
            <w:pPr>
              <w:numPr>
                <w:ilvl w:val="0"/>
                <w:numId w:val="3"/>
              </w:numPr>
              <w:ind w:left="660" w:hanging="660"/>
              <w:rPr>
                <w:rFonts w:ascii="Arial" w:hAnsi="Arial" w:cs="Arial"/>
                <w:sz w:val="20"/>
                <w:szCs w:val="20"/>
              </w:rPr>
            </w:pPr>
            <w:r w:rsidRPr="008A7A35">
              <w:rPr>
                <w:rFonts w:ascii="Arial" w:hAnsi="Arial" w:cs="Arial"/>
                <w:sz w:val="20"/>
                <w:szCs w:val="20"/>
              </w:rPr>
              <w:t>$</w:t>
            </w:r>
            <w:r w:rsidR="009016B6" w:rsidRPr="008A7A35">
              <w:rPr>
                <w:rFonts w:ascii="Arial" w:hAnsi="Arial" w:cs="Arial"/>
                <w:bCs/>
                <w:sz w:val="20"/>
                <w:szCs w:val="20"/>
              </w:rPr>
              <w:t>1.1</w:t>
            </w:r>
            <w:r w:rsidRPr="008A7A35">
              <w:rPr>
                <w:rFonts w:ascii="Arial" w:hAnsi="Arial" w:cs="Arial"/>
                <w:sz w:val="20"/>
                <w:szCs w:val="20"/>
              </w:rPr>
              <w:t xml:space="preserve"> million distributions from White</w:t>
            </w:r>
            <w:r w:rsidR="009A4EB9" w:rsidRPr="008A7A35">
              <w:rPr>
                <w:rFonts w:ascii="Arial" w:hAnsi="Arial" w:cs="Arial"/>
                <w:sz w:val="20"/>
                <w:szCs w:val="20"/>
              </w:rPr>
              <w:t>c</w:t>
            </w:r>
            <w:r w:rsidRPr="008A7A35">
              <w:rPr>
                <w:rFonts w:ascii="Arial" w:hAnsi="Arial" w:cs="Arial"/>
                <w:sz w:val="20"/>
                <w:szCs w:val="20"/>
              </w:rPr>
              <w:t>ap Resources</w:t>
            </w:r>
          </w:p>
        </w:tc>
      </w:tr>
    </w:tbl>
    <w:p w14:paraId="727B744F" w14:textId="042797E8" w:rsidR="00D33AA7" w:rsidRPr="008A7A35" w:rsidRDefault="00D33AA7">
      <w:pPr>
        <w:pStyle w:val="Heading1"/>
        <w:rPr>
          <w:rFonts w:cs="Arial"/>
          <w:szCs w:val="30"/>
        </w:rPr>
      </w:pPr>
      <w:r w:rsidRPr="008A7A35">
        <w:rPr>
          <w:rFonts w:cs="Arial"/>
          <w:szCs w:val="30"/>
        </w:rPr>
        <w:t>Key Financials</w:t>
      </w:r>
    </w:p>
    <w:p w14:paraId="0529DF1B" w14:textId="77777777" w:rsidR="00D33AA7" w:rsidRPr="008A7A35" w:rsidRDefault="00D33AA7">
      <w:pPr>
        <w:rPr>
          <w:rFonts w:ascii="Arial" w:hAnsi="Arial" w:cs="Arial"/>
        </w:rPr>
      </w:pPr>
    </w:p>
    <w:tbl>
      <w:tblPr>
        <w:tblStyle w:val="TableRangedleft"/>
        <w:tblW w:w="9639" w:type="dxa"/>
        <w:tblLook w:val="04A0" w:firstRow="1" w:lastRow="0" w:firstColumn="1" w:lastColumn="0" w:noHBand="0" w:noVBand="1"/>
      </w:tblPr>
      <w:tblGrid>
        <w:gridCol w:w="3969"/>
        <w:gridCol w:w="2011"/>
        <w:gridCol w:w="1782"/>
        <w:gridCol w:w="1877"/>
      </w:tblGrid>
      <w:tr w:rsidR="008C6323" w:rsidRPr="008A7A35" w14:paraId="3D49EA92" w14:textId="2692A457" w:rsidTr="1792F60E">
        <w:tc>
          <w:tcPr>
            <w:tcW w:w="3969" w:type="dxa"/>
            <w:tcBorders>
              <w:bottom w:val="single" w:sz="4" w:space="0" w:color="auto"/>
            </w:tcBorders>
            <w:tcMar>
              <w:top w:w="108" w:type="dxa"/>
              <w:bottom w:w="108" w:type="dxa"/>
            </w:tcMar>
          </w:tcPr>
          <w:p w14:paraId="3260D192" w14:textId="77777777" w:rsidR="008C6323" w:rsidRPr="008A7A35" w:rsidRDefault="008C6323" w:rsidP="008C6323">
            <w:pPr>
              <w:rPr>
                <w:rFonts w:ascii="Arial" w:hAnsi="Arial" w:cs="Arial"/>
                <w:sz w:val="20"/>
                <w:szCs w:val="20"/>
              </w:rPr>
            </w:pPr>
          </w:p>
        </w:tc>
        <w:tc>
          <w:tcPr>
            <w:tcW w:w="2011" w:type="dxa"/>
            <w:tcBorders>
              <w:bottom w:val="single" w:sz="4" w:space="0" w:color="auto"/>
            </w:tcBorders>
            <w:tcMar>
              <w:top w:w="108" w:type="dxa"/>
              <w:bottom w:w="108" w:type="dxa"/>
            </w:tcMar>
          </w:tcPr>
          <w:p w14:paraId="4754A1CF" w14:textId="763B239C" w:rsidR="008C6323" w:rsidRPr="008A7A35" w:rsidRDefault="008C6323" w:rsidP="008C6323">
            <w:pPr>
              <w:jc w:val="right"/>
              <w:rPr>
                <w:rFonts w:ascii="Arial" w:hAnsi="Arial" w:cs="Arial"/>
                <w:b/>
                <w:sz w:val="20"/>
                <w:szCs w:val="20"/>
              </w:rPr>
            </w:pPr>
            <w:r w:rsidRPr="008A7A35">
              <w:rPr>
                <w:rFonts w:ascii="Arial" w:hAnsi="Arial" w:cs="Arial"/>
                <w:b/>
                <w:sz w:val="20"/>
                <w:szCs w:val="20"/>
              </w:rPr>
              <w:t>30 June 2025</w:t>
            </w:r>
          </w:p>
        </w:tc>
        <w:tc>
          <w:tcPr>
            <w:tcW w:w="1782" w:type="dxa"/>
            <w:tcBorders>
              <w:bottom w:val="single" w:sz="4" w:space="0" w:color="auto"/>
            </w:tcBorders>
            <w:tcMar>
              <w:top w:w="108" w:type="dxa"/>
              <w:bottom w:w="108" w:type="dxa"/>
            </w:tcMar>
          </w:tcPr>
          <w:p w14:paraId="14D05EE3" w14:textId="55D20451" w:rsidR="008C6323" w:rsidRPr="008A7A35" w:rsidRDefault="008C6323" w:rsidP="008C6323">
            <w:pPr>
              <w:jc w:val="right"/>
              <w:rPr>
                <w:rFonts w:ascii="Arial" w:hAnsi="Arial" w:cs="Arial"/>
                <w:sz w:val="20"/>
                <w:szCs w:val="20"/>
              </w:rPr>
            </w:pPr>
            <w:r w:rsidRPr="008A7A35">
              <w:rPr>
                <w:rFonts w:ascii="Arial" w:hAnsi="Arial" w:cs="Arial"/>
                <w:sz w:val="20"/>
                <w:szCs w:val="20"/>
              </w:rPr>
              <w:t>31 December 2024</w:t>
            </w:r>
          </w:p>
        </w:tc>
        <w:tc>
          <w:tcPr>
            <w:tcW w:w="1877" w:type="dxa"/>
            <w:tcBorders>
              <w:bottom w:val="single" w:sz="4" w:space="0" w:color="auto"/>
            </w:tcBorders>
          </w:tcPr>
          <w:p w14:paraId="52B25A85" w14:textId="74FC7FF3" w:rsidR="008C6323" w:rsidRPr="008A7A35" w:rsidRDefault="008C6323" w:rsidP="008C6323">
            <w:pPr>
              <w:jc w:val="right"/>
              <w:rPr>
                <w:rFonts w:ascii="Arial" w:hAnsi="Arial" w:cs="Arial"/>
                <w:bCs/>
                <w:sz w:val="20"/>
                <w:szCs w:val="20"/>
              </w:rPr>
            </w:pPr>
            <w:r w:rsidRPr="008A7A35">
              <w:rPr>
                <w:rFonts w:ascii="Arial" w:hAnsi="Arial" w:cs="Arial"/>
                <w:bCs/>
                <w:sz w:val="20"/>
                <w:szCs w:val="20"/>
              </w:rPr>
              <w:t>30 June 2024</w:t>
            </w:r>
          </w:p>
        </w:tc>
      </w:tr>
      <w:tr w:rsidR="008C6323" w:rsidRPr="00BB0A2A" w14:paraId="4E520F60" w14:textId="31321BD3" w:rsidTr="1792F60E">
        <w:tc>
          <w:tcPr>
            <w:tcW w:w="3969" w:type="dxa"/>
            <w:tcBorders>
              <w:top w:val="single" w:sz="4" w:space="0" w:color="auto"/>
            </w:tcBorders>
            <w:tcMar>
              <w:top w:w="108" w:type="dxa"/>
              <w:bottom w:w="108" w:type="dxa"/>
            </w:tcMar>
          </w:tcPr>
          <w:p w14:paraId="57B8BF80" w14:textId="77777777" w:rsidR="008C6323" w:rsidRPr="00BB0A2A" w:rsidRDefault="008C6323" w:rsidP="008C6323">
            <w:pPr>
              <w:rPr>
                <w:rFonts w:ascii="Arial" w:hAnsi="Arial" w:cs="Arial"/>
                <w:sz w:val="20"/>
                <w:szCs w:val="20"/>
              </w:rPr>
            </w:pPr>
            <w:r w:rsidRPr="00BB0A2A">
              <w:rPr>
                <w:rFonts w:ascii="Arial" w:hAnsi="Arial" w:cs="Arial"/>
                <w:sz w:val="20"/>
                <w:szCs w:val="20"/>
              </w:rPr>
              <w:t>NAV as at</w:t>
            </w:r>
          </w:p>
        </w:tc>
        <w:tc>
          <w:tcPr>
            <w:tcW w:w="2011" w:type="dxa"/>
            <w:tcBorders>
              <w:top w:val="single" w:sz="4" w:space="0" w:color="auto"/>
            </w:tcBorders>
            <w:tcMar>
              <w:top w:w="108" w:type="dxa"/>
              <w:bottom w:w="108" w:type="dxa"/>
            </w:tcMar>
          </w:tcPr>
          <w:p w14:paraId="659770E2" w14:textId="7D053C10" w:rsidR="008C6323" w:rsidRPr="00BB0A2A" w:rsidRDefault="008C6323" w:rsidP="008C6323">
            <w:pPr>
              <w:jc w:val="right"/>
              <w:rPr>
                <w:rFonts w:ascii="Arial" w:hAnsi="Arial" w:cs="Arial"/>
                <w:b/>
                <w:sz w:val="20"/>
                <w:szCs w:val="20"/>
              </w:rPr>
            </w:pPr>
            <w:r w:rsidRPr="00BB0A2A">
              <w:rPr>
                <w:rFonts w:ascii="Arial" w:hAnsi="Arial" w:cs="Arial"/>
                <w:b/>
                <w:sz w:val="20"/>
                <w:szCs w:val="20"/>
              </w:rPr>
              <w:t>$</w:t>
            </w:r>
            <w:r w:rsidR="00671C58" w:rsidRPr="00BB0A2A">
              <w:rPr>
                <w:rFonts w:ascii="Arial" w:hAnsi="Arial" w:cs="Arial"/>
                <w:b/>
                <w:sz w:val="20"/>
                <w:szCs w:val="20"/>
              </w:rPr>
              <w:t>3</w:t>
            </w:r>
            <w:r w:rsidR="00A863F3" w:rsidRPr="00BB0A2A">
              <w:rPr>
                <w:rFonts w:ascii="Arial" w:hAnsi="Arial" w:cs="Arial"/>
                <w:b/>
                <w:sz w:val="20"/>
                <w:szCs w:val="20"/>
              </w:rPr>
              <w:t>7</w:t>
            </w:r>
            <w:r w:rsidR="00A81373" w:rsidRPr="00BB0A2A">
              <w:rPr>
                <w:rFonts w:ascii="Arial" w:hAnsi="Arial" w:cs="Arial"/>
                <w:b/>
                <w:sz w:val="20"/>
                <w:szCs w:val="20"/>
              </w:rPr>
              <w:t>2</w:t>
            </w:r>
            <w:r w:rsidRPr="00BB0A2A">
              <w:rPr>
                <w:rFonts w:ascii="Arial" w:hAnsi="Arial" w:cs="Arial"/>
                <w:b/>
                <w:sz w:val="20"/>
                <w:szCs w:val="20"/>
              </w:rPr>
              <w:t xml:space="preserve"> </w:t>
            </w:r>
            <w:r w:rsidRPr="00BB0A2A">
              <w:rPr>
                <w:rFonts w:ascii="Arial" w:eastAsia="Calibri" w:hAnsi="Arial" w:cs="Arial"/>
                <w:b/>
                <w:sz w:val="20"/>
                <w:szCs w:val="20"/>
              </w:rPr>
              <w:t>million</w:t>
            </w:r>
            <w:r w:rsidRPr="00BB0A2A">
              <w:rPr>
                <w:rFonts w:ascii="Arial" w:hAnsi="Arial" w:cs="Arial"/>
                <w:b/>
                <w:sz w:val="20"/>
                <w:szCs w:val="20"/>
              </w:rPr>
              <w:t xml:space="preserve"> /</w:t>
            </w:r>
          </w:p>
          <w:p w14:paraId="7DD270B4" w14:textId="0C0FDDA1" w:rsidR="008C6323" w:rsidRPr="00BB0A2A" w:rsidRDefault="008C6323" w:rsidP="008C6323">
            <w:pPr>
              <w:jc w:val="right"/>
              <w:rPr>
                <w:rFonts w:ascii="Arial" w:hAnsi="Arial" w:cs="Arial"/>
                <w:b/>
                <w:sz w:val="20"/>
                <w:szCs w:val="20"/>
              </w:rPr>
            </w:pPr>
            <w:r w:rsidRPr="009B1684">
              <w:rPr>
                <w:rFonts w:ascii="Arial" w:hAnsi="Arial" w:cs="Arial"/>
                <w:b/>
                <w:sz w:val="20"/>
                <w:szCs w:val="20"/>
              </w:rPr>
              <w:t>£</w:t>
            </w:r>
            <w:r w:rsidR="003520AC" w:rsidRPr="009B1684">
              <w:rPr>
                <w:rFonts w:ascii="Arial" w:hAnsi="Arial" w:cs="Arial"/>
                <w:b/>
                <w:sz w:val="20"/>
                <w:szCs w:val="20"/>
              </w:rPr>
              <w:t>271</w:t>
            </w:r>
            <w:r w:rsidRPr="00BB0A2A">
              <w:rPr>
                <w:rFonts w:ascii="Arial" w:hAnsi="Arial" w:cs="Arial"/>
                <w:b/>
                <w:sz w:val="20"/>
                <w:szCs w:val="20"/>
              </w:rPr>
              <w:t xml:space="preserve"> </w:t>
            </w:r>
            <w:proofErr w:type="gramStart"/>
            <w:r w:rsidRPr="00BB0A2A">
              <w:rPr>
                <w:rFonts w:ascii="Arial" w:eastAsia="Calibri" w:hAnsi="Arial" w:cs="Arial"/>
                <w:b/>
                <w:sz w:val="20"/>
                <w:szCs w:val="20"/>
              </w:rPr>
              <w:t>million</w:t>
            </w:r>
            <w:r w:rsidRPr="00BB0A2A">
              <w:rPr>
                <w:rFonts w:ascii="Arial" w:hAnsi="Arial" w:cs="Arial"/>
                <w:b/>
                <w:sz w:val="20"/>
                <w:szCs w:val="20"/>
                <w:vertAlign w:val="superscript"/>
              </w:rPr>
              <w:t>(</w:t>
            </w:r>
            <w:proofErr w:type="gramEnd"/>
            <w:r w:rsidRPr="00BB0A2A">
              <w:rPr>
                <w:rFonts w:ascii="Arial" w:hAnsi="Arial" w:cs="Arial"/>
                <w:b/>
                <w:sz w:val="20"/>
                <w:szCs w:val="20"/>
                <w:vertAlign w:val="superscript"/>
              </w:rPr>
              <w:t>4)</w:t>
            </w:r>
          </w:p>
        </w:tc>
        <w:tc>
          <w:tcPr>
            <w:tcW w:w="1782" w:type="dxa"/>
            <w:tcBorders>
              <w:top w:val="single" w:sz="4" w:space="0" w:color="auto"/>
            </w:tcBorders>
            <w:tcMar>
              <w:top w:w="108" w:type="dxa"/>
              <w:bottom w:w="108" w:type="dxa"/>
            </w:tcMar>
            <w:vAlign w:val="center"/>
          </w:tcPr>
          <w:p w14:paraId="70B7F07A" w14:textId="05FA24E7"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$376 million /</w:t>
            </w:r>
          </w:p>
          <w:p w14:paraId="1EC27B62" w14:textId="68665EB9"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 xml:space="preserve">£299 </w:t>
            </w:r>
            <w:proofErr w:type="gramStart"/>
            <w:r w:rsidRPr="00BB0A2A">
              <w:rPr>
                <w:rFonts w:ascii="Arial" w:eastAsia="Calibri" w:hAnsi="Arial" w:cs="Arial"/>
                <w:sz w:val="20"/>
                <w:szCs w:val="20"/>
              </w:rPr>
              <w:t>million</w:t>
            </w:r>
            <w:r w:rsidRPr="00BB0A2A">
              <w:rPr>
                <w:rFonts w:ascii="Arial" w:hAnsi="Arial" w:cs="Arial"/>
                <w:sz w:val="20"/>
                <w:szCs w:val="20"/>
                <w:vertAlign w:val="superscript"/>
              </w:rPr>
              <w:t>(</w:t>
            </w:r>
            <w:proofErr w:type="gramEnd"/>
            <w:r w:rsidRPr="00BB0A2A">
              <w:rPr>
                <w:rFonts w:ascii="Arial" w:hAnsi="Arial" w:cs="Arial"/>
                <w:sz w:val="20"/>
                <w:szCs w:val="20"/>
                <w:vertAlign w:val="superscript"/>
              </w:rPr>
              <w:t>4)</w:t>
            </w:r>
          </w:p>
        </w:tc>
        <w:tc>
          <w:tcPr>
            <w:tcW w:w="1877" w:type="dxa"/>
            <w:tcBorders>
              <w:top w:val="single" w:sz="4" w:space="0" w:color="auto"/>
            </w:tcBorders>
          </w:tcPr>
          <w:p w14:paraId="706BB473" w14:textId="77777777" w:rsidR="008C6323" w:rsidRPr="00BB0A2A" w:rsidRDefault="008C6323" w:rsidP="008C6323">
            <w:pPr>
              <w:jc w:val="right"/>
              <w:rPr>
                <w:rFonts w:ascii="Arial" w:hAnsi="Arial" w:cs="Arial"/>
                <w:bCs/>
                <w:sz w:val="20"/>
                <w:szCs w:val="20"/>
              </w:rPr>
            </w:pPr>
            <w:r w:rsidRPr="00BB0A2A">
              <w:rPr>
                <w:rFonts w:ascii="Arial" w:hAnsi="Arial" w:cs="Arial"/>
                <w:bCs/>
                <w:sz w:val="20"/>
                <w:szCs w:val="20"/>
              </w:rPr>
              <w:t xml:space="preserve">$459 </w:t>
            </w:r>
            <w:r w:rsidRPr="00BB0A2A">
              <w:rPr>
                <w:rFonts w:ascii="Arial" w:eastAsia="Calibri" w:hAnsi="Arial" w:cs="Arial"/>
                <w:bCs/>
                <w:sz w:val="20"/>
                <w:szCs w:val="20"/>
              </w:rPr>
              <w:t>million</w:t>
            </w:r>
            <w:r w:rsidRPr="00BB0A2A">
              <w:rPr>
                <w:rFonts w:ascii="Arial" w:hAnsi="Arial" w:cs="Arial"/>
                <w:bCs/>
                <w:sz w:val="20"/>
                <w:szCs w:val="20"/>
              </w:rPr>
              <w:t xml:space="preserve"> /</w:t>
            </w:r>
          </w:p>
          <w:p w14:paraId="13C186BC" w14:textId="6101988D" w:rsidR="008C6323" w:rsidRPr="00BB0A2A" w:rsidRDefault="008C6323" w:rsidP="008C6323">
            <w:pPr>
              <w:jc w:val="right"/>
              <w:rPr>
                <w:rFonts w:ascii="Arial" w:hAnsi="Arial" w:cs="Arial"/>
                <w:bCs/>
                <w:sz w:val="20"/>
                <w:szCs w:val="20"/>
              </w:rPr>
            </w:pPr>
            <w:r w:rsidRPr="00BB0A2A">
              <w:rPr>
                <w:rFonts w:ascii="Arial" w:hAnsi="Arial" w:cs="Arial"/>
                <w:bCs/>
                <w:sz w:val="20"/>
                <w:szCs w:val="20"/>
              </w:rPr>
              <w:t xml:space="preserve">£363 </w:t>
            </w:r>
            <w:proofErr w:type="gramStart"/>
            <w:r w:rsidRPr="00BB0A2A">
              <w:rPr>
                <w:rFonts w:ascii="Arial" w:eastAsia="Calibri" w:hAnsi="Arial" w:cs="Arial"/>
                <w:bCs/>
                <w:sz w:val="20"/>
                <w:szCs w:val="20"/>
              </w:rPr>
              <w:t>million</w:t>
            </w:r>
            <w:r w:rsidRPr="00BB0A2A">
              <w:rPr>
                <w:rFonts w:ascii="Arial" w:hAnsi="Arial" w:cs="Arial"/>
                <w:bCs/>
                <w:sz w:val="20"/>
                <w:szCs w:val="20"/>
                <w:vertAlign w:val="superscript"/>
              </w:rPr>
              <w:t>(</w:t>
            </w:r>
            <w:proofErr w:type="gramEnd"/>
            <w:r w:rsidRPr="00BB0A2A">
              <w:rPr>
                <w:rFonts w:ascii="Arial" w:hAnsi="Arial" w:cs="Arial"/>
                <w:bCs/>
                <w:sz w:val="20"/>
                <w:szCs w:val="20"/>
                <w:vertAlign w:val="superscript"/>
              </w:rPr>
              <w:t>4)</w:t>
            </w:r>
          </w:p>
        </w:tc>
      </w:tr>
      <w:tr w:rsidR="008C6323" w:rsidRPr="00BB0A2A" w14:paraId="31864334" w14:textId="53B7487A" w:rsidTr="1792F60E">
        <w:tc>
          <w:tcPr>
            <w:tcW w:w="3969" w:type="dxa"/>
            <w:tcMar>
              <w:top w:w="108" w:type="dxa"/>
              <w:bottom w:w="108" w:type="dxa"/>
            </w:tcMar>
          </w:tcPr>
          <w:p w14:paraId="3D24A839" w14:textId="77777777" w:rsidR="008C6323" w:rsidRPr="00BB0A2A" w:rsidRDefault="008C6323" w:rsidP="008C6323">
            <w:pPr>
              <w:rPr>
                <w:rFonts w:ascii="Arial" w:hAnsi="Arial" w:cs="Arial"/>
                <w:sz w:val="20"/>
                <w:szCs w:val="20"/>
              </w:rPr>
            </w:pPr>
            <w:r w:rsidRPr="00BB0A2A">
              <w:rPr>
                <w:rFonts w:ascii="Arial" w:hAnsi="Arial" w:cs="Arial"/>
                <w:sz w:val="20"/>
                <w:szCs w:val="20"/>
              </w:rPr>
              <w:t>NAV per Share as at</w:t>
            </w:r>
          </w:p>
        </w:tc>
        <w:tc>
          <w:tcPr>
            <w:tcW w:w="2011" w:type="dxa"/>
            <w:tcMar>
              <w:top w:w="108" w:type="dxa"/>
              <w:bottom w:w="108" w:type="dxa"/>
            </w:tcMar>
          </w:tcPr>
          <w:p w14:paraId="42565E16" w14:textId="6640D6D8" w:rsidR="008C6323" w:rsidRPr="00BB0A2A" w:rsidRDefault="008C6323" w:rsidP="008C6323">
            <w:pPr>
              <w:jc w:val="right"/>
              <w:rPr>
                <w:rFonts w:ascii="Arial" w:hAnsi="Arial" w:cs="Arial"/>
                <w:b/>
                <w:sz w:val="20"/>
                <w:szCs w:val="20"/>
              </w:rPr>
            </w:pPr>
            <w:r w:rsidRPr="009B1684">
              <w:rPr>
                <w:rFonts w:ascii="Arial" w:hAnsi="Arial" w:cs="Arial"/>
                <w:b/>
                <w:sz w:val="20"/>
                <w:szCs w:val="20"/>
              </w:rPr>
              <w:t>$</w:t>
            </w:r>
            <w:r w:rsidR="003520AC" w:rsidRPr="009B1684">
              <w:rPr>
                <w:rFonts w:ascii="Arial" w:hAnsi="Arial" w:cs="Arial"/>
                <w:b/>
                <w:sz w:val="20"/>
                <w:szCs w:val="20"/>
              </w:rPr>
              <w:t>15.11</w:t>
            </w:r>
            <w:r w:rsidRPr="009B1684">
              <w:rPr>
                <w:rFonts w:ascii="Arial" w:hAnsi="Arial" w:cs="Arial"/>
                <w:b/>
                <w:sz w:val="20"/>
                <w:szCs w:val="20"/>
              </w:rPr>
              <w:t xml:space="preserve"> / £</w:t>
            </w:r>
            <w:r w:rsidR="003520AC" w:rsidRPr="009B1684">
              <w:rPr>
                <w:rFonts w:ascii="Arial" w:hAnsi="Arial" w:cs="Arial"/>
                <w:b/>
                <w:sz w:val="20"/>
                <w:szCs w:val="20"/>
              </w:rPr>
              <w:t>11.01</w:t>
            </w:r>
            <w:r w:rsidRPr="009B1684">
              <w:rPr>
                <w:rFonts w:ascii="Arial" w:hAnsi="Arial" w:cs="Arial"/>
                <w:b/>
                <w:sz w:val="20"/>
                <w:szCs w:val="20"/>
                <w:vertAlign w:val="superscript"/>
              </w:rPr>
              <w:t>(4)</w:t>
            </w:r>
          </w:p>
        </w:tc>
        <w:tc>
          <w:tcPr>
            <w:tcW w:w="1782" w:type="dxa"/>
            <w:tcMar>
              <w:top w:w="108" w:type="dxa"/>
              <w:bottom w:w="108" w:type="dxa"/>
            </w:tcMar>
            <w:vAlign w:val="center"/>
          </w:tcPr>
          <w:p w14:paraId="0664417F" w14:textId="58264897"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$14.83 / £11.81</w:t>
            </w:r>
            <w:r w:rsidRPr="00BB0A2A">
              <w:rPr>
                <w:rFonts w:ascii="Arial" w:hAnsi="Arial" w:cs="Arial"/>
                <w:sz w:val="20"/>
                <w:szCs w:val="20"/>
                <w:vertAlign w:val="superscript"/>
              </w:rPr>
              <w:t>(4)</w:t>
            </w:r>
          </w:p>
        </w:tc>
        <w:tc>
          <w:tcPr>
            <w:tcW w:w="1877" w:type="dxa"/>
          </w:tcPr>
          <w:p w14:paraId="658AE748" w14:textId="6F515652" w:rsidR="008C6323" w:rsidRPr="00BB0A2A" w:rsidRDefault="008C6323" w:rsidP="008C6323">
            <w:pPr>
              <w:jc w:val="right"/>
              <w:rPr>
                <w:rFonts w:ascii="Arial" w:hAnsi="Arial" w:cs="Arial"/>
                <w:bCs/>
                <w:sz w:val="20"/>
                <w:szCs w:val="20"/>
              </w:rPr>
            </w:pPr>
            <w:r w:rsidRPr="00BB0A2A">
              <w:rPr>
                <w:rFonts w:ascii="Arial" w:hAnsi="Arial" w:cs="Arial"/>
                <w:bCs/>
                <w:sz w:val="20"/>
                <w:szCs w:val="20"/>
              </w:rPr>
              <w:t>$16.91 / £13.37</w:t>
            </w:r>
            <w:r w:rsidRPr="00BB0A2A">
              <w:rPr>
                <w:rFonts w:ascii="Arial" w:hAnsi="Arial" w:cs="Arial"/>
                <w:bCs/>
                <w:sz w:val="20"/>
                <w:szCs w:val="20"/>
                <w:vertAlign w:val="superscript"/>
              </w:rPr>
              <w:t>(4)</w:t>
            </w:r>
          </w:p>
        </w:tc>
      </w:tr>
      <w:tr w:rsidR="008C6323" w:rsidRPr="00BB0A2A" w14:paraId="47EA03AB" w14:textId="77777777" w:rsidTr="1792F60E">
        <w:tc>
          <w:tcPr>
            <w:tcW w:w="3969" w:type="dxa"/>
            <w:tcMar>
              <w:top w:w="108" w:type="dxa"/>
              <w:bottom w:w="108" w:type="dxa"/>
            </w:tcMar>
          </w:tcPr>
          <w:p w14:paraId="07825CA8" w14:textId="76438BB7" w:rsidR="008C6323" w:rsidRPr="00BB0A2A" w:rsidRDefault="008C6323" w:rsidP="008C6323">
            <w:pPr>
              <w:rPr>
                <w:rFonts w:ascii="Arial" w:hAnsi="Arial" w:cs="Arial"/>
                <w:sz w:val="20"/>
                <w:szCs w:val="20"/>
              </w:rPr>
            </w:pPr>
            <w:r w:rsidRPr="00BB0A2A">
              <w:rPr>
                <w:rFonts w:ascii="Arial" w:hAnsi="Arial" w:cs="Arial"/>
                <w:sz w:val="20"/>
                <w:szCs w:val="20"/>
              </w:rPr>
              <w:t xml:space="preserve">Per cent. change in NAV per Share (USD) for the </w:t>
            </w:r>
            <w:proofErr w:type="gramStart"/>
            <w:r w:rsidR="00BA4421" w:rsidRPr="00BB0A2A">
              <w:rPr>
                <w:rFonts w:ascii="Arial" w:hAnsi="Arial" w:cs="Arial"/>
                <w:sz w:val="20"/>
                <w:szCs w:val="20"/>
              </w:rPr>
              <w:t>six</w:t>
            </w:r>
            <w:r w:rsidRPr="00BB0A2A">
              <w:rPr>
                <w:rFonts w:ascii="Arial" w:hAnsi="Arial" w:cs="Arial"/>
                <w:sz w:val="20"/>
                <w:szCs w:val="20"/>
              </w:rPr>
              <w:t xml:space="preserve"> month</w:t>
            </w:r>
            <w:proofErr w:type="gramEnd"/>
            <w:r w:rsidRPr="00BB0A2A">
              <w:rPr>
                <w:rFonts w:ascii="Arial" w:hAnsi="Arial" w:cs="Arial"/>
                <w:sz w:val="20"/>
                <w:szCs w:val="20"/>
              </w:rPr>
              <w:t xml:space="preserve"> period ended </w:t>
            </w:r>
          </w:p>
        </w:tc>
        <w:tc>
          <w:tcPr>
            <w:tcW w:w="2011" w:type="dxa"/>
            <w:tcMar>
              <w:top w:w="108" w:type="dxa"/>
              <w:bottom w:w="108" w:type="dxa"/>
            </w:tcMar>
          </w:tcPr>
          <w:p w14:paraId="2F295008" w14:textId="027F7D95" w:rsidR="008C6323" w:rsidRPr="00BB0A2A" w:rsidRDefault="003520AC" w:rsidP="008C6323">
            <w:pPr>
              <w:jc w:val="right"/>
              <w:rPr>
                <w:rFonts w:ascii="Arial" w:hAnsi="Arial" w:cs="Arial"/>
                <w:b/>
                <w:sz w:val="20"/>
                <w:szCs w:val="20"/>
              </w:rPr>
            </w:pPr>
            <w:r w:rsidRPr="009B1684">
              <w:rPr>
                <w:rFonts w:ascii="Arial" w:hAnsi="Arial" w:cs="Arial"/>
                <w:b/>
                <w:sz w:val="20"/>
                <w:szCs w:val="20"/>
              </w:rPr>
              <w:t>1.9</w:t>
            </w:r>
            <w:r w:rsidR="008C6323" w:rsidRPr="009B1684">
              <w:rPr>
                <w:rFonts w:ascii="Arial" w:hAnsi="Arial" w:cs="Arial"/>
                <w:b/>
                <w:sz w:val="20"/>
                <w:szCs w:val="20"/>
              </w:rPr>
              <w:t xml:space="preserve"> per cent.</w:t>
            </w:r>
          </w:p>
        </w:tc>
        <w:tc>
          <w:tcPr>
            <w:tcW w:w="1782" w:type="dxa"/>
            <w:tcMar>
              <w:top w:w="108" w:type="dxa"/>
              <w:bottom w:w="108" w:type="dxa"/>
            </w:tcMar>
          </w:tcPr>
          <w:p w14:paraId="5EF002D2" w14:textId="7B583322" w:rsidR="008C6323" w:rsidRPr="00BB0A2A" w:rsidRDefault="008C6323" w:rsidP="008C6323">
            <w:pPr>
              <w:jc w:val="center"/>
              <w:rPr>
                <w:rFonts w:ascii="Arial" w:eastAsia="Calibri" w:hAnsi="Arial" w:cs="Arial"/>
                <w:sz w:val="20"/>
                <w:szCs w:val="20"/>
              </w:rPr>
            </w:pPr>
            <w:r w:rsidRPr="00BB0A2A">
              <w:rPr>
                <w:rFonts w:ascii="Arial" w:eastAsia="Calibri" w:hAnsi="Arial" w:cs="Arial"/>
                <w:sz w:val="20"/>
                <w:szCs w:val="20"/>
              </w:rPr>
              <w:t>(</w:t>
            </w:r>
            <w:r w:rsidR="00093B58">
              <w:rPr>
                <w:rFonts w:ascii="Arial" w:eastAsia="Calibri" w:hAnsi="Arial" w:cs="Arial"/>
                <w:sz w:val="20"/>
                <w:szCs w:val="20"/>
              </w:rPr>
              <w:t>12.3</w:t>
            </w:r>
            <w:r w:rsidRPr="00BB0A2A">
              <w:rPr>
                <w:rFonts w:ascii="Arial" w:eastAsia="Calibri" w:hAnsi="Arial" w:cs="Arial"/>
                <w:sz w:val="20"/>
                <w:szCs w:val="20"/>
              </w:rPr>
              <w:t>) per cent.</w:t>
            </w:r>
          </w:p>
        </w:tc>
        <w:tc>
          <w:tcPr>
            <w:tcW w:w="1877" w:type="dxa"/>
          </w:tcPr>
          <w:p w14:paraId="38A909CE" w14:textId="43A41AC9" w:rsidR="008C6323" w:rsidRPr="00BB0A2A" w:rsidRDefault="008C6323" w:rsidP="008C6323">
            <w:pPr>
              <w:jc w:val="right"/>
              <w:rPr>
                <w:rFonts w:ascii="Arial" w:hAnsi="Arial" w:cs="Arial"/>
                <w:bCs/>
                <w:sz w:val="20"/>
                <w:szCs w:val="20"/>
              </w:rPr>
            </w:pPr>
            <w:r w:rsidRPr="00BB0A2A">
              <w:rPr>
                <w:rFonts w:ascii="Arial" w:hAnsi="Arial" w:cs="Arial"/>
                <w:bCs/>
                <w:sz w:val="20"/>
                <w:szCs w:val="20"/>
              </w:rPr>
              <w:t>6.0 per cent.</w:t>
            </w:r>
          </w:p>
        </w:tc>
      </w:tr>
      <w:tr w:rsidR="008C6323" w:rsidRPr="00BB0A2A" w14:paraId="1A4DDDA4" w14:textId="77777777" w:rsidTr="1792F60E">
        <w:tc>
          <w:tcPr>
            <w:tcW w:w="3969" w:type="dxa"/>
            <w:tcMar>
              <w:top w:w="108" w:type="dxa"/>
              <w:bottom w:w="108" w:type="dxa"/>
            </w:tcMar>
          </w:tcPr>
          <w:p w14:paraId="6FBD3BFC" w14:textId="0C1F4795" w:rsidR="008C6323" w:rsidRPr="00BB0A2A" w:rsidRDefault="008C6323" w:rsidP="008C6323">
            <w:pPr>
              <w:rPr>
                <w:rFonts w:ascii="Arial" w:hAnsi="Arial" w:cs="Arial"/>
                <w:sz w:val="20"/>
                <w:szCs w:val="20"/>
              </w:rPr>
            </w:pPr>
            <w:r w:rsidRPr="00BB0A2A">
              <w:rPr>
                <w:rFonts w:ascii="Arial" w:hAnsi="Arial" w:cs="Arial"/>
                <w:sz w:val="20"/>
                <w:szCs w:val="20"/>
              </w:rPr>
              <w:t>Market capitalisation at</w:t>
            </w:r>
          </w:p>
        </w:tc>
        <w:tc>
          <w:tcPr>
            <w:tcW w:w="2011" w:type="dxa"/>
            <w:tcMar>
              <w:top w:w="108" w:type="dxa"/>
              <w:bottom w:w="108" w:type="dxa"/>
            </w:tcMar>
          </w:tcPr>
          <w:p w14:paraId="3FF5608F" w14:textId="562ACA42" w:rsidR="008C6323" w:rsidRPr="00BB0A2A" w:rsidRDefault="008C6323" w:rsidP="008C6323">
            <w:pPr>
              <w:jc w:val="right"/>
              <w:rPr>
                <w:rFonts w:ascii="Arial" w:hAnsi="Arial" w:cs="Arial"/>
                <w:b/>
                <w:sz w:val="20"/>
                <w:szCs w:val="20"/>
              </w:rPr>
            </w:pPr>
            <w:r w:rsidRPr="00BB0A2A">
              <w:rPr>
                <w:rFonts w:ascii="Arial" w:hAnsi="Arial" w:cs="Arial"/>
                <w:b/>
                <w:sz w:val="20"/>
                <w:szCs w:val="20"/>
              </w:rPr>
              <w:t>$</w:t>
            </w:r>
            <w:r w:rsidR="00671C58" w:rsidRPr="00BB0A2A">
              <w:rPr>
                <w:rFonts w:ascii="Arial" w:hAnsi="Arial" w:cs="Arial"/>
                <w:b/>
                <w:sz w:val="20"/>
                <w:szCs w:val="20"/>
              </w:rPr>
              <w:t>270</w:t>
            </w:r>
            <w:r w:rsidRPr="00BB0A2A">
              <w:rPr>
                <w:rFonts w:ascii="Arial" w:hAnsi="Arial" w:cs="Arial"/>
                <w:b/>
                <w:sz w:val="20"/>
                <w:szCs w:val="20"/>
              </w:rPr>
              <w:t xml:space="preserve"> </w:t>
            </w:r>
            <w:proofErr w:type="gramStart"/>
            <w:r w:rsidRPr="00BB0A2A">
              <w:rPr>
                <w:rFonts w:ascii="Arial" w:hAnsi="Arial" w:cs="Arial"/>
                <w:b/>
                <w:sz w:val="20"/>
                <w:szCs w:val="20"/>
              </w:rPr>
              <w:t>million</w:t>
            </w:r>
            <w:r w:rsidR="00D605D3" w:rsidRPr="00BB0A2A">
              <w:rPr>
                <w:rFonts w:ascii="Arial" w:hAnsi="Arial" w:cs="Arial"/>
                <w:b/>
                <w:sz w:val="20"/>
                <w:szCs w:val="20"/>
                <w:vertAlign w:val="superscript"/>
              </w:rPr>
              <w:t>(</w:t>
            </w:r>
            <w:proofErr w:type="gramEnd"/>
            <w:r w:rsidR="00D605D3" w:rsidRPr="00BB0A2A">
              <w:rPr>
                <w:rFonts w:ascii="Arial" w:hAnsi="Arial" w:cs="Arial"/>
                <w:b/>
                <w:sz w:val="20"/>
                <w:szCs w:val="20"/>
                <w:vertAlign w:val="superscript"/>
              </w:rPr>
              <w:t>4)</w:t>
            </w:r>
            <w:r w:rsidRPr="00BB0A2A">
              <w:rPr>
                <w:rFonts w:ascii="Arial" w:hAnsi="Arial" w:cs="Arial"/>
                <w:b/>
                <w:sz w:val="20"/>
                <w:szCs w:val="20"/>
              </w:rPr>
              <w:t xml:space="preserve"> /</w:t>
            </w:r>
          </w:p>
          <w:p w14:paraId="49B318F9" w14:textId="3FCDC817" w:rsidR="008C6323" w:rsidRPr="00BB0A2A" w:rsidRDefault="008C6323" w:rsidP="008C6323">
            <w:pPr>
              <w:jc w:val="right"/>
              <w:rPr>
                <w:rFonts w:ascii="Arial" w:hAnsi="Arial" w:cs="Arial"/>
                <w:b/>
                <w:sz w:val="20"/>
                <w:szCs w:val="20"/>
              </w:rPr>
            </w:pPr>
            <w:r w:rsidRPr="00BB0A2A">
              <w:rPr>
                <w:rFonts w:ascii="Arial" w:hAnsi="Arial" w:cs="Arial"/>
                <w:b/>
                <w:sz w:val="20"/>
                <w:szCs w:val="20"/>
              </w:rPr>
              <w:t>£</w:t>
            </w:r>
            <w:r w:rsidR="00671C58" w:rsidRPr="00BB0A2A">
              <w:rPr>
                <w:rFonts w:ascii="Arial" w:hAnsi="Arial" w:cs="Arial"/>
                <w:b/>
                <w:sz w:val="20"/>
                <w:szCs w:val="20"/>
              </w:rPr>
              <w:t>197</w:t>
            </w:r>
            <w:r w:rsidRPr="00BB0A2A">
              <w:rPr>
                <w:rFonts w:ascii="Arial" w:hAnsi="Arial" w:cs="Arial"/>
                <w:b/>
                <w:sz w:val="20"/>
                <w:szCs w:val="20"/>
              </w:rPr>
              <w:t xml:space="preserve"> million</w:t>
            </w:r>
          </w:p>
        </w:tc>
        <w:tc>
          <w:tcPr>
            <w:tcW w:w="1782" w:type="dxa"/>
            <w:tcMar>
              <w:top w:w="108" w:type="dxa"/>
              <w:bottom w:w="108" w:type="dxa"/>
            </w:tcMar>
            <w:vAlign w:val="center"/>
          </w:tcPr>
          <w:p w14:paraId="0CEF0F51" w14:textId="7A0A3C49"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 xml:space="preserve">$250 </w:t>
            </w:r>
            <w:proofErr w:type="gramStart"/>
            <w:r w:rsidRPr="00BB0A2A">
              <w:rPr>
                <w:rFonts w:ascii="Arial" w:eastAsia="Calibri" w:hAnsi="Arial" w:cs="Arial"/>
                <w:sz w:val="20"/>
                <w:szCs w:val="20"/>
              </w:rPr>
              <w:t>million</w:t>
            </w:r>
            <w:r w:rsidR="00D605D3" w:rsidRPr="00BB0A2A">
              <w:rPr>
                <w:rFonts w:ascii="Arial" w:hAnsi="Arial" w:cs="Arial"/>
                <w:b/>
                <w:sz w:val="20"/>
                <w:szCs w:val="20"/>
                <w:vertAlign w:val="superscript"/>
              </w:rPr>
              <w:t>(</w:t>
            </w:r>
            <w:proofErr w:type="gramEnd"/>
            <w:r w:rsidR="00D605D3" w:rsidRPr="00BB0A2A">
              <w:rPr>
                <w:rFonts w:ascii="Arial" w:hAnsi="Arial" w:cs="Arial"/>
                <w:b/>
                <w:sz w:val="20"/>
                <w:szCs w:val="20"/>
                <w:vertAlign w:val="superscript"/>
              </w:rPr>
              <w:t>4)</w:t>
            </w:r>
            <w:r w:rsidRPr="00BB0A2A">
              <w:rPr>
                <w:rFonts w:ascii="Arial" w:eastAsia="Calibri" w:hAnsi="Arial" w:cs="Arial"/>
                <w:sz w:val="20"/>
                <w:szCs w:val="20"/>
              </w:rPr>
              <w:t xml:space="preserve"> /</w:t>
            </w:r>
          </w:p>
          <w:p w14:paraId="76D1EDFB" w14:textId="54820281"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£199 million</w:t>
            </w:r>
          </w:p>
        </w:tc>
        <w:tc>
          <w:tcPr>
            <w:tcW w:w="1877" w:type="dxa"/>
          </w:tcPr>
          <w:p w14:paraId="6865E97A" w14:textId="73C91FFE" w:rsidR="008C6323" w:rsidRPr="00BB0A2A" w:rsidRDefault="008C6323" w:rsidP="008C6323">
            <w:pPr>
              <w:jc w:val="right"/>
              <w:rPr>
                <w:rFonts w:ascii="Arial" w:hAnsi="Arial" w:cs="Arial"/>
                <w:bCs/>
                <w:sz w:val="20"/>
                <w:szCs w:val="20"/>
              </w:rPr>
            </w:pPr>
            <w:r w:rsidRPr="00BB0A2A">
              <w:rPr>
                <w:rFonts w:ascii="Arial" w:hAnsi="Arial" w:cs="Arial"/>
                <w:bCs/>
                <w:sz w:val="20"/>
                <w:szCs w:val="20"/>
              </w:rPr>
              <w:t xml:space="preserve">$276 </w:t>
            </w:r>
            <w:proofErr w:type="gramStart"/>
            <w:r w:rsidRPr="00BB0A2A">
              <w:rPr>
                <w:rFonts w:ascii="Arial" w:hAnsi="Arial" w:cs="Arial"/>
                <w:bCs/>
                <w:sz w:val="20"/>
                <w:szCs w:val="20"/>
              </w:rPr>
              <w:t>million</w:t>
            </w:r>
            <w:r w:rsidR="00D605D3" w:rsidRPr="00BB0A2A">
              <w:rPr>
                <w:rFonts w:ascii="Arial" w:hAnsi="Arial" w:cs="Arial"/>
                <w:b/>
                <w:sz w:val="20"/>
                <w:szCs w:val="20"/>
                <w:vertAlign w:val="superscript"/>
              </w:rPr>
              <w:t>(</w:t>
            </w:r>
            <w:proofErr w:type="gramEnd"/>
            <w:r w:rsidR="00D605D3" w:rsidRPr="00BB0A2A">
              <w:rPr>
                <w:rFonts w:ascii="Arial" w:hAnsi="Arial" w:cs="Arial"/>
                <w:b/>
                <w:sz w:val="20"/>
                <w:szCs w:val="20"/>
                <w:vertAlign w:val="superscript"/>
              </w:rPr>
              <w:t>4)</w:t>
            </w:r>
            <w:r w:rsidRPr="00BB0A2A">
              <w:rPr>
                <w:rFonts w:ascii="Arial" w:hAnsi="Arial" w:cs="Arial"/>
                <w:bCs/>
                <w:sz w:val="20"/>
                <w:szCs w:val="20"/>
              </w:rPr>
              <w:t xml:space="preserve"> /</w:t>
            </w:r>
          </w:p>
          <w:p w14:paraId="6EA3BB1B" w14:textId="16A3E74F" w:rsidR="008C6323" w:rsidRPr="00BB0A2A" w:rsidRDefault="008C6323" w:rsidP="008C6323">
            <w:pPr>
              <w:jc w:val="right"/>
              <w:rPr>
                <w:rFonts w:ascii="Arial" w:hAnsi="Arial" w:cs="Arial"/>
                <w:bCs/>
                <w:sz w:val="20"/>
                <w:szCs w:val="20"/>
              </w:rPr>
            </w:pPr>
            <w:r w:rsidRPr="00BB0A2A">
              <w:rPr>
                <w:rFonts w:ascii="Arial" w:hAnsi="Arial" w:cs="Arial"/>
                <w:bCs/>
                <w:sz w:val="20"/>
                <w:szCs w:val="20"/>
              </w:rPr>
              <w:t>£218 millio</w:t>
            </w:r>
            <w:r w:rsidR="0061447A">
              <w:rPr>
                <w:rFonts w:ascii="Arial" w:hAnsi="Arial" w:cs="Arial"/>
                <w:bCs/>
                <w:sz w:val="20"/>
                <w:szCs w:val="20"/>
              </w:rPr>
              <w:t>n</w:t>
            </w:r>
          </w:p>
        </w:tc>
      </w:tr>
      <w:tr w:rsidR="008C6323" w:rsidRPr="00BB0A2A" w14:paraId="3C69E1A4" w14:textId="77777777" w:rsidTr="1792F60E">
        <w:tc>
          <w:tcPr>
            <w:tcW w:w="3969" w:type="dxa"/>
            <w:tcMar>
              <w:top w:w="108" w:type="dxa"/>
              <w:bottom w:w="108" w:type="dxa"/>
            </w:tcMar>
          </w:tcPr>
          <w:p w14:paraId="6E1BDE3D" w14:textId="33FF9E84" w:rsidR="008C6323" w:rsidRPr="00BB0A2A" w:rsidRDefault="008C6323" w:rsidP="008C6323">
            <w:pPr>
              <w:rPr>
                <w:rFonts w:ascii="Arial" w:hAnsi="Arial" w:cs="Arial"/>
                <w:sz w:val="20"/>
                <w:szCs w:val="20"/>
              </w:rPr>
            </w:pPr>
            <w:r w:rsidRPr="00BB0A2A">
              <w:rPr>
                <w:rFonts w:ascii="Arial" w:hAnsi="Arial" w:cs="Arial"/>
                <w:sz w:val="20"/>
                <w:szCs w:val="20"/>
              </w:rPr>
              <w:t>Share price at</w:t>
            </w:r>
          </w:p>
        </w:tc>
        <w:tc>
          <w:tcPr>
            <w:tcW w:w="2011" w:type="dxa"/>
            <w:tcMar>
              <w:top w:w="108" w:type="dxa"/>
              <w:bottom w:w="108" w:type="dxa"/>
            </w:tcMar>
          </w:tcPr>
          <w:p w14:paraId="3E29B2D6" w14:textId="694B0FCF" w:rsidR="008C6323" w:rsidRPr="00BB0A2A" w:rsidRDefault="008C6323" w:rsidP="008C6323">
            <w:pPr>
              <w:jc w:val="right"/>
              <w:rPr>
                <w:rFonts w:ascii="Arial" w:hAnsi="Arial" w:cs="Arial"/>
                <w:b/>
                <w:sz w:val="20"/>
                <w:szCs w:val="20"/>
              </w:rPr>
            </w:pPr>
            <w:r w:rsidRPr="00BB0A2A">
              <w:rPr>
                <w:rFonts w:ascii="Arial" w:hAnsi="Arial" w:cs="Arial"/>
                <w:b/>
                <w:sz w:val="20"/>
                <w:szCs w:val="20"/>
              </w:rPr>
              <w:t>$</w:t>
            </w:r>
            <w:r w:rsidR="00671C58" w:rsidRPr="00BB0A2A">
              <w:rPr>
                <w:rFonts w:ascii="Arial" w:hAnsi="Arial" w:cs="Arial"/>
                <w:b/>
                <w:sz w:val="20"/>
                <w:szCs w:val="20"/>
              </w:rPr>
              <w:t>10.98</w:t>
            </w:r>
            <w:r w:rsidR="003410A5" w:rsidRPr="00BB0A2A">
              <w:rPr>
                <w:rFonts w:ascii="Arial" w:hAnsi="Arial" w:cs="Arial"/>
                <w:b/>
                <w:sz w:val="20"/>
                <w:szCs w:val="20"/>
                <w:vertAlign w:val="superscript"/>
              </w:rPr>
              <w:t>(4)</w:t>
            </w:r>
            <w:r w:rsidRPr="00BB0A2A">
              <w:rPr>
                <w:rFonts w:ascii="Arial" w:hAnsi="Arial" w:cs="Arial"/>
                <w:b/>
                <w:sz w:val="20"/>
                <w:szCs w:val="20"/>
              </w:rPr>
              <w:t>/ £</w:t>
            </w:r>
            <w:r w:rsidR="00671C58" w:rsidRPr="00BB0A2A">
              <w:rPr>
                <w:rFonts w:ascii="Arial" w:hAnsi="Arial" w:cs="Arial"/>
                <w:b/>
                <w:sz w:val="20"/>
                <w:szCs w:val="20"/>
              </w:rPr>
              <w:t>8.00</w:t>
            </w:r>
          </w:p>
        </w:tc>
        <w:tc>
          <w:tcPr>
            <w:tcW w:w="1782" w:type="dxa"/>
            <w:tcMar>
              <w:top w:w="108" w:type="dxa"/>
              <w:bottom w:w="108" w:type="dxa"/>
            </w:tcMar>
            <w:vAlign w:val="center"/>
          </w:tcPr>
          <w:p w14:paraId="60BE8C23" w14:textId="201CD901"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$9.87</w:t>
            </w:r>
            <w:r w:rsidR="003410A5" w:rsidRPr="00BB0A2A">
              <w:rPr>
                <w:rFonts w:ascii="Arial" w:hAnsi="Arial" w:cs="Arial"/>
                <w:sz w:val="20"/>
                <w:szCs w:val="20"/>
                <w:vertAlign w:val="superscript"/>
              </w:rPr>
              <w:t>(4)</w:t>
            </w:r>
            <w:r w:rsidRPr="00BB0A2A">
              <w:rPr>
                <w:rFonts w:ascii="Arial" w:eastAsia="Calibri" w:hAnsi="Arial" w:cs="Arial"/>
                <w:sz w:val="20"/>
                <w:szCs w:val="20"/>
              </w:rPr>
              <w:t>/ £7.86</w:t>
            </w:r>
          </w:p>
        </w:tc>
        <w:tc>
          <w:tcPr>
            <w:tcW w:w="1877" w:type="dxa"/>
          </w:tcPr>
          <w:p w14:paraId="09131719" w14:textId="0648FD79" w:rsidR="008C6323" w:rsidRPr="00BB0A2A" w:rsidRDefault="008C6323" w:rsidP="008C6323">
            <w:pPr>
              <w:jc w:val="right"/>
              <w:rPr>
                <w:rFonts w:ascii="Arial" w:hAnsi="Arial" w:cs="Arial"/>
                <w:bCs/>
                <w:sz w:val="20"/>
                <w:szCs w:val="20"/>
              </w:rPr>
            </w:pPr>
            <w:r w:rsidRPr="00BB0A2A">
              <w:rPr>
                <w:rFonts w:ascii="Arial" w:hAnsi="Arial" w:cs="Arial"/>
                <w:bCs/>
                <w:sz w:val="20"/>
                <w:szCs w:val="20"/>
              </w:rPr>
              <w:t>$10.17</w:t>
            </w:r>
            <w:r w:rsidR="003410A5" w:rsidRPr="00BB0A2A">
              <w:rPr>
                <w:rFonts w:ascii="Arial" w:hAnsi="Arial" w:cs="Arial"/>
                <w:bCs/>
                <w:sz w:val="20"/>
                <w:szCs w:val="20"/>
                <w:vertAlign w:val="superscript"/>
              </w:rPr>
              <w:t>(4)</w:t>
            </w:r>
            <w:r w:rsidRPr="00BB0A2A">
              <w:rPr>
                <w:rFonts w:ascii="Arial" w:hAnsi="Arial" w:cs="Arial"/>
                <w:bCs/>
                <w:sz w:val="20"/>
                <w:szCs w:val="20"/>
              </w:rPr>
              <w:t>/ £8.04</w:t>
            </w:r>
          </w:p>
        </w:tc>
      </w:tr>
      <w:tr w:rsidR="008C6323" w:rsidRPr="00BB0A2A" w14:paraId="36BF2EA5" w14:textId="77777777" w:rsidTr="1792F60E">
        <w:tc>
          <w:tcPr>
            <w:tcW w:w="3969" w:type="dxa"/>
            <w:tcMar>
              <w:top w:w="108" w:type="dxa"/>
              <w:bottom w:w="108" w:type="dxa"/>
            </w:tcMar>
          </w:tcPr>
          <w:p w14:paraId="54A71499" w14:textId="27EAD7B9" w:rsidR="008C6323" w:rsidRPr="00BB0A2A" w:rsidRDefault="008C6323" w:rsidP="008C6323">
            <w:pPr>
              <w:rPr>
                <w:rFonts w:ascii="Arial" w:hAnsi="Arial" w:cs="Arial"/>
                <w:sz w:val="20"/>
                <w:szCs w:val="20"/>
              </w:rPr>
            </w:pPr>
            <w:r w:rsidRPr="00BB0A2A">
              <w:rPr>
                <w:rFonts w:ascii="Arial" w:hAnsi="Arial" w:cs="Arial"/>
                <w:sz w:val="20"/>
                <w:szCs w:val="20"/>
              </w:rPr>
              <w:t xml:space="preserve">Per cent. change in US Dollar and Sterling Share price for the </w:t>
            </w:r>
            <w:proofErr w:type="gramStart"/>
            <w:r w:rsidR="008E1ABB" w:rsidRPr="00BB0A2A">
              <w:rPr>
                <w:rFonts w:ascii="Arial" w:hAnsi="Arial" w:cs="Arial"/>
                <w:sz w:val="20"/>
                <w:szCs w:val="20"/>
              </w:rPr>
              <w:t>six month</w:t>
            </w:r>
            <w:proofErr w:type="gramEnd"/>
            <w:r w:rsidR="008E1ABB" w:rsidRPr="00BB0A2A">
              <w:rPr>
                <w:rFonts w:ascii="Arial" w:hAnsi="Arial" w:cs="Arial"/>
                <w:sz w:val="20"/>
                <w:szCs w:val="20"/>
              </w:rPr>
              <w:t xml:space="preserve"> </w:t>
            </w:r>
            <w:r w:rsidRPr="00BB0A2A">
              <w:rPr>
                <w:rFonts w:ascii="Arial" w:hAnsi="Arial" w:cs="Arial"/>
                <w:sz w:val="20"/>
                <w:szCs w:val="20"/>
              </w:rPr>
              <w:t>period ended</w:t>
            </w:r>
          </w:p>
        </w:tc>
        <w:tc>
          <w:tcPr>
            <w:tcW w:w="2011" w:type="dxa"/>
            <w:tcMar>
              <w:top w:w="108" w:type="dxa"/>
              <w:bottom w:w="108" w:type="dxa"/>
            </w:tcMar>
          </w:tcPr>
          <w:p w14:paraId="7C808B6E" w14:textId="241AE1F2" w:rsidR="008C6323" w:rsidRPr="00BB0A2A" w:rsidRDefault="008D211A" w:rsidP="1792F60E">
            <w:pPr>
              <w:jc w:val="right"/>
              <w:rPr>
                <w:rFonts w:ascii="Arial" w:hAnsi="Arial" w:cs="Arial"/>
                <w:b/>
                <w:bCs/>
                <w:sz w:val="20"/>
                <w:szCs w:val="20"/>
              </w:rPr>
            </w:pPr>
            <w:r w:rsidRPr="00BB0A2A">
              <w:rPr>
                <w:rFonts w:ascii="Arial" w:hAnsi="Arial" w:cs="Arial"/>
                <w:b/>
                <w:bCs/>
                <w:sz w:val="20"/>
                <w:szCs w:val="20"/>
              </w:rPr>
              <w:t>11.</w:t>
            </w:r>
            <w:r w:rsidR="00C70A72" w:rsidRPr="00BB0A2A">
              <w:rPr>
                <w:rFonts w:ascii="Arial" w:hAnsi="Arial" w:cs="Arial"/>
                <w:b/>
                <w:bCs/>
                <w:sz w:val="20"/>
                <w:szCs w:val="20"/>
              </w:rPr>
              <w:t>2</w:t>
            </w:r>
            <w:r w:rsidR="008C6323" w:rsidRPr="00BB0A2A">
              <w:rPr>
                <w:rFonts w:ascii="Arial" w:hAnsi="Arial" w:cs="Arial"/>
                <w:b/>
                <w:bCs/>
                <w:sz w:val="20"/>
                <w:szCs w:val="20"/>
              </w:rPr>
              <w:t xml:space="preserve"> per cent.</w:t>
            </w:r>
          </w:p>
          <w:p w14:paraId="28CE0F18" w14:textId="067BF01B" w:rsidR="008C6323" w:rsidRPr="00BB0A2A" w:rsidRDefault="00671C58" w:rsidP="008C6323">
            <w:pPr>
              <w:jc w:val="right"/>
              <w:rPr>
                <w:rFonts w:ascii="Arial" w:hAnsi="Arial" w:cs="Arial"/>
                <w:b/>
                <w:sz w:val="20"/>
                <w:szCs w:val="20"/>
              </w:rPr>
            </w:pPr>
            <w:r w:rsidRPr="00BB0A2A">
              <w:rPr>
                <w:rFonts w:ascii="Arial" w:hAnsi="Arial" w:cs="Arial"/>
                <w:b/>
                <w:sz w:val="20"/>
                <w:szCs w:val="20"/>
              </w:rPr>
              <w:t>1.</w:t>
            </w:r>
            <w:r w:rsidR="00EF6769" w:rsidRPr="00BB0A2A">
              <w:rPr>
                <w:rFonts w:ascii="Arial" w:hAnsi="Arial" w:cs="Arial"/>
                <w:b/>
                <w:sz w:val="20"/>
                <w:szCs w:val="20"/>
              </w:rPr>
              <w:t>8</w:t>
            </w:r>
            <w:r w:rsidR="008C6323" w:rsidRPr="00BB0A2A" w:rsidDel="00E8654A">
              <w:rPr>
                <w:rFonts w:ascii="Arial" w:hAnsi="Arial" w:cs="Arial"/>
                <w:b/>
                <w:sz w:val="20"/>
                <w:szCs w:val="20"/>
              </w:rPr>
              <w:t xml:space="preserve"> </w:t>
            </w:r>
            <w:r w:rsidR="008C6323" w:rsidRPr="00BB0A2A">
              <w:rPr>
                <w:rFonts w:ascii="Arial" w:hAnsi="Arial" w:cs="Arial"/>
                <w:b/>
                <w:sz w:val="20"/>
                <w:szCs w:val="20"/>
              </w:rPr>
              <w:t>per cent.</w:t>
            </w:r>
          </w:p>
        </w:tc>
        <w:tc>
          <w:tcPr>
            <w:tcW w:w="1782" w:type="dxa"/>
            <w:tcMar>
              <w:top w:w="108" w:type="dxa"/>
              <w:bottom w:w="108" w:type="dxa"/>
            </w:tcMar>
          </w:tcPr>
          <w:p w14:paraId="44DC659D" w14:textId="28ED78FF" w:rsidR="008C6323" w:rsidRPr="00BB0A2A" w:rsidRDefault="008C6323" w:rsidP="008C6323">
            <w:pPr>
              <w:jc w:val="right"/>
              <w:rPr>
                <w:rFonts w:ascii="Arial" w:hAnsi="Arial" w:cs="Arial"/>
                <w:bCs/>
                <w:sz w:val="20"/>
                <w:szCs w:val="20"/>
              </w:rPr>
            </w:pPr>
            <w:r w:rsidRPr="00BB0A2A">
              <w:rPr>
                <w:rFonts w:ascii="Arial" w:hAnsi="Arial" w:cs="Arial"/>
                <w:bCs/>
                <w:sz w:val="20"/>
                <w:szCs w:val="20"/>
              </w:rPr>
              <w:t xml:space="preserve"> (</w:t>
            </w:r>
            <w:r w:rsidR="00D605D3">
              <w:rPr>
                <w:rFonts w:ascii="Arial" w:hAnsi="Arial" w:cs="Arial"/>
                <w:bCs/>
                <w:sz w:val="20"/>
                <w:szCs w:val="20"/>
              </w:rPr>
              <w:t>2.9</w:t>
            </w:r>
            <w:r w:rsidRPr="00BB0A2A">
              <w:rPr>
                <w:rFonts w:ascii="Arial" w:hAnsi="Arial" w:cs="Arial"/>
                <w:bCs/>
                <w:sz w:val="20"/>
                <w:szCs w:val="20"/>
              </w:rPr>
              <w:t>) per cent.</w:t>
            </w:r>
          </w:p>
          <w:p w14:paraId="0425D993" w14:textId="3947AA6D" w:rsidR="008C6323" w:rsidRPr="00BB0A2A" w:rsidRDefault="008C6323" w:rsidP="008C6323">
            <w:pPr>
              <w:jc w:val="right"/>
              <w:rPr>
                <w:rFonts w:ascii="Arial" w:eastAsia="Calibri" w:hAnsi="Arial" w:cs="Arial"/>
                <w:sz w:val="20"/>
                <w:szCs w:val="20"/>
              </w:rPr>
            </w:pPr>
            <w:r w:rsidRPr="00BB0A2A">
              <w:rPr>
                <w:rFonts w:ascii="Arial" w:hAnsi="Arial" w:cs="Arial"/>
                <w:bCs/>
                <w:sz w:val="20"/>
                <w:szCs w:val="20"/>
              </w:rPr>
              <w:t>(</w:t>
            </w:r>
            <w:r w:rsidR="00D605D3">
              <w:rPr>
                <w:rFonts w:ascii="Arial" w:hAnsi="Arial" w:cs="Arial"/>
                <w:bCs/>
                <w:sz w:val="20"/>
                <w:szCs w:val="20"/>
              </w:rPr>
              <w:t>2.2</w:t>
            </w:r>
            <w:r w:rsidRPr="00BB0A2A">
              <w:rPr>
                <w:rFonts w:ascii="Arial" w:hAnsi="Arial" w:cs="Arial"/>
                <w:bCs/>
                <w:sz w:val="20"/>
                <w:szCs w:val="20"/>
              </w:rPr>
              <w:t>) per cent.</w:t>
            </w:r>
          </w:p>
        </w:tc>
        <w:tc>
          <w:tcPr>
            <w:tcW w:w="1877" w:type="dxa"/>
          </w:tcPr>
          <w:p w14:paraId="155C7DD3" w14:textId="1DD6BF3B" w:rsidR="008C6323" w:rsidRPr="00BB0A2A" w:rsidRDefault="008C6323" w:rsidP="008C6323">
            <w:pPr>
              <w:jc w:val="right"/>
              <w:rPr>
                <w:rFonts w:ascii="Arial" w:hAnsi="Arial" w:cs="Arial"/>
                <w:bCs/>
                <w:sz w:val="20"/>
                <w:szCs w:val="20"/>
              </w:rPr>
            </w:pPr>
            <w:r w:rsidRPr="00BB0A2A">
              <w:rPr>
                <w:rFonts w:ascii="Arial" w:hAnsi="Arial" w:cs="Arial"/>
                <w:bCs/>
                <w:sz w:val="20"/>
                <w:szCs w:val="20"/>
              </w:rPr>
              <w:t>(0.3)</w:t>
            </w:r>
            <w:r w:rsidRPr="00BB0A2A" w:rsidDel="00E8654A">
              <w:rPr>
                <w:rFonts w:ascii="Arial" w:hAnsi="Arial" w:cs="Arial"/>
                <w:bCs/>
                <w:sz w:val="20"/>
                <w:szCs w:val="20"/>
              </w:rPr>
              <w:t xml:space="preserve"> </w:t>
            </w:r>
            <w:r w:rsidRPr="00BB0A2A">
              <w:rPr>
                <w:rFonts w:ascii="Arial" w:hAnsi="Arial" w:cs="Arial"/>
                <w:bCs/>
                <w:sz w:val="20"/>
                <w:szCs w:val="20"/>
              </w:rPr>
              <w:t>per cent.</w:t>
            </w:r>
          </w:p>
          <w:p w14:paraId="3B188550" w14:textId="0A7BA266" w:rsidR="008C6323" w:rsidRPr="00BB0A2A" w:rsidRDefault="008C6323" w:rsidP="008C6323">
            <w:pPr>
              <w:jc w:val="right"/>
              <w:rPr>
                <w:rFonts w:ascii="Arial" w:hAnsi="Arial" w:cs="Arial"/>
                <w:bCs/>
                <w:sz w:val="20"/>
                <w:szCs w:val="20"/>
              </w:rPr>
            </w:pPr>
            <w:r w:rsidRPr="00BB0A2A">
              <w:rPr>
                <w:rFonts w:ascii="Arial" w:hAnsi="Arial" w:cs="Arial"/>
                <w:bCs/>
                <w:sz w:val="20"/>
                <w:szCs w:val="20"/>
              </w:rPr>
              <w:t>0.4</w:t>
            </w:r>
            <w:r w:rsidRPr="00BB0A2A" w:rsidDel="00E8654A">
              <w:rPr>
                <w:rFonts w:ascii="Arial" w:hAnsi="Arial" w:cs="Arial"/>
                <w:bCs/>
                <w:sz w:val="20"/>
                <w:szCs w:val="20"/>
              </w:rPr>
              <w:t xml:space="preserve"> </w:t>
            </w:r>
            <w:r w:rsidRPr="00BB0A2A">
              <w:rPr>
                <w:rFonts w:ascii="Arial" w:hAnsi="Arial" w:cs="Arial"/>
                <w:bCs/>
                <w:sz w:val="20"/>
                <w:szCs w:val="20"/>
              </w:rPr>
              <w:t>per cent.</w:t>
            </w:r>
          </w:p>
        </w:tc>
      </w:tr>
      <w:tr w:rsidR="008C6323" w:rsidRPr="00BB0A2A" w14:paraId="7CC263BE" w14:textId="77777777" w:rsidTr="1792F60E">
        <w:tc>
          <w:tcPr>
            <w:tcW w:w="3969" w:type="dxa"/>
            <w:tcMar>
              <w:top w:w="108" w:type="dxa"/>
              <w:bottom w:w="108" w:type="dxa"/>
            </w:tcMar>
          </w:tcPr>
          <w:p w14:paraId="2E37D396" w14:textId="330E5759" w:rsidR="008C6323" w:rsidRPr="00BB0A2A" w:rsidRDefault="00D605D3" w:rsidP="008C6323">
            <w:pPr>
              <w:rPr>
                <w:rFonts w:ascii="Arial" w:hAnsi="Arial" w:cs="Arial"/>
                <w:sz w:val="20"/>
                <w:szCs w:val="20"/>
              </w:rPr>
            </w:pPr>
            <w:r>
              <w:rPr>
                <w:rFonts w:ascii="Arial" w:hAnsi="Arial" w:cs="Arial"/>
                <w:sz w:val="20"/>
                <w:szCs w:val="20"/>
              </w:rPr>
              <w:t xml:space="preserve">Converted USD </w:t>
            </w:r>
            <w:r w:rsidR="008C6323" w:rsidRPr="00BB0A2A">
              <w:rPr>
                <w:rFonts w:ascii="Arial" w:hAnsi="Arial" w:cs="Arial"/>
                <w:sz w:val="20"/>
                <w:szCs w:val="20"/>
              </w:rPr>
              <w:t xml:space="preserve">Share price discount to </w:t>
            </w:r>
            <w:r>
              <w:rPr>
                <w:rFonts w:ascii="Arial" w:hAnsi="Arial" w:cs="Arial"/>
                <w:sz w:val="20"/>
                <w:szCs w:val="20"/>
              </w:rPr>
              <w:t xml:space="preserve">USD </w:t>
            </w:r>
            <w:r w:rsidR="008C6323" w:rsidRPr="00BB0A2A">
              <w:rPr>
                <w:rFonts w:ascii="Arial" w:hAnsi="Arial" w:cs="Arial"/>
                <w:sz w:val="20"/>
                <w:szCs w:val="20"/>
              </w:rPr>
              <w:t>NAV</w:t>
            </w:r>
          </w:p>
        </w:tc>
        <w:tc>
          <w:tcPr>
            <w:tcW w:w="2011" w:type="dxa"/>
            <w:tcMar>
              <w:top w:w="108" w:type="dxa"/>
              <w:bottom w:w="108" w:type="dxa"/>
            </w:tcMar>
          </w:tcPr>
          <w:p w14:paraId="2EBCF830" w14:textId="192E7A5E" w:rsidR="008C6323" w:rsidRPr="00BB0A2A" w:rsidRDefault="003520AC" w:rsidP="008C6323">
            <w:pPr>
              <w:jc w:val="right"/>
              <w:rPr>
                <w:rFonts w:ascii="Arial" w:hAnsi="Arial" w:cs="Arial"/>
                <w:b/>
                <w:sz w:val="20"/>
                <w:szCs w:val="20"/>
              </w:rPr>
            </w:pPr>
            <w:r w:rsidRPr="009B1684">
              <w:rPr>
                <w:rFonts w:ascii="Arial" w:hAnsi="Arial" w:cs="Arial"/>
                <w:b/>
                <w:sz w:val="20"/>
                <w:szCs w:val="20"/>
              </w:rPr>
              <w:t>27.3</w:t>
            </w:r>
            <w:r w:rsidR="008C6323" w:rsidRPr="009B1684">
              <w:rPr>
                <w:rFonts w:ascii="Arial" w:eastAsia="Calibri" w:hAnsi="Arial" w:cs="Arial"/>
                <w:b/>
                <w:sz w:val="20"/>
                <w:szCs w:val="20"/>
              </w:rPr>
              <w:t xml:space="preserve"> per cent.</w:t>
            </w:r>
          </w:p>
        </w:tc>
        <w:tc>
          <w:tcPr>
            <w:tcW w:w="1782" w:type="dxa"/>
            <w:tcMar>
              <w:top w:w="108" w:type="dxa"/>
              <w:bottom w:w="108" w:type="dxa"/>
            </w:tcMar>
            <w:vAlign w:val="center"/>
          </w:tcPr>
          <w:p w14:paraId="228A02FC" w14:textId="20CBC1BB"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33.4 per cent.</w:t>
            </w:r>
          </w:p>
        </w:tc>
        <w:tc>
          <w:tcPr>
            <w:tcW w:w="1877" w:type="dxa"/>
          </w:tcPr>
          <w:p w14:paraId="23A14435" w14:textId="43D3DF2D" w:rsidR="008C6323" w:rsidRPr="00BB0A2A" w:rsidRDefault="008C6323" w:rsidP="008C6323">
            <w:pPr>
              <w:jc w:val="right"/>
              <w:rPr>
                <w:rFonts w:ascii="Arial" w:hAnsi="Arial" w:cs="Arial"/>
                <w:bCs/>
                <w:sz w:val="20"/>
                <w:szCs w:val="20"/>
              </w:rPr>
            </w:pPr>
            <w:r w:rsidRPr="00BB0A2A">
              <w:rPr>
                <w:rFonts w:ascii="Arial" w:hAnsi="Arial" w:cs="Arial"/>
                <w:bCs/>
                <w:sz w:val="20"/>
                <w:szCs w:val="20"/>
              </w:rPr>
              <w:t>39.9</w:t>
            </w:r>
            <w:r w:rsidRPr="00BB0A2A">
              <w:rPr>
                <w:rFonts w:ascii="Arial" w:eastAsia="Calibri" w:hAnsi="Arial" w:cs="Arial"/>
                <w:bCs/>
                <w:sz w:val="20"/>
                <w:szCs w:val="20"/>
              </w:rPr>
              <w:t xml:space="preserve"> per cent.</w:t>
            </w:r>
          </w:p>
        </w:tc>
      </w:tr>
      <w:tr w:rsidR="008C6323" w:rsidRPr="00BB0A2A" w14:paraId="378F6AA9" w14:textId="77777777" w:rsidTr="1792F60E">
        <w:tc>
          <w:tcPr>
            <w:tcW w:w="3969" w:type="dxa"/>
            <w:tcMar>
              <w:top w:w="108" w:type="dxa"/>
              <w:bottom w:w="108" w:type="dxa"/>
            </w:tcMar>
            <w:vAlign w:val="center"/>
          </w:tcPr>
          <w:p w14:paraId="2D50B861" w14:textId="302A9FE3" w:rsidR="008C6323" w:rsidRPr="00BB0A2A" w:rsidRDefault="008C6323" w:rsidP="008C6323">
            <w:pPr>
              <w:tabs>
                <w:tab w:val="left" w:pos="493"/>
              </w:tabs>
              <w:rPr>
                <w:rFonts w:ascii="Arial" w:hAnsi="Arial" w:cs="Arial"/>
                <w:sz w:val="20"/>
                <w:szCs w:val="20"/>
              </w:rPr>
            </w:pPr>
            <w:r w:rsidRPr="00BB0A2A">
              <w:rPr>
                <w:rFonts w:ascii="Arial" w:hAnsi="Arial" w:cs="Arial"/>
                <w:sz w:val="20"/>
                <w:szCs w:val="20"/>
              </w:rPr>
              <w:t xml:space="preserve">Cash and cash equivalents at </w:t>
            </w:r>
          </w:p>
        </w:tc>
        <w:tc>
          <w:tcPr>
            <w:tcW w:w="2011" w:type="dxa"/>
            <w:tcMar>
              <w:top w:w="108" w:type="dxa"/>
              <w:bottom w:w="108" w:type="dxa"/>
            </w:tcMar>
            <w:vAlign w:val="center"/>
          </w:tcPr>
          <w:p w14:paraId="24F517D1" w14:textId="2A906C42" w:rsidR="008C6323" w:rsidRPr="00BB0A2A" w:rsidRDefault="008C6323" w:rsidP="008C6323">
            <w:pPr>
              <w:jc w:val="right"/>
              <w:rPr>
                <w:rFonts w:ascii="Arial" w:eastAsia="Calibri" w:hAnsi="Arial" w:cs="Arial"/>
                <w:b/>
                <w:sz w:val="20"/>
                <w:szCs w:val="20"/>
              </w:rPr>
            </w:pPr>
            <w:r w:rsidRPr="00BB0A2A">
              <w:rPr>
                <w:rFonts w:ascii="Arial" w:eastAsia="Calibri" w:hAnsi="Arial" w:cs="Arial"/>
                <w:b/>
                <w:sz w:val="20"/>
                <w:szCs w:val="20"/>
              </w:rPr>
              <w:t>$</w:t>
            </w:r>
            <w:r w:rsidR="00671C58" w:rsidRPr="00BB0A2A">
              <w:rPr>
                <w:rFonts w:ascii="Arial" w:hAnsi="Arial" w:cs="Arial"/>
                <w:b/>
                <w:sz w:val="20"/>
                <w:szCs w:val="20"/>
              </w:rPr>
              <w:t>7</w:t>
            </w:r>
            <w:r w:rsidR="00560CA7" w:rsidRPr="009B1684">
              <w:rPr>
                <w:rFonts w:ascii="Arial" w:hAnsi="Arial" w:cs="Arial"/>
                <w:b/>
                <w:sz w:val="20"/>
                <w:szCs w:val="20"/>
              </w:rPr>
              <w:t>3</w:t>
            </w:r>
            <w:r w:rsidR="00671C58" w:rsidRPr="00BB0A2A">
              <w:rPr>
                <w:rFonts w:ascii="Arial" w:hAnsi="Arial" w:cs="Arial"/>
                <w:b/>
                <w:sz w:val="20"/>
                <w:szCs w:val="20"/>
              </w:rPr>
              <w:t>.</w:t>
            </w:r>
            <w:r w:rsidR="005A74BC">
              <w:rPr>
                <w:rFonts w:ascii="Arial" w:hAnsi="Arial" w:cs="Arial"/>
                <w:b/>
                <w:sz w:val="20"/>
                <w:szCs w:val="20"/>
              </w:rPr>
              <w:t>0</w:t>
            </w:r>
            <w:r w:rsidRPr="00BB0A2A">
              <w:rPr>
                <w:rFonts w:ascii="Arial" w:hAnsi="Arial" w:cs="Arial"/>
                <w:b/>
                <w:sz w:val="20"/>
                <w:szCs w:val="20"/>
              </w:rPr>
              <w:t xml:space="preserve"> </w:t>
            </w:r>
            <w:proofErr w:type="gramStart"/>
            <w:r w:rsidRPr="00BB0A2A">
              <w:rPr>
                <w:rFonts w:ascii="Arial" w:eastAsia="Calibri" w:hAnsi="Arial" w:cs="Arial"/>
                <w:b/>
                <w:sz w:val="20"/>
                <w:szCs w:val="20"/>
              </w:rPr>
              <w:t>million</w:t>
            </w:r>
            <w:r w:rsidRPr="00BB0A2A">
              <w:rPr>
                <w:rFonts w:ascii="Arial" w:hAnsi="Arial" w:cs="Arial"/>
                <w:b/>
                <w:sz w:val="20"/>
                <w:szCs w:val="20"/>
                <w:vertAlign w:val="superscript"/>
              </w:rPr>
              <w:t>(</w:t>
            </w:r>
            <w:proofErr w:type="gramEnd"/>
            <w:r w:rsidRPr="00BB0A2A">
              <w:rPr>
                <w:rFonts w:ascii="Arial" w:hAnsi="Arial" w:cs="Arial"/>
                <w:b/>
                <w:sz w:val="20"/>
                <w:szCs w:val="20"/>
                <w:vertAlign w:val="superscript"/>
              </w:rPr>
              <w:t>5)</w:t>
            </w:r>
            <w:r w:rsidRPr="00BB0A2A">
              <w:rPr>
                <w:rFonts w:ascii="Arial" w:eastAsia="Calibri" w:hAnsi="Arial" w:cs="Arial"/>
                <w:b/>
                <w:sz w:val="20"/>
                <w:szCs w:val="20"/>
              </w:rPr>
              <w:t xml:space="preserve"> /</w:t>
            </w:r>
          </w:p>
          <w:p w14:paraId="0CBE1A69" w14:textId="0195FA3B" w:rsidR="008C6323" w:rsidRPr="00BB0A2A" w:rsidRDefault="008C6323" w:rsidP="008C6323">
            <w:pPr>
              <w:jc w:val="right"/>
              <w:rPr>
                <w:rFonts w:ascii="Arial" w:hAnsi="Arial" w:cs="Arial"/>
                <w:b/>
                <w:sz w:val="20"/>
                <w:szCs w:val="20"/>
              </w:rPr>
            </w:pPr>
            <w:r w:rsidRPr="00BB0A2A">
              <w:rPr>
                <w:rFonts w:ascii="Arial" w:eastAsia="Calibri" w:hAnsi="Arial" w:cs="Arial"/>
                <w:b/>
                <w:sz w:val="20"/>
                <w:szCs w:val="20"/>
              </w:rPr>
              <w:t>£</w:t>
            </w:r>
            <w:r w:rsidR="00671C58" w:rsidRPr="00BB0A2A">
              <w:rPr>
                <w:rFonts w:ascii="Arial" w:hAnsi="Arial" w:cs="Arial"/>
                <w:b/>
                <w:sz w:val="20"/>
                <w:szCs w:val="20"/>
              </w:rPr>
              <w:t>53.</w:t>
            </w:r>
            <w:r w:rsidR="007C17CA" w:rsidRPr="00BB0A2A">
              <w:rPr>
                <w:rFonts w:ascii="Arial" w:hAnsi="Arial" w:cs="Arial"/>
                <w:b/>
                <w:sz w:val="20"/>
                <w:szCs w:val="20"/>
              </w:rPr>
              <w:t>2</w:t>
            </w:r>
            <w:r w:rsidRPr="00BB0A2A">
              <w:rPr>
                <w:rFonts w:ascii="Arial" w:eastAsia="Calibri" w:hAnsi="Arial" w:cs="Arial"/>
                <w:b/>
                <w:sz w:val="20"/>
                <w:szCs w:val="20"/>
              </w:rPr>
              <w:t xml:space="preserve"> </w:t>
            </w:r>
            <w:proofErr w:type="gramStart"/>
            <w:r w:rsidRPr="00BB0A2A">
              <w:rPr>
                <w:rFonts w:ascii="Arial" w:eastAsia="Calibri" w:hAnsi="Arial" w:cs="Arial"/>
                <w:b/>
                <w:sz w:val="20"/>
                <w:szCs w:val="20"/>
              </w:rPr>
              <w:t>million</w:t>
            </w:r>
            <w:r w:rsidRPr="00BB0A2A">
              <w:rPr>
                <w:rFonts w:ascii="Arial" w:hAnsi="Arial" w:cs="Arial"/>
                <w:b/>
                <w:sz w:val="20"/>
                <w:szCs w:val="20"/>
                <w:vertAlign w:val="superscript"/>
              </w:rPr>
              <w:t>(</w:t>
            </w:r>
            <w:proofErr w:type="gramEnd"/>
            <w:r w:rsidRPr="00BB0A2A">
              <w:rPr>
                <w:rFonts w:ascii="Arial" w:hAnsi="Arial" w:cs="Arial"/>
                <w:b/>
                <w:sz w:val="20"/>
                <w:szCs w:val="20"/>
                <w:vertAlign w:val="superscript"/>
              </w:rPr>
              <w:t>4)</w:t>
            </w:r>
          </w:p>
        </w:tc>
        <w:tc>
          <w:tcPr>
            <w:tcW w:w="1782" w:type="dxa"/>
            <w:tcMar>
              <w:top w:w="108" w:type="dxa"/>
              <w:bottom w:w="108" w:type="dxa"/>
            </w:tcMar>
            <w:vAlign w:val="center"/>
          </w:tcPr>
          <w:p w14:paraId="0B377398" w14:textId="3AC11A92"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 xml:space="preserve">$78.5 </w:t>
            </w:r>
            <w:proofErr w:type="gramStart"/>
            <w:r w:rsidRPr="00BB0A2A">
              <w:rPr>
                <w:rFonts w:ascii="Arial" w:eastAsia="Calibri" w:hAnsi="Arial" w:cs="Arial"/>
                <w:sz w:val="20"/>
                <w:szCs w:val="20"/>
              </w:rPr>
              <w:t>million</w:t>
            </w:r>
            <w:r w:rsidRPr="00BB0A2A">
              <w:rPr>
                <w:rFonts w:ascii="Arial" w:hAnsi="Arial" w:cs="Arial"/>
                <w:sz w:val="20"/>
                <w:szCs w:val="20"/>
                <w:vertAlign w:val="superscript"/>
              </w:rPr>
              <w:t>(</w:t>
            </w:r>
            <w:proofErr w:type="gramEnd"/>
            <w:r w:rsidRPr="00BB0A2A">
              <w:rPr>
                <w:rFonts w:ascii="Arial" w:hAnsi="Arial" w:cs="Arial"/>
                <w:sz w:val="20"/>
                <w:szCs w:val="20"/>
                <w:vertAlign w:val="superscript"/>
              </w:rPr>
              <w:t>5)</w:t>
            </w:r>
            <w:r w:rsidRPr="00BB0A2A">
              <w:rPr>
                <w:rFonts w:ascii="Arial" w:eastAsia="Calibri" w:hAnsi="Arial" w:cs="Arial"/>
                <w:sz w:val="20"/>
                <w:szCs w:val="20"/>
              </w:rPr>
              <w:t xml:space="preserve"> /</w:t>
            </w:r>
          </w:p>
          <w:p w14:paraId="7407F852" w14:textId="37233ACE"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 xml:space="preserve">£62.5 </w:t>
            </w:r>
            <w:proofErr w:type="gramStart"/>
            <w:r w:rsidRPr="00BB0A2A">
              <w:rPr>
                <w:rFonts w:ascii="Arial" w:eastAsia="Calibri" w:hAnsi="Arial" w:cs="Arial"/>
                <w:sz w:val="20"/>
                <w:szCs w:val="20"/>
              </w:rPr>
              <w:t>million</w:t>
            </w:r>
            <w:r w:rsidRPr="00BB0A2A">
              <w:rPr>
                <w:rFonts w:ascii="Arial" w:hAnsi="Arial" w:cs="Arial"/>
                <w:sz w:val="20"/>
                <w:szCs w:val="20"/>
                <w:vertAlign w:val="superscript"/>
              </w:rPr>
              <w:t>(</w:t>
            </w:r>
            <w:proofErr w:type="gramEnd"/>
            <w:r w:rsidRPr="00BB0A2A">
              <w:rPr>
                <w:rFonts w:ascii="Arial" w:hAnsi="Arial" w:cs="Arial"/>
                <w:sz w:val="20"/>
                <w:szCs w:val="20"/>
                <w:vertAlign w:val="superscript"/>
              </w:rPr>
              <w:t>4)</w:t>
            </w:r>
          </w:p>
        </w:tc>
        <w:tc>
          <w:tcPr>
            <w:tcW w:w="1877" w:type="dxa"/>
            <w:vAlign w:val="center"/>
          </w:tcPr>
          <w:p w14:paraId="0A834FB7" w14:textId="77777777" w:rsidR="008C6323" w:rsidRPr="00BB0A2A" w:rsidRDefault="008C6323" w:rsidP="008C6323">
            <w:pPr>
              <w:jc w:val="right"/>
              <w:rPr>
                <w:rFonts w:ascii="Arial" w:eastAsia="Calibri" w:hAnsi="Arial" w:cs="Arial"/>
                <w:bCs/>
                <w:sz w:val="20"/>
                <w:szCs w:val="20"/>
              </w:rPr>
            </w:pPr>
            <w:r w:rsidRPr="00BB0A2A">
              <w:rPr>
                <w:rFonts w:ascii="Arial" w:eastAsia="Calibri" w:hAnsi="Arial" w:cs="Arial"/>
                <w:bCs/>
                <w:sz w:val="20"/>
                <w:szCs w:val="20"/>
              </w:rPr>
              <w:t>$</w:t>
            </w:r>
            <w:r w:rsidRPr="00BB0A2A">
              <w:rPr>
                <w:rFonts w:ascii="Arial" w:hAnsi="Arial" w:cs="Arial"/>
                <w:bCs/>
                <w:sz w:val="20"/>
                <w:szCs w:val="20"/>
              </w:rPr>
              <w:t xml:space="preserve">94 </w:t>
            </w:r>
            <w:proofErr w:type="gramStart"/>
            <w:r w:rsidRPr="00BB0A2A">
              <w:rPr>
                <w:rFonts w:ascii="Arial" w:eastAsia="Calibri" w:hAnsi="Arial" w:cs="Arial"/>
                <w:bCs/>
                <w:sz w:val="20"/>
                <w:szCs w:val="20"/>
              </w:rPr>
              <w:t>million</w:t>
            </w:r>
            <w:r w:rsidRPr="00BB0A2A">
              <w:rPr>
                <w:rFonts w:ascii="Arial" w:hAnsi="Arial" w:cs="Arial"/>
                <w:bCs/>
                <w:sz w:val="20"/>
                <w:szCs w:val="20"/>
                <w:vertAlign w:val="superscript"/>
              </w:rPr>
              <w:t>(</w:t>
            </w:r>
            <w:proofErr w:type="gramEnd"/>
            <w:r w:rsidRPr="00BB0A2A">
              <w:rPr>
                <w:rFonts w:ascii="Arial" w:hAnsi="Arial" w:cs="Arial"/>
                <w:bCs/>
                <w:sz w:val="20"/>
                <w:szCs w:val="20"/>
                <w:vertAlign w:val="superscript"/>
              </w:rPr>
              <w:t>5)</w:t>
            </w:r>
            <w:r w:rsidRPr="00BB0A2A">
              <w:rPr>
                <w:rFonts w:ascii="Arial" w:eastAsia="Calibri" w:hAnsi="Arial" w:cs="Arial"/>
                <w:bCs/>
                <w:sz w:val="20"/>
                <w:szCs w:val="20"/>
              </w:rPr>
              <w:t xml:space="preserve"> /</w:t>
            </w:r>
          </w:p>
          <w:p w14:paraId="70CE5B3F" w14:textId="76361EB2" w:rsidR="008C6323" w:rsidRPr="00BB0A2A" w:rsidRDefault="008C6323" w:rsidP="008C6323">
            <w:pPr>
              <w:jc w:val="right"/>
              <w:rPr>
                <w:rFonts w:ascii="Arial" w:hAnsi="Arial" w:cs="Arial"/>
                <w:bCs/>
                <w:sz w:val="20"/>
                <w:szCs w:val="20"/>
              </w:rPr>
            </w:pPr>
            <w:r w:rsidRPr="00BB0A2A">
              <w:rPr>
                <w:rFonts w:ascii="Arial" w:eastAsia="Calibri" w:hAnsi="Arial" w:cs="Arial"/>
                <w:bCs/>
                <w:sz w:val="20"/>
                <w:szCs w:val="20"/>
              </w:rPr>
              <w:t>£</w:t>
            </w:r>
            <w:r w:rsidRPr="00BB0A2A">
              <w:rPr>
                <w:rFonts w:ascii="Arial" w:hAnsi="Arial" w:cs="Arial"/>
                <w:bCs/>
                <w:sz w:val="20"/>
                <w:szCs w:val="20"/>
              </w:rPr>
              <w:t>74</w:t>
            </w:r>
            <w:r w:rsidRPr="00BB0A2A">
              <w:rPr>
                <w:rFonts w:ascii="Arial" w:eastAsia="Calibri" w:hAnsi="Arial" w:cs="Arial"/>
                <w:bCs/>
                <w:sz w:val="20"/>
                <w:szCs w:val="20"/>
              </w:rPr>
              <w:t xml:space="preserve"> </w:t>
            </w:r>
            <w:proofErr w:type="gramStart"/>
            <w:r w:rsidRPr="00BB0A2A">
              <w:rPr>
                <w:rFonts w:ascii="Arial" w:eastAsia="Calibri" w:hAnsi="Arial" w:cs="Arial"/>
                <w:bCs/>
                <w:sz w:val="20"/>
                <w:szCs w:val="20"/>
              </w:rPr>
              <w:t>million</w:t>
            </w:r>
            <w:r w:rsidRPr="00BB0A2A">
              <w:rPr>
                <w:rFonts w:ascii="Arial" w:hAnsi="Arial" w:cs="Arial"/>
                <w:bCs/>
                <w:sz w:val="20"/>
                <w:szCs w:val="20"/>
                <w:vertAlign w:val="superscript"/>
              </w:rPr>
              <w:t>(</w:t>
            </w:r>
            <w:proofErr w:type="gramEnd"/>
            <w:r w:rsidRPr="00BB0A2A">
              <w:rPr>
                <w:rFonts w:ascii="Arial" w:hAnsi="Arial" w:cs="Arial"/>
                <w:bCs/>
                <w:sz w:val="20"/>
                <w:szCs w:val="20"/>
                <w:vertAlign w:val="superscript"/>
              </w:rPr>
              <w:t>4)</w:t>
            </w:r>
          </w:p>
        </w:tc>
      </w:tr>
      <w:tr w:rsidR="008C6323" w:rsidRPr="00BB0A2A" w14:paraId="16C6C6F3" w14:textId="77777777" w:rsidTr="1792F60E">
        <w:tc>
          <w:tcPr>
            <w:tcW w:w="3969" w:type="dxa"/>
            <w:tcMar>
              <w:top w:w="108" w:type="dxa"/>
              <w:bottom w:w="108" w:type="dxa"/>
            </w:tcMar>
            <w:vAlign w:val="center"/>
          </w:tcPr>
          <w:p w14:paraId="277CE8D5" w14:textId="573827C9" w:rsidR="008C6323" w:rsidRPr="00BB0A2A" w:rsidRDefault="008C6323" w:rsidP="008C6323">
            <w:pPr>
              <w:tabs>
                <w:tab w:val="left" w:pos="493"/>
              </w:tabs>
              <w:rPr>
                <w:rFonts w:ascii="Arial" w:hAnsi="Arial" w:cs="Arial"/>
                <w:sz w:val="20"/>
                <w:szCs w:val="20"/>
              </w:rPr>
            </w:pPr>
            <w:r w:rsidRPr="00BB0A2A">
              <w:rPr>
                <w:rFonts w:ascii="Arial" w:hAnsi="Arial" w:cs="Arial"/>
                <w:sz w:val="20"/>
                <w:szCs w:val="20"/>
              </w:rPr>
              <w:t xml:space="preserve">Marketable securities (unrestricted) at  </w:t>
            </w:r>
          </w:p>
        </w:tc>
        <w:tc>
          <w:tcPr>
            <w:tcW w:w="2011" w:type="dxa"/>
            <w:tcMar>
              <w:top w:w="108" w:type="dxa"/>
              <w:bottom w:w="108" w:type="dxa"/>
            </w:tcMar>
            <w:vAlign w:val="center"/>
          </w:tcPr>
          <w:p w14:paraId="7A7C486E" w14:textId="0092998B" w:rsidR="008C6323" w:rsidRPr="00BB0A2A" w:rsidRDefault="008C6323" w:rsidP="008C6323">
            <w:pPr>
              <w:jc w:val="right"/>
              <w:rPr>
                <w:rFonts w:ascii="Arial" w:eastAsia="Calibri" w:hAnsi="Arial" w:cs="Arial"/>
                <w:b/>
                <w:sz w:val="20"/>
                <w:szCs w:val="20"/>
              </w:rPr>
            </w:pPr>
            <w:r w:rsidRPr="00BB0A2A">
              <w:rPr>
                <w:rFonts w:ascii="Arial" w:hAnsi="Arial" w:cs="Arial"/>
                <w:b/>
                <w:sz w:val="20"/>
                <w:szCs w:val="20"/>
              </w:rPr>
              <w:t>$</w:t>
            </w:r>
            <w:r w:rsidR="00A421B2" w:rsidRPr="00BB0A2A">
              <w:rPr>
                <w:rFonts w:ascii="Arial" w:hAnsi="Arial" w:cs="Arial"/>
                <w:b/>
                <w:sz w:val="20"/>
                <w:szCs w:val="20"/>
              </w:rPr>
              <w:t>211</w:t>
            </w:r>
            <w:r w:rsidRPr="00BB0A2A">
              <w:rPr>
                <w:rFonts w:ascii="Arial" w:eastAsia="Calibri" w:hAnsi="Arial" w:cs="Arial"/>
                <w:b/>
                <w:sz w:val="20"/>
                <w:szCs w:val="20"/>
              </w:rPr>
              <w:t xml:space="preserve"> </w:t>
            </w:r>
            <w:proofErr w:type="gramStart"/>
            <w:r w:rsidRPr="00BB0A2A">
              <w:rPr>
                <w:rFonts w:ascii="Arial" w:eastAsia="Calibri" w:hAnsi="Arial" w:cs="Arial"/>
                <w:b/>
                <w:sz w:val="20"/>
                <w:szCs w:val="20"/>
              </w:rPr>
              <w:t>million</w:t>
            </w:r>
            <w:r w:rsidRPr="00BB0A2A">
              <w:rPr>
                <w:rFonts w:ascii="Arial" w:hAnsi="Arial" w:cs="Arial"/>
                <w:b/>
                <w:sz w:val="20"/>
                <w:szCs w:val="20"/>
                <w:vertAlign w:val="superscript"/>
              </w:rPr>
              <w:t>(</w:t>
            </w:r>
            <w:proofErr w:type="gramEnd"/>
            <w:r w:rsidRPr="00BB0A2A">
              <w:rPr>
                <w:rFonts w:ascii="Arial" w:hAnsi="Arial" w:cs="Arial"/>
                <w:b/>
                <w:sz w:val="20"/>
                <w:szCs w:val="20"/>
                <w:vertAlign w:val="superscript"/>
              </w:rPr>
              <w:t>6)</w:t>
            </w:r>
            <w:r w:rsidRPr="00BB0A2A">
              <w:rPr>
                <w:rFonts w:ascii="Arial" w:eastAsia="Calibri" w:hAnsi="Arial" w:cs="Arial"/>
                <w:b/>
                <w:sz w:val="20"/>
                <w:szCs w:val="20"/>
              </w:rPr>
              <w:t xml:space="preserve"> /</w:t>
            </w:r>
          </w:p>
          <w:p w14:paraId="7DFD0ABE" w14:textId="451A7266" w:rsidR="008C6323" w:rsidRPr="00BB0A2A" w:rsidRDefault="008C6323" w:rsidP="008C6323">
            <w:pPr>
              <w:jc w:val="right"/>
              <w:rPr>
                <w:rFonts w:ascii="Arial" w:hAnsi="Arial" w:cs="Arial"/>
                <w:b/>
                <w:sz w:val="20"/>
                <w:szCs w:val="20"/>
              </w:rPr>
            </w:pPr>
            <w:r w:rsidRPr="00BB0A2A">
              <w:rPr>
                <w:rFonts w:ascii="Arial" w:eastAsia="Calibri" w:hAnsi="Arial" w:cs="Arial"/>
                <w:b/>
                <w:sz w:val="20"/>
                <w:szCs w:val="20"/>
              </w:rPr>
              <w:t>£</w:t>
            </w:r>
            <w:r w:rsidR="00A421B2" w:rsidRPr="00BB0A2A">
              <w:rPr>
                <w:rFonts w:ascii="Arial" w:hAnsi="Arial" w:cs="Arial"/>
                <w:b/>
                <w:sz w:val="20"/>
                <w:szCs w:val="20"/>
              </w:rPr>
              <w:t>154</w:t>
            </w:r>
            <w:r w:rsidRPr="00BB0A2A">
              <w:rPr>
                <w:rFonts w:ascii="Arial" w:hAnsi="Arial" w:cs="Arial"/>
                <w:b/>
                <w:sz w:val="20"/>
                <w:szCs w:val="20"/>
              </w:rPr>
              <w:t xml:space="preserve"> </w:t>
            </w:r>
            <w:proofErr w:type="gramStart"/>
            <w:r w:rsidRPr="00BB0A2A">
              <w:rPr>
                <w:rFonts w:ascii="Arial" w:eastAsia="Calibri" w:hAnsi="Arial" w:cs="Arial"/>
                <w:b/>
                <w:sz w:val="20"/>
                <w:szCs w:val="20"/>
              </w:rPr>
              <w:t>million</w:t>
            </w:r>
            <w:r w:rsidRPr="00BB0A2A">
              <w:rPr>
                <w:rFonts w:ascii="Arial" w:hAnsi="Arial" w:cs="Arial"/>
                <w:b/>
                <w:sz w:val="20"/>
                <w:szCs w:val="20"/>
                <w:vertAlign w:val="superscript"/>
              </w:rPr>
              <w:t>(</w:t>
            </w:r>
            <w:proofErr w:type="gramEnd"/>
            <w:r w:rsidRPr="00BB0A2A">
              <w:rPr>
                <w:rFonts w:ascii="Arial" w:hAnsi="Arial" w:cs="Arial"/>
                <w:b/>
                <w:sz w:val="20"/>
                <w:szCs w:val="20"/>
                <w:vertAlign w:val="superscript"/>
              </w:rPr>
              <w:t>4)</w:t>
            </w:r>
            <w:r w:rsidRPr="00BB0A2A">
              <w:rPr>
                <w:rFonts w:ascii="Arial" w:eastAsia="Calibri" w:hAnsi="Arial" w:cs="Arial"/>
                <w:b/>
                <w:sz w:val="20"/>
                <w:szCs w:val="20"/>
              </w:rPr>
              <w:t xml:space="preserve">  </w:t>
            </w:r>
          </w:p>
        </w:tc>
        <w:tc>
          <w:tcPr>
            <w:tcW w:w="1782" w:type="dxa"/>
            <w:tcMar>
              <w:top w:w="108" w:type="dxa"/>
              <w:bottom w:w="108" w:type="dxa"/>
            </w:tcMar>
            <w:vAlign w:val="center"/>
          </w:tcPr>
          <w:p w14:paraId="47719182" w14:textId="22A3867D"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 xml:space="preserve">$201 </w:t>
            </w:r>
            <w:proofErr w:type="gramStart"/>
            <w:r w:rsidRPr="00BB0A2A">
              <w:rPr>
                <w:rFonts w:ascii="Arial" w:eastAsia="Calibri" w:hAnsi="Arial" w:cs="Arial"/>
                <w:sz w:val="20"/>
                <w:szCs w:val="20"/>
              </w:rPr>
              <w:t>million</w:t>
            </w:r>
            <w:r w:rsidRPr="00BB0A2A">
              <w:rPr>
                <w:rFonts w:ascii="Arial" w:hAnsi="Arial" w:cs="Arial"/>
                <w:sz w:val="20"/>
                <w:szCs w:val="20"/>
                <w:vertAlign w:val="superscript"/>
              </w:rPr>
              <w:t>(</w:t>
            </w:r>
            <w:proofErr w:type="gramEnd"/>
            <w:r w:rsidRPr="00BB0A2A">
              <w:rPr>
                <w:rFonts w:ascii="Arial" w:hAnsi="Arial" w:cs="Arial"/>
                <w:sz w:val="20"/>
                <w:szCs w:val="20"/>
                <w:vertAlign w:val="superscript"/>
              </w:rPr>
              <w:t>6)</w:t>
            </w:r>
            <w:r w:rsidRPr="00BB0A2A">
              <w:rPr>
                <w:rFonts w:ascii="Arial" w:eastAsia="Calibri" w:hAnsi="Arial" w:cs="Arial"/>
                <w:sz w:val="20"/>
                <w:szCs w:val="20"/>
              </w:rPr>
              <w:t xml:space="preserve"> /</w:t>
            </w:r>
          </w:p>
          <w:p w14:paraId="6F921348" w14:textId="766B39E1" w:rsidR="008C6323" w:rsidRPr="00BB0A2A" w:rsidRDefault="008C6323" w:rsidP="008C6323">
            <w:pPr>
              <w:jc w:val="right"/>
              <w:rPr>
                <w:rFonts w:ascii="Arial" w:eastAsia="Calibri" w:hAnsi="Arial" w:cs="Arial"/>
                <w:sz w:val="20"/>
                <w:szCs w:val="20"/>
              </w:rPr>
            </w:pPr>
            <w:r w:rsidRPr="00BB0A2A">
              <w:rPr>
                <w:rFonts w:ascii="Arial" w:eastAsia="Calibri" w:hAnsi="Arial" w:cs="Arial"/>
                <w:sz w:val="20"/>
                <w:szCs w:val="20"/>
              </w:rPr>
              <w:t xml:space="preserve">£160 </w:t>
            </w:r>
            <w:proofErr w:type="gramStart"/>
            <w:r w:rsidRPr="00BB0A2A">
              <w:rPr>
                <w:rFonts w:ascii="Arial" w:eastAsia="Calibri" w:hAnsi="Arial" w:cs="Arial"/>
                <w:sz w:val="20"/>
                <w:szCs w:val="20"/>
              </w:rPr>
              <w:t>million</w:t>
            </w:r>
            <w:r w:rsidRPr="00BB0A2A">
              <w:rPr>
                <w:rFonts w:ascii="Arial" w:hAnsi="Arial" w:cs="Arial"/>
                <w:sz w:val="20"/>
                <w:szCs w:val="20"/>
                <w:vertAlign w:val="superscript"/>
              </w:rPr>
              <w:t>(</w:t>
            </w:r>
            <w:proofErr w:type="gramEnd"/>
            <w:r w:rsidRPr="00BB0A2A">
              <w:rPr>
                <w:rFonts w:ascii="Arial" w:hAnsi="Arial" w:cs="Arial"/>
                <w:sz w:val="20"/>
                <w:szCs w:val="20"/>
                <w:vertAlign w:val="superscript"/>
              </w:rPr>
              <w:t>4)</w:t>
            </w:r>
            <w:r w:rsidRPr="00BB0A2A">
              <w:rPr>
                <w:rFonts w:ascii="Arial" w:eastAsia="Calibri" w:hAnsi="Arial" w:cs="Arial"/>
                <w:sz w:val="20"/>
                <w:szCs w:val="20"/>
              </w:rPr>
              <w:t xml:space="preserve">  </w:t>
            </w:r>
          </w:p>
        </w:tc>
        <w:tc>
          <w:tcPr>
            <w:tcW w:w="1877" w:type="dxa"/>
            <w:vAlign w:val="center"/>
          </w:tcPr>
          <w:p w14:paraId="24BFD5CF" w14:textId="77777777" w:rsidR="008C6323" w:rsidRPr="00BB0A2A" w:rsidRDefault="008C6323" w:rsidP="008C6323">
            <w:pPr>
              <w:jc w:val="right"/>
              <w:rPr>
                <w:rFonts w:ascii="Arial" w:eastAsia="Calibri" w:hAnsi="Arial" w:cs="Arial"/>
                <w:bCs/>
                <w:sz w:val="20"/>
                <w:szCs w:val="20"/>
              </w:rPr>
            </w:pPr>
            <w:r w:rsidRPr="00BB0A2A">
              <w:rPr>
                <w:rFonts w:ascii="Arial" w:hAnsi="Arial" w:cs="Arial"/>
                <w:bCs/>
                <w:sz w:val="20"/>
                <w:szCs w:val="20"/>
              </w:rPr>
              <w:t>$240.5</w:t>
            </w:r>
            <w:r w:rsidRPr="00BB0A2A">
              <w:rPr>
                <w:rFonts w:ascii="Arial" w:eastAsia="Calibri" w:hAnsi="Arial" w:cs="Arial"/>
                <w:bCs/>
                <w:sz w:val="20"/>
                <w:szCs w:val="20"/>
              </w:rPr>
              <w:t xml:space="preserve"> </w:t>
            </w:r>
            <w:proofErr w:type="gramStart"/>
            <w:r w:rsidRPr="00BB0A2A">
              <w:rPr>
                <w:rFonts w:ascii="Arial" w:eastAsia="Calibri" w:hAnsi="Arial" w:cs="Arial"/>
                <w:bCs/>
                <w:sz w:val="20"/>
                <w:szCs w:val="20"/>
              </w:rPr>
              <w:t>million</w:t>
            </w:r>
            <w:r w:rsidRPr="00BB0A2A">
              <w:rPr>
                <w:rFonts w:ascii="Arial" w:hAnsi="Arial" w:cs="Arial"/>
                <w:bCs/>
                <w:sz w:val="20"/>
                <w:szCs w:val="20"/>
                <w:vertAlign w:val="superscript"/>
              </w:rPr>
              <w:t>(</w:t>
            </w:r>
            <w:proofErr w:type="gramEnd"/>
            <w:r w:rsidRPr="00BB0A2A">
              <w:rPr>
                <w:rFonts w:ascii="Arial" w:hAnsi="Arial" w:cs="Arial"/>
                <w:bCs/>
                <w:sz w:val="20"/>
                <w:szCs w:val="20"/>
                <w:vertAlign w:val="superscript"/>
              </w:rPr>
              <w:t>6)</w:t>
            </w:r>
            <w:r w:rsidRPr="00BB0A2A">
              <w:rPr>
                <w:rFonts w:ascii="Arial" w:eastAsia="Calibri" w:hAnsi="Arial" w:cs="Arial"/>
                <w:bCs/>
                <w:sz w:val="20"/>
                <w:szCs w:val="20"/>
              </w:rPr>
              <w:t xml:space="preserve"> /</w:t>
            </w:r>
          </w:p>
          <w:p w14:paraId="51FA9F86" w14:textId="6ABCB41B" w:rsidR="008C6323" w:rsidRPr="00BB0A2A" w:rsidRDefault="008C6323" w:rsidP="008C6323">
            <w:pPr>
              <w:jc w:val="right"/>
              <w:rPr>
                <w:rFonts w:ascii="Arial" w:hAnsi="Arial" w:cs="Arial"/>
                <w:bCs/>
                <w:sz w:val="20"/>
                <w:szCs w:val="20"/>
              </w:rPr>
            </w:pPr>
            <w:r w:rsidRPr="00BB0A2A">
              <w:rPr>
                <w:rFonts w:ascii="Arial" w:eastAsia="Calibri" w:hAnsi="Arial" w:cs="Arial"/>
                <w:bCs/>
                <w:sz w:val="20"/>
                <w:szCs w:val="20"/>
              </w:rPr>
              <w:t>£</w:t>
            </w:r>
            <w:r w:rsidRPr="00BB0A2A">
              <w:rPr>
                <w:rFonts w:ascii="Arial" w:hAnsi="Arial" w:cs="Arial"/>
                <w:bCs/>
                <w:sz w:val="20"/>
                <w:szCs w:val="20"/>
              </w:rPr>
              <w:t xml:space="preserve">190.1 </w:t>
            </w:r>
            <w:proofErr w:type="gramStart"/>
            <w:r w:rsidRPr="00BB0A2A">
              <w:rPr>
                <w:rFonts w:ascii="Arial" w:eastAsia="Calibri" w:hAnsi="Arial" w:cs="Arial"/>
                <w:bCs/>
                <w:sz w:val="20"/>
                <w:szCs w:val="20"/>
              </w:rPr>
              <w:t>million</w:t>
            </w:r>
            <w:r w:rsidRPr="00BB0A2A">
              <w:rPr>
                <w:rFonts w:ascii="Arial" w:hAnsi="Arial" w:cs="Arial"/>
                <w:bCs/>
                <w:sz w:val="20"/>
                <w:szCs w:val="20"/>
                <w:vertAlign w:val="superscript"/>
              </w:rPr>
              <w:t>(</w:t>
            </w:r>
            <w:proofErr w:type="gramEnd"/>
            <w:r w:rsidRPr="00BB0A2A">
              <w:rPr>
                <w:rFonts w:ascii="Arial" w:hAnsi="Arial" w:cs="Arial"/>
                <w:bCs/>
                <w:sz w:val="20"/>
                <w:szCs w:val="20"/>
                <w:vertAlign w:val="superscript"/>
              </w:rPr>
              <w:t>4)</w:t>
            </w:r>
            <w:r w:rsidRPr="00BB0A2A">
              <w:rPr>
                <w:rFonts w:ascii="Arial" w:eastAsia="Calibri" w:hAnsi="Arial" w:cs="Arial"/>
                <w:bCs/>
                <w:sz w:val="20"/>
                <w:szCs w:val="20"/>
              </w:rPr>
              <w:t xml:space="preserve">  </w:t>
            </w:r>
          </w:p>
        </w:tc>
      </w:tr>
      <w:tr w:rsidR="008C6323" w:rsidRPr="00BB0A2A" w14:paraId="7C37C1EE" w14:textId="77777777" w:rsidTr="1792F60E">
        <w:tc>
          <w:tcPr>
            <w:tcW w:w="3969" w:type="dxa"/>
            <w:tcMar>
              <w:top w:w="108" w:type="dxa"/>
              <w:bottom w:w="108" w:type="dxa"/>
            </w:tcMar>
          </w:tcPr>
          <w:p w14:paraId="1BB83EB1" w14:textId="645650D7" w:rsidR="008C6323" w:rsidRPr="00BB0A2A" w:rsidRDefault="008C6323" w:rsidP="008C6323">
            <w:pPr>
              <w:tabs>
                <w:tab w:val="left" w:pos="493"/>
              </w:tabs>
              <w:rPr>
                <w:rFonts w:ascii="Arial" w:hAnsi="Arial" w:cs="Arial"/>
                <w:sz w:val="20"/>
                <w:szCs w:val="20"/>
              </w:rPr>
            </w:pPr>
          </w:p>
        </w:tc>
        <w:tc>
          <w:tcPr>
            <w:tcW w:w="2011" w:type="dxa"/>
            <w:tcMar>
              <w:top w:w="108" w:type="dxa"/>
              <w:bottom w:w="108" w:type="dxa"/>
            </w:tcMar>
          </w:tcPr>
          <w:p w14:paraId="0649D150" w14:textId="1618E646" w:rsidR="008C6323" w:rsidRPr="00BB0A2A" w:rsidRDefault="008C6323" w:rsidP="008C6323">
            <w:pPr>
              <w:jc w:val="right"/>
              <w:rPr>
                <w:rFonts w:ascii="Arial" w:hAnsi="Arial" w:cs="Arial"/>
                <w:b/>
                <w:sz w:val="20"/>
                <w:szCs w:val="20"/>
              </w:rPr>
            </w:pPr>
          </w:p>
        </w:tc>
        <w:tc>
          <w:tcPr>
            <w:tcW w:w="1782" w:type="dxa"/>
            <w:tcMar>
              <w:top w:w="108" w:type="dxa"/>
              <w:bottom w:w="108" w:type="dxa"/>
            </w:tcMar>
            <w:vAlign w:val="center"/>
          </w:tcPr>
          <w:p w14:paraId="58EFA8B4" w14:textId="1F7D6067" w:rsidR="008C6323" w:rsidRPr="00BB0A2A" w:rsidRDefault="008C6323" w:rsidP="008C6323">
            <w:pPr>
              <w:jc w:val="right"/>
              <w:rPr>
                <w:rFonts w:ascii="Arial" w:eastAsia="Calibri" w:hAnsi="Arial" w:cs="Arial"/>
                <w:sz w:val="20"/>
                <w:szCs w:val="20"/>
              </w:rPr>
            </w:pPr>
          </w:p>
        </w:tc>
        <w:tc>
          <w:tcPr>
            <w:tcW w:w="1877" w:type="dxa"/>
          </w:tcPr>
          <w:p w14:paraId="7D27D588" w14:textId="7CEA896F" w:rsidR="008C6323" w:rsidRPr="00BB0A2A" w:rsidRDefault="008C6323" w:rsidP="008C6323">
            <w:pPr>
              <w:jc w:val="right"/>
              <w:rPr>
                <w:rFonts w:ascii="Arial" w:hAnsi="Arial" w:cs="Arial"/>
                <w:bCs/>
                <w:sz w:val="20"/>
                <w:szCs w:val="20"/>
              </w:rPr>
            </w:pPr>
          </w:p>
        </w:tc>
      </w:tr>
    </w:tbl>
    <w:tbl>
      <w:tblPr>
        <w:tblStyle w:val="TableRangedleft"/>
        <w:tblW w:w="7822" w:type="dxa"/>
        <w:tblLayout w:type="fixed"/>
        <w:tblLook w:val="04A0" w:firstRow="1" w:lastRow="0" w:firstColumn="1" w:lastColumn="0" w:noHBand="0" w:noVBand="1"/>
      </w:tblPr>
      <w:tblGrid>
        <w:gridCol w:w="3969"/>
        <w:gridCol w:w="1985"/>
        <w:gridCol w:w="1868"/>
      </w:tblGrid>
      <w:tr w:rsidR="007B0BCD" w:rsidRPr="00BB0A2A" w14:paraId="7D472D2F" w14:textId="77777777" w:rsidTr="00BB03B1">
        <w:trPr>
          <w:trHeight w:val="225"/>
        </w:trPr>
        <w:tc>
          <w:tcPr>
            <w:tcW w:w="3969" w:type="dxa"/>
            <w:tcBorders>
              <w:bottom w:val="single" w:sz="4" w:space="0" w:color="auto"/>
            </w:tcBorders>
            <w:tcMar>
              <w:top w:w="108" w:type="dxa"/>
              <w:bottom w:w="108" w:type="dxa"/>
            </w:tcMar>
          </w:tcPr>
          <w:p w14:paraId="18B46753" w14:textId="77777777" w:rsidR="004C6120" w:rsidRPr="00BB0A2A" w:rsidRDefault="004C6120" w:rsidP="004C6120">
            <w:pPr>
              <w:rPr>
                <w:rFonts w:ascii="Arial" w:hAnsi="Arial" w:cs="Arial"/>
                <w:sz w:val="20"/>
                <w:szCs w:val="20"/>
              </w:rPr>
            </w:pPr>
          </w:p>
        </w:tc>
        <w:tc>
          <w:tcPr>
            <w:tcW w:w="1985" w:type="dxa"/>
            <w:tcBorders>
              <w:bottom w:val="single" w:sz="4" w:space="0" w:color="auto"/>
            </w:tcBorders>
            <w:tcMar>
              <w:top w:w="108" w:type="dxa"/>
              <w:bottom w:w="108" w:type="dxa"/>
            </w:tcMar>
          </w:tcPr>
          <w:p w14:paraId="5BECA6AE" w14:textId="55A80F1D" w:rsidR="004C6120" w:rsidRPr="00BB0A2A" w:rsidRDefault="004C6120" w:rsidP="004C6120">
            <w:pPr>
              <w:jc w:val="right"/>
              <w:rPr>
                <w:rFonts w:ascii="Arial" w:hAnsi="Arial" w:cs="Arial"/>
                <w:b/>
                <w:sz w:val="20"/>
                <w:szCs w:val="20"/>
              </w:rPr>
            </w:pPr>
            <w:r w:rsidRPr="00BB0A2A">
              <w:rPr>
                <w:rFonts w:ascii="Arial" w:hAnsi="Arial" w:cs="Arial"/>
                <w:b/>
                <w:sz w:val="20"/>
                <w:szCs w:val="20"/>
              </w:rPr>
              <w:t>30 June 202</w:t>
            </w:r>
            <w:r w:rsidR="008C6323" w:rsidRPr="00BB0A2A">
              <w:rPr>
                <w:rFonts w:ascii="Arial" w:hAnsi="Arial" w:cs="Arial"/>
                <w:b/>
                <w:sz w:val="20"/>
                <w:szCs w:val="20"/>
              </w:rPr>
              <w:t>5</w:t>
            </w:r>
          </w:p>
        </w:tc>
        <w:tc>
          <w:tcPr>
            <w:tcW w:w="1868" w:type="dxa"/>
            <w:tcBorders>
              <w:bottom w:val="single" w:sz="4" w:space="0" w:color="auto"/>
            </w:tcBorders>
          </w:tcPr>
          <w:p w14:paraId="0AFD0653" w14:textId="2B58B962" w:rsidR="004C6120" w:rsidRPr="00BB0A2A" w:rsidRDefault="00E8654A" w:rsidP="004C6120">
            <w:pPr>
              <w:jc w:val="right"/>
              <w:rPr>
                <w:rFonts w:ascii="Arial" w:hAnsi="Arial" w:cs="Arial"/>
                <w:bCs/>
                <w:sz w:val="20"/>
                <w:szCs w:val="20"/>
              </w:rPr>
            </w:pPr>
            <w:r w:rsidRPr="00BB0A2A">
              <w:rPr>
                <w:rFonts w:ascii="Arial" w:hAnsi="Arial" w:cs="Arial"/>
                <w:bCs/>
                <w:sz w:val="20"/>
                <w:szCs w:val="20"/>
              </w:rPr>
              <w:t>30 June 202</w:t>
            </w:r>
            <w:r w:rsidR="008C6323" w:rsidRPr="00BB0A2A">
              <w:rPr>
                <w:rFonts w:ascii="Arial" w:hAnsi="Arial" w:cs="Arial"/>
                <w:bCs/>
                <w:sz w:val="20"/>
                <w:szCs w:val="20"/>
              </w:rPr>
              <w:t>4</w:t>
            </w:r>
          </w:p>
        </w:tc>
      </w:tr>
      <w:tr w:rsidR="008C6323" w:rsidRPr="00BB0A2A" w14:paraId="02C02172" w14:textId="77777777" w:rsidTr="00BB03B1">
        <w:trPr>
          <w:trHeight w:val="436"/>
        </w:trPr>
        <w:tc>
          <w:tcPr>
            <w:tcW w:w="3969" w:type="dxa"/>
            <w:tcBorders>
              <w:top w:val="single" w:sz="4" w:space="0" w:color="auto"/>
            </w:tcBorders>
            <w:tcMar>
              <w:top w:w="108" w:type="dxa"/>
              <w:bottom w:w="108" w:type="dxa"/>
            </w:tcMar>
          </w:tcPr>
          <w:p w14:paraId="2E9D5DD6" w14:textId="4CDE28B9" w:rsidR="008C6323" w:rsidRPr="00BB0A2A" w:rsidRDefault="008C6323" w:rsidP="008C6323">
            <w:pPr>
              <w:rPr>
                <w:rFonts w:ascii="Arial" w:hAnsi="Arial" w:cs="Arial"/>
                <w:sz w:val="20"/>
                <w:szCs w:val="20"/>
              </w:rPr>
            </w:pPr>
            <w:r w:rsidRPr="00BB0A2A">
              <w:rPr>
                <w:rFonts w:ascii="Arial" w:hAnsi="Arial" w:cs="Arial"/>
                <w:sz w:val="20"/>
                <w:szCs w:val="20"/>
              </w:rPr>
              <w:t xml:space="preserve">Total comprehensive </w:t>
            </w:r>
            <w:r w:rsidR="00A55582" w:rsidRPr="00BB0A2A">
              <w:rPr>
                <w:rFonts w:ascii="Arial" w:hAnsi="Arial" w:cs="Arial"/>
                <w:sz w:val="20"/>
                <w:szCs w:val="20"/>
              </w:rPr>
              <w:t>gain/</w:t>
            </w:r>
            <w:r w:rsidRPr="00BB0A2A">
              <w:rPr>
                <w:rFonts w:ascii="Arial" w:hAnsi="Arial" w:cs="Arial"/>
                <w:sz w:val="20"/>
                <w:szCs w:val="20"/>
              </w:rPr>
              <w:t xml:space="preserve">(loss) for the </w:t>
            </w:r>
            <w:proofErr w:type="gramStart"/>
            <w:r w:rsidRPr="00BB0A2A">
              <w:rPr>
                <w:rFonts w:ascii="Arial" w:hAnsi="Arial" w:cs="Arial"/>
                <w:sz w:val="20"/>
                <w:szCs w:val="20"/>
              </w:rPr>
              <w:t>six month</w:t>
            </w:r>
            <w:proofErr w:type="gramEnd"/>
            <w:r w:rsidR="008E1ABB" w:rsidRPr="00BB0A2A">
              <w:rPr>
                <w:rFonts w:ascii="Arial" w:hAnsi="Arial" w:cs="Arial"/>
                <w:sz w:val="20"/>
                <w:szCs w:val="20"/>
              </w:rPr>
              <w:t xml:space="preserve"> period </w:t>
            </w:r>
            <w:r w:rsidRPr="00BB0A2A">
              <w:rPr>
                <w:rFonts w:ascii="Arial" w:hAnsi="Arial" w:cs="Arial"/>
                <w:sz w:val="20"/>
                <w:szCs w:val="20"/>
              </w:rPr>
              <w:t>ended</w:t>
            </w:r>
          </w:p>
        </w:tc>
        <w:tc>
          <w:tcPr>
            <w:tcW w:w="1985" w:type="dxa"/>
            <w:tcBorders>
              <w:top w:val="single" w:sz="4" w:space="0" w:color="auto"/>
            </w:tcBorders>
            <w:tcMar>
              <w:top w:w="108" w:type="dxa"/>
              <w:bottom w:w="108" w:type="dxa"/>
            </w:tcMar>
          </w:tcPr>
          <w:p w14:paraId="662594A9" w14:textId="24774560" w:rsidR="008C6323" w:rsidRPr="00BB0A2A" w:rsidRDefault="008C6323" w:rsidP="008C6323">
            <w:pPr>
              <w:jc w:val="right"/>
              <w:rPr>
                <w:rFonts w:ascii="Arial" w:hAnsi="Arial" w:cs="Arial"/>
                <w:b/>
                <w:sz w:val="20"/>
                <w:szCs w:val="20"/>
              </w:rPr>
            </w:pPr>
            <w:r w:rsidRPr="009B1684">
              <w:rPr>
                <w:rFonts w:ascii="Arial" w:hAnsi="Arial" w:cs="Arial"/>
                <w:b/>
                <w:sz w:val="20"/>
                <w:szCs w:val="20"/>
              </w:rPr>
              <w:t>$</w:t>
            </w:r>
            <w:r w:rsidR="002F796D">
              <w:rPr>
                <w:rFonts w:ascii="Arial" w:hAnsi="Arial" w:cs="Arial"/>
                <w:b/>
                <w:sz w:val="20"/>
                <w:szCs w:val="20"/>
              </w:rPr>
              <w:t>3</w:t>
            </w:r>
            <w:r w:rsidR="00A55582" w:rsidRPr="009B1684">
              <w:rPr>
                <w:rFonts w:ascii="Arial" w:hAnsi="Arial" w:cs="Arial"/>
                <w:b/>
                <w:sz w:val="20"/>
                <w:szCs w:val="20"/>
              </w:rPr>
              <w:t>.</w:t>
            </w:r>
            <w:r w:rsidR="002F796D">
              <w:rPr>
                <w:rFonts w:ascii="Arial" w:hAnsi="Arial" w:cs="Arial"/>
                <w:b/>
                <w:sz w:val="20"/>
                <w:szCs w:val="20"/>
              </w:rPr>
              <w:t>0</w:t>
            </w:r>
            <w:r w:rsidRPr="009B1684" w:rsidDel="00E8654A">
              <w:rPr>
                <w:rFonts w:ascii="Arial" w:hAnsi="Arial" w:cs="Arial"/>
                <w:b/>
                <w:sz w:val="20"/>
                <w:szCs w:val="20"/>
              </w:rPr>
              <w:t xml:space="preserve"> </w:t>
            </w:r>
            <w:r w:rsidRPr="009B1684">
              <w:rPr>
                <w:rFonts w:ascii="Arial" w:hAnsi="Arial" w:cs="Arial"/>
                <w:b/>
                <w:sz w:val="20"/>
                <w:szCs w:val="20"/>
              </w:rPr>
              <w:t>million</w:t>
            </w:r>
          </w:p>
        </w:tc>
        <w:tc>
          <w:tcPr>
            <w:tcW w:w="1868" w:type="dxa"/>
            <w:tcBorders>
              <w:top w:val="single" w:sz="4" w:space="0" w:color="auto"/>
            </w:tcBorders>
          </w:tcPr>
          <w:p w14:paraId="19116253" w14:textId="1C9A989F" w:rsidR="008C6323" w:rsidRPr="00BB0A2A" w:rsidRDefault="008C6323" w:rsidP="008C6323">
            <w:pPr>
              <w:jc w:val="right"/>
              <w:rPr>
                <w:rFonts w:ascii="Arial" w:hAnsi="Arial" w:cs="Arial"/>
                <w:bCs/>
                <w:sz w:val="20"/>
                <w:szCs w:val="20"/>
              </w:rPr>
            </w:pPr>
            <w:r w:rsidRPr="00BB0A2A">
              <w:rPr>
                <w:rFonts w:ascii="Arial" w:hAnsi="Arial" w:cs="Arial"/>
                <w:bCs/>
                <w:sz w:val="20"/>
                <w:szCs w:val="20"/>
              </w:rPr>
              <w:t>$(15.89)</w:t>
            </w:r>
            <w:r w:rsidRPr="00BB0A2A" w:rsidDel="00E8654A">
              <w:rPr>
                <w:rFonts w:ascii="Arial" w:hAnsi="Arial" w:cs="Arial"/>
                <w:bCs/>
                <w:sz w:val="20"/>
                <w:szCs w:val="20"/>
              </w:rPr>
              <w:t xml:space="preserve"> </w:t>
            </w:r>
            <w:r w:rsidRPr="00BB0A2A">
              <w:rPr>
                <w:rFonts w:ascii="Arial" w:hAnsi="Arial" w:cs="Arial"/>
                <w:bCs/>
                <w:sz w:val="20"/>
                <w:szCs w:val="20"/>
              </w:rPr>
              <w:t>million</w:t>
            </w:r>
          </w:p>
        </w:tc>
      </w:tr>
      <w:tr w:rsidR="008C6323" w:rsidRPr="008A7A35" w14:paraId="088E7160" w14:textId="77777777" w:rsidTr="00BB03B1">
        <w:trPr>
          <w:trHeight w:val="450"/>
        </w:trPr>
        <w:tc>
          <w:tcPr>
            <w:tcW w:w="3969" w:type="dxa"/>
            <w:tcMar>
              <w:top w:w="108" w:type="dxa"/>
              <w:bottom w:w="108" w:type="dxa"/>
            </w:tcMar>
          </w:tcPr>
          <w:p w14:paraId="1FCFB422" w14:textId="01AE9F09" w:rsidR="008C6323" w:rsidRPr="00BB0A2A" w:rsidRDefault="008C6323" w:rsidP="008C6323">
            <w:pPr>
              <w:rPr>
                <w:rFonts w:ascii="Arial" w:hAnsi="Arial" w:cs="Arial"/>
                <w:sz w:val="20"/>
                <w:szCs w:val="20"/>
              </w:rPr>
            </w:pPr>
            <w:r w:rsidRPr="00BB0A2A">
              <w:rPr>
                <w:rFonts w:ascii="Arial" w:hAnsi="Arial" w:cs="Arial"/>
                <w:sz w:val="20"/>
                <w:szCs w:val="20"/>
              </w:rPr>
              <w:lastRenderedPageBreak/>
              <w:t xml:space="preserve">Basic and diluted </w:t>
            </w:r>
            <w:r w:rsidR="00093B58">
              <w:rPr>
                <w:rFonts w:ascii="Arial" w:hAnsi="Arial" w:cs="Arial"/>
                <w:sz w:val="20"/>
                <w:szCs w:val="20"/>
              </w:rPr>
              <w:t>earnings</w:t>
            </w:r>
            <w:r w:rsidR="00A55582" w:rsidRPr="00BB0A2A">
              <w:rPr>
                <w:rFonts w:ascii="Arial" w:hAnsi="Arial" w:cs="Arial"/>
                <w:sz w:val="20"/>
                <w:szCs w:val="20"/>
              </w:rPr>
              <w:t>/</w:t>
            </w:r>
            <w:r w:rsidRPr="00BB0A2A">
              <w:rPr>
                <w:rFonts w:ascii="Arial" w:hAnsi="Arial" w:cs="Arial"/>
                <w:sz w:val="20"/>
                <w:szCs w:val="20"/>
              </w:rPr>
              <w:t xml:space="preserve">(loss) per share for the </w:t>
            </w:r>
            <w:proofErr w:type="gramStart"/>
            <w:r w:rsidRPr="00BB0A2A">
              <w:rPr>
                <w:rFonts w:ascii="Arial" w:hAnsi="Arial" w:cs="Arial"/>
                <w:sz w:val="20"/>
                <w:szCs w:val="20"/>
              </w:rPr>
              <w:t>six month</w:t>
            </w:r>
            <w:proofErr w:type="gramEnd"/>
            <w:r w:rsidR="008E1ABB" w:rsidRPr="00BB0A2A">
              <w:rPr>
                <w:rFonts w:ascii="Arial" w:hAnsi="Arial" w:cs="Arial"/>
                <w:sz w:val="20"/>
                <w:szCs w:val="20"/>
              </w:rPr>
              <w:t xml:space="preserve"> period </w:t>
            </w:r>
            <w:r w:rsidRPr="00BB0A2A">
              <w:rPr>
                <w:rFonts w:ascii="Arial" w:hAnsi="Arial" w:cs="Arial"/>
                <w:sz w:val="20"/>
                <w:szCs w:val="20"/>
              </w:rPr>
              <w:t>ended</w:t>
            </w:r>
          </w:p>
        </w:tc>
        <w:tc>
          <w:tcPr>
            <w:tcW w:w="1985" w:type="dxa"/>
            <w:tcMar>
              <w:top w:w="108" w:type="dxa"/>
              <w:bottom w:w="108" w:type="dxa"/>
            </w:tcMar>
          </w:tcPr>
          <w:p w14:paraId="7E3E4C26" w14:textId="0322A5B3" w:rsidR="008C6323" w:rsidRPr="00BB0A2A" w:rsidRDefault="002F796D" w:rsidP="008C6323">
            <w:pPr>
              <w:jc w:val="right"/>
              <w:rPr>
                <w:rFonts w:ascii="Arial" w:hAnsi="Arial" w:cs="Arial"/>
                <w:b/>
                <w:sz w:val="20"/>
                <w:szCs w:val="20"/>
              </w:rPr>
            </w:pPr>
            <w:r>
              <w:rPr>
                <w:rFonts w:ascii="Arial" w:hAnsi="Arial" w:cs="Arial"/>
                <w:b/>
                <w:sz w:val="20"/>
                <w:szCs w:val="20"/>
              </w:rPr>
              <w:t>12.16</w:t>
            </w:r>
            <w:r w:rsidR="008C6323" w:rsidRPr="009B1684" w:rsidDel="00E8654A">
              <w:rPr>
                <w:rFonts w:ascii="Arial" w:hAnsi="Arial" w:cs="Arial"/>
                <w:b/>
                <w:sz w:val="20"/>
                <w:szCs w:val="20"/>
              </w:rPr>
              <w:t xml:space="preserve"> </w:t>
            </w:r>
            <w:r w:rsidR="008C6323" w:rsidRPr="009B1684">
              <w:rPr>
                <w:rFonts w:ascii="Arial" w:hAnsi="Arial" w:cs="Arial"/>
                <w:b/>
                <w:sz w:val="20"/>
                <w:szCs w:val="20"/>
              </w:rPr>
              <w:t>cents</w:t>
            </w:r>
          </w:p>
        </w:tc>
        <w:tc>
          <w:tcPr>
            <w:tcW w:w="1868" w:type="dxa"/>
          </w:tcPr>
          <w:p w14:paraId="50A978F6" w14:textId="3837DA4F" w:rsidR="008C6323" w:rsidRPr="008A7A35" w:rsidRDefault="008D211A" w:rsidP="008C6323">
            <w:pPr>
              <w:jc w:val="right"/>
              <w:rPr>
                <w:rFonts w:ascii="Arial" w:hAnsi="Arial" w:cs="Arial"/>
                <w:bCs/>
                <w:sz w:val="20"/>
                <w:szCs w:val="20"/>
              </w:rPr>
            </w:pPr>
            <w:r w:rsidRPr="00BB0A2A">
              <w:rPr>
                <w:rFonts w:ascii="Arial" w:hAnsi="Arial" w:cs="Arial"/>
                <w:b/>
                <w:bCs/>
                <w:sz w:val="20"/>
                <w:szCs w:val="20"/>
              </w:rPr>
              <w:t>(46.22)</w:t>
            </w:r>
            <w:r w:rsidR="008C6323" w:rsidRPr="00BB0A2A" w:rsidDel="00E8654A">
              <w:rPr>
                <w:rFonts w:ascii="Arial" w:hAnsi="Arial" w:cs="Arial"/>
                <w:bCs/>
                <w:sz w:val="20"/>
                <w:szCs w:val="20"/>
              </w:rPr>
              <w:t xml:space="preserve"> </w:t>
            </w:r>
            <w:r w:rsidR="008C6323" w:rsidRPr="00BB0A2A">
              <w:rPr>
                <w:rFonts w:ascii="Arial" w:hAnsi="Arial" w:cs="Arial"/>
                <w:bCs/>
                <w:sz w:val="20"/>
                <w:szCs w:val="20"/>
              </w:rPr>
              <w:t>cents</w:t>
            </w:r>
          </w:p>
        </w:tc>
      </w:tr>
      <w:tr w:rsidR="008C6323" w:rsidRPr="008A7A35" w14:paraId="52AD8B1E" w14:textId="77777777" w:rsidTr="00BB03B1">
        <w:trPr>
          <w:trHeight w:val="450"/>
        </w:trPr>
        <w:tc>
          <w:tcPr>
            <w:tcW w:w="3969" w:type="dxa"/>
            <w:tcMar>
              <w:top w:w="108" w:type="dxa"/>
              <w:bottom w:w="108" w:type="dxa"/>
            </w:tcMar>
          </w:tcPr>
          <w:p w14:paraId="5C84D191" w14:textId="3E077AEF" w:rsidR="008C6323" w:rsidRPr="008A7A35" w:rsidRDefault="008C6323" w:rsidP="008C6323">
            <w:pPr>
              <w:rPr>
                <w:rFonts w:ascii="Arial" w:hAnsi="Arial" w:cs="Arial"/>
                <w:sz w:val="20"/>
                <w:szCs w:val="20"/>
              </w:rPr>
            </w:pPr>
            <w:r w:rsidRPr="008A7A35">
              <w:rPr>
                <w:rFonts w:ascii="Arial" w:hAnsi="Arial" w:cs="Arial"/>
                <w:sz w:val="20"/>
                <w:szCs w:val="20"/>
              </w:rPr>
              <w:t xml:space="preserve">Number of Shares repurchased through buyback and tender offer and average price per repurchased Share for the </w:t>
            </w:r>
            <w:proofErr w:type="gramStart"/>
            <w:r w:rsidR="00BA4421">
              <w:rPr>
                <w:rFonts w:ascii="Arial" w:hAnsi="Arial" w:cs="Arial"/>
                <w:sz w:val="20"/>
                <w:szCs w:val="20"/>
              </w:rPr>
              <w:t>six month</w:t>
            </w:r>
            <w:proofErr w:type="gramEnd"/>
            <w:r w:rsidR="00BA4421">
              <w:rPr>
                <w:rFonts w:ascii="Arial" w:hAnsi="Arial" w:cs="Arial"/>
                <w:sz w:val="20"/>
                <w:szCs w:val="20"/>
              </w:rPr>
              <w:t xml:space="preserve"> </w:t>
            </w:r>
            <w:r w:rsidRPr="008A7A35">
              <w:rPr>
                <w:rFonts w:ascii="Arial" w:hAnsi="Arial" w:cs="Arial"/>
                <w:sz w:val="20"/>
                <w:szCs w:val="20"/>
              </w:rPr>
              <w:t xml:space="preserve">period </w:t>
            </w:r>
            <w:proofErr w:type="gramStart"/>
            <w:r w:rsidRPr="008A7A35">
              <w:rPr>
                <w:rFonts w:ascii="Arial" w:hAnsi="Arial" w:cs="Arial"/>
                <w:sz w:val="20"/>
                <w:szCs w:val="20"/>
              </w:rPr>
              <w:t>ended</w:t>
            </w:r>
            <w:r w:rsidRPr="008A7A35">
              <w:rPr>
                <w:rFonts w:ascii="Arial" w:hAnsi="Arial" w:cs="Arial"/>
                <w:sz w:val="20"/>
                <w:szCs w:val="20"/>
                <w:vertAlign w:val="superscript"/>
              </w:rPr>
              <w:t>(</w:t>
            </w:r>
            <w:proofErr w:type="gramEnd"/>
            <w:r w:rsidR="00A8199F" w:rsidRPr="008A7A35">
              <w:rPr>
                <w:rFonts w:ascii="Arial" w:hAnsi="Arial" w:cs="Arial"/>
                <w:sz w:val="20"/>
                <w:szCs w:val="20"/>
                <w:vertAlign w:val="superscript"/>
              </w:rPr>
              <w:t>7</w:t>
            </w:r>
            <w:r w:rsidRPr="008A7A35">
              <w:rPr>
                <w:rFonts w:ascii="Arial" w:hAnsi="Arial" w:cs="Arial"/>
                <w:sz w:val="20"/>
                <w:szCs w:val="20"/>
                <w:vertAlign w:val="superscript"/>
              </w:rPr>
              <w:t>)</w:t>
            </w:r>
          </w:p>
        </w:tc>
        <w:tc>
          <w:tcPr>
            <w:tcW w:w="1985" w:type="dxa"/>
            <w:tcMar>
              <w:top w:w="108" w:type="dxa"/>
              <w:bottom w:w="108" w:type="dxa"/>
            </w:tcMar>
          </w:tcPr>
          <w:p w14:paraId="6E6897C4" w14:textId="2133D00C" w:rsidR="008C6323" w:rsidRPr="008A7A35" w:rsidRDefault="00A421B2" w:rsidP="008C6323">
            <w:pPr>
              <w:jc w:val="right"/>
              <w:rPr>
                <w:rFonts w:ascii="Arial" w:hAnsi="Arial" w:cs="Arial"/>
                <w:b/>
                <w:sz w:val="20"/>
                <w:szCs w:val="20"/>
              </w:rPr>
            </w:pPr>
            <w:r w:rsidRPr="008A7A35">
              <w:rPr>
                <w:rFonts w:ascii="Arial" w:hAnsi="Arial" w:cs="Arial"/>
                <w:b/>
                <w:sz w:val="20"/>
                <w:szCs w:val="20"/>
              </w:rPr>
              <w:t>751,311</w:t>
            </w:r>
            <w:r w:rsidR="008C6323" w:rsidRPr="008A7A35">
              <w:rPr>
                <w:rFonts w:ascii="Arial" w:hAnsi="Arial" w:cs="Arial"/>
                <w:b/>
                <w:sz w:val="20"/>
                <w:szCs w:val="20"/>
              </w:rPr>
              <w:br/>
            </w:r>
            <w:r w:rsidR="00460698">
              <w:rPr>
                <w:rFonts w:ascii="Arial" w:hAnsi="Arial" w:cs="Arial"/>
                <w:b/>
                <w:sz w:val="20"/>
                <w:szCs w:val="20"/>
              </w:rPr>
              <w:t xml:space="preserve">$9.22 / </w:t>
            </w:r>
            <w:r w:rsidR="008C6323" w:rsidRPr="008A7A35">
              <w:rPr>
                <w:rFonts w:ascii="Arial" w:hAnsi="Arial" w:cs="Arial"/>
                <w:b/>
                <w:sz w:val="20"/>
                <w:szCs w:val="20"/>
              </w:rPr>
              <w:t>£</w:t>
            </w:r>
            <w:r w:rsidRPr="008A7A35">
              <w:rPr>
                <w:rFonts w:ascii="Arial" w:hAnsi="Arial" w:cs="Arial"/>
                <w:b/>
                <w:sz w:val="20"/>
                <w:szCs w:val="20"/>
              </w:rPr>
              <w:t>7.38</w:t>
            </w:r>
          </w:p>
        </w:tc>
        <w:tc>
          <w:tcPr>
            <w:tcW w:w="1868" w:type="dxa"/>
          </w:tcPr>
          <w:p w14:paraId="3D933037" w14:textId="16FED5D3" w:rsidR="008C6323" w:rsidRPr="008A7A35" w:rsidRDefault="008C6323" w:rsidP="008C6323">
            <w:pPr>
              <w:jc w:val="right"/>
              <w:rPr>
                <w:rFonts w:ascii="Arial" w:eastAsia="Calibri" w:hAnsi="Arial" w:cs="Arial"/>
                <w:bCs/>
                <w:sz w:val="20"/>
                <w:szCs w:val="20"/>
              </w:rPr>
            </w:pPr>
            <w:r w:rsidRPr="008A7A35">
              <w:rPr>
                <w:rFonts w:ascii="Arial" w:hAnsi="Arial" w:cs="Arial"/>
                <w:bCs/>
                <w:sz w:val="20"/>
                <w:szCs w:val="20"/>
              </w:rPr>
              <w:t>15,047,619</w:t>
            </w:r>
            <w:r w:rsidRPr="008A7A35">
              <w:rPr>
                <w:rFonts w:ascii="Arial" w:hAnsi="Arial" w:cs="Arial"/>
                <w:bCs/>
                <w:sz w:val="20"/>
                <w:szCs w:val="20"/>
              </w:rPr>
              <w:br/>
            </w:r>
            <w:r w:rsidR="00460698">
              <w:rPr>
                <w:rFonts w:ascii="Arial" w:hAnsi="Arial" w:cs="Arial"/>
                <w:bCs/>
                <w:sz w:val="20"/>
                <w:szCs w:val="20"/>
              </w:rPr>
              <w:t xml:space="preserve">$13.21 / </w:t>
            </w:r>
            <w:r w:rsidRPr="008A7A35">
              <w:rPr>
                <w:rFonts w:ascii="Arial" w:hAnsi="Arial" w:cs="Arial"/>
                <w:bCs/>
                <w:sz w:val="20"/>
                <w:szCs w:val="20"/>
              </w:rPr>
              <w:t>£10.50</w:t>
            </w:r>
          </w:p>
        </w:tc>
      </w:tr>
      <w:tr w:rsidR="00E8654A" w:rsidRPr="008A7A35" w14:paraId="21FCAA96" w14:textId="77777777" w:rsidTr="00BB03B1">
        <w:trPr>
          <w:trHeight w:val="450"/>
        </w:trPr>
        <w:tc>
          <w:tcPr>
            <w:tcW w:w="3969" w:type="dxa"/>
            <w:tcMar>
              <w:top w:w="108" w:type="dxa"/>
              <w:bottom w:w="108" w:type="dxa"/>
            </w:tcMar>
          </w:tcPr>
          <w:p w14:paraId="3102467C" w14:textId="3DD308F1" w:rsidR="00E8654A" w:rsidRPr="008A7A35" w:rsidRDefault="00E8654A" w:rsidP="00E8654A">
            <w:pPr>
              <w:rPr>
                <w:rFonts w:ascii="Arial" w:hAnsi="Arial" w:cs="Arial"/>
                <w:sz w:val="20"/>
                <w:szCs w:val="20"/>
              </w:rPr>
            </w:pPr>
            <w:r w:rsidRPr="008A7A35">
              <w:rPr>
                <w:rFonts w:ascii="Arial" w:hAnsi="Arial" w:cs="Arial"/>
                <w:sz w:val="20"/>
                <w:szCs w:val="20"/>
              </w:rPr>
              <w:t>Number of Shares outstanding at period ended</w:t>
            </w:r>
          </w:p>
        </w:tc>
        <w:tc>
          <w:tcPr>
            <w:tcW w:w="1985" w:type="dxa"/>
            <w:tcMar>
              <w:top w:w="108" w:type="dxa"/>
              <w:bottom w:w="108" w:type="dxa"/>
            </w:tcMar>
          </w:tcPr>
          <w:p w14:paraId="3F56D039" w14:textId="1BB9F00B" w:rsidR="00E8654A" w:rsidRPr="008A7A35" w:rsidRDefault="00A421B2" w:rsidP="00E8654A">
            <w:pPr>
              <w:jc w:val="right"/>
              <w:rPr>
                <w:rFonts w:ascii="Arial" w:hAnsi="Arial" w:cs="Arial"/>
                <w:b/>
                <w:sz w:val="20"/>
                <w:szCs w:val="20"/>
              </w:rPr>
            </w:pPr>
            <w:r w:rsidRPr="008A7A35">
              <w:rPr>
                <w:rFonts w:ascii="Arial" w:hAnsi="Arial" w:cs="Arial"/>
                <w:b/>
                <w:sz w:val="20"/>
                <w:szCs w:val="20"/>
              </w:rPr>
              <w:t>24,591,380</w:t>
            </w:r>
          </w:p>
        </w:tc>
        <w:tc>
          <w:tcPr>
            <w:tcW w:w="1868" w:type="dxa"/>
          </w:tcPr>
          <w:p w14:paraId="007EF7FF" w14:textId="6BF978B8" w:rsidR="00E8654A" w:rsidRPr="008A7A35" w:rsidRDefault="008C6323" w:rsidP="00E8654A">
            <w:pPr>
              <w:jc w:val="right"/>
              <w:rPr>
                <w:rFonts w:ascii="Arial" w:eastAsia="Calibri" w:hAnsi="Arial" w:cs="Arial"/>
                <w:bCs/>
                <w:sz w:val="20"/>
                <w:szCs w:val="20"/>
              </w:rPr>
            </w:pPr>
            <w:r w:rsidRPr="008A7A35">
              <w:rPr>
                <w:rFonts w:ascii="Arial" w:hAnsi="Arial" w:cs="Arial"/>
                <w:bCs/>
                <w:sz w:val="20"/>
                <w:szCs w:val="20"/>
              </w:rPr>
              <w:t>27,148,170</w:t>
            </w:r>
          </w:p>
        </w:tc>
      </w:tr>
    </w:tbl>
    <w:p w14:paraId="5BA013B0" w14:textId="77777777" w:rsidR="00E2442D" w:rsidRPr="008A7A35" w:rsidRDefault="00E2442D">
      <w:pPr>
        <w:rPr>
          <w:rFonts w:ascii="Arial" w:hAnsi="Arial" w:cs="Arial"/>
        </w:rPr>
      </w:pPr>
    </w:p>
    <w:p w14:paraId="332E5323" w14:textId="20C3A6A7" w:rsidR="00F01D79" w:rsidRPr="008A7A35" w:rsidRDefault="00F01D79" w:rsidP="007378E6">
      <w:pPr>
        <w:pStyle w:val="FootnoteText"/>
        <w:ind w:left="170" w:hanging="170"/>
        <w:rPr>
          <w:rFonts w:ascii="Arial" w:hAnsi="Arial" w:cs="Arial"/>
        </w:rPr>
      </w:pPr>
      <w:r w:rsidRPr="008A7A35">
        <w:rPr>
          <w:rFonts w:ascii="Arial" w:hAnsi="Arial" w:cs="Arial"/>
          <w:vertAlign w:val="superscript"/>
        </w:rPr>
        <w:t>(1)</w:t>
      </w:r>
      <w:r w:rsidRPr="008A7A35">
        <w:rPr>
          <w:rFonts w:ascii="Arial" w:hAnsi="Arial" w:cs="Arial"/>
        </w:rPr>
        <w:tab/>
        <w:t>Amounts shown reflect investment-related activity at the Partnership, not the Company</w:t>
      </w:r>
      <w:r w:rsidR="00F46B00" w:rsidRPr="008A7A35">
        <w:rPr>
          <w:rFonts w:ascii="Arial" w:hAnsi="Arial" w:cs="Arial"/>
        </w:rPr>
        <w:t>.</w:t>
      </w:r>
    </w:p>
    <w:p w14:paraId="3EA9CA1E" w14:textId="4552B378" w:rsidR="009D1885" w:rsidRPr="008A7A35" w:rsidRDefault="00707E38" w:rsidP="00707E38">
      <w:pPr>
        <w:pStyle w:val="FootnoteText"/>
        <w:ind w:left="170" w:hanging="170"/>
        <w:rPr>
          <w:rFonts w:ascii="Arial" w:hAnsi="Arial" w:cs="Arial"/>
        </w:rPr>
      </w:pPr>
      <w:r w:rsidRPr="008A7A35">
        <w:rPr>
          <w:rFonts w:ascii="Arial" w:hAnsi="Arial" w:cs="Arial"/>
          <w:vertAlign w:val="superscript"/>
        </w:rPr>
        <w:t>(</w:t>
      </w:r>
      <w:r w:rsidR="00BF2436" w:rsidRPr="008A7A35">
        <w:rPr>
          <w:rFonts w:ascii="Arial" w:hAnsi="Arial" w:cs="Arial"/>
          <w:vertAlign w:val="superscript"/>
        </w:rPr>
        <w:t>2</w:t>
      </w:r>
      <w:r w:rsidRPr="008A7A35">
        <w:rPr>
          <w:rFonts w:ascii="Arial" w:hAnsi="Arial" w:cs="Arial"/>
          <w:vertAlign w:val="superscript"/>
        </w:rPr>
        <w:t xml:space="preserve">) </w:t>
      </w:r>
      <w:r w:rsidRPr="008A7A35">
        <w:rPr>
          <w:rFonts w:ascii="Arial" w:hAnsi="Arial" w:cs="Arial"/>
        </w:rPr>
        <w:t>Amounts may vary due to rounding</w:t>
      </w:r>
      <w:r w:rsidR="00F46B00" w:rsidRPr="008A7A35">
        <w:rPr>
          <w:rFonts w:ascii="Arial" w:hAnsi="Arial" w:cs="Arial"/>
        </w:rPr>
        <w:t>.</w:t>
      </w:r>
    </w:p>
    <w:p w14:paraId="6F74ABDE" w14:textId="1A332A94" w:rsidR="00AF7452" w:rsidRPr="008A7A35" w:rsidRDefault="00AF7452" w:rsidP="000F617B">
      <w:pPr>
        <w:pStyle w:val="FootnoteText"/>
        <w:ind w:left="170" w:hanging="170"/>
        <w:rPr>
          <w:rFonts w:ascii="Arial" w:hAnsi="Arial" w:cs="Arial"/>
        </w:rPr>
      </w:pPr>
      <w:r w:rsidRPr="008A7A35">
        <w:rPr>
          <w:rFonts w:ascii="Arial" w:hAnsi="Arial" w:cs="Arial"/>
          <w:vertAlign w:val="superscript"/>
        </w:rPr>
        <w:t>(3)</w:t>
      </w:r>
      <w:r w:rsidR="00DE23F1" w:rsidRPr="008A7A35">
        <w:rPr>
          <w:rFonts w:ascii="Arial" w:hAnsi="Arial" w:cs="Arial"/>
        </w:rPr>
        <w:t xml:space="preserve"> The expected funding of the remaining unfunded commitment to Onyx </w:t>
      </w:r>
      <w:proofErr w:type="gramStart"/>
      <w:r w:rsidR="00DE23F1" w:rsidRPr="008A7A35">
        <w:rPr>
          <w:rFonts w:ascii="Arial" w:hAnsi="Arial" w:cs="Arial"/>
        </w:rPr>
        <w:t>at</w:t>
      </w:r>
      <w:proofErr w:type="gramEnd"/>
      <w:r w:rsidR="00DE23F1" w:rsidRPr="008A7A35">
        <w:rPr>
          <w:rFonts w:ascii="Arial" w:hAnsi="Arial" w:cs="Arial"/>
        </w:rPr>
        <w:t xml:space="preserve"> </w:t>
      </w:r>
      <w:r w:rsidR="003B450C" w:rsidRPr="008A7A35">
        <w:rPr>
          <w:rFonts w:ascii="Arial" w:hAnsi="Arial" w:cs="Arial"/>
        </w:rPr>
        <w:t xml:space="preserve">30 June </w:t>
      </w:r>
      <w:r w:rsidR="00DE23F1" w:rsidRPr="008A7A35">
        <w:rPr>
          <w:rFonts w:ascii="Arial" w:hAnsi="Arial" w:cs="Arial"/>
        </w:rPr>
        <w:t>202</w:t>
      </w:r>
      <w:r w:rsidR="008C6323" w:rsidRPr="008A7A35">
        <w:rPr>
          <w:rFonts w:ascii="Arial" w:hAnsi="Arial" w:cs="Arial"/>
        </w:rPr>
        <w:t>5</w:t>
      </w:r>
      <w:r w:rsidR="00DE23F1" w:rsidRPr="008A7A35">
        <w:rPr>
          <w:rFonts w:ascii="Arial" w:hAnsi="Arial" w:cs="Arial"/>
        </w:rPr>
        <w:t xml:space="preserve"> is </w:t>
      </w:r>
      <w:r w:rsidR="00A8199F" w:rsidRPr="008A7A35">
        <w:rPr>
          <w:rFonts w:ascii="Arial" w:hAnsi="Arial" w:cs="Arial"/>
        </w:rPr>
        <w:t xml:space="preserve">nil </w:t>
      </w:r>
      <w:r w:rsidR="00DE23F1" w:rsidRPr="008A7A35">
        <w:rPr>
          <w:rFonts w:ascii="Arial" w:hAnsi="Arial" w:cs="Arial"/>
        </w:rPr>
        <w:t>in 202</w:t>
      </w:r>
      <w:r w:rsidR="008C6323" w:rsidRPr="008A7A35">
        <w:rPr>
          <w:rFonts w:ascii="Arial" w:hAnsi="Arial" w:cs="Arial"/>
        </w:rPr>
        <w:t>5</w:t>
      </w:r>
      <w:r w:rsidR="00DE23F1" w:rsidRPr="008A7A35">
        <w:rPr>
          <w:rFonts w:ascii="Arial" w:hAnsi="Arial" w:cs="Arial"/>
        </w:rPr>
        <w:t xml:space="preserve"> and</w:t>
      </w:r>
      <w:r w:rsidR="003368F5">
        <w:rPr>
          <w:rFonts w:ascii="Arial" w:hAnsi="Arial" w:cs="Arial"/>
        </w:rPr>
        <w:t xml:space="preserve"> in</w:t>
      </w:r>
      <w:r w:rsidR="00DE23F1" w:rsidRPr="008A7A35">
        <w:rPr>
          <w:rFonts w:ascii="Arial" w:hAnsi="Arial" w:cs="Arial"/>
        </w:rPr>
        <w:t xml:space="preserve"> later years.</w:t>
      </w:r>
    </w:p>
    <w:p w14:paraId="565592D2" w14:textId="4782BA71" w:rsidR="00FD465D" w:rsidRPr="008A7A35" w:rsidRDefault="00D33AA7" w:rsidP="00FD465D">
      <w:pPr>
        <w:pStyle w:val="FootnoteText"/>
        <w:ind w:left="170" w:hanging="170"/>
        <w:rPr>
          <w:rFonts w:ascii="Arial" w:hAnsi="Arial" w:cs="Arial"/>
        </w:rPr>
      </w:pPr>
      <w:r w:rsidRPr="008A7A35">
        <w:rPr>
          <w:rFonts w:ascii="Arial" w:hAnsi="Arial" w:cs="Arial"/>
          <w:vertAlign w:val="superscript"/>
        </w:rPr>
        <w:t>(</w:t>
      </w:r>
      <w:r w:rsidR="003B450C" w:rsidRPr="008A7A35">
        <w:rPr>
          <w:rFonts w:ascii="Arial" w:hAnsi="Arial" w:cs="Arial"/>
          <w:vertAlign w:val="superscript"/>
        </w:rPr>
        <w:t>4</w:t>
      </w:r>
      <w:r w:rsidRPr="008A7A35">
        <w:rPr>
          <w:rFonts w:ascii="Arial" w:hAnsi="Arial" w:cs="Arial"/>
          <w:vertAlign w:val="superscript"/>
        </w:rPr>
        <w:t>)</w:t>
      </w:r>
      <w:r w:rsidRPr="008A7A35">
        <w:rPr>
          <w:rFonts w:ascii="Arial" w:hAnsi="Arial" w:cs="Arial"/>
        </w:rPr>
        <w:t xml:space="preserve"> </w:t>
      </w:r>
      <w:r w:rsidR="00F0779E" w:rsidRPr="008A7A35">
        <w:rPr>
          <w:rFonts w:ascii="Arial" w:hAnsi="Arial" w:cs="Arial"/>
        </w:rPr>
        <w:t>Based on exchange rate</w:t>
      </w:r>
      <w:r w:rsidRPr="008A7A35">
        <w:rPr>
          <w:rFonts w:ascii="Arial" w:hAnsi="Arial" w:cs="Arial"/>
        </w:rPr>
        <w:t xml:space="preserve"> of</w:t>
      </w:r>
      <w:r w:rsidR="00B75D28" w:rsidRPr="008A7A35">
        <w:rPr>
          <w:rFonts w:ascii="Arial" w:hAnsi="Arial" w:cs="Arial"/>
        </w:rPr>
        <w:t xml:space="preserve"> </w:t>
      </w:r>
      <w:r w:rsidR="00A421B2" w:rsidRPr="008A7A35">
        <w:rPr>
          <w:rFonts w:ascii="Arial" w:hAnsi="Arial" w:cs="Arial"/>
        </w:rPr>
        <w:t>1.3720</w:t>
      </w:r>
      <w:r w:rsidR="004C20A9" w:rsidRPr="008A7A35">
        <w:rPr>
          <w:rFonts w:ascii="Arial" w:hAnsi="Arial" w:cs="Arial"/>
        </w:rPr>
        <w:t xml:space="preserve"> </w:t>
      </w:r>
      <w:r w:rsidRPr="008A7A35">
        <w:rPr>
          <w:rFonts w:ascii="Arial" w:hAnsi="Arial" w:cs="Arial"/>
        </w:rPr>
        <w:t xml:space="preserve">$/£ </w:t>
      </w:r>
      <w:proofErr w:type="gramStart"/>
      <w:r w:rsidRPr="008A7A35">
        <w:rPr>
          <w:rFonts w:ascii="Arial" w:hAnsi="Arial" w:cs="Arial"/>
        </w:rPr>
        <w:t>at</w:t>
      </w:r>
      <w:proofErr w:type="gramEnd"/>
      <w:r w:rsidRPr="008A7A35">
        <w:rPr>
          <w:rFonts w:ascii="Arial" w:hAnsi="Arial" w:cs="Arial"/>
        </w:rPr>
        <w:t xml:space="preserve"> 30 June 20</w:t>
      </w:r>
      <w:r w:rsidR="00EE5FB5" w:rsidRPr="008A7A35">
        <w:rPr>
          <w:rFonts w:ascii="Arial" w:hAnsi="Arial" w:cs="Arial"/>
        </w:rPr>
        <w:t>2</w:t>
      </w:r>
      <w:r w:rsidR="008C6323" w:rsidRPr="008A7A35">
        <w:rPr>
          <w:rFonts w:ascii="Arial" w:hAnsi="Arial" w:cs="Arial"/>
        </w:rPr>
        <w:t>5</w:t>
      </w:r>
      <w:r w:rsidRPr="008A7A35">
        <w:rPr>
          <w:rFonts w:ascii="Arial" w:hAnsi="Arial" w:cs="Arial"/>
        </w:rPr>
        <w:t xml:space="preserve"> (</w:t>
      </w:r>
      <w:r w:rsidR="004C20A9" w:rsidRPr="008A7A35">
        <w:rPr>
          <w:rFonts w:ascii="Arial" w:hAnsi="Arial" w:cs="Arial"/>
        </w:rPr>
        <w:t>1.2</w:t>
      </w:r>
      <w:r w:rsidR="008C6323" w:rsidRPr="008A7A35">
        <w:rPr>
          <w:rFonts w:ascii="Arial" w:hAnsi="Arial" w:cs="Arial"/>
        </w:rPr>
        <w:t xml:space="preserve">558 </w:t>
      </w:r>
      <w:r w:rsidR="00896E71" w:rsidRPr="008A7A35">
        <w:rPr>
          <w:rFonts w:ascii="Arial" w:hAnsi="Arial" w:cs="Arial"/>
        </w:rPr>
        <w:t xml:space="preserve">$/£ </w:t>
      </w:r>
      <w:proofErr w:type="gramStart"/>
      <w:r w:rsidR="00896E71" w:rsidRPr="008A7A35">
        <w:rPr>
          <w:rFonts w:ascii="Arial" w:hAnsi="Arial" w:cs="Arial"/>
        </w:rPr>
        <w:t>at</w:t>
      </w:r>
      <w:proofErr w:type="gramEnd"/>
      <w:r w:rsidR="00896E71" w:rsidRPr="008A7A35">
        <w:rPr>
          <w:rFonts w:ascii="Arial" w:hAnsi="Arial" w:cs="Arial"/>
        </w:rPr>
        <w:t xml:space="preserve"> </w:t>
      </w:r>
      <w:r w:rsidR="00E54FB8" w:rsidRPr="008A7A35">
        <w:rPr>
          <w:rFonts w:ascii="Arial" w:hAnsi="Arial" w:cs="Arial"/>
        </w:rPr>
        <w:t>31 Dec</w:t>
      </w:r>
      <w:r w:rsidR="00AF2645" w:rsidRPr="008A7A35">
        <w:rPr>
          <w:rFonts w:ascii="Arial" w:hAnsi="Arial" w:cs="Arial"/>
        </w:rPr>
        <w:t>ember</w:t>
      </w:r>
      <w:r w:rsidR="00E54FB8" w:rsidRPr="008A7A35">
        <w:rPr>
          <w:rFonts w:ascii="Arial" w:hAnsi="Arial" w:cs="Arial"/>
        </w:rPr>
        <w:t xml:space="preserve"> 20</w:t>
      </w:r>
      <w:r w:rsidR="000322BE" w:rsidRPr="008A7A35">
        <w:rPr>
          <w:rFonts w:ascii="Arial" w:hAnsi="Arial" w:cs="Arial"/>
        </w:rPr>
        <w:t>2</w:t>
      </w:r>
      <w:r w:rsidR="008C6323" w:rsidRPr="008A7A35">
        <w:rPr>
          <w:rFonts w:ascii="Arial" w:hAnsi="Arial" w:cs="Arial"/>
        </w:rPr>
        <w:t>4</w:t>
      </w:r>
      <w:r w:rsidR="00D51F95" w:rsidRPr="008A7A35">
        <w:rPr>
          <w:rFonts w:ascii="Arial" w:hAnsi="Arial" w:cs="Arial"/>
        </w:rPr>
        <w:t xml:space="preserve"> and</w:t>
      </w:r>
      <w:r w:rsidR="00E54FB8" w:rsidRPr="008A7A35">
        <w:rPr>
          <w:rFonts w:ascii="Arial" w:hAnsi="Arial" w:cs="Arial"/>
        </w:rPr>
        <w:t xml:space="preserve"> </w:t>
      </w:r>
      <w:r w:rsidR="004C20A9" w:rsidRPr="008A7A35">
        <w:rPr>
          <w:rFonts w:ascii="Arial" w:hAnsi="Arial" w:cs="Arial"/>
        </w:rPr>
        <w:t>1.264</w:t>
      </w:r>
      <w:r w:rsidR="008C6323" w:rsidRPr="008A7A35">
        <w:rPr>
          <w:rFonts w:ascii="Arial" w:hAnsi="Arial" w:cs="Arial"/>
        </w:rPr>
        <w:t>68</w:t>
      </w:r>
      <w:r w:rsidR="004C20A9" w:rsidRPr="008A7A35">
        <w:rPr>
          <w:rFonts w:ascii="Arial" w:hAnsi="Arial" w:cs="Arial"/>
        </w:rPr>
        <w:t xml:space="preserve"> </w:t>
      </w:r>
      <w:r w:rsidR="00896E71" w:rsidRPr="008A7A35">
        <w:rPr>
          <w:rFonts w:ascii="Arial" w:hAnsi="Arial" w:cs="Arial"/>
        </w:rPr>
        <w:t xml:space="preserve">$/£ </w:t>
      </w:r>
      <w:proofErr w:type="gramStart"/>
      <w:r w:rsidR="00896E71" w:rsidRPr="008A7A35">
        <w:rPr>
          <w:rFonts w:ascii="Arial" w:hAnsi="Arial" w:cs="Arial"/>
        </w:rPr>
        <w:t>at</w:t>
      </w:r>
      <w:proofErr w:type="gramEnd"/>
      <w:r w:rsidR="00896E71" w:rsidRPr="008A7A35">
        <w:rPr>
          <w:rFonts w:ascii="Arial" w:hAnsi="Arial" w:cs="Arial"/>
        </w:rPr>
        <w:t xml:space="preserve"> </w:t>
      </w:r>
      <w:r w:rsidRPr="008A7A35">
        <w:rPr>
          <w:rFonts w:ascii="Arial" w:hAnsi="Arial" w:cs="Arial"/>
        </w:rPr>
        <w:t>30 June 20</w:t>
      </w:r>
      <w:r w:rsidR="000322BE" w:rsidRPr="008A7A35">
        <w:rPr>
          <w:rFonts w:ascii="Arial" w:hAnsi="Arial" w:cs="Arial"/>
        </w:rPr>
        <w:t>2</w:t>
      </w:r>
      <w:r w:rsidR="008C6323" w:rsidRPr="008A7A35">
        <w:rPr>
          <w:rFonts w:ascii="Arial" w:hAnsi="Arial" w:cs="Arial"/>
        </w:rPr>
        <w:t>4</w:t>
      </w:r>
      <w:r w:rsidR="00896E71" w:rsidRPr="008A7A35">
        <w:rPr>
          <w:rFonts w:ascii="Arial" w:hAnsi="Arial" w:cs="Arial"/>
        </w:rPr>
        <w:t>)</w:t>
      </w:r>
      <w:r w:rsidR="00F46B00" w:rsidRPr="008A7A35">
        <w:rPr>
          <w:rFonts w:ascii="Arial" w:hAnsi="Arial" w:cs="Arial"/>
        </w:rPr>
        <w:t>.</w:t>
      </w:r>
    </w:p>
    <w:p w14:paraId="3385F980" w14:textId="4D70A00E" w:rsidR="00FD465D" w:rsidRPr="008A7A35" w:rsidRDefault="00FD465D" w:rsidP="00FD465D">
      <w:pPr>
        <w:pStyle w:val="FootnoteText"/>
        <w:ind w:left="170" w:hanging="170"/>
        <w:rPr>
          <w:rFonts w:ascii="Arial" w:hAnsi="Arial" w:cs="Arial"/>
        </w:rPr>
      </w:pPr>
      <w:r w:rsidRPr="008A7A35">
        <w:rPr>
          <w:rFonts w:ascii="Arial" w:hAnsi="Arial" w:cs="Arial"/>
          <w:vertAlign w:val="superscript"/>
        </w:rPr>
        <w:t>(</w:t>
      </w:r>
      <w:r w:rsidR="003B450C" w:rsidRPr="008A7A35">
        <w:rPr>
          <w:rFonts w:ascii="Arial" w:hAnsi="Arial" w:cs="Arial"/>
          <w:vertAlign w:val="superscript"/>
        </w:rPr>
        <w:t>5</w:t>
      </w:r>
      <w:r w:rsidRPr="008A7A35">
        <w:rPr>
          <w:rFonts w:ascii="Arial" w:hAnsi="Arial" w:cs="Arial"/>
          <w:vertAlign w:val="superscript"/>
        </w:rPr>
        <w:t>)</w:t>
      </w:r>
      <w:r w:rsidRPr="008A7A35">
        <w:rPr>
          <w:rFonts w:ascii="Arial" w:hAnsi="Arial" w:cs="Arial"/>
        </w:rPr>
        <w:t xml:space="preserve"> </w:t>
      </w:r>
      <w:proofErr w:type="gramStart"/>
      <w:r w:rsidRPr="008A7A35">
        <w:rPr>
          <w:rFonts w:ascii="Arial" w:hAnsi="Arial" w:cs="Arial"/>
        </w:rPr>
        <w:t>At</w:t>
      </w:r>
      <w:proofErr w:type="gramEnd"/>
      <w:r w:rsidRPr="008A7A35">
        <w:rPr>
          <w:rFonts w:ascii="Arial" w:hAnsi="Arial" w:cs="Arial"/>
        </w:rPr>
        <w:t xml:space="preserve"> </w:t>
      </w:r>
      <w:r w:rsidR="007223DD" w:rsidRPr="008A7A35">
        <w:rPr>
          <w:rFonts w:ascii="Arial" w:hAnsi="Arial" w:cs="Arial"/>
        </w:rPr>
        <w:t xml:space="preserve">30 </w:t>
      </w:r>
      <w:r w:rsidR="000322BE" w:rsidRPr="008A7A35">
        <w:rPr>
          <w:rFonts w:ascii="Arial" w:hAnsi="Arial" w:cs="Arial"/>
        </w:rPr>
        <w:t xml:space="preserve">June </w:t>
      </w:r>
      <w:r w:rsidRPr="008A7A35">
        <w:rPr>
          <w:rFonts w:ascii="Arial" w:hAnsi="Arial" w:cs="Arial"/>
        </w:rPr>
        <w:t>202</w:t>
      </w:r>
      <w:r w:rsidR="008C6323" w:rsidRPr="008A7A35">
        <w:rPr>
          <w:rFonts w:ascii="Arial" w:hAnsi="Arial" w:cs="Arial"/>
        </w:rPr>
        <w:t>5</w:t>
      </w:r>
      <w:r w:rsidR="009A03F0" w:rsidRPr="008A7A35">
        <w:rPr>
          <w:rFonts w:ascii="Arial" w:hAnsi="Arial" w:cs="Arial"/>
        </w:rPr>
        <w:t>, 31 December 202</w:t>
      </w:r>
      <w:r w:rsidR="008C6323" w:rsidRPr="008A7A35">
        <w:rPr>
          <w:rFonts w:ascii="Arial" w:hAnsi="Arial" w:cs="Arial"/>
        </w:rPr>
        <w:t>4</w:t>
      </w:r>
      <w:r w:rsidRPr="008A7A35">
        <w:rPr>
          <w:rFonts w:ascii="Arial" w:hAnsi="Arial" w:cs="Arial"/>
        </w:rPr>
        <w:t xml:space="preserve"> and</w:t>
      </w:r>
      <w:r w:rsidR="009A03F0" w:rsidRPr="008A7A35">
        <w:rPr>
          <w:rFonts w:ascii="Arial" w:hAnsi="Arial" w:cs="Arial"/>
        </w:rPr>
        <w:t xml:space="preserve"> 30 June</w:t>
      </w:r>
      <w:r w:rsidRPr="008A7A35">
        <w:rPr>
          <w:rFonts w:ascii="Arial" w:hAnsi="Arial" w:cs="Arial"/>
        </w:rPr>
        <w:t xml:space="preserve"> 20</w:t>
      </w:r>
      <w:r w:rsidR="000322BE" w:rsidRPr="008A7A35">
        <w:rPr>
          <w:rFonts w:ascii="Arial" w:hAnsi="Arial" w:cs="Arial"/>
        </w:rPr>
        <w:t>2</w:t>
      </w:r>
      <w:r w:rsidR="008C6323" w:rsidRPr="008A7A35">
        <w:rPr>
          <w:rFonts w:ascii="Arial" w:hAnsi="Arial" w:cs="Arial"/>
        </w:rPr>
        <w:t>4</w:t>
      </w:r>
      <w:r w:rsidRPr="008A7A35">
        <w:rPr>
          <w:rFonts w:ascii="Arial" w:hAnsi="Arial" w:cs="Arial"/>
        </w:rPr>
        <w:t>, respectively, amounts are comprised of $</w:t>
      </w:r>
      <w:r w:rsidR="00A421B2" w:rsidRPr="008A7A35">
        <w:rPr>
          <w:rFonts w:ascii="Arial" w:hAnsi="Arial" w:cs="Arial"/>
        </w:rPr>
        <w:t>1.3</w:t>
      </w:r>
      <w:r w:rsidR="004C20A9" w:rsidRPr="008A7A35">
        <w:rPr>
          <w:rFonts w:ascii="Arial" w:hAnsi="Arial" w:cs="Arial"/>
        </w:rPr>
        <w:t xml:space="preserve"> </w:t>
      </w:r>
      <w:r w:rsidRPr="008A7A35">
        <w:rPr>
          <w:rFonts w:ascii="Arial" w:hAnsi="Arial" w:cs="Arial"/>
        </w:rPr>
        <w:t>million</w:t>
      </w:r>
      <w:r w:rsidR="009A03F0" w:rsidRPr="008A7A35">
        <w:rPr>
          <w:rFonts w:ascii="Arial" w:hAnsi="Arial" w:cs="Arial"/>
        </w:rPr>
        <w:t>, $</w:t>
      </w:r>
      <w:r w:rsidR="003A6966" w:rsidRPr="008A7A35">
        <w:rPr>
          <w:rFonts w:ascii="Arial" w:hAnsi="Arial" w:cs="Arial"/>
        </w:rPr>
        <w:t>1.5</w:t>
      </w:r>
      <w:r w:rsidR="009A03F0" w:rsidRPr="008A7A35">
        <w:rPr>
          <w:rFonts w:ascii="Arial" w:hAnsi="Arial" w:cs="Arial"/>
        </w:rPr>
        <w:t xml:space="preserve"> million</w:t>
      </w:r>
      <w:r w:rsidRPr="008A7A35">
        <w:rPr>
          <w:rFonts w:ascii="Arial" w:hAnsi="Arial" w:cs="Arial"/>
        </w:rPr>
        <w:t xml:space="preserve"> and </w:t>
      </w:r>
      <w:r w:rsidR="000779F3" w:rsidRPr="008A7A35">
        <w:rPr>
          <w:rFonts w:ascii="Arial" w:hAnsi="Arial" w:cs="Arial"/>
        </w:rPr>
        <w:t>$</w:t>
      </w:r>
      <w:r w:rsidR="003A6966" w:rsidRPr="008A7A35">
        <w:rPr>
          <w:rFonts w:ascii="Arial" w:hAnsi="Arial" w:cs="Arial"/>
        </w:rPr>
        <w:t>5.4</w:t>
      </w:r>
      <w:r w:rsidR="000779F3" w:rsidRPr="008A7A35">
        <w:rPr>
          <w:rFonts w:ascii="Arial" w:hAnsi="Arial" w:cs="Arial"/>
        </w:rPr>
        <w:t xml:space="preserve"> </w:t>
      </w:r>
      <w:r w:rsidRPr="008A7A35">
        <w:rPr>
          <w:rFonts w:ascii="Arial" w:hAnsi="Arial" w:cs="Arial"/>
        </w:rPr>
        <w:t>million held at the Company, $</w:t>
      </w:r>
      <w:r w:rsidR="00A421B2" w:rsidRPr="008A7A35">
        <w:rPr>
          <w:rFonts w:ascii="Arial" w:hAnsi="Arial" w:cs="Arial"/>
        </w:rPr>
        <w:t>53.</w:t>
      </w:r>
      <w:r w:rsidR="001167C4">
        <w:rPr>
          <w:rFonts w:ascii="Arial" w:hAnsi="Arial" w:cs="Arial"/>
        </w:rPr>
        <w:t>9</w:t>
      </w:r>
      <w:r w:rsidR="00EE6564" w:rsidRPr="008A7A35">
        <w:rPr>
          <w:rFonts w:ascii="Arial" w:hAnsi="Arial" w:cs="Arial"/>
        </w:rPr>
        <w:t xml:space="preserve"> </w:t>
      </w:r>
      <w:r w:rsidRPr="008A7A35">
        <w:rPr>
          <w:rFonts w:ascii="Arial" w:hAnsi="Arial" w:cs="Arial"/>
        </w:rPr>
        <w:t>million</w:t>
      </w:r>
      <w:r w:rsidR="009A03F0" w:rsidRPr="008A7A35">
        <w:rPr>
          <w:rFonts w:ascii="Arial" w:hAnsi="Arial" w:cs="Arial"/>
        </w:rPr>
        <w:t>, $</w:t>
      </w:r>
      <w:r w:rsidR="003A6966" w:rsidRPr="008A7A35">
        <w:rPr>
          <w:rFonts w:ascii="Arial" w:hAnsi="Arial" w:cs="Arial"/>
        </w:rPr>
        <w:t>62.6</w:t>
      </w:r>
      <w:r w:rsidR="009A03F0" w:rsidRPr="008A7A35">
        <w:rPr>
          <w:rFonts w:ascii="Arial" w:hAnsi="Arial" w:cs="Arial"/>
        </w:rPr>
        <w:t xml:space="preserve"> million</w:t>
      </w:r>
      <w:r w:rsidRPr="008A7A35">
        <w:rPr>
          <w:rFonts w:ascii="Arial" w:hAnsi="Arial" w:cs="Arial"/>
        </w:rPr>
        <w:t xml:space="preserve"> and </w:t>
      </w:r>
      <w:r w:rsidR="000779F3" w:rsidRPr="008A7A35">
        <w:rPr>
          <w:rFonts w:ascii="Arial" w:hAnsi="Arial" w:cs="Arial"/>
        </w:rPr>
        <w:t>$</w:t>
      </w:r>
      <w:r w:rsidR="003A6966" w:rsidRPr="008A7A35">
        <w:rPr>
          <w:rFonts w:ascii="Arial" w:hAnsi="Arial" w:cs="Arial"/>
        </w:rPr>
        <w:t>81</w:t>
      </w:r>
      <w:r w:rsidR="00D22788">
        <w:rPr>
          <w:rFonts w:ascii="Arial" w:hAnsi="Arial" w:cs="Arial"/>
        </w:rPr>
        <w:t>.0</w:t>
      </w:r>
      <w:r w:rsidR="00F46B00" w:rsidRPr="008A7A35">
        <w:rPr>
          <w:rFonts w:ascii="Arial" w:hAnsi="Arial" w:cs="Arial"/>
        </w:rPr>
        <w:t xml:space="preserve"> </w:t>
      </w:r>
      <w:r w:rsidRPr="008A7A35">
        <w:rPr>
          <w:rFonts w:ascii="Arial" w:hAnsi="Arial" w:cs="Arial"/>
        </w:rPr>
        <w:t>million held at the Partnership</w:t>
      </w:r>
      <w:r w:rsidR="009A03F0" w:rsidRPr="008A7A35">
        <w:rPr>
          <w:rFonts w:ascii="Arial" w:hAnsi="Arial" w:cs="Arial"/>
        </w:rPr>
        <w:t xml:space="preserve"> </w:t>
      </w:r>
      <w:r w:rsidRPr="008A7A35">
        <w:rPr>
          <w:rFonts w:ascii="Arial" w:hAnsi="Arial" w:cs="Arial"/>
        </w:rPr>
        <w:t xml:space="preserve">and </w:t>
      </w:r>
      <w:r w:rsidR="004C20A9" w:rsidRPr="008A7A35">
        <w:rPr>
          <w:rFonts w:ascii="Arial" w:hAnsi="Arial" w:cs="Arial"/>
        </w:rPr>
        <w:t>$</w:t>
      </w:r>
      <w:r w:rsidR="00A421B2" w:rsidRPr="008A7A35">
        <w:rPr>
          <w:rFonts w:ascii="Arial" w:hAnsi="Arial" w:cs="Arial"/>
        </w:rPr>
        <w:t>17.7</w:t>
      </w:r>
      <w:r w:rsidR="00EE6564" w:rsidRPr="008A7A35">
        <w:rPr>
          <w:rFonts w:ascii="Arial" w:hAnsi="Arial" w:cs="Arial"/>
        </w:rPr>
        <w:t xml:space="preserve"> </w:t>
      </w:r>
      <w:r w:rsidR="00FE4A76" w:rsidRPr="008A7A35">
        <w:rPr>
          <w:rFonts w:ascii="Arial" w:hAnsi="Arial" w:cs="Arial"/>
        </w:rPr>
        <w:t>m</w:t>
      </w:r>
      <w:r w:rsidR="00872497" w:rsidRPr="008A7A35">
        <w:rPr>
          <w:rFonts w:ascii="Arial" w:hAnsi="Arial" w:cs="Arial"/>
        </w:rPr>
        <w:t>illion</w:t>
      </w:r>
      <w:r w:rsidR="009A03F0" w:rsidRPr="008A7A35">
        <w:rPr>
          <w:rFonts w:ascii="Arial" w:hAnsi="Arial" w:cs="Arial"/>
        </w:rPr>
        <w:t>, $</w:t>
      </w:r>
      <w:r w:rsidR="003A6966" w:rsidRPr="008A7A35">
        <w:rPr>
          <w:rFonts w:ascii="Arial" w:hAnsi="Arial" w:cs="Arial"/>
        </w:rPr>
        <w:t>14.4</w:t>
      </w:r>
      <w:r w:rsidR="00FE4A76" w:rsidRPr="008A7A35">
        <w:rPr>
          <w:rFonts w:ascii="Arial" w:hAnsi="Arial" w:cs="Arial"/>
        </w:rPr>
        <w:t xml:space="preserve"> million</w:t>
      </w:r>
      <w:r w:rsidR="00302D95">
        <w:rPr>
          <w:rFonts w:ascii="Arial" w:hAnsi="Arial" w:cs="Arial"/>
        </w:rPr>
        <w:t>,</w:t>
      </w:r>
      <w:r w:rsidRPr="008A7A35">
        <w:rPr>
          <w:rFonts w:ascii="Arial" w:hAnsi="Arial" w:cs="Arial"/>
        </w:rPr>
        <w:t xml:space="preserve"> </w:t>
      </w:r>
      <w:r w:rsidR="000779F3" w:rsidRPr="008A7A35">
        <w:rPr>
          <w:rFonts w:ascii="Arial" w:hAnsi="Arial" w:cs="Arial"/>
        </w:rPr>
        <w:t>$</w:t>
      </w:r>
      <w:r w:rsidR="003A6966" w:rsidRPr="008A7A35">
        <w:rPr>
          <w:rFonts w:ascii="Arial" w:hAnsi="Arial" w:cs="Arial"/>
        </w:rPr>
        <w:t>7.4</w:t>
      </w:r>
      <w:r w:rsidR="000779F3" w:rsidRPr="008A7A35">
        <w:rPr>
          <w:rFonts w:ascii="Arial" w:hAnsi="Arial" w:cs="Arial"/>
        </w:rPr>
        <w:t xml:space="preserve"> </w:t>
      </w:r>
      <w:r w:rsidRPr="008A7A35">
        <w:rPr>
          <w:rFonts w:ascii="Arial" w:hAnsi="Arial" w:cs="Arial"/>
        </w:rPr>
        <w:t>million held at REL US Corp</w:t>
      </w:r>
      <w:r w:rsidR="00302D95">
        <w:rPr>
          <w:rFonts w:ascii="Arial" w:hAnsi="Arial" w:cs="Arial"/>
        </w:rPr>
        <w:t xml:space="preserve"> and $0.</w:t>
      </w:r>
      <w:r w:rsidR="001167C4">
        <w:rPr>
          <w:rFonts w:ascii="Arial" w:hAnsi="Arial" w:cs="Arial"/>
        </w:rPr>
        <w:t>1</w:t>
      </w:r>
      <w:r w:rsidR="00302D95">
        <w:rPr>
          <w:rFonts w:ascii="Arial" w:hAnsi="Arial" w:cs="Arial"/>
        </w:rPr>
        <w:t xml:space="preserve"> million, nil and nil held at REL Cayman Holdings.</w:t>
      </w:r>
    </w:p>
    <w:p w14:paraId="35C16E94" w14:textId="01440E82" w:rsidR="00FD465D" w:rsidRPr="008A7A35" w:rsidRDefault="00FD465D" w:rsidP="00AC1F2F">
      <w:pPr>
        <w:pStyle w:val="CommentText"/>
        <w:ind w:left="170" w:hanging="170"/>
        <w:rPr>
          <w:sz w:val="16"/>
          <w:szCs w:val="16"/>
        </w:rPr>
      </w:pPr>
      <w:r w:rsidRPr="008A7A35">
        <w:rPr>
          <w:rFonts w:ascii="Arial" w:hAnsi="Arial" w:cs="Arial"/>
          <w:sz w:val="16"/>
          <w:szCs w:val="24"/>
          <w:vertAlign w:val="superscript"/>
        </w:rPr>
        <w:t>(</w:t>
      </w:r>
      <w:r w:rsidR="003B450C" w:rsidRPr="008A7A35">
        <w:rPr>
          <w:rFonts w:ascii="Arial" w:hAnsi="Arial" w:cs="Arial"/>
          <w:sz w:val="16"/>
          <w:szCs w:val="24"/>
          <w:vertAlign w:val="superscript"/>
        </w:rPr>
        <w:t>6</w:t>
      </w:r>
      <w:r w:rsidRPr="008A7A35">
        <w:rPr>
          <w:rFonts w:ascii="Arial" w:hAnsi="Arial" w:cs="Arial"/>
          <w:sz w:val="16"/>
          <w:szCs w:val="24"/>
          <w:vertAlign w:val="superscript"/>
        </w:rPr>
        <w:t>)</w:t>
      </w:r>
      <w:r w:rsidRPr="008A7A35">
        <w:rPr>
          <w:rFonts w:ascii="Arial" w:hAnsi="Arial" w:cs="Arial"/>
        </w:rPr>
        <w:t xml:space="preserve"> </w:t>
      </w:r>
      <w:r w:rsidR="0088521A" w:rsidRPr="008A7A35">
        <w:rPr>
          <w:rFonts w:ascii="Arial" w:hAnsi="Arial" w:cs="Arial"/>
          <w:sz w:val="16"/>
          <w:szCs w:val="16"/>
        </w:rPr>
        <w:t>U</w:t>
      </w:r>
      <w:r w:rsidRPr="008A7A35">
        <w:rPr>
          <w:rFonts w:ascii="Arial" w:hAnsi="Arial" w:cs="Arial"/>
          <w:sz w:val="16"/>
          <w:szCs w:val="16"/>
        </w:rPr>
        <w:t xml:space="preserve">nrestricted marketable securities held by the Partnership consist of </w:t>
      </w:r>
      <w:r w:rsidR="005464B7" w:rsidRPr="008A7A35">
        <w:rPr>
          <w:rFonts w:ascii="Arial" w:hAnsi="Arial" w:cs="Arial"/>
          <w:sz w:val="16"/>
          <w:szCs w:val="16"/>
        </w:rPr>
        <w:t>publicly traded</w:t>
      </w:r>
      <w:r w:rsidRPr="008A7A35">
        <w:rPr>
          <w:rFonts w:ascii="Arial" w:hAnsi="Arial" w:cs="Arial"/>
          <w:sz w:val="16"/>
          <w:szCs w:val="16"/>
        </w:rPr>
        <w:t xml:space="preserve"> shares of </w:t>
      </w:r>
      <w:r w:rsidR="003A6966" w:rsidRPr="008A7A35">
        <w:rPr>
          <w:rFonts w:ascii="Arial" w:hAnsi="Arial" w:cs="Arial"/>
          <w:sz w:val="16"/>
          <w:szCs w:val="16"/>
        </w:rPr>
        <w:t>White</w:t>
      </w:r>
      <w:r w:rsidR="009A4EB9" w:rsidRPr="008A7A35">
        <w:rPr>
          <w:rFonts w:ascii="Arial" w:hAnsi="Arial" w:cs="Arial"/>
          <w:sz w:val="16"/>
          <w:szCs w:val="16"/>
        </w:rPr>
        <w:t>c</w:t>
      </w:r>
      <w:r w:rsidR="003A6966" w:rsidRPr="008A7A35">
        <w:rPr>
          <w:rFonts w:ascii="Arial" w:hAnsi="Arial" w:cs="Arial"/>
          <w:sz w:val="16"/>
          <w:szCs w:val="16"/>
        </w:rPr>
        <w:t>ap</w:t>
      </w:r>
      <w:r w:rsidR="009A4EB9" w:rsidRPr="008A7A35">
        <w:rPr>
          <w:rFonts w:ascii="Arial" w:hAnsi="Arial" w:cs="Arial"/>
          <w:sz w:val="16"/>
          <w:szCs w:val="16"/>
        </w:rPr>
        <w:t xml:space="preserve"> Resources</w:t>
      </w:r>
      <w:r w:rsidR="00431CB2" w:rsidRPr="008A7A35">
        <w:rPr>
          <w:rFonts w:ascii="Arial" w:hAnsi="Arial" w:cs="Arial"/>
          <w:sz w:val="16"/>
          <w:szCs w:val="16"/>
        </w:rPr>
        <w:t xml:space="preserve"> (formerly </w:t>
      </w:r>
      <w:r w:rsidR="003A6966" w:rsidRPr="008A7A35">
        <w:rPr>
          <w:rFonts w:ascii="Arial" w:hAnsi="Arial" w:cs="Arial"/>
          <w:sz w:val="16"/>
          <w:szCs w:val="16"/>
        </w:rPr>
        <w:t>Veren</w:t>
      </w:r>
      <w:r w:rsidR="001F7749" w:rsidRPr="008A7A35">
        <w:rPr>
          <w:rFonts w:ascii="Arial" w:hAnsi="Arial" w:cs="Arial"/>
          <w:sz w:val="16"/>
          <w:szCs w:val="16"/>
        </w:rPr>
        <w:t>)</w:t>
      </w:r>
      <w:r w:rsidR="00C27693" w:rsidRPr="008A7A35">
        <w:rPr>
          <w:rFonts w:ascii="Arial" w:hAnsi="Arial" w:cs="Arial"/>
          <w:sz w:val="16"/>
          <w:szCs w:val="16"/>
        </w:rPr>
        <w:t xml:space="preserve">, </w:t>
      </w:r>
      <w:r w:rsidR="00CC4D22" w:rsidRPr="008A7A35">
        <w:rPr>
          <w:rFonts w:ascii="Arial" w:hAnsi="Arial" w:cs="Arial"/>
          <w:sz w:val="16"/>
          <w:szCs w:val="24"/>
        </w:rPr>
        <w:t>Permia</w:t>
      </w:r>
      <w:r w:rsidR="00D24146" w:rsidRPr="008A7A35">
        <w:rPr>
          <w:rFonts w:ascii="Arial" w:hAnsi="Arial" w:cs="Arial"/>
          <w:sz w:val="16"/>
          <w:szCs w:val="24"/>
        </w:rPr>
        <w:t>n</w:t>
      </w:r>
      <w:r w:rsidR="00CC4D22" w:rsidRPr="008A7A35">
        <w:rPr>
          <w:rFonts w:ascii="Arial" w:hAnsi="Arial" w:cs="Arial"/>
          <w:sz w:val="16"/>
          <w:szCs w:val="24"/>
        </w:rPr>
        <w:t xml:space="preserve"> Resources</w:t>
      </w:r>
      <w:r w:rsidR="00BA4421">
        <w:rPr>
          <w:rFonts w:ascii="Arial" w:hAnsi="Arial" w:cs="Arial"/>
          <w:sz w:val="16"/>
          <w:szCs w:val="24"/>
        </w:rPr>
        <w:t xml:space="preserve"> and</w:t>
      </w:r>
      <w:r w:rsidR="00CC4D22" w:rsidRPr="008A7A35">
        <w:rPr>
          <w:rFonts w:ascii="Arial" w:hAnsi="Arial" w:cs="Arial"/>
          <w:sz w:val="16"/>
          <w:szCs w:val="24"/>
        </w:rPr>
        <w:t xml:space="preserve"> Solid Power</w:t>
      </w:r>
      <w:r w:rsidR="003A6966" w:rsidRPr="008A7A35">
        <w:rPr>
          <w:rFonts w:ascii="Arial" w:hAnsi="Arial" w:cs="Arial"/>
          <w:sz w:val="16"/>
          <w:szCs w:val="24"/>
        </w:rPr>
        <w:t xml:space="preserve"> </w:t>
      </w:r>
      <w:r w:rsidRPr="008A7A35">
        <w:rPr>
          <w:rFonts w:ascii="Arial" w:hAnsi="Arial" w:cs="Arial"/>
          <w:sz w:val="16"/>
          <w:szCs w:val="24"/>
        </w:rPr>
        <w:t>f</w:t>
      </w:r>
      <w:r w:rsidRPr="008A7A35">
        <w:rPr>
          <w:rFonts w:ascii="Arial" w:hAnsi="Arial" w:cs="Arial"/>
          <w:sz w:val="16"/>
          <w:szCs w:val="16"/>
        </w:rPr>
        <w:t xml:space="preserve">or which the aggregate fair value was </w:t>
      </w:r>
      <w:r w:rsidR="00CC4D22" w:rsidRPr="008A7A35">
        <w:rPr>
          <w:rFonts w:ascii="Arial" w:hAnsi="Arial" w:cs="Arial"/>
          <w:sz w:val="16"/>
          <w:szCs w:val="24"/>
        </w:rPr>
        <w:t>$</w:t>
      </w:r>
      <w:r w:rsidR="00A421B2" w:rsidRPr="008A7A35">
        <w:rPr>
          <w:rFonts w:ascii="Arial" w:hAnsi="Arial" w:cs="Arial"/>
          <w:sz w:val="16"/>
          <w:szCs w:val="24"/>
        </w:rPr>
        <w:t>211</w:t>
      </w:r>
      <w:r w:rsidR="00B82C41" w:rsidRPr="008A7A35">
        <w:rPr>
          <w:rFonts w:ascii="Arial" w:hAnsi="Arial" w:cs="Arial"/>
          <w:sz w:val="16"/>
          <w:szCs w:val="16"/>
        </w:rPr>
        <w:t xml:space="preserve"> </w:t>
      </w:r>
      <w:r w:rsidRPr="008A7A35">
        <w:rPr>
          <w:rFonts w:ascii="Arial" w:hAnsi="Arial" w:cs="Arial"/>
          <w:sz w:val="16"/>
          <w:szCs w:val="16"/>
        </w:rPr>
        <w:t>million</w:t>
      </w:r>
      <w:r w:rsidR="00243632" w:rsidRPr="008A7A35">
        <w:rPr>
          <w:rFonts w:ascii="Arial" w:hAnsi="Arial" w:cs="Arial"/>
          <w:sz w:val="16"/>
          <w:szCs w:val="16"/>
        </w:rPr>
        <w:t xml:space="preserve"> </w:t>
      </w:r>
      <w:proofErr w:type="gramStart"/>
      <w:r w:rsidR="00243632" w:rsidRPr="008A7A35">
        <w:rPr>
          <w:rFonts w:ascii="Arial" w:hAnsi="Arial" w:cs="Arial"/>
          <w:sz w:val="16"/>
          <w:szCs w:val="16"/>
        </w:rPr>
        <w:t>at</w:t>
      </w:r>
      <w:proofErr w:type="gramEnd"/>
      <w:r w:rsidR="00243632" w:rsidRPr="008A7A35">
        <w:rPr>
          <w:rFonts w:ascii="Arial" w:hAnsi="Arial" w:cs="Arial"/>
          <w:sz w:val="16"/>
          <w:szCs w:val="16"/>
        </w:rPr>
        <w:t xml:space="preserve"> 30 June </w:t>
      </w:r>
      <w:r w:rsidR="00243632" w:rsidRPr="000652C9">
        <w:rPr>
          <w:rFonts w:ascii="Arial" w:hAnsi="Arial" w:cs="Arial"/>
          <w:sz w:val="16"/>
          <w:szCs w:val="16"/>
        </w:rPr>
        <w:t>2025</w:t>
      </w:r>
      <w:r w:rsidRPr="000652C9">
        <w:rPr>
          <w:rFonts w:ascii="Arial" w:hAnsi="Arial" w:cs="Arial"/>
          <w:sz w:val="16"/>
          <w:szCs w:val="16"/>
        </w:rPr>
        <w:t xml:space="preserve"> </w:t>
      </w:r>
      <w:r w:rsidR="0088521A" w:rsidRPr="000652C9">
        <w:rPr>
          <w:rFonts w:ascii="Arial" w:hAnsi="Arial" w:cs="Arial"/>
          <w:sz w:val="16"/>
          <w:szCs w:val="16"/>
        </w:rPr>
        <w:t xml:space="preserve">and </w:t>
      </w:r>
      <w:r w:rsidR="000652C9" w:rsidRPr="00BD0D05">
        <w:rPr>
          <w:rFonts w:ascii="Arial" w:hAnsi="Arial" w:cs="Arial"/>
          <w:sz w:val="16"/>
          <w:szCs w:val="16"/>
        </w:rPr>
        <w:t>$241 million</w:t>
      </w:r>
      <w:r w:rsidR="00B15284" w:rsidRPr="000652C9">
        <w:rPr>
          <w:rFonts w:ascii="Arial" w:hAnsi="Arial" w:cs="Arial"/>
          <w:sz w:val="16"/>
          <w:szCs w:val="16"/>
        </w:rPr>
        <w:t xml:space="preserve"> as of </w:t>
      </w:r>
      <w:r w:rsidR="000652C9" w:rsidRPr="000652C9">
        <w:rPr>
          <w:rFonts w:ascii="Arial" w:hAnsi="Arial" w:cs="Arial"/>
          <w:sz w:val="16"/>
          <w:szCs w:val="16"/>
        </w:rPr>
        <w:t xml:space="preserve">25 </w:t>
      </w:r>
      <w:r w:rsidR="00B15284" w:rsidRPr="000652C9">
        <w:rPr>
          <w:rFonts w:ascii="Arial" w:hAnsi="Arial" w:cs="Arial"/>
          <w:sz w:val="16"/>
          <w:szCs w:val="16"/>
        </w:rPr>
        <w:t xml:space="preserve">August 2025 </w:t>
      </w:r>
      <w:r w:rsidRPr="000652C9">
        <w:rPr>
          <w:rFonts w:ascii="Arial" w:hAnsi="Arial" w:cs="Arial"/>
          <w:sz w:val="16"/>
          <w:szCs w:val="16"/>
        </w:rPr>
        <w:t xml:space="preserve">(31 </w:t>
      </w:r>
      <w:r w:rsidR="007223DD" w:rsidRPr="000652C9">
        <w:rPr>
          <w:rFonts w:ascii="Arial" w:hAnsi="Arial" w:cs="Arial"/>
          <w:sz w:val="16"/>
          <w:szCs w:val="16"/>
        </w:rPr>
        <w:t xml:space="preserve">December </w:t>
      </w:r>
      <w:r w:rsidRPr="000652C9">
        <w:rPr>
          <w:rFonts w:ascii="Arial" w:hAnsi="Arial" w:cs="Arial"/>
          <w:sz w:val="16"/>
          <w:szCs w:val="16"/>
        </w:rPr>
        <w:t>20</w:t>
      </w:r>
      <w:r w:rsidR="000322BE" w:rsidRPr="000652C9">
        <w:rPr>
          <w:rFonts w:ascii="Arial" w:hAnsi="Arial" w:cs="Arial"/>
          <w:sz w:val="16"/>
          <w:szCs w:val="16"/>
        </w:rPr>
        <w:t>2</w:t>
      </w:r>
      <w:r w:rsidR="003A6966" w:rsidRPr="000652C9">
        <w:rPr>
          <w:rFonts w:ascii="Arial" w:hAnsi="Arial" w:cs="Arial"/>
          <w:sz w:val="16"/>
          <w:szCs w:val="16"/>
        </w:rPr>
        <w:t>4</w:t>
      </w:r>
      <w:r w:rsidRPr="000652C9">
        <w:rPr>
          <w:rFonts w:ascii="Arial" w:hAnsi="Arial" w:cs="Arial"/>
          <w:sz w:val="16"/>
          <w:szCs w:val="16"/>
        </w:rPr>
        <w:t xml:space="preserve">: </w:t>
      </w:r>
      <w:r w:rsidR="00935DC1" w:rsidRPr="000652C9">
        <w:rPr>
          <w:rFonts w:ascii="Arial" w:hAnsi="Arial" w:cs="Arial"/>
          <w:sz w:val="16"/>
          <w:szCs w:val="16"/>
        </w:rPr>
        <w:t>$201 million</w:t>
      </w:r>
      <w:r w:rsidR="00D22788" w:rsidRPr="000652C9">
        <w:rPr>
          <w:rFonts w:ascii="Arial" w:hAnsi="Arial" w:cs="Arial"/>
          <w:sz w:val="16"/>
          <w:szCs w:val="16"/>
        </w:rPr>
        <w:t xml:space="preserve"> and </w:t>
      </w:r>
      <w:r w:rsidR="00460698" w:rsidRPr="000652C9">
        <w:rPr>
          <w:rFonts w:ascii="Arial" w:hAnsi="Arial" w:cs="Arial"/>
          <w:sz w:val="16"/>
          <w:szCs w:val="16"/>
        </w:rPr>
        <w:t xml:space="preserve">30 June 2024: </w:t>
      </w:r>
      <w:r w:rsidR="00D22788" w:rsidRPr="000652C9">
        <w:rPr>
          <w:rFonts w:ascii="Arial" w:hAnsi="Arial" w:cs="Arial"/>
          <w:sz w:val="16"/>
          <w:szCs w:val="16"/>
        </w:rPr>
        <w:t>$241 million</w:t>
      </w:r>
      <w:r w:rsidR="00935DC1" w:rsidRPr="000652C9">
        <w:rPr>
          <w:rFonts w:ascii="Arial" w:hAnsi="Arial" w:cs="Arial"/>
          <w:sz w:val="16"/>
          <w:szCs w:val="16"/>
        </w:rPr>
        <w:t>).</w:t>
      </w:r>
    </w:p>
    <w:p w14:paraId="00B3E545" w14:textId="10BE12DB" w:rsidR="00641225" w:rsidRPr="008A7A35" w:rsidRDefault="00641225" w:rsidP="00641225">
      <w:pPr>
        <w:pStyle w:val="Default"/>
        <w:rPr>
          <w:rFonts w:eastAsia="Times New Roman"/>
          <w:color w:val="auto"/>
          <w:sz w:val="16"/>
          <w:szCs w:val="16"/>
        </w:rPr>
      </w:pPr>
      <w:r w:rsidRPr="008A7A35">
        <w:rPr>
          <w:rFonts w:eastAsia="Times New Roman"/>
          <w:color w:val="auto"/>
          <w:sz w:val="16"/>
          <w:vertAlign w:val="superscript"/>
        </w:rPr>
        <w:t>(</w:t>
      </w:r>
      <w:r w:rsidR="00A8199F" w:rsidRPr="008A7A35">
        <w:rPr>
          <w:rFonts w:eastAsia="Times New Roman"/>
          <w:color w:val="auto"/>
          <w:sz w:val="16"/>
          <w:vertAlign w:val="superscript"/>
        </w:rPr>
        <w:t>7</w:t>
      </w:r>
      <w:r w:rsidRPr="008A7A35">
        <w:rPr>
          <w:rFonts w:eastAsia="Times New Roman"/>
          <w:color w:val="auto"/>
          <w:sz w:val="16"/>
          <w:vertAlign w:val="superscript"/>
        </w:rPr>
        <w:t>)</w:t>
      </w:r>
      <w:r w:rsidRPr="008A7A35">
        <w:rPr>
          <w:rFonts w:eastAsia="Times New Roman"/>
          <w:color w:val="auto"/>
          <w:sz w:val="16"/>
          <w:szCs w:val="16"/>
        </w:rPr>
        <w:t xml:space="preserve"> Inception to date total number of shares repurchased </w:t>
      </w:r>
      <w:r w:rsidR="008E5A4A" w:rsidRPr="008A7A35">
        <w:rPr>
          <w:rFonts w:eastAsia="Times New Roman"/>
          <w:color w:val="auto"/>
          <w:sz w:val="16"/>
          <w:szCs w:val="16"/>
        </w:rPr>
        <w:t xml:space="preserve">was </w:t>
      </w:r>
      <w:r w:rsidR="00790EDA">
        <w:rPr>
          <w:sz w:val="16"/>
        </w:rPr>
        <w:t>59,888,684</w:t>
      </w:r>
      <w:r w:rsidR="003A6966" w:rsidRPr="008A7A35">
        <w:rPr>
          <w:sz w:val="16"/>
        </w:rPr>
        <w:t xml:space="preserve"> </w:t>
      </w:r>
      <w:r w:rsidRPr="008A7A35">
        <w:rPr>
          <w:rFonts w:eastAsia="Times New Roman"/>
          <w:color w:val="auto"/>
          <w:sz w:val="16"/>
          <w:szCs w:val="16"/>
        </w:rPr>
        <w:t>at an average price per share of £</w:t>
      </w:r>
      <w:r w:rsidR="00790EDA">
        <w:rPr>
          <w:sz w:val="16"/>
        </w:rPr>
        <w:t>6.61</w:t>
      </w:r>
      <w:r w:rsidR="003A6966" w:rsidRPr="008A7A35">
        <w:rPr>
          <w:sz w:val="16"/>
        </w:rPr>
        <w:t xml:space="preserve"> </w:t>
      </w:r>
      <w:r w:rsidRPr="008A7A35">
        <w:rPr>
          <w:rFonts w:eastAsia="Times New Roman"/>
          <w:color w:val="auto"/>
          <w:sz w:val="16"/>
          <w:szCs w:val="16"/>
        </w:rPr>
        <w:t>($</w:t>
      </w:r>
      <w:r w:rsidR="00790EDA">
        <w:rPr>
          <w:rFonts w:eastAsia="Times New Roman"/>
          <w:color w:val="auto"/>
          <w:sz w:val="16"/>
          <w:szCs w:val="16"/>
        </w:rPr>
        <w:t>8.39</w:t>
      </w:r>
      <w:r w:rsidRPr="008A7A35">
        <w:rPr>
          <w:rFonts w:eastAsia="Times New Roman"/>
          <w:color w:val="auto"/>
          <w:sz w:val="16"/>
          <w:szCs w:val="16"/>
        </w:rPr>
        <w:t>).</w:t>
      </w:r>
    </w:p>
    <w:p w14:paraId="045E5F98" w14:textId="77777777" w:rsidR="00FD465D" w:rsidRPr="008A7A35" w:rsidRDefault="00FD465D" w:rsidP="00FD465D">
      <w:pPr>
        <w:pStyle w:val="FootnoteText"/>
        <w:ind w:left="170" w:hanging="170"/>
        <w:rPr>
          <w:rFonts w:ascii="Arial" w:hAnsi="Arial" w:cs="Arial"/>
        </w:rPr>
      </w:pPr>
    </w:p>
    <w:p w14:paraId="1279ACD0" w14:textId="0750B70B" w:rsidR="001D0EB8" w:rsidRPr="008A7A35" w:rsidRDefault="00590232" w:rsidP="001D0EB8">
      <w:pPr>
        <w:pStyle w:val="Heading1"/>
        <w:rPr>
          <w:rFonts w:cs="Arial"/>
          <w:szCs w:val="30"/>
        </w:rPr>
      </w:pPr>
      <w:r w:rsidRPr="008A7A35">
        <w:rPr>
          <w:rFonts w:cs="Arial"/>
          <w:szCs w:val="30"/>
        </w:rPr>
        <w:t xml:space="preserve">BOARD </w:t>
      </w:r>
      <w:r w:rsidR="001D0EB8" w:rsidRPr="008A7A35">
        <w:rPr>
          <w:rFonts w:cs="Arial"/>
          <w:szCs w:val="30"/>
        </w:rPr>
        <w:t>Chair’s Statement</w:t>
      </w:r>
    </w:p>
    <w:p w14:paraId="25C8C0ED" w14:textId="77777777" w:rsidR="00590232" w:rsidRPr="008A7A35" w:rsidRDefault="00590232" w:rsidP="001D0EB8">
      <w:pPr>
        <w:pStyle w:val="Bodytext"/>
        <w:rPr>
          <w:rFonts w:cs="Arial"/>
          <w:szCs w:val="20"/>
        </w:rPr>
      </w:pPr>
    </w:p>
    <w:p w14:paraId="05AE3B3E" w14:textId="77777777" w:rsidR="008F3955" w:rsidRPr="008A7A35" w:rsidRDefault="008F3955" w:rsidP="000F617B">
      <w:pPr>
        <w:jc w:val="both"/>
        <w:rPr>
          <w:rFonts w:ascii="Arial" w:hAnsi="Arial" w:cs="Arial"/>
          <w:sz w:val="20"/>
          <w:szCs w:val="20"/>
        </w:rPr>
      </w:pPr>
    </w:p>
    <w:p w14:paraId="2277F899" w14:textId="77777777" w:rsidR="00AF65A3" w:rsidRPr="008A7A35" w:rsidRDefault="00AF65A3" w:rsidP="00AF65A3">
      <w:pPr>
        <w:jc w:val="both"/>
        <w:rPr>
          <w:rFonts w:ascii="Arial" w:hAnsi="Arial" w:cs="Arial"/>
          <w:b/>
          <w:bCs/>
          <w:sz w:val="20"/>
          <w:szCs w:val="20"/>
        </w:rPr>
      </w:pPr>
      <w:r w:rsidRPr="008A7A35">
        <w:rPr>
          <w:rFonts w:ascii="Arial" w:hAnsi="Arial" w:cs="Arial"/>
          <w:b/>
          <w:bCs/>
          <w:sz w:val="20"/>
          <w:szCs w:val="20"/>
        </w:rPr>
        <w:t>Dear Shareholder,</w:t>
      </w:r>
    </w:p>
    <w:p w14:paraId="178204E0" w14:textId="77777777" w:rsidR="00863CDF" w:rsidRPr="008A7A35" w:rsidRDefault="00863CDF" w:rsidP="00AF65A3">
      <w:pPr>
        <w:jc w:val="both"/>
        <w:rPr>
          <w:rFonts w:ascii="Arial" w:hAnsi="Arial" w:cs="Arial"/>
          <w:sz w:val="20"/>
          <w:szCs w:val="20"/>
        </w:rPr>
      </w:pPr>
    </w:p>
    <w:p w14:paraId="4AB2CF68" w14:textId="495DAEA2" w:rsidR="005F1240" w:rsidRDefault="005F1240" w:rsidP="00AF65A3">
      <w:pPr>
        <w:jc w:val="both"/>
        <w:rPr>
          <w:rFonts w:ascii="Arial" w:hAnsi="Arial" w:cs="Arial"/>
          <w:sz w:val="20"/>
          <w:szCs w:val="20"/>
        </w:rPr>
      </w:pPr>
      <w:r>
        <w:rPr>
          <w:rFonts w:ascii="Arial" w:hAnsi="Arial" w:cs="Arial"/>
          <w:sz w:val="20"/>
          <w:szCs w:val="20"/>
        </w:rPr>
        <w:t xml:space="preserve">Following </w:t>
      </w:r>
      <w:r w:rsidR="00ED24DD">
        <w:rPr>
          <w:rFonts w:ascii="Arial" w:hAnsi="Arial" w:cs="Arial"/>
          <w:sz w:val="20"/>
          <w:szCs w:val="20"/>
        </w:rPr>
        <w:t>S</w:t>
      </w:r>
      <w:r>
        <w:rPr>
          <w:rFonts w:ascii="Arial" w:hAnsi="Arial" w:cs="Arial"/>
          <w:sz w:val="20"/>
          <w:szCs w:val="20"/>
        </w:rPr>
        <w:t>hareholder approval at the Extraordinary General Meeting (“EGM”) held on 22 August 2025, Riverstone Energy Limited (the “Company”) is now commencing a managed wind-down process</w:t>
      </w:r>
      <w:r w:rsidR="007C1B2E">
        <w:rPr>
          <w:rFonts w:ascii="Arial" w:hAnsi="Arial" w:cs="Arial"/>
          <w:sz w:val="20"/>
          <w:szCs w:val="20"/>
        </w:rPr>
        <w:t xml:space="preserve"> (“Managed Wind-Down”)</w:t>
      </w:r>
      <w:r w:rsidR="003B35F4">
        <w:rPr>
          <w:rFonts w:ascii="Arial" w:hAnsi="Arial" w:cs="Arial"/>
          <w:sz w:val="20"/>
          <w:szCs w:val="20"/>
        </w:rPr>
        <w:t>, further summarised below, with the objective of realising all the existing assets in an orderly manner.</w:t>
      </w:r>
      <w:r>
        <w:rPr>
          <w:rFonts w:ascii="Arial" w:hAnsi="Arial" w:cs="Arial"/>
          <w:sz w:val="20"/>
          <w:szCs w:val="20"/>
        </w:rPr>
        <w:t xml:space="preserve"> </w:t>
      </w:r>
      <w:r w:rsidR="00427744">
        <w:rPr>
          <w:rFonts w:ascii="Arial" w:hAnsi="Arial" w:cs="Arial"/>
          <w:sz w:val="20"/>
          <w:szCs w:val="20"/>
        </w:rPr>
        <w:t xml:space="preserve">The </w:t>
      </w:r>
      <w:r w:rsidR="007C1B2E">
        <w:rPr>
          <w:rFonts w:ascii="Arial" w:hAnsi="Arial" w:cs="Arial"/>
          <w:sz w:val="20"/>
          <w:szCs w:val="20"/>
        </w:rPr>
        <w:t>Managed Wind-Down</w:t>
      </w:r>
      <w:r w:rsidR="00427744">
        <w:rPr>
          <w:rFonts w:ascii="Arial" w:hAnsi="Arial" w:cs="Arial"/>
          <w:sz w:val="20"/>
          <w:szCs w:val="20"/>
        </w:rPr>
        <w:t xml:space="preserve"> process will not result in a liquidation of the Company in the immediate </w:t>
      </w:r>
      <w:proofErr w:type="gramStart"/>
      <w:r w:rsidR="00427744">
        <w:rPr>
          <w:rFonts w:ascii="Arial" w:hAnsi="Arial" w:cs="Arial"/>
          <w:sz w:val="20"/>
          <w:szCs w:val="20"/>
        </w:rPr>
        <w:t>future</w:t>
      </w:r>
      <w:proofErr w:type="gramEnd"/>
      <w:r w:rsidR="00427744">
        <w:rPr>
          <w:rFonts w:ascii="Arial" w:hAnsi="Arial" w:cs="Arial"/>
          <w:sz w:val="20"/>
          <w:szCs w:val="20"/>
        </w:rPr>
        <w:t xml:space="preserve"> and the Board will seek to implement the </w:t>
      </w:r>
      <w:r w:rsidR="007C1B2E">
        <w:rPr>
          <w:rFonts w:ascii="Arial" w:hAnsi="Arial" w:cs="Arial"/>
          <w:sz w:val="20"/>
          <w:szCs w:val="20"/>
        </w:rPr>
        <w:t>Managed Wind-Down</w:t>
      </w:r>
      <w:r w:rsidR="00427744">
        <w:rPr>
          <w:rFonts w:ascii="Arial" w:hAnsi="Arial" w:cs="Arial"/>
          <w:sz w:val="20"/>
          <w:szCs w:val="20"/>
        </w:rPr>
        <w:t xml:space="preserve"> in a manner that maximises value for Shareholders.</w:t>
      </w:r>
    </w:p>
    <w:p w14:paraId="76D50D69" w14:textId="77777777" w:rsidR="005F1240" w:rsidRDefault="005F1240" w:rsidP="00AF65A3">
      <w:pPr>
        <w:jc w:val="both"/>
        <w:rPr>
          <w:rFonts w:ascii="Arial" w:hAnsi="Arial" w:cs="Arial"/>
          <w:sz w:val="20"/>
          <w:szCs w:val="20"/>
        </w:rPr>
      </w:pPr>
    </w:p>
    <w:p w14:paraId="6F88CE1C" w14:textId="6781BA4D"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There can be no doubt that the macroeconomic outlook entering 2025 has worsened </w:t>
      </w:r>
      <w:r w:rsidR="00E60205" w:rsidRPr="008A7A35">
        <w:rPr>
          <w:rFonts w:ascii="Arial" w:hAnsi="Arial" w:cs="Arial"/>
          <w:sz w:val="20"/>
          <w:szCs w:val="20"/>
        </w:rPr>
        <w:t>and geopolitical</w:t>
      </w:r>
      <w:r w:rsidRPr="008A7A35">
        <w:rPr>
          <w:rFonts w:ascii="Arial" w:hAnsi="Arial" w:cs="Arial"/>
          <w:sz w:val="20"/>
          <w:szCs w:val="20"/>
        </w:rPr>
        <w:t xml:space="preserve"> uncertainty remains elevated across the globe. In Ukraine, despite hopes for a ceasefire earlier in the year, the conflict has shown no signs of abating. In the Middle East, hostilities escalated significantly, with Israel and the U.S. striking Iranian nuclear infrastructure. While the situation appears contained for now, any move by Iran to close the Straits of Hormuz would have seismic repercussions for the global energy sector and the broader world economy.</w:t>
      </w:r>
    </w:p>
    <w:p w14:paraId="035508AB" w14:textId="77777777" w:rsidR="00AF65A3" w:rsidRPr="008A7A35" w:rsidRDefault="00AF65A3" w:rsidP="00AF65A3">
      <w:pPr>
        <w:jc w:val="both"/>
        <w:rPr>
          <w:rFonts w:ascii="Arial" w:hAnsi="Arial" w:cs="Arial"/>
          <w:sz w:val="20"/>
          <w:szCs w:val="20"/>
        </w:rPr>
      </w:pPr>
    </w:p>
    <w:p w14:paraId="6E5801C7" w14:textId="77777777" w:rsidR="00AF65A3" w:rsidRPr="008A7A35" w:rsidRDefault="00AF65A3" w:rsidP="00AF65A3">
      <w:pPr>
        <w:jc w:val="both"/>
        <w:rPr>
          <w:rFonts w:ascii="Arial" w:hAnsi="Arial" w:cs="Arial"/>
          <w:sz w:val="20"/>
          <w:szCs w:val="20"/>
        </w:rPr>
      </w:pPr>
      <w:r w:rsidRPr="008A7A35">
        <w:rPr>
          <w:rFonts w:ascii="Arial" w:hAnsi="Arial" w:cs="Arial"/>
          <w:sz w:val="20"/>
          <w:szCs w:val="20"/>
        </w:rPr>
        <w:t>This uncertain outlook has been compounded by policy volatility, persistent inflation, and shifting expectations around interest rates. President Trump’s April announcement of wide-ranging tariffs on major trading partners further unsettled markets. Although inflation has eased from its post-pandemic highs, concerns that tariff barriers will increase trade frictions and supply chain costs have led to expectations that inflation will prove more persistent than many central banks had anticipated. As a result, both the Federal Reserve and the Bank of England have slowed the pace of interest rate cuts, reinforcing the view that higher rates may remain in place for longer and increasing the costs of borrowing for business and governments alike.</w:t>
      </w:r>
    </w:p>
    <w:p w14:paraId="24B211D7" w14:textId="77777777" w:rsidR="00AF65A3" w:rsidRPr="008A7A35" w:rsidRDefault="00AF65A3" w:rsidP="00AF65A3">
      <w:pPr>
        <w:jc w:val="both"/>
        <w:rPr>
          <w:rFonts w:ascii="Arial" w:hAnsi="Arial" w:cs="Arial"/>
          <w:sz w:val="20"/>
          <w:szCs w:val="20"/>
        </w:rPr>
      </w:pPr>
    </w:p>
    <w:p w14:paraId="22563331" w14:textId="748AB541" w:rsidR="00AF65A3" w:rsidRPr="008A7A35" w:rsidRDefault="00AF65A3" w:rsidP="00AF65A3">
      <w:pPr>
        <w:jc w:val="both"/>
        <w:rPr>
          <w:rFonts w:ascii="Arial" w:hAnsi="Arial" w:cs="Arial"/>
          <w:sz w:val="20"/>
          <w:szCs w:val="20"/>
        </w:rPr>
      </w:pPr>
      <w:r w:rsidRPr="008A7A35">
        <w:rPr>
          <w:rFonts w:ascii="Arial" w:hAnsi="Arial" w:cs="Arial"/>
          <w:b/>
          <w:bCs/>
          <w:sz w:val="20"/>
          <w:szCs w:val="20"/>
        </w:rPr>
        <w:t>Renewed Focus on Energy</w:t>
      </w:r>
    </w:p>
    <w:p w14:paraId="2E9079D1" w14:textId="68B85951" w:rsidR="00AF65A3" w:rsidRPr="008A7A35" w:rsidRDefault="00AF65A3" w:rsidP="00AF65A3">
      <w:pPr>
        <w:jc w:val="both"/>
        <w:rPr>
          <w:rFonts w:ascii="Arial" w:hAnsi="Arial" w:cs="Arial"/>
          <w:sz w:val="20"/>
          <w:szCs w:val="20"/>
        </w:rPr>
      </w:pPr>
      <w:r w:rsidRPr="008A7A35">
        <w:rPr>
          <w:rFonts w:ascii="Arial" w:hAnsi="Arial" w:cs="Arial"/>
          <w:sz w:val="20"/>
          <w:szCs w:val="20"/>
        </w:rPr>
        <w:t>The new U.S. Administration has placed energy at the heart of its economic strategy, viewing it as a lever for competitiveness, reindustrialisation, and growth</w:t>
      </w:r>
      <w:r w:rsidR="00BB4918">
        <w:rPr>
          <w:rFonts w:ascii="Arial" w:hAnsi="Arial" w:cs="Arial"/>
          <w:sz w:val="20"/>
          <w:szCs w:val="20"/>
        </w:rPr>
        <w:t xml:space="preserve"> from AI and </w:t>
      </w:r>
      <w:r w:rsidR="00A368DC">
        <w:rPr>
          <w:rFonts w:ascii="Arial" w:hAnsi="Arial" w:cs="Arial"/>
          <w:sz w:val="20"/>
          <w:szCs w:val="20"/>
        </w:rPr>
        <w:t xml:space="preserve">its </w:t>
      </w:r>
      <w:r w:rsidR="00BB4918">
        <w:rPr>
          <w:rFonts w:ascii="Arial" w:hAnsi="Arial" w:cs="Arial"/>
          <w:sz w:val="20"/>
          <w:szCs w:val="20"/>
        </w:rPr>
        <w:t>digital strategy</w:t>
      </w:r>
      <w:r w:rsidRPr="008A7A35">
        <w:rPr>
          <w:rFonts w:ascii="Arial" w:hAnsi="Arial" w:cs="Arial"/>
          <w:sz w:val="20"/>
          <w:szCs w:val="20"/>
        </w:rPr>
        <w:t>. More than any in recent decades, President Trump’s team has pursued a strongly pro-</w:t>
      </w:r>
      <w:r w:rsidR="005464B7">
        <w:rPr>
          <w:rFonts w:ascii="Arial" w:hAnsi="Arial" w:cs="Arial"/>
          <w:sz w:val="20"/>
          <w:szCs w:val="20"/>
        </w:rPr>
        <w:t xml:space="preserve">conventional energy </w:t>
      </w:r>
      <w:r w:rsidRPr="008A7A35">
        <w:rPr>
          <w:rFonts w:ascii="Arial" w:hAnsi="Arial" w:cs="Arial"/>
          <w:sz w:val="20"/>
          <w:szCs w:val="20"/>
        </w:rPr>
        <w:t>supply agenda, with a stated aim of returning oil prices to $50 per barrel. While lower energy costs are a clear economic objective, this price point is not sustainable for much of the U.S. oil industry and poses challenges for capital deployment and long-term strategy.</w:t>
      </w:r>
    </w:p>
    <w:p w14:paraId="2B2F5A8A" w14:textId="77777777" w:rsidR="00AF65A3" w:rsidRPr="008A7A35" w:rsidRDefault="00AF65A3" w:rsidP="00AF65A3">
      <w:pPr>
        <w:jc w:val="both"/>
        <w:rPr>
          <w:rFonts w:ascii="Arial" w:hAnsi="Arial" w:cs="Arial"/>
          <w:sz w:val="20"/>
          <w:szCs w:val="20"/>
        </w:rPr>
      </w:pPr>
    </w:p>
    <w:p w14:paraId="779E1D64" w14:textId="37BED56A" w:rsidR="00AF65A3" w:rsidRPr="008A7A35" w:rsidRDefault="00AF65A3" w:rsidP="00AF65A3">
      <w:pPr>
        <w:jc w:val="both"/>
        <w:rPr>
          <w:rFonts w:ascii="Arial" w:hAnsi="Arial" w:cs="Arial"/>
          <w:sz w:val="20"/>
          <w:szCs w:val="20"/>
        </w:rPr>
      </w:pPr>
      <w:r w:rsidRPr="008A7A35">
        <w:rPr>
          <w:rFonts w:ascii="Arial" w:hAnsi="Arial" w:cs="Arial"/>
          <w:sz w:val="20"/>
          <w:szCs w:val="20"/>
        </w:rPr>
        <w:t>At the same time, the Administration has introduced growing uncertainty into the renewable</w:t>
      </w:r>
      <w:r w:rsidR="005464B7">
        <w:rPr>
          <w:rFonts w:ascii="Arial" w:hAnsi="Arial" w:cs="Arial"/>
          <w:sz w:val="20"/>
          <w:szCs w:val="20"/>
        </w:rPr>
        <w:t>s and EV</w:t>
      </w:r>
      <w:r w:rsidRPr="008A7A35">
        <w:rPr>
          <w:rFonts w:ascii="Arial" w:hAnsi="Arial" w:cs="Arial"/>
          <w:sz w:val="20"/>
          <w:szCs w:val="20"/>
        </w:rPr>
        <w:t xml:space="preserve"> sector</w:t>
      </w:r>
      <w:r w:rsidR="005464B7">
        <w:rPr>
          <w:rFonts w:ascii="Arial" w:hAnsi="Arial" w:cs="Arial"/>
          <w:sz w:val="20"/>
          <w:szCs w:val="20"/>
        </w:rPr>
        <w:t>s</w:t>
      </w:r>
      <w:r w:rsidRPr="008A7A35">
        <w:rPr>
          <w:rFonts w:ascii="Arial" w:hAnsi="Arial" w:cs="Arial"/>
          <w:sz w:val="20"/>
          <w:szCs w:val="20"/>
        </w:rPr>
        <w:t>. Elements of the Inflation Reduction Act are now under review or rollback, and recent regulatory reversals, including the temporary suspension of offshore wind permitting</w:t>
      </w:r>
      <w:r w:rsidR="005464B7">
        <w:rPr>
          <w:rFonts w:ascii="Arial" w:hAnsi="Arial" w:cs="Arial"/>
          <w:sz w:val="20"/>
          <w:szCs w:val="20"/>
        </w:rPr>
        <w:t xml:space="preserve"> and increased regulatory hurdles for solar and onshore wind,</w:t>
      </w:r>
      <w:r w:rsidRPr="008A7A35">
        <w:rPr>
          <w:rFonts w:ascii="Arial" w:hAnsi="Arial" w:cs="Arial"/>
          <w:sz w:val="20"/>
          <w:szCs w:val="20"/>
        </w:rPr>
        <w:t xml:space="preserve"> have further shaken investor confidence. Together, these developments risk undermining the policy clarity and subsidy stability that previously underpinned momentum in U.S. clean energy investment.</w:t>
      </w:r>
    </w:p>
    <w:p w14:paraId="13829BBD" w14:textId="77777777" w:rsidR="00AF65A3" w:rsidRPr="008A7A35" w:rsidRDefault="00AF65A3" w:rsidP="00AF65A3">
      <w:pPr>
        <w:jc w:val="both"/>
        <w:rPr>
          <w:rFonts w:ascii="Arial" w:hAnsi="Arial" w:cs="Arial"/>
          <w:sz w:val="20"/>
          <w:szCs w:val="20"/>
        </w:rPr>
      </w:pPr>
    </w:p>
    <w:p w14:paraId="52B4BD0B" w14:textId="3E8251F2" w:rsidR="00AF65A3" w:rsidRPr="008A7A35" w:rsidRDefault="00AF65A3" w:rsidP="00AF65A3">
      <w:pPr>
        <w:jc w:val="both"/>
        <w:rPr>
          <w:rFonts w:ascii="Arial" w:hAnsi="Arial" w:cs="Arial"/>
          <w:sz w:val="20"/>
          <w:szCs w:val="20"/>
        </w:rPr>
      </w:pPr>
      <w:r w:rsidRPr="008A7A35">
        <w:rPr>
          <w:rFonts w:ascii="Arial" w:hAnsi="Arial" w:cs="Arial"/>
          <w:b/>
          <w:bCs/>
          <w:sz w:val="20"/>
          <w:szCs w:val="20"/>
        </w:rPr>
        <w:t>Commodity Price Volatility</w:t>
      </w:r>
    </w:p>
    <w:p w14:paraId="63085DC2" w14:textId="623414EC" w:rsidR="00AF65A3" w:rsidRPr="008A7A35" w:rsidRDefault="00AF65A3" w:rsidP="00AF65A3">
      <w:pPr>
        <w:jc w:val="both"/>
        <w:rPr>
          <w:rFonts w:ascii="Arial" w:hAnsi="Arial" w:cs="Arial"/>
          <w:sz w:val="20"/>
          <w:szCs w:val="20"/>
        </w:rPr>
      </w:pPr>
      <w:r w:rsidRPr="008A7A35">
        <w:rPr>
          <w:rFonts w:ascii="Arial" w:hAnsi="Arial" w:cs="Arial"/>
          <w:sz w:val="20"/>
          <w:szCs w:val="20"/>
        </w:rPr>
        <w:t>As ever, oil markets have proved sensitive to both geopolitical risk and sentiment around global growth. WTI crude began the year at $71.72 before falling sharply to an intra-period low of $55.30 in early May, mirroring equity market declines amid fears of a global economic slowdown. Prices spiked in June following Israeli strikes on targets in Iran and heightened tensions across the Middle East, before retreating again to end the period at $65.11. The faster than anticipated unwinding of OPEC+ production cuts has also dampened oil prices.</w:t>
      </w:r>
    </w:p>
    <w:p w14:paraId="64D40804" w14:textId="77777777" w:rsidR="00AF65A3" w:rsidRPr="008A7A35" w:rsidRDefault="00AF65A3" w:rsidP="00AF65A3">
      <w:pPr>
        <w:jc w:val="both"/>
        <w:rPr>
          <w:rFonts w:ascii="Arial" w:hAnsi="Arial" w:cs="Arial"/>
          <w:sz w:val="20"/>
          <w:szCs w:val="20"/>
        </w:rPr>
      </w:pPr>
    </w:p>
    <w:p w14:paraId="5301C62C" w14:textId="1E899BCA" w:rsidR="00AF65A3" w:rsidRPr="008A7A35" w:rsidRDefault="00AF65A3" w:rsidP="00AF65A3">
      <w:pPr>
        <w:jc w:val="both"/>
        <w:rPr>
          <w:rFonts w:ascii="Arial" w:hAnsi="Arial" w:cs="Arial"/>
          <w:sz w:val="20"/>
          <w:szCs w:val="20"/>
        </w:rPr>
      </w:pPr>
      <w:r w:rsidRPr="008A7A35">
        <w:rPr>
          <w:rFonts w:ascii="Arial" w:hAnsi="Arial" w:cs="Arial"/>
          <w:sz w:val="20"/>
          <w:szCs w:val="20"/>
        </w:rPr>
        <w:t>Natural gas prices were somewhat less volatile but still trended modestly lower, with Henry Hub prices falling from $3.66 per million BTU at the start of the year to $3.46 at period end. These price movements underscore the continued sensitivity of energy markets to macro policy shifts and geopolitical flashpoints, reinforcing the strategic importance of energy security and diversified supply.</w:t>
      </w:r>
    </w:p>
    <w:p w14:paraId="6279D6D5" w14:textId="77777777" w:rsidR="00AF65A3" w:rsidRPr="008A7A35" w:rsidRDefault="00AF65A3" w:rsidP="00AF65A3">
      <w:pPr>
        <w:jc w:val="both"/>
        <w:rPr>
          <w:rFonts w:ascii="Arial" w:hAnsi="Arial" w:cs="Arial"/>
          <w:sz w:val="20"/>
          <w:szCs w:val="20"/>
        </w:rPr>
      </w:pPr>
    </w:p>
    <w:p w14:paraId="7C245121" w14:textId="43C99198" w:rsidR="00AF65A3" w:rsidRPr="008A7A35" w:rsidRDefault="007B1D5C" w:rsidP="00AF65A3">
      <w:pPr>
        <w:jc w:val="both"/>
        <w:rPr>
          <w:rFonts w:ascii="Arial" w:hAnsi="Arial" w:cs="Arial"/>
          <w:b/>
          <w:bCs/>
          <w:sz w:val="20"/>
          <w:szCs w:val="20"/>
        </w:rPr>
      </w:pPr>
      <w:r>
        <w:rPr>
          <w:rFonts w:ascii="Arial" w:hAnsi="Arial" w:cs="Arial"/>
          <w:b/>
          <w:bCs/>
          <w:sz w:val="20"/>
          <w:szCs w:val="20"/>
        </w:rPr>
        <w:t>Orderly Realisation and Managed Wind-Down</w:t>
      </w:r>
      <w:r w:rsidR="00AF65A3" w:rsidRPr="008A7A35">
        <w:rPr>
          <w:rFonts w:ascii="Arial" w:hAnsi="Arial" w:cs="Arial"/>
          <w:b/>
          <w:bCs/>
          <w:sz w:val="20"/>
          <w:szCs w:val="20"/>
        </w:rPr>
        <w:t xml:space="preserve"> </w:t>
      </w:r>
    </w:p>
    <w:p w14:paraId="11B9C030" w14:textId="2A01526C" w:rsidR="003F05E3" w:rsidRDefault="00AF65A3" w:rsidP="00AF65A3">
      <w:pPr>
        <w:jc w:val="both"/>
        <w:rPr>
          <w:rFonts w:ascii="Arial" w:hAnsi="Arial" w:cs="Arial"/>
          <w:sz w:val="20"/>
          <w:szCs w:val="20"/>
        </w:rPr>
      </w:pPr>
      <w:bookmarkStart w:id="0" w:name="_Hlk206662201"/>
      <w:r w:rsidRPr="008A7A35">
        <w:rPr>
          <w:rFonts w:ascii="Arial" w:hAnsi="Arial" w:cs="Arial"/>
          <w:sz w:val="20"/>
          <w:szCs w:val="20"/>
        </w:rPr>
        <w:t xml:space="preserve">In May 2025, following a period of strategic review and engagement with the Investment Manager, the Board announced its intention to seek </w:t>
      </w:r>
      <w:r w:rsidR="00ED24DD">
        <w:rPr>
          <w:rFonts w:ascii="Arial" w:hAnsi="Arial" w:cs="Arial"/>
          <w:sz w:val="20"/>
          <w:szCs w:val="20"/>
        </w:rPr>
        <w:t>S</w:t>
      </w:r>
      <w:r w:rsidRPr="008A7A35">
        <w:rPr>
          <w:rFonts w:ascii="Arial" w:hAnsi="Arial" w:cs="Arial"/>
          <w:sz w:val="20"/>
          <w:szCs w:val="20"/>
        </w:rPr>
        <w:t xml:space="preserve">hareholder approval for a </w:t>
      </w:r>
      <w:r w:rsidR="00A57E2F" w:rsidRPr="008A7A35">
        <w:rPr>
          <w:rFonts w:ascii="Arial" w:hAnsi="Arial" w:cs="Arial"/>
          <w:sz w:val="20"/>
          <w:szCs w:val="20"/>
        </w:rPr>
        <w:t>M</w:t>
      </w:r>
      <w:r w:rsidRPr="008A7A35">
        <w:rPr>
          <w:rFonts w:ascii="Arial" w:hAnsi="Arial" w:cs="Arial"/>
          <w:sz w:val="20"/>
          <w:szCs w:val="20"/>
        </w:rPr>
        <w:t xml:space="preserve">anaged </w:t>
      </w:r>
      <w:r w:rsidR="00A57E2F" w:rsidRPr="008A7A35">
        <w:rPr>
          <w:rFonts w:ascii="Arial" w:hAnsi="Arial" w:cs="Arial"/>
          <w:sz w:val="20"/>
          <w:szCs w:val="20"/>
        </w:rPr>
        <w:t>W</w:t>
      </w:r>
      <w:r w:rsidRPr="008A7A35">
        <w:rPr>
          <w:rFonts w:ascii="Arial" w:hAnsi="Arial" w:cs="Arial"/>
          <w:sz w:val="20"/>
          <w:szCs w:val="20"/>
        </w:rPr>
        <w:t>ind-</w:t>
      </w:r>
      <w:r w:rsidR="00A57E2F" w:rsidRPr="008A7A35">
        <w:rPr>
          <w:rFonts w:ascii="Arial" w:hAnsi="Arial" w:cs="Arial"/>
          <w:sz w:val="20"/>
          <w:szCs w:val="20"/>
        </w:rPr>
        <w:t>D</w:t>
      </w:r>
      <w:r w:rsidRPr="008A7A35">
        <w:rPr>
          <w:rFonts w:ascii="Arial" w:hAnsi="Arial" w:cs="Arial"/>
          <w:sz w:val="20"/>
          <w:szCs w:val="20"/>
        </w:rPr>
        <w:t xml:space="preserve">own </w:t>
      </w:r>
      <w:r w:rsidR="002B66EB">
        <w:rPr>
          <w:rFonts w:ascii="Arial" w:hAnsi="Arial" w:cs="Arial"/>
          <w:sz w:val="20"/>
          <w:szCs w:val="20"/>
        </w:rPr>
        <w:t xml:space="preserve">and orderly realisation </w:t>
      </w:r>
      <w:r w:rsidRPr="008A7A35">
        <w:rPr>
          <w:rFonts w:ascii="Arial" w:hAnsi="Arial" w:cs="Arial"/>
          <w:sz w:val="20"/>
          <w:szCs w:val="20"/>
        </w:rPr>
        <w:t xml:space="preserve">of </w:t>
      </w:r>
      <w:r w:rsidR="002B66EB">
        <w:rPr>
          <w:rFonts w:ascii="Arial" w:hAnsi="Arial" w:cs="Arial"/>
          <w:sz w:val="20"/>
          <w:szCs w:val="20"/>
        </w:rPr>
        <w:t>the Company</w:t>
      </w:r>
      <w:r w:rsidR="00132AC0">
        <w:rPr>
          <w:rFonts w:ascii="Arial" w:hAnsi="Arial" w:cs="Arial"/>
          <w:sz w:val="20"/>
          <w:szCs w:val="20"/>
        </w:rPr>
        <w:t>’s</w:t>
      </w:r>
      <w:r w:rsidRPr="008A7A35">
        <w:rPr>
          <w:rFonts w:ascii="Arial" w:hAnsi="Arial" w:cs="Arial"/>
          <w:sz w:val="20"/>
          <w:szCs w:val="20"/>
        </w:rPr>
        <w:t xml:space="preserve"> </w:t>
      </w:r>
      <w:r w:rsidR="002B66EB">
        <w:rPr>
          <w:rFonts w:ascii="Arial" w:hAnsi="Arial" w:cs="Arial"/>
          <w:sz w:val="20"/>
          <w:szCs w:val="20"/>
        </w:rPr>
        <w:t xml:space="preserve">investment </w:t>
      </w:r>
      <w:r w:rsidRPr="008A7A35">
        <w:rPr>
          <w:rFonts w:ascii="Arial" w:hAnsi="Arial" w:cs="Arial"/>
          <w:sz w:val="20"/>
          <w:szCs w:val="20"/>
        </w:rPr>
        <w:t xml:space="preserve">portfolio. </w:t>
      </w:r>
    </w:p>
    <w:p w14:paraId="4A5F7FE2" w14:textId="77777777" w:rsidR="003F05E3" w:rsidRDefault="003F05E3" w:rsidP="00AF65A3">
      <w:pPr>
        <w:jc w:val="both"/>
        <w:rPr>
          <w:rFonts w:ascii="Arial" w:hAnsi="Arial" w:cs="Arial"/>
          <w:sz w:val="20"/>
          <w:szCs w:val="20"/>
        </w:rPr>
      </w:pPr>
    </w:p>
    <w:p w14:paraId="58150875" w14:textId="04C35F5F" w:rsidR="003F05E3" w:rsidRDefault="00A57E2F" w:rsidP="00AF65A3">
      <w:pPr>
        <w:jc w:val="both"/>
        <w:rPr>
          <w:rFonts w:ascii="Arial" w:hAnsi="Arial" w:cs="Arial"/>
          <w:sz w:val="20"/>
          <w:szCs w:val="20"/>
        </w:rPr>
      </w:pPr>
      <w:r w:rsidRPr="008A7A35">
        <w:rPr>
          <w:rFonts w:ascii="Arial" w:hAnsi="Arial" w:cs="Arial"/>
          <w:sz w:val="20"/>
          <w:szCs w:val="20"/>
        </w:rPr>
        <w:t xml:space="preserve">On the 22 August 2025, following </w:t>
      </w:r>
      <w:r w:rsidR="00ED24DD">
        <w:rPr>
          <w:rFonts w:ascii="Arial" w:hAnsi="Arial" w:cs="Arial"/>
          <w:sz w:val="20"/>
          <w:szCs w:val="20"/>
        </w:rPr>
        <w:t>S</w:t>
      </w:r>
      <w:r w:rsidRPr="008A7A35">
        <w:rPr>
          <w:rFonts w:ascii="Arial" w:hAnsi="Arial" w:cs="Arial"/>
          <w:sz w:val="20"/>
          <w:szCs w:val="20"/>
        </w:rPr>
        <w:t xml:space="preserve">hareholder approval at </w:t>
      </w:r>
      <w:r w:rsidR="003B35F4">
        <w:rPr>
          <w:rFonts w:ascii="Arial" w:hAnsi="Arial" w:cs="Arial"/>
          <w:sz w:val="20"/>
          <w:szCs w:val="20"/>
        </w:rPr>
        <w:t xml:space="preserve">the </w:t>
      </w:r>
      <w:r w:rsidRPr="008A7A35">
        <w:rPr>
          <w:rFonts w:ascii="Arial" w:hAnsi="Arial" w:cs="Arial"/>
          <w:sz w:val="20"/>
          <w:szCs w:val="20"/>
        </w:rPr>
        <w:t xml:space="preserve">EGM, the Company </w:t>
      </w:r>
      <w:proofErr w:type="gramStart"/>
      <w:r w:rsidRPr="008A7A35">
        <w:rPr>
          <w:rFonts w:ascii="Arial" w:hAnsi="Arial" w:cs="Arial"/>
          <w:sz w:val="20"/>
          <w:szCs w:val="20"/>
        </w:rPr>
        <w:t>entered into</w:t>
      </w:r>
      <w:proofErr w:type="gramEnd"/>
      <w:r w:rsidRPr="008A7A35">
        <w:rPr>
          <w:rFonts w:ascii="Arial" w:hAnsi="Arial" w:cs="Arial"/>
          <w:sz w:val="20"/>
          <w:szCs w:val="20"/>
        </w:rPr>
        <w:t xml:space="preserve"> </w:t>
      </w:r>
      <w:r w:rsidR="002B66EB">
        <w:rPr>
          <w:rFonts w:ascii="Arial" w:hAnsi="Arial" w:cs="Arial"/>
          <w:sz w:val="20"/>
          <w:szCs w:val="20"/>
        </w:rPr>
        <w:t xml:space="preserve">this </w:t>
      </w:r>
      <w:r w:rsidRPr="008A7A35">
        <w:rPr>
          <w:rFonts w:ascii="Arial" w:hAnsi="Arial" w:cs="Arial"/>
          <w:sz w:val="20"/>
          <w:szCs w:val="20"/>
        </w:rPr>
        <w:t>Managed Wind-Down</w:t>
      </w:r>
      <w:r w:rsidR="002B66EB">
        <w:rPr>
          <w:rFonts w:ascii="Arial" w:hAnsi="Arial" w:cs="Arial"/>
          <w:sz w:val="20"/>
          <w:szCs w:val="20"/>
        </w:rPr>
        <w:t xml:space="preserve">. </w:t>
      </w:r>
      <w:proofErr w:type="gramStart"/>
      <w:r w:rsidR="002B66EB">
        <w:rPr>
          <w:rFonts w:ascii="Arial" w:hAnsi="Arial" w:cs="Arial"/>
          <w:sz w:val="20"/>
          <w:szCs w:val="20"/>
        </w:rPr>
        <w:t>As a consequence</w:t>
      </w:r>
      <w:proofErr w:type="gramEnd"/>
      <w:r w:rsidR="002B66EB">
        <w:rPr>
          <w:rFonts w:ascii="Arial" w:hAnsi="Arial" w:cs="Arial"/>
          <w:sz w:val="20"/>
          <w:szCs w:val="20"/>
        </w:rPr>
        <w:t xml:space="preserve">, </w:t>
      </w:r>
      <w:r w:rsidRPr="008A7A35">
        <w:rPr>
          <w:rFonts w:ascii="Arial" w:hAnsi="Arial" w:cs="Arial"/>
          <w:sz w:val="20"/>
          <w:szCs w:val="20"/>
        </w:rPr>
        <w:t>the Company</w:t>
      </w:r>
      <w:r w:rsidR="002B66EB">
        <w:rPr>
          <w:rFonts w:ascii="Arial" w:hAnsi="Arial" w:cs="Arial"/>
          <w:sz w:val="20"/>
          <w:szCs w:val="20"/>
        </w:rPr>
        <w:t xml:space="preserve">’s investment objective and </w:t>
      </w:r>
      <w:r w:rsidRPr="008A7A35">
        <w:rPr>
          <w:rFonts w:ascii="Arial" w:hAnsi="Arial" w:cs="Arial"/>
          <w:sz w:val="20"/>
          <w:szCs w:val="20"/>
        </w:rPr>
        <w:t>policy</w:t>
      </w:r>
      <w:r w:rsidR="002B66EB">
        <w:rPr>
          <w:rFonts w:ascii="Arial" w:hAnsi="Arial" w:cs="Arial"/>
          <w:sz w:val="20"/>
          <w:szCs w:val="20"/>
        </w:rPr>
        <w:t xml:space="preserve"> have been amended to recognise </w:t>
      </w:r>
      <w:r w:rsidR="003F05E3">
        <w:rPr>
          <w:rFonts w:ascii="Arial" w:hAnsi="Arial" w:cs="Arial"/>
          <w:sz w:val="20"/>
          <w:szCs w:val="20"/>
        </w:rPr>
        <w:t xml:space="preserve">the </w:t>
      </w:r>
      <w:r w:rsidR="002B66EB">
        <w:rPr>
          <w:rFonts w:ascii="Arial" w:hAnsi="Arial" w:cs="Arial"/>
          <w:sz w:val="20"/>
          <w:szCs w:val="20"/>
        </w:rPr>
        <w:t>orderly realisation</w:t>
      </w:r>
      <w:r w:rsidR="003F05E3">
        <w:rPr>
          <w:rFonts w:ascii="Arial" w:hAnsi="Arial" w:cs="Arial"/>
          <w:sz w:val="20"/>
          <w:szCs w:val="20"/>
        </w:rPr>
        <w:t xml:space="preserve"> </w:t>
      </w:r>
      <w:r w:rsidR="003F05E3" w:rsidRPr="003F05E3">
        <w:rPr>
          <w:rFonts w:ascii="Arial" w:hAnsi="Arial" w:cs="Arial"/>
          <w:sz w:val="20"/>
          <w:szCs w:val="20"/>
        </w:rPr>
        <w:t xml:space="preserve">and timely return of capital to </w:t>
      </w:r>
      <w:r w:rsidR="00ED24DD">
        <w:rPr>
          <w:rFonts w:ascii="Arial" w:hAnsi="Arial" w:cs="Arial"/>
          <w:sz w:val="20"/>
          <w:szCs w:val="20"/>
        </w:rPr>
        <w:t>S</w:t>
      </w:r>
      <w:r w:rsidR="003F05E3" w:rsidRPr="003F05E3">
        <w:rPr>
          <w:rFonts w:ascii="Arial" w:hAnsi="Arial" w:cs="Arial"/>
          <w:sz w:val="20"/>
          <w:szCs w:val="20"/>
        </w:rPr>
        <w:t>hareholders</w:t>
      </w:r>
      <w:r w:rsidR="002B66EB">
        <w:rPr>
          <w:rFonts w:ascii="Arial" w:hAnsi="Arial" w:cs="Arial"/>
          <w:sz w:val="20"/>
          <w:szCs w:val="20"/>
        </w:rPr>
        <w:t xml:space="preserve"> as the Company’s main objective. </w:t>
      </w:r>
      <w:r w:rsidR="003F05E3" w:rsidRPr="003F05E3">
        <w:rPr>
          <w:rFonts w:ascii="Arial" w:hAnsi="Arial" w:cs="Arial"/>
          <w:sz w:val="20"/>
          <w:szCs w:val="20"/>
        </w:rPr>
        <w:t>During the Managed Wind-Down</w:t>
      </w:r>
      <w:r w:rsidR="00AF65A3" w:rsidRPr="008A7A35">
        <w:rPr>
          <w:rFonts w:ascii="Arial" w:hAnsi="Arial" w:cs="Arial"/>
          <w:sz w:val="20"/>
          <w:szCs w:val="20"/>
        </w:rPr>
        <w:t xml:space="preserve">, </w:t>
      </w:r>
      <w:r w:rsidR="002B66EB">
        <w:rPr>
          <w:rFonts w:ascii="Arial" w:hAnsi="Arial" w:cs="Arial"/>
          <w:sz w:val="20"/>
          <w:szCs w:val="20"/>
        </w:rPr>
        <w:t>the Company</w:t>
      </w:r>
      <w:r w:rsidR="00AF65A3" w:rsidRPr="008A7A35">
        <w:rPr>
          <w:rFonts w:ascii="Arial" w:hAnsi="Arial" w:cs="Arial"/>
          <w:sz w:val="20"/>
          <w:szCs w:val="20"/>
        </w:rPr>
        <w:t xml:space="preserve"> will </w:t>
      </w:r>
      <w:r w:rsidR="003F05E3">
        <w:rPr>
          <w:rFonts w:ascii="Arial" w:hAnsi="Arial" w:cs="Arial"/>
          <w:sz w:val="20"/>
          <w:szCs w:val="20"/>
        </w:rPr>
        <w:t xml:space="preserve">seek to </w:t>
      </w:r>
      <w:r w:rsidR="00AF65A3" w:rsidRPr="008A7A35">
        <w:rPr>
          <w:rFonts w:ascii="Arial" w:hAnsi="Arial" w:cs="Arial"/>
          <w:sz w:val="20"/>
          <w:szCs w:val="20"/>
        </w:rPr>
        <w:t xml:space="preserve">progressively realise its existing investments and return capital to </w:t>
      </w:r>
      <w:r w:rsidR="00ED24DD">
        <w:rPr>
          <w:rFonts w:ascii="Arial" w:hAnsi="Arial" w:cs="Arial"/>
          <w:sz w:val="20"/>
          <w:szCs w:val="20"/>
        </w:rPr>
        <w:t>S</w:t>
      </w:r>
      <w:r w:rsidR="00AF65A3" w:rsidRPr="008A7A35">
        <w:rPr>
          <w:rFonts w:ascii="Arial" w:hAnsi="Arial" w:cs="Arial"/>
          <w:sz w:val="20"/>
          <w:szCs w:val="20"/>
        </w:rPr>
        <w:t>hareholders through compulsory redemptions, while ceasing new investments.</w:t>
      </w:r>
    </w:p>
    <w:p w14:paraId="4DBC3411" w14:textId="77777777" w:rsidR="002D2912" w:rsidRDefault="002D2912" w:rsidP="00AF65A3">
      <w:pPr>
        <w:jc w:val="both"/>
        <w:rPr>
          <w:rFonts w:ascii="Arial" w:hAnsi="Arial" w:cs="Arial"/>
          <w:sz w:val="20"/>
          <w:szCs w:val="20"/>
        </w:rPr>
      </w:pPr>
    </w:p>
    <w:p w14:paraId="0D5AC7E0" w14:textId="52B029A4"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The Investment Manager will continue to oversee the </w:t>
      </w:r>
      <w:r w:rsidR="002B66EB">
        <w:rPr>
          <w:rFonts w:ascii="Arial" w:hAnsi="Arial" w:cs="Arial"/>
          <w:sz w:val="20"/>
          <w:szCs w:val="20"/>
        </w:rPr>
        <w:t xml:space="preserve">investment </w:t>
      </w:r>
      <w:r w:rsidRPr="008A7A35">
        <w:rPr>
          <w:rFonts w:ascii="Arial" w:hAnsi="Arial" w:cs="Arial"/>
          <w:sz w:val="20"/>
          <w:szCs w:val="20"/>
        </w:rPr>
        <w:t xml:space="preserve">portfolio during the </w:t>
      </w:r>
      <w:r w:rsidR="002B66EB">
        <w:rPr>
          <w:rFonts w:ascii="Arial" w:hAnsi="Arial" w:cs="Arial"/>
          <w:sz w:val="20"/>
          <w:szCs w:val="20"/>
        </w:rPr>
        <w:t xml:space="preserve">anticipated </w:t>
      </w:r>
      <w:r w:rsidRPr="008A7A35">
        <w:rPr>
          <w:rFonts w:ascii="Arial" w:hAnsi="Arial" w:cs="Arial"/>
          <w:sz w:val="20"/>
          <w:szCs w:val="20"/>
        </w:rPr>
        <w:t>wind-down</w:t>
      </w:r>
      <w:r w:rsidR="002B66EB">
        <w:rPr>
          <w:rFonts w:ascii="Arial" w:hAnsi="Arial" w:cs="Arial"/>
          <w:sz w:val="20"/>
          <w:szCs w:val="20"/>
        </w:rPr>
        <w:t xml:space="preserve"> period to 31 December 2027</w:t>
      </w:r>
      <w:r w:rsidR="00371A3B">
        <w:rPr>
          <w:rFonts w:ascii="Arial" w:hAnsi="Arial" w:cs="Arial"/>
          <w:sz w:val="20"/>
          <w:szCs w:val="20"/>
        </w:rPr>
        <w:t>,</w:t>
      </w:r>
      <w:r w:rsidR="002B66EB">
        <w:rPr>
          <w:rFonts w:ascii="Arial" w:hAnsi="Arial" w:cs="Arial"/>
          <w:sz w:val="20"/>
          <w:szCs w:val="20"/>
        </w:rPr>
        <w:t xml:space="preserve"> and perhaps beyond</w:t>
      </w:r>
      <w:r w:rsidRPr="008A7A35">
        <w:rPr>
          <w:rFonts w:ascii="Arial" w:hAnsi="Arial" w:cs="Arial"/>
          <w:sz w:val="20"/>
          <w:szCs w:val="20"/>
        </w:rPr>
        <w:t xml:space="preserve">, but any </w:t>
      </w:r>
      <w:r w:rsidR="007B1D5C">
        <w:rPr>
          <w:rFonts w:ascii="Arial" w:hAnsi="Arial" w:cs="Arial"/>
          <w:sz w:val="20"/>
          <w:szCs w:val="20"/>
        </w:rPr>
        <w:t xml:space="preserve">future </w:t>
      </w:r>
      <w:r w:rsidRPr="008A7A35">
        <w:rPr>
          <w:rFonts w:ascii="Arial" w:hAnsi="Arial" w:cs="Arial"/>
          <w:sz w:val="20"/>
          <w:szCs w:val="20"/>
        </w:rPr>
        <w:t xml:space="preserve">new </w:t>
      </w:r>
      <w:r w:rsidR="007B1D5C">
        <w:rPr>
          <w:rFonts w:ascii="Arial" w:hAnsi="Arial" w:cs="Arial"/>
          <w:sz w:val="20"/>
          <w:szCs w:val="20"/>
        </w:rPr>
        <w:t xml:space="preserve">or follow on </w:t>
      </w:r>
      <w:r w:rsidRPr="008A7A35">
        <w:rPr>
          <w:rFonts w:ascii="Arial" w:hAnsi="Arial" w:cs="Arial"/>
          <w:sz w:val="20"/>
          <w:szCs w:val="20"/>
        </w:rPr>
        <w:t xml:space="preserve">investments </w:t>
      </w:r>
      <w:r w:rsidR="007B1D5C">
        <w:rPr>
          <w:rFonts w:ascii="Arial" w:hAnsi="Arial" w:cs="Arial"/>
          <w:sz w:val="20"/>
          <w:szCs w:val="20"/>
        </w:rPr>
        <w:t xml:space="preserve">(to the limited extent permitted by the new investment objective and policy) </w:t>
      </w:r>
      <w:r w:rsidRPr="008A7A35">
        <w:rPr>
          <w:rFonts w:ascii="Arial" w:hAnsi="Arial" w:cs="Arial"/>
          <w:sz w:val="20"/>
          <w:szCs w:val="20"/>
        </w:rPr>
        <w:t>or asset disposals will require Board approval.</w:t>
      </w:r>
    </w:p>
    <w:p w14:paraId="32E64943" w14:textId="77777777" w:rsidR="00AF65A3" w:rsidRPr="008A7A35" w:rsidRDefault="00AF65A3" w:rsidP="00AF65A3">
      <w:pPr>
        <w:jc w:val="both"/>
        <w:rPr>
          <w:rFonts w:ascii="Arial" w:hAnsi="Arial" w:cs="Arial"/>
          <w:sz w:val="20"/>
          <w:szCs w:val="20"/>
        </w:rPr>
      </w:pPr>
    </w:p>
    <w:p w14:paraId="4708ED31" w14:textId="08988393" w:rsidR="00673E95" w:rsidRDefault="00AF65A3" w:rsidP="00AF65A3">
      <w:pPr>
        <w:jc w:val="both"/>
        <w:rPr>
          <w:rFonts w:ascii="Arial" w:hAnsi="Arial" w:cs="Arial"/>
          <w:sz w:val="20"/>
          <w:szCs w:val="20"/>
        </w:rPr>
      </w:pPr>
      <w:r w:rsidRPr="008A7A35">
        <w:rPr>
          <w:rFonts w:ascii="Arial" w:hAnsi="Arial" w:cs="Arial"/>
          <w:sz w:val="20"/>
          <w:szCs w:val="20"/>
        </w:rPr>
        <w:t xml:space="preserve">As part </w:t>
      </w:r>
      <w:r w:rsidR="00A57E2F" w:rsidRPr="008A7A35">
        <w:rPr>
          <w:rFonts w:ascii="Arial" w:hAnsi="Arial" w:cs="Arial"/>
          <w:sz w:val="20"/>
          <w:szCs w:val="20"/>
        </w:rPr>
        <w:t>of the Managed Wind-Down</w:t>
      </w:r>
      <w:r w:rsidRPr="008A7A35">
        <w:rPr>
          <w:rFonts w:ascii="Arial" w:hAnsi="Arial" w:cs="Arial"/>
          <w:sz w:val="20"/>
          <w:szCs w:val="20"/>
        </w:rPr>
        <w:t xml:space="preserve">, the management fee </w:t>
      </w:r>
      <w:r w:rsidR="007B1D5C">
        <w:rPr>
          <w:rFonts w:ascii="Arial" w:hAnsi="Arial" w:cs="Arial"/>
          <w:sz w:val="20"/>
          <w:szCs w:val="20"/>
        </w:rPr>
        <w:t xml:space="preserve">has reduced </w:t>
      </w:r>
      <w:r w:rsidRPr="008A7A35">
        <w:rPr>
          <w:rFonts w:ascii="Arial" w:hAnsi="Arial" w:cs="Arial"/>
          <w:sz w:val="20"/>
          <w:szCs w:val="20"/>
        </w:rPr>
        <w:t xml:space="preserve">from 1.5 per cent. </w:t>
      </w:r>
      <w:r w:rsidR="003F05E3">
        <w:rPr>
          <w:rFonts w:ascii="Arial" w:hAnsi="Arial" w:cs="Arial"/>
          <w:sz w:val="20"/>
          <w:szCs w:val="20"/>
        </w:rPr>
        <w:t xml:space="preserve">per annum (including cash) </w:t>
      </w:r>
      <w:r w:rsidRPr="008A7A35">
        <w:rPr>
          <w:rFonts w:ascii="Arial" w:hAnsi="Arial" w:cs="Arial"/>
          <w:sz w:val="20"/>
          <w:szCs w:val="20"/>
        </w:rPr>
        <w:t>to 1 per cent. per annum (excluding cash), subject to a minimum of $500,000 per annum</w:t>
      </w:r>
      <w:r w:rsidR="007B1D5C">
        <w:rPr>
          <w:rFonts w:ascii="Arial" w:hAnsi="Arial" w:cs="Arial"/>
          <w:sz w:val="20"/>
          <w:szCs w:val="20"/>
        </w:rPr>
        <w:t>, pro-rated for any partial year</w:t>
      </w:r>
      <w:r w:rsidR="003F05E3">
        <w:rPr>
          <w:rFonts w:ascii="Arial" w:hAnsi="Arial" w:cs="Arial"/>
          <w:sz w:val="20"/>
          <w:szCs w:val="20"/>
        </w:rPr>
        <w:t>,</w:t>
      </w:r>
      <w:r w:rsidR="007B1D5C">
        <w:rPr>
          <w:rFonts w:ascii="Arial" w:hAnsi="Arial" w:cs="Arial"/>
          <w:sz w:val="20"/>
          <w:szCs w:val="20"/>
        </w:rPr>
        <w:t xml:space="preserve"> </w:t>
      </w:r>
      <w:r w:rsidRPr="008A7A35">
        <w:rPr>
          <w:rFonts w:ascii="Arial" w:hAnsi="Arial" w:cs="Arial"/>
          <w:sz w:val="20"/>
          <w:szCs w:val="20"/>
        </w:rPr>
        <w:t xml:space="preserve">through </w:t>
      </w:r>
      <w:r w:rsidR="007B1D5C">
        <w:rPr>
          <w:rFonts w:ascii="Arial" w:hAnsi="Arial" w:cs="Arial"/>
          <w:sz w:val="20"/>
          <w:szCs w:val="20"/>
        </w:rPr>
        <w:t xml:space="preserve">to 31 December </w:t>
      </w:r>
      <w:r w:rsidRPr="008A7A35">
        <w:rPr>
          <w:rFonts w:ascii="Arial" w:hAnsi="Arial" w:cs="Arial"/>
          <w:sz w:val="20"/>
          <w:szCs w:val="20"/>
        </w:rPr>
        <w:t xml:space="preserve">2027, and the performance allocation structure </w:t>
      </w:r>
      <w:r w:rsidR="007B1D5C">
        <w:rPr>
          <w:rFonts w:ascii="Arial" w:hAnsi="Arial" w:cs="Arial"/>
          <w:sz w:val="20"/>
          <w:szCs w:val="20"/>
        </w:rPr>
        <w:t xml:space="preserve">has been </w:t>
      </w:r>
      <w:r w:rsidRPr="008A7A35">
        <w:rPr>
          <w:rFonts w:ascii="Arial" w:hAnsi="Arial" w:cs="Arial"/>
          <w:sz w:val="20"/>
          <w:szCs w:val="20"/>
        </w:rPr>
        <w:t xml:space="preserve">discontinued. </w:t>
      </w:r>
    </w:p>
    <w:p w14:paraId="58BD7213" w14:textId="77777777" w:rsidR="005F7C7A" w:rsidRDefault="005F7C7A" w:rsidP="00AF65A3">
      <w:pPr>
        <w:jc w:val="both"/>
        <w:rPr>
          <w:rFonts w:ascii="Arial" w:hAnsi="Arial" w:cs="Arial"/>
          <w:sz w:val="20"/>
          <w:szCs w:val="20"/>
        </w:rPr>
      </w:pPr>
    </w:p>
    <w:p w14:paraId="67F1BB1A" w14:textId="3478F017" w:rsidR="003F05E3" w:rsidRDefault="00673E95" w:rsidP="00AF65A3">
      <w:pPr>
        <w:jc w:val="both"/>
        <w:rPr>
          <w:rFonts w:ascii="Arial" w:hAnsi="Arial" w:cs="Arial"/>
          <w:sz w:val="20"/>
          <w:szCs w:val="20"/>
        </w:rPr>
      </w:pPr>
      <w:r>
        <w:rPr>
          <w:rFonts w:ascii="Arial" w:hAnsi="Arial" w:cs="Arial"/>
          <w:sz w:val="20"/>
          <w:szCs w:val="20"/>
        </w:rPr>
        <w:t>In addition, the Partnership Agreement with REL IP General Partner LP</w:t>
      </w:r>
      <w:r w:rsidR="00E43FCC">
        <w:rPr>
          <w:rFonts w:ascii="Arial" w:hAnsi="Arial" w:cs="Arial"/>
          <w:sz w:val="20"/>
          <w:szCs w:val="20"/>
        </w:rPr>
        <w:t xml:space="preserve"> </w:t>
      </w:r>
      <w:r w:rsidR="00B35C97">
        <w:rPr>
          <w:rFonts w:ascii="Arial" w:hAnsi="Arial" w:cs="Arial"/>
          <w:sz w:val="20"/>
          <w:szCs w:val="20"/>
        </w:rPr>
        <w:t>(</w:t>
      </w:r>
      <w:r>
        <w:rPr>
          <w:rFonts w:ascii="Arial" w:hAnsi="Arial" w:cs="Arial"/>
          <w:sz w:val="20"/>
          <w:szCs w:val="20"/>
        </w:rPr>
        <w:t xml:space="preserve">the </w:t>
      </w:r>
      <w:r w:rsidR="003F05E3">
        <w:rPr>
          <w:rFonts w:ascii="Arial" w:hAnsi="Arial" w:cs="Arial"/>
          <w:sz w:val="20"/>
          <w:szCs w:val="20"/>
        </w:rPr>
        <w:t>“</w:t>
      </w:r>
      <w:r>
        <w:rPr>
          <w:rFonts w:ascii="Arial" w:hAnsi="Arial" w:cs="Arial"/>
          <w:sz w:val="20"/>
          <w:szCs w:val="20"/>
        </w:rPr>
        <w:t>General Partner</w:t>
      </w:r>
      <w:r w:rsidR="00B35C97">
        <w:rPr>
          <w:rFonts w:ascii="Arial" w:hAnsi="Arial" w:cs="Arial"/>
          <w:sz w:val="20"/>
          <w:szCs w:val="20"/>
        </w:rPr>
        <w:t>”)</w:t>
      </w:r>
      <w:r>
        <w:rPr>
          <w:rFonts w:ascii="Arial" w:hAnsi="Arial" w:cs="Arial"/>
          <w:sz w:val="20"/>
          <w:szCs w:val="20"/>
        </w:rPr>
        <w:t xml:space="preserve"> has been amended to eliminate</w:t>
      </w:r>
      <w:r w:rsidR="003F05E3">
        <w:rPr>
          <w:rFonts w:ascii="Arial" w:hAnsi="Arial" w:cs="Arial"/>
          <w:sz w:val="20"/>
          <w:szCs w:val="20"/>
        </w:rPr>
        <w:t xml:space="preserve"> </w:t>
      </w:r>
      <w:r>
        <w:rPr>
          <w:rFonts w:ascii="Arial" w:hAnsi="Arial" w:cs="Arial"/>
          <w:sz w:val="20"/>
          <w:szCs w:val="20"/>
        </w:rPr>
        <w:t xml:space="preserve">the termination payment </w:t>
      </w:r>
      <w:r w:rsidR="003F05E3">
        <w:rPr>
          <w:rFonts w:ascii="Arial" w:hAnsi="Arial" w:cs="Arial"/>
          <w:sz w:val="20"/>
          <w:szCs w:val="20"/>
        </w:rPr>
        <w:t xml:space="preserve">previously </w:t>
      </w:r>
      <w:r>
        <w:rPr>
          <w:rFonts w:ascii="Arial" w:hAnsi="Arial" w:cs="Arial"/>
          <w:sz w:val="20"/>
          <w:szCs w:val="20"/>
        </w:rPr>
        <w:t>payable to the General Partner</w:t>
      </w:r>
      <w:r w:rsidR="003F05E3">
        <w:rPr>
          <w:rFonts w:ascii="Arial" w:hAnsi="Arial" w:cs="Arial"/>
          <w:sz w:val="20"/>
          <w:szCs w:val="20"/>
        </w:rPr>
        <w:t xml:space="preserve"> in certain circumstances</w:t>
      </w:r>
      <w:r>
        <w:rPr>
          <w:rFonts w:ascii="Arial" w:hAnsi="Arial" w:cs="Arial"/>
          <w:sz w:val="20"/>
          <w:szCs w:val="20"/>
        </w:rPr>
        <w:t xml:space="preserve">. </w:t>
      </w:r>
    </w:p>
    <w:p w14:paraId="1679A32A" w14:textId="77777777" w:rsidR="003F05E3" w:rsidRDefault="003F05E3" w:rsidP="00AF65A3">
      <w:pPr>
        <w:jc w:val="both"/>
        <w:rPr>
          <w:rFonts w:ascii="Arial" w:hAnsi="Arial" w:cs="Arial"/>
          <w:sz w:val="20"/>
          <w:szCs w:val="20"/>
        </w:rPr>
      </w:pPr>
    </w:p>
    <w:p w14:paraId="13DD557B" w14:textId="385AC0A7" w:rsidR="003F05E3" w:rsidRDefault="00827BA9" w:rsidP="00AF65A3">
      <w:pPr>
        <w:jc w:val="both"/>
        <w:rPr>
          <w:rFonts w:ascii="Arial" w:hAnsi="Arial" w:cs="Arial"/>
          <w:sz w:val="20"/>
          <w:szCs w:val="20"/>
        </w:rPr>
      </w:pPr>
      <w:r>
        <w:rPr>
          <w:rFonts w:ascii="Arial" w:hAnsi="Arial" w:cs="Arial"/>
          <w:sz w:val="20"/>
          <w:szCs w:val="20"/>
        </w:rPr>
        <w:t xml:space="preserve">However, in consideration for the changes, principally </w:t>
      </w:r>
      <w:r w:rsidR="00DB039A">
        <w:rPr>
          <w:rFonts w:ascii="Arial" w:hAnsi="Arial" w:cs="Arial"/>
          <w:sz w:val="20"/>
          <w:szCs w:val="20"/>
        </w:rPr>
        <w:t>in</w:t>
      </w:r>
      <w:r w:rsidR="00BB4918">
        <w:rPr>
          <w:rFonts w:ascii="Arial" w:hAnsi="Arial" w:cs="Arial"/>
          <w:sz w:val="20"/>
          <w:szCs w:val="20"/>
        </w:rPr>
        <w:t xml:space="preserve"> </w:t>
      </w:r>
      <w:r w:rsidR="00DB039A">
        <w:rPr>
          <w:rFonts w:ascii="Arial" w:hAnsi="Arial" w:cs="Arial"/>
          <w:sz w:val="20"/>
          <w:szCs w:val="20"/>
        </w:rPr>
        <w:t xml:space="preserve">lieu of </w:t>
      </w:r>
      <w:r>
        <w:rPr>
          <w:rFonts w:ascii="Arial" w:hAnsi="Arial" w:cs="Arial"/>
          <w:sz w:val="20"/>
          <w:szCs w:val="20"/>
        </w:rPr>
        <w:t>those related to the removal of the previous termination payment provisions included in the Partnership Agreement, the Company</w:t>
      </w:r>
      <w:r w:rsidR="003F05E3">
        <w:rPr>
          <w:rFonts w:ascii="Arial" w:hAnsi="Arial" w:cs="Arial"/>
          <w:sz w:val="20"/>
          <w:szCs w:val="20"/>
        </w:rPr>
        <w:t xml:space="preserve"> has agreed to amend the</w:t>
      </w:r>
      <w:r>
        <w:rPr>
          <w:rFonts w:ascii="Arial" w:hAnsi="Arial" w:cs="Arial"/>
          <w:sz w:val="20"/>
          <w:szCs w:val="20"/>
        </w:rPr>
        <w:t xml:space="preserve"> </w:t>
      </w:r>
      <w:r w:rsidR="00DB039A">
        <w:rPr>
          <w:rFonts w:ascii="Arial" w:hAnsi="Arial" w:cs="Arial"/>
          <w:sz w:val="20"/>
          <w:szCs w:val="20"/>
        </w:rPr>
        <w:t>Investment Management Agreement (the “</w:t>
      </w:r>
      <w:r>
        <w:rPr>
          <w:rFonts w:ascii="Arial" w:hAnsi="Arial" w:cs="Arial"/>
          <w:sz w:val="20"/>
          <w:szCs w:val="20"/>
        </w:rPr>
        <w:t>IMA</w:t>
      </w:r>
      <w:r w:rsidR="00DB039A">
        <w:rPr>
          <w:rFonts w:ascii="Arial" w:hAnsi="Arial" w:cs="Arial"/>
          <w:sz w:val="20"/>
          <w:szCs w:val="20"/>
        </w:rPr>
        <w:t xml:space="preserve">”) </w:t>
      </w:r>
      <w:r>
        <w:rPr>
          <w:rFonts w:ascii="Arial" w:hAnsi="Arial" w:cs="Arial"/>
          <w:sz w:val="20"/>
          <w:szCs w:val="20"/>
        </w:rPr>
        <w:t xml:space="preserve">to provide for the payment by the Company to the Investment Manager of certain cash amounts </w:t>
      </w:r>
      <w:r w:rsidR="00DB039A">
        <w:rPr>
          <w:rFonts w:ascii="Arial" w:hAnsi="Arial" w:cs="Arial"/>
          <w:sz w:val="20"/>
          <w:szCs w:val="20"/>
        </w:rPr>
        <w:t xml:space="preserve">(the “Adjustment Payments”) </w:t>
      </w:r>
      <w:r w:rsidR="006075DA">
        <w:rPr>
          <w:rFonts w:ascii="Arial" w:hAnsi="Arial" w:cs="Arial"/>
          <w:sz w:val="20"/>
          <w:szCs w:val="20"/>
        </w:rPr>
        <w:t xml:space="preserve">during the Managed Wind-Down period. </w:t>
      </w:r>
    </w:p>
    <w:p w14:paraId="7D60C689" w14:textId="77777777" w:rsidR="003F05E3" w:rsidRDefault="003F05E3" w:rsidP="00AF65A3">
      <w:pPr>
        <w:jc w:val="both"/>
        <w:rPr>
          <w:rFonts w:ascii="Arial" w:hAnsi="Arial" w:cs="Arial"/>
          <w:sz w:val="20"/>
          <w:szCs w:val="20"/>
        </w:rPr>
      </w:pPr>
    </w:p>
    <w:p w14:paraId="7C3F2690" w14:textId="2E3BFF42" w:rsidR="00371A3B" w:rsidRDefault="006075DA" w:rsidP="00371A3B">
      <w:pPr>
        <w:pStyle w:val="Body1"/>
      </w:pPr>
      <w:r>
        <w:rPr>
          <w:rFonts w:cs="Arial"/>
          <w:sz w:val="20"/>
          <w:szCs w:val="20"/>
        </w:rPr>
        <w:t xml:space="preserve">The initial Adjustment Payment due by the Company on entering </w:t>
      </w:r>
      <w:r w:rsidR="00A368DC">
        <w:rPr>
          <w:rFonts w:cs="Arial"/>
          <w:sz w:val="20"/>
          <w:szCs w:val="20"/>
        </w:rPr>
        <w:t xml:space="preserve">the </w:t>
      </w:r>
      <w:r>
        <w:rPr>
          <w:rFonts w:cs="Arial"/>
          <w:sz w:val="20"/>
          <w:szCs w:val="20"/>
        </w:rPr>
        <w:t xml:space="preserve">Managed Wind-Down is </w:t>
      </w:r>
      <w:r w:rsidR="003368F5">
        <w:rPr>
          <w:rFonts w:cs="Arial"/>
          <w:sz w:val="20"/>
          <w:szCs w:val="20"/>
        </w:rPr>
        <w:t xml:space="preserve">approximately </w:t>
      </w:r>
      <w:r>
        <w:rPr>
          <w:rFonts w:cs="Arial"/>
          <w:sz w:val="20"/>
          <w:szCs w:val="20"/>
        </w:rPr>
        <w:t>$</w:t>
      </w:r>
      <w:r w:rsidR="003368F5">
        <w:rPr>
          <w:rFonts w:cs="Arial"/>
          <w:sz w:val="20"/>
          <w:szCs w:val="20"/>
        </w:rPr>
        <w:t>21.</w:t>
      </w:r>
      <w:r w:rsidR="004726B9">
        <w:rPr>
          <w:rFonts w:cs="Arial"/>
          <w:sz w:val="20"/>
          <w:szCs w:val="20"/>
        </w:rPr>
        <w:t>2</w:t>
      </w:r>
      <w:r w:rsidR="003368F5">
        <w:rPr>
          <w:rFonts w:cs="Arial"/>
          <w:sz w:val="20"/>
          <w:szCs w:val="20"/>
        </w:rPr>
        <w:t xml:space="preserve"> million</w:t>
      </w:r>
      <w:r>
        <w:rPr>
          <w:rFonts w:cs="Arial"/>
          <w:sz w:val="20"/>
          <w:szCs w:val="20"/>
        </w:rPr>
        <w:t xml:space="preserve">, payable by </w:t>
      </w:r>
      <w:r w:rsidR="0068059B">
        <w:rPr>
          <w:rFonts w:cs="Arial"/>
          <w:sz w:val="20"/>
          <w:szCs w:val="20"/>
        </w:rPr>
        <w:t>8 September 2025</w:t>
      </w:r>
      <w:r w:rsidR="00A368DC">
        <w:rPr>
          <w:rFonts w:cs="Arial"/>
          <w:sz w:val="20"/>
          <w:szCs w:val="20"/>
        </w:rPr>
        <w:t>,</w:t>
      </w:r>
      <w:r>
        <w:rPr>
          <w:rFonts w:cs="Arial"/>
          <w:sz w:val="20"/>
          <w:szCs w:val="20"/>
        </w:rPr>
        <w:t xml:space="preserve"> and is calculated at 7.5</w:t>
      </w:r>
      <w:r w:rsidR="003368F5">
        <w:rPr>
          <w:rFonts w:cs="Arial"/>
          <w:sz w:val="20"/>
          <w:szCs w:val="20"/>
        </w:rPr>
        <w:t xml:space="preserve"> per cent.</w:t>
      </w:r>
      <w:r>
        <w:rPr>
          <w:rFonts w:cs="Arial"/>
          <w:sz w:val="20"/>
          <w:szCs w:val="20"/>
        </w:rPr>
        <w:t xml:space="preserve"> on the combined value as </w:t>
      </w:r>
      <w:proofErr w:type="gramStart"/>
      <w:r>
        <w:rPr>
          <w:rFonts w:cs="Arial"/>
          <w:sz w:val="20"/>
          <w:szCs w:val="20"/>
        </w:rPr>
        <w:t>at</w:t>
      </w:r>
      <w:proofErr w:type="gramEnd"/>
      <w:r>
        <w:rPr>
          <w:rFonts w:cs="Arial"/>
          <w:sz w:val="20"/>
          <w:szCs w:val="20"/>
        </w:rPr>
        <w:t xml:space="preserve"> 30 June 2025 of the cash balances and the remaining unsold publicly listed investments</w:t>
      </w:r>
      <w:r w:rsidR="0068059B">
        <w:rPr>
          <w:rFonts w:cs="Arial"/>
          <w:sz w:val="20"/>
          <w:szCs w:val="20"/>
        </w:rPr>
        <w:t xml:space="preserve"> as at the commencement of the Managed Wind-Down</w:t>
      </w:r>
      <w:r>
        <w:rPr>
          <w:rFonts w:cs="Arial"/>
          <w:sz w:val="20"/>
          <w:szCs w:val="20"/>
        </w:rPr>
        <w:t>.</w:t>
      </w:r>
      <w:r w:rsidR="0068059B">
        <w:rPr>
          <w:rFonts w:cs="Arial"/>
          <w:sz w:val="20"/>
          <w:szCs w:val="20"/>
        </w:rPr>
        <w:t xml:space="preserve"> Subsequent Adjustment Payments due to the Investment Manager </w:t>
      </w:r>
      <w:r w:rsidR="00DB039A">
        <w:rPr>
          <w:rFonts w:cs="Arial"/>
          <w:sz w:val="20"/>
          <w:szCs w:val="20"/>
        </w:rPr>
        <w:t xml:space="preserve">arising from the </w:t>
      </w:r>
      <w:r w:rsidR="00371A3B">
        <w:rPr>
          <w:rFonts w:cs="Arial"/>
          <w:sz w:val="20"/>
          <w:szCs w:val="20"/>
        </w:rPr>
        <w:t xml:space="preserve">cash distributions </w:t>
      </w:r>
      <w:r w:rsidR="00371A3B" w:rsidRPr="00E71514">
        <w:rPr>
          <w:rFonts w:cs="Arial"/>
          <w:sz w:val="20"/>
          <w:szCs w:val="20"/>
        </w:rPr>
        <w:t xml:space="preserve">received by the Company from its investment portfolio during the Managed Wind-Down period and from the </w:t>
      </w:r>
      <w:r w:rsidR="00DB039A">
        <w:rPr>
          <w:rFonts w:cs="Arial"/>
          <w:sz w:val="20"/>
          <w:szCs w:val="20"/>
        </w:rPr>
        <w:t xml:space="preserve">orderly realisation of the portfolio during </w:t>
      </w:r>
      <w:r w:rsidR="00371A3B">
        <w:rPr>
          <w:rFonts w:cs="Arial"/>
          <w:sz w:val="20"/>
          <w:szCs w:val="20"/>
        </w:rPr>
        <w:t xml:space="preserve">this time </w:t>
      </w:r>
      <w:r w:rsidR="0068059B">
        <w:rPr>
          <w:rFonts w:cs="Arial"/>
          <w:sz w:val="20"/>
          <w:szCs w:val="20"/>
        </w:rPr>
        <w:t xml:space="preserve">will also be </w:t>
      </w:r>
      <w:r w:rsidR="00DB039A">
        <w:rPr>
          <w:rFonts w:cs="Arial"/>
          <w:sz w:val="20"/>
          <w:szCs w:val="20"/>
        </w:rPr>
        <w:t xml:space="preserve">calculated </w:t>
      </w:r>
      <w:r>
        <w:rPr>
          <w:rFonts w:cs="Arial"/>
          <w:sz w:val="20"/>
          <w:szCs w:val="20"/>
        </w:rPr>
        <w:t>at 7.5</w:t>
      </w:r>
      <w:r w:rsidR="003368F5">
        <w:rPr>
          <w:rFonts w:cs="Arial"/>
          <w:sz w:val="20"/>
          <w:szCs w:val="20"/>
        </w:rPr>
        <w:t xml:space="preserve"> per cent.</w:t>
      </w:r>
      <w:r>
        <w:rPr>
          <w:rFonts w:cs="Arial"/>
          <w:sz w:val="20"/>
          <w:szCs w:val="20"/>
        </w:rPr>
        <w:t xml:space="preserve"> </w:t>
      </w:r>
      <w:r w:rsidR="00DB039A">
        <w:rPr>
          <w:rFonts w:cs="Arial"/>
          <w:sz w:val="20"/>
          <w:szCs w:val="20"/>
        </w:rPr>
        <w:t xml:space="preserve">on the </w:t>
      </w:r>
      <w:r w:rsidR="0068059B">
        <w:rPr>
          <w:rFonts w:cs="Arial"/>
          <w:sz w:val="20"/>
          <w:szCs w:val="20"/>
        </w:rPr>
        <w:t>cash proceeds received by the Company</w:t>
      </w:r>
      <w:r w:rsidR="00371A3B">
        <w:rPr>
          <w:rFonts w:cs="Arial"/>
          <w:sz w:val="20"/>
          <w:szCs w:val="20"/>
        </w:rPr>
        <w:t xml:space="preserve">. </w:t>
      </w:r>
      <w:r w:rsidR="00371A3B" w:rsidRPr="00371A3B">
        <w:rPr>
          <w:rFonts w:cs="Arial"/>
          <w:sz w:val="20"/>
          <w:szCs w:val="20"/>
        </w:rPr>
        <w:t xml:space="preserve">All Adjustment Payments will be calculated </w:t>
      </w:r>
      <w:proofErr w:type="gramStart"/>
      <w:r w:rsidR="00371A3B" w:rsidRPr="00371A3B">
        <w:rPr>
          <w:rFonts w:cs="Arial"/>
          <w:sz w:val="20"/>
          <w:szCs w:val="20"/>
        </w:rPr>
        <w:t>so as to</w:t>
      </w:r>
      <w:proofErr w:type="gramEnd"/>
      <w:r w:rsidR="00371A3B" w:rsidRPr="00371A3B">
        <w:rPr>
          <w:rFonts w:cs="Arial"/>
          <w:sz w:val="20"/>
          <w:szCs w:val="20"/>
        </w:rPr>
        <w:t xml:space="preserve"> avoid double counting, such that</w:t>
      </w:r>
      <w:r w:rsidR="0068059B">
        <w:rPr>
          <w:rFonts w:cs="Arial"/>
          <w:sz w:val="20"/>
          <w:szCs w:val="20"/>
        </w:rPr>
        <w:t xml:space="preserve"> no subsequent Adjustment Payments will arise on the </w:t>
      </w:r>
      <w:r w:rsidR="005255CA">
        <w:rPr>
          <w:rFonts w:cs="Arial"/>
          <w:sz w:val="20"/>
          <w:szCs w:val="20"/>
        </w:rPr>
        <w:t xml:space="preserve">later </w:t>
      </w:r>
      <w:r w:rsidR="0068059B">
        <w:rPr>
          <w:rFonts w:cs="Arial"/>
          <w:sz w:val="20"/>
          <w:szCs w:val="20"/>
        </w:rPr>
        <w:t>disposal of the Company’s unsold publicly listed investments held as at</w:t>
      </w:r>
      <w:r w:rsidR="00371A3B">
        <w:rPr>
          <w:rFonts w:cs="Arial"/>
          <w:sz w:val="20"/>
          <w:szCs w:val="20"/>
        </w:rPr>
        <w:t xml:space="preserve"> </w:t>
      </w:r>
      <w:r w:rsidR="00371A3B" w:rsidRPr="00E71514">
        <w:rPr>
          <w:rFonts w:cs="Arial"/>
          <w:sz w:val="20"/>
          <w:szCs w:val="20"/>
        </w:rPr>
        <w:t>the commencement of the Managed Wind-Down.</w:t>
      </w:r>
    </w:p>
    <w:p w14:paraId="06D147F9" w14:textId="409344B0" w:rsidR="00DB039A" w:rsidRDefault="00371A3B" w:rsidP="00E71514">
      <w:pPr>
        <w:pStyle w:val="Body1"/>
        <w:rPr>
          <w:rFonts w:cs="Arial"/>
          <w:sz w:val="20"/>
          <w:szCs w:val="20"/>
        </w:rPr>
      </w:pPr>
      <w:r w:rsidRPr="00371A3B">
        <w:rPr>
          <w:rFonts w:cs="Arial"/>
          <w:sz w:val="20"/>
          <w:szCs w:val="20"/>
        </w:rPr>
        <w:t xml:space="preserve">The 7.5 per cent. rate is equal to 20 times one quarter of 1.5 per cent., being the percentage of the Company’s prevailing Net Asset Value which would have become payable by the Company to the General Partner under the previous termination payment arrangements had </w:t>
      </w:r>
      <w:r w:rsidR="003E730A">
        <w:rPr>
          <w:rFonts w:cs="Arial"/>
          <w:sz w:val="20"/>
          <w:szCs w:val="20"/>
        </w:rPr>
        <w:t>S</w:t>
      </w:r>
      <w:r w:rsidRPr="00371A3B">
        <w:rPr>
          <w:rFonts w:cs="Arial"/>
          <w:sz w:val="20"/>
          <w:szCs w:val="20"/>
        </w:rPr>
        <w:t>hareholders approved the commencement of the Managed Wind-Down without the consent of the Investment Manager.</w:t>
      </w:r>
      <w:r w:rsidR="005255CA">
        <w:rPr>
          <w:rFonts w:cs="Arial"/>
          <w:sz w:val="20"/>
          <w:szCs w:val="20"/>
        </w:rPr>
        <w:t xml:space="preserve"> </w:t>
      </w:r>
      <w:bookmarkEnd w:id="0"/>
    </w:p>
    <w:p w14:paraId="6EB28BCD" w14:textId="37F7AFBE" w:rsidR="00AF65A3" w:rsidRPr="008A7A35" w:rsidRDefault="00F37398" w:rsidP="00AF65A3">
      <w:pPr>
        <w:jc w:val="both"/>
        <w:rPr>
          <w:rFonts w:ascii="Arial" w:hAnsi="Arial" w:cs="Arial"/>
          <w:sz w:val="20"/>
          <w:szCs w:val="20"/>
        </w:rPr>
      </w:pPr>
      <w:r>
        <w:rPr>
          <w:rFonts w:ascii="Arial" w:hAnsi="Arial" w:cs="Arial"/>
          <w:sz w:val="20"/>
          <w:szCs w:val="20"/>
        </w:rPr>
        <w:t xml:space="preserve">The Managed Wind-Down process will seek to ensure the Investment Manager realises all the assets of the Company in an orderly manner with the Company returning the net realisation proceeds (less relevant amounts to cover the expected operating costs, including Adjustment Payments for the expected Managed Wind-Down period and in due course the Company’s expected liquidation costs) to </w:t>
      </w:r>
      <w:r w:rsidR="003E730A">
        <w:rPr>
          <w:rFonts w:ascii="Arial" w:hAnsi="Arial" w:cs="Arial"/>
          <w:sz w:val="20"/>
          <w:szCs w:val="20"/>
        </w:rPr>
        <w:t>S</w:t>
      </w:r>
      <w:r>
        <w:rPr>
          <w:rFonts w:ascii="Arial" w:hAnsi="Arial" w:cs="Arial"/>
          <w:sz w:val="20"/>
          <w:szCs w:val="20"/>
        </w:rPr>
        <w:t xml:space="preserve">hareholders. With the passing of the resolutions at the EGM held on 22 August 2025, the Company and the Investment Manager </w:t>
      </w:r>
      <w:r w:rsidR="00471088">
        <w:rPr>
          <w:rFonts w:ascii="Arial" w:hAnsi="Arial" w:cs="Arial"/>
          <w:sz w:val="20"/>
          <w:szCs w:val="20"/>
        </w:rPr>
        <w:t xml:space="preserve">intend to return a substantial majority of the Company’s cash balances (net of provisions referred to above) to </w:t>
      </w:r>
      <w:r w:rsidR="003E730A">
        <w:rPr>
          <w:rFonts w:ascii="Arial" w:hAnsi="Arial" w:cs="Arial"/>
          <w:sz w:val="20"/>
          <w:szCs w:val="20"/>
        </w:rPr>
        <w:t>S</w:t>
      </w:r>
      <w:r w:rsidR="00471088">
        <w:rPr>
          <w:rFonts w:ascii="Arial" w:hAnsi="Arial" w:cs="Arial"/>
          <w:sz w:val="20"/>
          <w:szCs w:val="20"/>
        </w:rPr>
        <w:t xml:space="preserve">hareholders by 21 November 2025 together with an orderly realisation of the Company’s publicly listed investments also by this </w:t>
      </w:r>
      <w:r w:rsidR="00471088">
        <w:rPr>
          <w:rFonts w:ascii="Arial" w:hAnsi="Arial" w:cs="Arial"/>
          <w:sz w:val="20"/>
          <w:szCs w:val="20"/>
        </w:rPr>
        <w:lastRenderedPageBreak/>
        <w:t>date and subsequent distribution of those net proceeds by no later than 20 February 2026.</w:t>
      </w:r>
      <w:r w:rsidR="00140C31">
        <w:rPr>
          <w:rFonts w:ascii="Arial" w:hAnsi="Arial" w:cs="Arial"/>
          <w:sz w:val="20"/>
          <w:szCs w:val="20"/>
        </w:rPr>
        <w:t xml:space="preserve"> </w:t>
      </w:r>
      <w:r w:rsidR="00140C31" w:rsidRPr="008A7A35">
        <w:rPr>
          <w:rFonts w:ascii="Arial" w:eastAsia="Calibri" w:hAnsi="Arial" w:cs="Arial"/>
          <w:kern w:val="2"/>
          <w:sz w:val="20"/>
          <w:szCs w:val="20"/>
          <w14:ligatures w14:val="standardContextual"/>
        </w:rPr>
        <w:t xml:space="preserve">The Company is therefore </w:t>
      </w:r>
      <w:r w:rsidR="00140C31">
        <w:rPr>
          <w:rFonts w:ascii="Arial" w:eastAsia="Calibri" w:hAnsi="Arial" w:cs="Arial"/>
          <w:kern w:val="2"/>
          <w:sz w:val="20"/>
          <w:szCs w:val="20"/>
          <w14:ligatures w14:val="standardContextual"/>
        </w:rPr>
        <w:t xml:space="preserve">now </w:t>
      </w:r>
      <w:r w:rsidR="00140C31" w:rsidRPr="008A7A35">
        <w:rPr>
          <w:rFonts w:ascii="Arial" w:eastAsia="Calibri" w:hAnsi="Arial" w:cs="Arial"/>
          <w:kern w:val="2"/>
          <w:sz w:val="20"/>
          <w:szCs w:val="20"/>
          <w14:ligatures w14:val="standardContextual"/>
        </w:rPr>
        <w:t xml:space="preserve">preparing its financial statements on a basis other than going concern due to the </w:t>
      </w:r>
      <w:r w:rsidR="00140C31">
        <w:rPr>
          <w:rFonts w:ascii="Arial" w:eastAsia="Calibri" w:hAnsi="Arial" w:cs="Arial"/>
          <w:kern w:val="2"/>
          <w:sz w:val="20"/>
          <w:szCs w:val="20"/>
          <w14:ligatures w14:val="standardContextual"/>
        </w:rPr>
        <w:t>C</w:t>
      </w:r>
      <w:r w:rsidR="00140C31" w:rsidRPr="008A7A35">
        <w:rPr>
          <w:rFonts w:ascii="Arial" w:eastAsia="Calibri" w:hAnsi="Arial" w:cs="Arial"/>
          <w:kern w:val="2"/>
          <w:sz w:val="20"/>
          <w:szCs w:val="20"/>
          <w14:ligatures w14:val="standardContextual"/>
        </w:rPr>
        <w:t>ompany being in a Managed Wind-Down</w:t>
      </w:r>
      <w:r w:rsidR="00140C31">
        <w:rPr>
          <w:rFonts w:ascii="Arial" w:eastAsia="Calibri" w:hAnsi="Arial" w:cs="Arial"/>
          <w:kern w:val="2"/>
          <w:sz w:val="20"/>
          <w:szCs w:val="20"/>
          <w14:ligatures w14:val="standardContextual"/>
        </w:rPr>
        <w:t xml:space="preserve"> process.</w:t>
      </w:r>
    </w:p>
    <w:p w14:paraId="21F57696" w14:textId="77777777" w:rsidR="00AF65A3" w:rsidRPr="008A7A35" w:rsidRDefault="00AF65A3" w:rsidP="00AF65A3">
      <w:pPr>
        <w:jc w:val="both"/>
        <w:rPr>
          <w:rFonts w:ascii="Arial" w:hAnsi="Arial" w:cs="Arial"/>
          <w:sz w:val="20"/>
          <w:szCs w:val="20"/>
        </w:rPr>
      </w:pPr>
    </w:p>
    <w:p w14:paraId="52AA36DA" w14:textId="69C5F917"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The Board believes that this </w:t>
      </w:r>
      <w:r w:rsidR="002C2A43" w:rsidRPr="008A7A35">
        <w:rPr>
          <w:rFonts w:ascii="Arial" w:hAnsi="Arial" w:cs="Arial"/>
          <w:sz w:val="20"/>
          <w:szCs w:val="20"/>
        </w:rPr>
        <w:t>new investment objective and policy</w:t>
      </w:r>
      <w:r w:rsidRPr="008A7A35">
        <w:rPr>
          <w:rFonts w:ascii="Arial" w:hAnsi="Arial" w:cs="Arial"/>
          <w:sz w:val="20"/>
          <w:szCs w:val="20"/>
        </w:rPr>
        <w:t xml:space="preserve"> represent the most effective path to unlocking value for </w:t>
      </w:r>
      <w:r w:rsidR="003E730A">
        <w:rPr>
          <w:rFonts w:ascii="Arial" w:hAnsi="Arial" w:cs="Arial"/>
          <w:sz w:val="20"/>
          <w:szCs w:val="20"/>
        </w:rPr>
        <w:t>S</w:t>
      </w:r>
      <w:r w:rsidRPr="008A7A35">
        <w:rPr>
          <w:rFonts w:ascii="Arial" w:hAnsi="Arial" w:cs="Arial"/>
          <w:sz w:val="20"/>
          <w:szCs w:val="20"/>
        </w:rPr>
        <w:t xml:space="preserve">hareholders. </w:t>
      </w:r>
      <w:r w:rsidR="002C2A43" w:rsidRPr="008A7A35">
        <w:rPr>
          <w:rFonts w:ascii="Arial" w:hAnsi="Arial" w:cs="Arial"/>
          <w:sz w:val="20"/>
          <w:szCs w:val="20"/>
        </w:rPr>
        <w:t>Following the results of the EGM</w:t>
      </w:r>
      <w:r w:rsidRPr="008A7A35">
        <w:rPr>
          <w:rFonts w:ascii="Arial" w:hAnsi="Arial" w:cs="Arial"/>
          <w:sz w:val="20"/>
          <w:szCs w:val="20"/>
        </w:rPr>
        <w:t xml:space="preserve">, this process is </w:t>
      </w:r>
      <w:r w:rsidR="00471088">
        <w:rPr>
          <w:rFonts w:ascii="Arial" w:hAnsi="Arial" w:cs="Arial"/>
          <w:sz w:val="20"/>
          <w:szCs w:val="20"/>
        </w:rPr>
        <w:t xml:space="preserve">now </w:t>
      </w:r>
      <w:r w:rsidRPr="008A7A35">
        <w:rPr>
          <w:rFonts w:ascii="Arial" w:hAnsi="Arial" w:cs="Arial"/>
          <w:sz w:val="20"/>
          <w:szCs w:val="20"/>
        </w:rPr>
        <w:t>underway.</w:t>
      </w:r>
    </w:p>
    <w:p w14:paraId="63B09A12" w14:textId="77777777" w:rsidR="00AF65A3" w:rsidRPr="008A7A35" w:rsidRDefault="00AF65A3" w:rsidP="00AF65A3">
      <w:pPr>
        <w:jc w:val="both"/>
        <w:rPr>
          <w:rFonts w:ascii="Arial" w:hAnsi="Arial" w:cs="Arial"/>
          <w:b/>
          <w:bCs/>
          <w:sz w:val="20"/>
          <w:szCs w:val="20"/>
        </w:rPr>
      </w:pPr>
    </w:p>
    <w:p w14:paraId="7DC10562" w14:textId="176853F9" w:rsidR="00AF65A3" w:rsidRPr="008A7A35" w:rsidRDefault="00AF65A3" w:rsidP="00AF65A3">
      <w:pPr>
        <w:jc w:val="both"/>
        <w:rPr>
          <w:rFonts w:ascii="Arial" w:hAnsi="Arial" w:cs="Arial"/>
          <w:sz w:val="20"/>
          <w:szCs w:val="20"/>
        </w:rPr>
      </w:pPr>
      <w:r w:rsidRPr="008A7A35">
        <w:rPr>
          <w:rFonts w:ascii="Arial" w:hAnsi="Arial" w:cs="Arial"/>
          <w:b/>
          <w:bCs/>
          <w:sz w:val="20"/>
          <w:szCs w:val="20"/>
        </w:rPr>
        <w:t>Investment Portfolio Summary and Performance</w:t>
      </w:r>
    </w:p>
    <w:p w14:paraId="16A16FE9" w14:textId="000076AF"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As </w:t>
      </w:r>
      <w:proofErr w:type="gramStart"/>
      <w:r w:rsidRPr="008A7A35">
        <w:rPr>
          <w:rFonts w:ascii="Arial" w:hAnsi="Arial" w:cs="Arial"/>
          <w:sz w:val="20"/>
          <w:szCs w:val="20"/>
        </w:rPr>
        <w:t>at</w:t>
      </w:r>
      <w:proofErr w:type="gramEnd"/>
      <w:r w:rsidRPr="008A7A35">
        <w:rPr>
          <w:rFonts w:ascii="Arial" w:hAnsi="Arial" w:cs="Arial"/>
          <w:sz w:val="20"/>
          <w:szCs w:val="20"/>
        </w:rPr>
        <w:t xml:space="preserve"> 30 June 2025, </w:t>
      </w:r>
      <w:r w:rsidR="003B35F4">
        <w:rPr>
          <w:rFonts w:ascii="Arial" w:hAnsi="Arial" w:cs="Arial"/>
          <w:sz w:val="20"/>
          <w:szCs w:val="20"/>
        </w:rPr>
        <w:t xml:space="preserve">the Company’s </w:t>
      </w:r>
      <w:r w:rsidRPr="008A7A35">
        <w:rPr>
          <w:rFonts w:ascii="Arial" w:hAnsi="Arial" w:cs="Arial"/>
          <w:sz w:val="20"/>
          <w:szCs w:val="20"/>
        </w:rPr>
        <w:t xml:space="preserve">portfolio comprised seven active investments, with four companies in the decarbonisation portfolio </w:t>
      </w:r>
      <w:r w:rsidR="0066637F">
        <w:rPr>
          <w:rFonts w:ascii="Arial" w:hAnsi="Arial" w:cs="Arial"/>
          <w:sz w:val="20"/>
          <w:szCs w:val="20"/>
        </w:rPr>
        <w:t xml:space="preserve">(Solid Power, GoodLeap, Infinitum and Group14) </w:t>
      </w:r>
      <w:r w:rsidRPr="008A7A35">
        <w:rPr>
          <w:rFonts w:ascii="Arial" w:hAnsi="Arial" w:cs="Arial"/>
          <w:sz w:val="20"/>
          <w:szCs w:val="20"/>
        </w:rPr>
        <w:t>and three in conventional assets</w:t>
      </w:r>
      <w:r w:rsidR="0066637F">
        <w:rPr>
          <w:rFonts w:ascii="Arial" w:hAnsi="Arial" w:cs="Arial"/>
          <w:sz w:val="20"/>
          <w:szCs w:val="20"/>
        </w:rPr>
        <w:t xml:space="preserve"> (Onyx Power, Permian Resources and Whitecap Resources)</w:t>
      </w:r>
      <w:r w:rsidRPr="008A7A35">
        <w:rPr>
          <w:rFonts w:ascii="Arial" w:hAnsi="Arial" w:cs="Arial"/>
          <w:sz w:val="20"/>
          <w:szCs w:val="20"/>
        </w:rPr>
        <w:t>.</w:t>
      </w:r>
    </w:p>
    <w:p w14:paraId="3374BE40" w14:textId="77777777" w:rsidR="00AF65A3" w:rsidRPr="008A7A35" w:rsidRDefault="00AF65A3" w:rsidP="00AF65A3">
      <w:pPr>
        <w:jc w:val="both"/>
        <w:rPr>
          <w:rFonts w:ascii="Arial" w:hAnsi="Arial" w:cs="Arial"/>
          <w:sz w:val="20"/>
          <w:szCs w:val="20"/>
        </w:rPr>
      </w:pPr>
    </w:p>
    <w:p w14:paraId="4A4F07C0" w14:textId="52502BB2" w:rsidR="00AF65A3" w:rsidRPr="008A7A35" w:rsidRDefault="003368F5" w:rsidP="00AF65A3">
      <w:pPr>
        <w:jc w:val="both"/>
        <w:rPr>
          <w:rFonts w:ascii="Arial" w:hAnsi="Arial" w:cs="Arial"/>
          <w:sz w:val="20"/>
          <w:szCs w:val="20"/>
        </w:rPr>
      </w:pPr>
      <w:r>
        <w:rPr>
          <w:rFonts w:ascii="Arial" w:hAnsi="Arial" w:cs="Arial"/>
          <w:sz w:val="20"/>
          <w:szCs w:val="20"/>
        </w:rPr>
        <w:t xml:space="preserve">During the </w:t>
      </w:r>
      <w:proofErr w:type="gramStart"/>
      <w:r>
        <w:rPr>
          <w:rFonts w:ascii="Arial" w:hAnsi="Arial" w:cs="Arial"/>
          <w:sz w:val="20"/>
          <w:szCs w:val="20"/>
        </w:rPr>
        <w:t>six month</w:t>
      </w:r>
      <w:proofErr w:type="gramEnd"/>
      <w:r>
        <w:rPr>
          <w:rFonts w:ascii="Arial" w:hAnsi="Arial" w:cs="Arial"/>
          <w:sz w:val="20"/>
          <w:szCs w:val="20"/>
        </w:rPr>
        <w:t xml:space="preserve"> period ended 30 June 2025, w</w:t>
      </w:r>
      <w:r w:rsidR="74915360" w:rsidRPr="1792F60E">
        <w:rPr>
          <w:rFonts w:ascii="Arial" w:hAnsi="Arial" w:cs="Arial"/>
          <w:sz w:val="20"/>
          <w:szCs w:val="20"/>
        </w:rPr>
        <w:t xml:space="preserve">hile conventional </w:t>
      </w:r>
      <w:r w:rsidR="74915360" w:rsidRPr="00A06BE6">
        <w:rPr>
          <w:rFonts w:ascii="Arial" w:hAnsi="Arial" w:cs="Arial"/>
          <w:sz w:val="20"/>
          <w:szCs w:val="20"/>
        </w:rPr>
        <w:t xml:space="preserve">assets increased in </w:t>
      </w:r>
      <w:r w:rsidRPr="00A06BE6">
        <w:rPr>
          <w:rFonts w:ascii="Arial" w:hAnsi="Arial" w:cs="Arial"/>
          <w:sz w:val="20"/>
          <w:szCs w:val="20"/>
        </w:rPr>
        <w:t xml:space="preserve">total </w:t>
      </w:r>
      <w:r w:rsidR="74915360" w:rsidRPr="00A06BE6">
        <w:rPr>
          <w:rFonts w:ascii="Arial" w:hAnsi="Arial" w:cs="Arial"/>
          <w:sz w:val="20"/>
          <w:szCs w:val="20"/>
        </w:rPr>
        <w:t>value by $</w:t>
      </w:r>
      <w:r w:rsidR="0011148C">
        <w:rPr>
          <w:rFonts w:ascii="Arial" w:hAnsi="Arial" w:cs="Arial"/>
          <w:sz w:val="20"/>
          <w:szCs w:val="20"/>
        </w:rPr>
        <w:t>8</w:t>
      </w:r>
      <w:r w:rsidR="75FA6683" w:rsidRPr="00A06BE6">
        <w:rPr>
          <w:rFonts w:ascii="Arial" w:hAnsi="Arial" w:cs="Arial"/>
          <w:sz w:val="20"/>
          <w:szCs w:val="20"/>
        </w:rPr>
        <w:t>.</w:t>
      </w:r>
      <w:r w:rsidR="0011148C">
        <w:rPr>
          <w:rFonts w:ascii="Arial" w:hAnsi="Arial" w:cs="Arial"/>
          <w:sz w:val="20"/>
          <w:szCs w:val="20"/>
        </w:rPr>
        <w:t>0</w:t>
      </w:r>
      <w:r w:rsidR="74915360" w:rsidRPr="00A06BE6">
        <w:rPr>
          <w:rFonts w:ascii="Arial" w:hAnsi="Arial" w:cs="Arial"/>
          <w:sz w:val="20"/>
          <w:szCs w:val="20"/>
        </w:rPr>
        <w:t xml:space="preserve"> million or </w:t>
      </w:r>
      <w:r w:rsidR="0011148C">
        <w:rPr>
          <w:rFonts w:ascii="Arial" w:hAnsi="Arial" w:cs="Arial"/>
          <w:sz w:val="20"/>
          <w:szCs w:val="20"/>
        </w:rPr>
        <w:t>3.4</w:t>
      </w:r>
      <w:r w:rsidR="74915360" w:rsidRPr="00A06BE6">
        <w:rPr>
          <w:rFonts w:ascii="Arial" w:hAnsi="Arial" w:cs="Arial"/>
          <w:sz w:val="20"/>
          <w:szCs w:val="20"/>
        </w:rPr>
        <w:t xml:space="preserve"> per cent., the decarbonisation portfolio declined in</w:t>
      </w:r>
      <w:r w:rsidRPr="00A06BE6">
        <w:rPr>
          <w:rFonts w:ascii="Arial" w:hAnsi="Arial" w:cs="Arial"/>
          <w:sz w:val="20"/>
          <w:szCs w:val="20"/>
        </w:rPr>
        <w:t xml:space="preserve"> total</w:t>
      </w:r>
      <w:r w:rsidR="74915360" w:rsidRPr="00A06BE6">
        <w:rPr>
          <w:rFonts w:ascii="Arial" w:hAnsi="Arial" w:cs="Arial"/>
          <w:sz w:val="20"/>
          <w:szCs w:val="20"/>
        </w:rPr>
        <w:t xml:space="preserve"> value by $</w:t>
      </w:r>
      <w:r w:rsidR="001217DE" w:rsidRPr="00A06BE6">
        <w:rPr>
          <w:rFonts w:ascii="Arial" w:hAnsi="Arial" w:cs="Arial"/>
          <w:sz w:val="20"/>
          <w:szCs w:val="20"/>
        </w:rPr>
        <w:t>5.</w:t>
      </w:r>
      <w:r w:rsidR="00074BAB" w:rsidRPr="009B1684">
        <w:rPr>
          <w:rFonts w:ascii="Arial" w:hAnsi="Arial" w:cs="Arial"/>
          <w:sz w:val="20"/>
          <w:szCs w:val="20"/>
        </w:rPr>
        <w:t>4</w:t>
      </w:r>
      <w:r w:rsidR="74915360" w:rsidRPr="00A06BE6">
        <w:rPr>
          <w:rFonts w:ascii="Arial" w:hAnsi="Arial" w:cs="Arial"/>
          <w:sz w:val="20"/>
          <w:szCs w:val="20"/>
        </w:rPr>
        <w:t xml:space="preserve"> million or </w:t>
      </w:r>
      <w:r w:rsidR="00074BAB" w:rsidRPr="009B1684">
        <w:rPr>
          <w:rFonts w:ascii="Arial" w:hAnsi="Arial" w:cs="Arial"/>
          <w:sz w:val="20"/>
          <w:szCs w:val="20"/>
        </w:rPr>
        <w:t>8.</w:t>
      </w:r>
      <w:r w:rsidR="000D354A">
        <w:rPr>
          <w:rFonts w:ascii="Arial" w:hAnsi="Arial" w:cs="Arial"/>
          <w:sz w:val="20"/>
          <w:szCs w:val="20"/>
        </w:rPr>
        <w:t>5</w:t>
      </w:r>
      <w:r w:rsidR="74915360" w:rsidRPr="00A06BE6">
        <w:rPr>
          <w:rFonts w:ascii="Arial" w:hAnsi="Arial" w:cs="Arial"/>
          <w:sz w:val="20"/>
          <w:szCs w:val="20"/>
        </w:rPr>
        <w:t xml:space="preserve"> </w:t>
      </w:r>
      <w:r w:rsidR="74915360" w:rsidRPr="1792F60E">
        <w:rPr>
          <w:rFonts w:ascii="Arial" w:hAnsi="Arial" w:cs="Arial"/>
          <w:sz w:val="20"/>
          <w:szCs w:val="20"/>
        </w:rPr>
        <w:t>per cent. Nevertheless, the total portfolio saw an increase in value, with NAV</w:t>
      </w:r>
      <w:r w:rsidR="52CF1DDF" w:rsidRPr="1792F60E">
        <w:rPr>
          <w:rFonts w:ascii="Arial" w:hAnsi="Arial" w:cs="Arial"/>
          <w:sz w:val="20"/>
          <w:szCs w:val="20"/>
        </w:rPr>
        <w:t xml:space="preserve"> per share</w:t>
      </w:r>
      <w:r w:rsidR="74915360" w:rsidRPr="1792F60E">
        <w:rPr>
          <w:rFonts w:ascii="Arial" w:hAnsi="Arial" w:cs="Arial"/>
          <w:sz w:val="20"/>
          <w:szCs w:val="20"/>
        </w:rPr>
        <w:t xml:space="preserve"> rising by </w:t>
      </w:r>
      <w:r w:rsidR="002F13A5" w:rsidRPr="001217DE">
        <w:rPr>
          <w:rFonts w:ascii="Arial" w:hAnsi="Arial" w:cs="Arial"/>
          <w:sz w:val="20"/>
          <w:szCs w:val="20"/>
        </w:rPr>
        <w:t>1.9</w:t>
      </w:r>
      <w:r w:rsidR="52CF1DDF" w:rsidRPr="001217DE">
        <w:rPr>
          <w:rFonts w:ascii="Arial" w:hAnsi="Arial" w:cs="Arial"/>
          <w:sz w:val="20"/>
          <w:szCs w:val="20"/>
        </w:rPr>
        <w:t xml:space="preserve"> </w:t>
      </w:r>
      <w:r w:rsidR="74915360" w:rsidRPr="001217DE">
        <w:rPr>
          <w:rFonts w:ascii="Arial" w:hAnsi="Arial" w:cs="Arial"/>
          <w:sz w:val="20"/>
          <w:szCs w:val="20"/>
        </w:rPr>
        <w:t>per</w:t>
      </w:r>
      <w:r w:rsidR="74915360" w:rsidRPr="1792F60E">
        <w:rPr>
          <w:rFonts w:ascii="Arial" w:hAnsi="Arial" w:cs="Arial"/>
          <w:sz w:val="20"/>
          <w:szCs w:val="20"/>
        </w:rPr>
        <w:t xml:space="preserve"> cent. to $</w:t>
      </w:r>
      <w:r w:rsidR="002F13A5">
        <w:rPr>
          <w:rFonts w:ascii="Arial" w:hAnsi="Arial" w:cs="Arial"/>
          <w:sz w:val="20"/>
          <w:szCs w:val="20"/>
        </w:rPr>
        <w:t>15.11</w:t>
      </w:r>
      <w:r w:rsidR="74915360" w:rsidRPr="1792F60E">
        <w:rPr>
          <w:rFonts w:ascii="Arial" w:hAnsi="Arial" w:cs="Arial"/>
          <w:sz w:val="20"/>
          <w:szCs w:val="20"/>
        </w:rPr>
        <w:t xml:space="preserve"> per share.</w:t>
      </w:r>
    </w:p>
    <w:p w14:paraId="4EB247EC" w14:textId="77777777" w:rsidR="00AF65A3" w:rsidRPr="008A7A35" w:rsidRDefault="00AF65A3" w:rsidP="00AF65A3">
      <w:pPr>
        <w:jc w:val="both"/>
        <w:rPr>
          <w:rFonts w:ascii="Arial" w:hAnsi="Arial" w:cs="Arial"/>
          <w:sz w:val="20"/>
          <w:szCs w:val="20"/>
        </w:rPr>
      </w:pPr>
    </w:p>
    <w:p w14:paraId="0E05AC33" w14:textId="49A881B1" w:rsidR="00AF65A3" w:rsidRDefault="00AF65A3" w:rsidP="00AF65A3">
      <w:pPr>
        <w:jc w:val="both"/>
        <w:rPr>
          <w:rFonts w:ascii="Arial" w:hAnsi="Arial" w:cs="Arial"/>
          <w:sz w:val="20"/>
          <w:szCs w:val="20"/>
        </w:rPr>
      </w:pPr>
      <w:r w:rsidRPr="008A7A35">
        <w:rPr>
          <w:rFonts w:ascii="Arial" w:hAnsi="Arial" w:cs="Arial"/>
          <w:sz w:val="20"/>
          <w:szCs w:val="20"/>
        </w:rPr>
        <w:t xml:space="preserve">As a result of this performance and recent relative movements, the portfolio is now weighted approximately </w:t>
      </w:r>
      <w:r w:rsidR="00C37E2C" w:rsidRPr="008A7A35">
        <w:rPr>
          <w:rFonts w:ascii="Arial" w:hAnsi="Arial" w:cs="Arial"/>
          <w:sz w:val="20"/>
          <w:szCs w:val="20"/>
        </w:rPr>
        <w:t xml:space="preserve">80 </w:t>
      </w:r>
      <w:r w:rsidRPr="008A7A35">
        <w:rPr>
          <w:rFonts w:ascii="Arial" w:hAnsi="Arial" w:cs="Arial"/>
          <w:sz w:val="20"/>
          <w:szCs w:val="20"/>
        </w:rPr>
        <w:t>per cent. in favour of conventional assets.</w:t>
      </w:r>
    </w:p>
    <w:p w14:paraId="003C94CE" w14:textId="77777777" w:rsidR="003B35F4" w:rsidRDefault="003B35F4" w:rsidP="00AF65A3">
      <w:pPr>
        <w:jc w:val="both"/>
        <w:rPr>
          <w:rFonts w:ascii="Arial" w:hAnsi="Arial" w:cs="Arial"/>
          <w:sz w:val="20"/>
          <w:szCs w:val="20"/>
        </w:rPr>
      </w:pPr>
    </w:p>
    <w:p w14:paraId="09AA5CBD" w14:textId="3D150014" w:rsidR="003B35F4" w:rsidRPr="008A7A35" w:rsidRDefault="003B35F4" w:rsidP="00AF65A3">
      <w:pPr>
        <w:jc w:val="both"/>
        <w:rPr>
          <w:rFonts w:ascii="Arial" w:hAnsi="Arial" w:cs="Arial"/>
          <w:sz w:val="20"/>
          <w:szCs w:val="20"/>
        </w:rPr>
      </w:pPr>
      <w:r>
        <w:rPr>
          <w:rFonts w:ascii="Arial" w:hAnsi="Arial" w:cs="Arial"/>
          <w:sz w:val="20"/>
          <w:szCs w:val="20"/>
        </w:rPr>
        <w:t xml:space="preserve">Arising from the resolutions passed at the EGM held on 22 August 2025 and in line with the Circular published by the Company on 1 August 2025, the </w:t>
      </w:r>
      <w:r w:rsidR="0066637F">
        <w:rPr>
          <w:rFonts w:ascii="Arial" w:hAnsi="Arial" w:cs="Arial"/>
          <w:sz w:val="20"/>
          <w:szCs w:val="20"/>
        </w:rPr>
        <w:t xml:space="preserve">investment portfolio can now also be split in two and separately defined as the Public </w:t>
      </w:r>
      <w:r w:rsidR="0066637F" w:rsidRPr="00BB4918">
        <w:rPr>
          <w:rFonts w:ascii="Arial" w:hAnsi="Arial" w:cs="Arial"/>
          <w:sz w:val="20"/>
          <w:szCs w:val="20"/>
        </w:rPr>
        <w:t>Portfolio</w:t>
      </w:r>
      <w:r w:rsidR="00B33B5D" w:rsidRPr="00BB4918">
        <w:rPr>
          <w:rFonts w:ascii="Arial" w:hAnsi="Arial" w:cs="Arial"/>
          <w:sz w:val="20"/>
          <w:szCs w:val="20"/>
        </w:rPr>
        <w:t>,</w:t>
      </w:r>
      <w:r w:rsidR="0066637F" w:rsidRPr="00BB4918">
        <w:rPr>
          <w:rFonts w:ascii="Arial" w:hAnsi="Arial" w:cs="Arial"/>
          <w:sz w:val="20"/>
          <w:szCs w:val="20"/>
        </w:rPr>
        <w:t xml:space="preserve"> being the investments held in Permian Resources, Whitecap Resources and Solid Power</w:t>
      </w:r>
      <w:r w:rsidR="00B33B5D" w:rsidRPr="00BB4918">
        <w:rPr>
          <w:rFonts w:ascii="Arial" w:hAnsi="Arial" w:cs="Arial"/>
          <w:sz w:val="20"/>
          <w:szCs w:val="20"/>
        </w:rPr>
        <w:t>,</w:t>
      </w:r>
      <w:r w:rsidR="0066637F">
        <w:rPr>
          <w:rFonts w:ascii="Arial" w:hAnsi="Arial" w:cs="Arial"/>
          <w:sz w:val="20"/>
          <w:szCs w:val="20"/>
        </w:rPr>
        <w:t xml:space="preserve"> and the Private Portfolio being the remaining investments held in Onyx Power, GoodLeap, Infinitum and Group14.</w:t>
      </w:r>
    </w:p>
    <w:p w14:paraId="47250D6F" w14:textId="77777777" w:rsidR="003819CB" w:rsidRPr="008A7A35" w:rsidRDefault="003819CB" w:rsidP="00AF65A3">
      <w:pPr>
        <w:jc w:val="both"/>
        <w:rPr>
          <w:rFonts w:ascii="Arial" w:hAnsi="Arial" w:cs="Arial"/>
          <w:b/>
          <w:bCs/>
          <w:sz w:val="20"/>
          <w:szCs w:val="20"/>
        </w:rPr>
      </w:pPr>
    </w:p>
    <w:p w14:paraId="464896F0" w14:textId="70AEFC5E" w:rsidR="00AF65A3" w:rsidRPr="008A7A35" w:rsidRDefault="00AF65A3" w:rsidP="00AF65A3">
      <w:pPr>
        <w:jc w:val="both"/>
        <w:rPr>
          <w:rFonts w:ascii="Arial" w:hAnsi="Arial" w:cs="Arial"/>
          <w:b/>
          <w:bCs/>
          <w:sz w:val="20"/>
          <w:szCs w:val="20"/>
        </w:rPr>
      </w:pPr>
      <w:r w:rsidRPr="008A7A35">
        <w:rPr>
          <w:rFonts w:ascii="Arial" w:hAnsi="Arial" w:cs="Arial"/>
          <w:b/>
          <w:bCs/>
          <w:sz w:val="20"/>
          <w:szCs w:val="20"/>
        </w:rPr>
        <w:t>Asset Developments</w:t>
      </w:r>
    </w:p>
    <w:p w14:paraId="7AE8B371" w14:textId="333B909C"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Despite the challenges in the macroeconomic environment, our </w:t>
      </w:r>
      <w:r w:rsidR="0066637F">
        <w:rPr>
          <w:rFonts w:ascii="Arial" w:hAnsi="Arial" w:cs="Arial"/>
          <w:sz w:val="20"/>
          <w:szCs w:val="20"/>
        </w:rPr>
        <w:t xml:space="preserve">investment </w:t>
      </w:r>
      <w:r w:rsidRPr="008A7A35">
        <w:rPr>
          <w:rFonts w:ascii="Arial" w:hAnsi="Arial" w:cs="Arial"/>
          <w:sz w:val="20"/>
          <w:szCs w:val="20"/>
        </w:rPr>
        <w:t xml:space="preserve">portfolio continued to progress in the first half of 2025, particularly across our conventional energy holdings. In May, Veren successfully completed its strategic combination with Whitecap Resources, crystallising the value of </w:t>
      </w:r>
      <w:r w:rsidR="000C1C89">
        <w:rPr>
          <w:rFonts w:ascii="Arial" w:hAnsi="Arial" w:cs="Arial"/>
          <w:sz w:val="20"/>
          <w:szCs w:val="20"/>
        </w:rPr>
        <w:t xml:space="preserve">the Company’s </w:t>
      </w:r>
      <w:r w:rsidRPr="008A7A35">
        <w:rPr>
          <w:rFonts w:ascii="Arial" w:hAnsi="Arial" w:cs="Arial"/>
          <w:sz w:val="20"/>
          <w:szCs w:val="20"/>
        </w:rPr>
        <w:t>initial investment. The transaction has created one of Canada’s largest oil and gas producers</w:t>
      </w:r>
      <w:r w:rsidR="000C1C89">
        <w:rPr>
          <w:rFonts w:ascii="Arial" w:hAnsi="Arial" w:cs="Arial"/>
          <w:sz w:val="20"/>
          <w:szCs w:val="20"/>
        </w:rPr>
        <w:t>.</w:t>
      </w:r>
      <w:r w:rsidRPr="008A7A35">
        <w:rPr>
          <w:rFonts w:ascii="Arial" w:hAnsi="Arial" w:cs="Arial"/>
          <w:sz w:val="20"/>
          <w:szCs w:val="20"/>
        </w:rPr>
        <w:t xml:space="preserve"> </w:t>
      </w:r>
    </w:p>
    <w:p w14:paraId="7D64AC64" w14:textId="77777777" w:rsidR="005039AC" w:rsidRPr="008A7A35" w:rsidRDefault="005039AC" w:rsidP="00AF65A3">
      <w:pPr>
        <w:jc w:val="both"/>
        <w:rPr>
          <w:rFonts w:ascii="Arial" w:hAnsi="Arial" w:cs="Arial"/>
          <w:sz w:val="20"/>
          <w:szCs w:val="20"/>
        </w:rPr>
      </w:pPr>
    </w:p>
    <w:p w14:paraId="4C38E073" w14:textId="5E7C6821" w:rsidR="00AF65A3" w:rsidRPr="008A7A35" w:rsidRDefault="00AF65A3" w:rsidP="00AF65A3">
      <w:pPr>
        <w:jc w:val="both"/>
        <w:rPr>
          <w:rFonts w:ascii="Arial" w:hAnsi="Arial" w:cs="Arial"/>
          <w:sz w:val="20"/>
          <w:szCs w:val="20"/>
        </w:rPr>
      </w:pPr>
      <w:r w:rsidRPr="008A7A35">
        <w:rPr>
          <w:rFonts w:ascii="Arial" w:hAnsi="Arial" w:cs="Arial"/>
          <w:sz w:val="20"/>
          <w:szCs w:val="20"/>
        </w:rPr>
        <w:t>Permian Resources also remained active, executing two bolt-on acquisitions in core areas of the North Delaware Basin. The most recent, announced post period end in early July</w:t>
      </w:r>
      <w:r w:rsidR="000C1C89">
        <w:rPr>
          <w:rFonts w:ascii="Arial" w:hAnsi="Arial" w:cs="Arial"/>
          <w:sz w:val="20"/>
          <w:szCs w:val="20"/>
        </w:rPr>
        <w:t xml:space="preserve"> 2025</w:t>
      </w:r>
      <w:r w:rsidRPr="008A7A35">
        <w:rPr>
          <w:rFonts w:ascii="Arial" w:hAnsi="Arial" w:cs="Arial"/>
          <w:sz w:val="20"/>
          <w:szCs w:val="20"/>
        </w:rPr>
        <w:t>, involved the $608 million purchase of adjacent acreage from APA Corporation, adding over 13,000 net acres and 12,000 Boe/d of production. The acquired assets are expected to generate strong accretion to per-share metrics and support further upside through Permian Resources’ active capital-efficient development strategy.</w:t>
      </w:r>
    </w:p>
    <w:p w14:paraId="59CD0EEE" w14:textId="77777777" w:rsidR="00AF65A3" w:rsidRPr="008A7A35" w:rsidRDefault="00AF65A3" w:rsidP="00AF65A3">
      <w:pPr>
        <w:jc w:val="both"/>
        <w:rPr>
          <w:rFonts w:ascii="Arial" w:hAnsi="Arial" w:cs="Arial"/>
          <w:sz w:val="20"/>
          <w:szCs w:val="20"/>
        </w:rPr>
      </w:pPr>
    </w:p>
    <w:p w14:paraId="3D0772EB" w14:textId="7AF6BBB6" w:rsidR="00AF65A3" w:rsidRPr="008A7A35" w:rsidRDefault="00AF65A3" w:rsidP="00AF65A3">
      <w:pPr>
        <w:jc w:val="both"/>
        <w:rPr>
          <w:rFonts w:ascii="Arial" w:hAnsi="Arial" w:cs="Arial"/>
          <w:sz w:val="20"/>
          <w:szCs w:val="20"/>
        </w:rPr>
      </w:pPr>
      <w:r w:rsidRPr="008A7A35">
        <w:rPr>
          <w:rFonts w:ascii="Arial" w:hAnsi="Arial" w:cs="Arial"/>
          <w:sz w:val="20"/>
          <w:szCs w:val="20"/>
        </w:rPr>
        <w:t>At Onyx Power, the portfolio continues to transition effectively. In February</w:t>
      </w:r>
      <w:r w:rsidR="000C1C89">
        <w:rPr>
          <w:rFonts w:ascii="Arial" w:hAnsi="Arial" w:cs="Arial"/>
          <w:sz w:val="20"/>
          <w:szCs w:val="20"/>
        </w:rPr>
        <w:t xml:space="preserve"> 2025</w:t>
      </w:r>
      <w:r w:rsidRPr="008A7A35">
        <w:rPr>
          <w:rFonts w:ascii="Arial" w:hAnsi="Arial" w:cs="Arial"/>
          <w:sz w:val="20"/>
          <w:szCs w:val="20"/>
        </w:rPr>
        <w:t xml:space="preserve">, commercial operations at the </w:t>
      </w:r>
      <w:proofErr w:type="spellStart"/>
      <w:r w:rsidRPr="008A7A35">
        <w:rPr>
          <w:rFonts w:ascii="Arial" w:hAnsi="Arial" w:cs="Arial"/>
          <w:sz w:val="20"/>
          <w:szCs w:val="20"/>
        </w:rPr>
        <w:t>Zolling</w:t>
      </w:r>
      <w:proofErr w:type="spellEnd"/>
      <w:r w:rsidRPr="008A7A35">
        <w:rPr>
          <w:rFonts w:ascii="Arial" w:hAnsi="Arial" w:cs="Arial"/>
          <w:sz w:val="20"/>
          <w:szCs w:val="20"/>
        </w:rPr>
        <w:t xml:space="preserve"> coal-fired unit were discontinued after 40 years of service. However, the asset was retained in Germany’s grid reserve, affirming its system-critical role through to at least 2031. In June, Onyx </w:t>
      </w:r>
      <w:r w:rsidR="000C1C89">
        <w:rPr>
          <w:rFonts w:ascii="Arial" w:hAnsi="Arial" w:cs="Arial"/>
          <w:sz w:val="20"/>
          <w:szCs w:val="20"/>
        </w:rPr>
        <w:t xml:space="preserve">Power </w:t>
      </w:r>
      <w:r w:rsidRPr="008A7A35">
        <w:rPr>
          <w:rFonts w:ascii="Arial" w:hAnsi="Arial" w:cs="Arial"/>
          <w:sz w:val="20"/>
          <w:szCs w:val="20"/>
        </w:rPr>
        <w:t>also secured an agreement to connect its Wilhelmshaven facility to Germany’s proposed hydrogen pipeline — a key milestone in the site’s long-term repositioning as a low-carbon energy hub.</w:t>
      </w:r>
    </w:p>
    <w:p w14:paraId="3A2CF183" w14:textId="77777777" w:rsidR="00AF65A3" w:rsidRPr="008A7A35" w:rsidRDefault="00AF65A3" w:rsidP="00AF65A3">
      <w:pPr>
        <w:jc w:val="both"/>
        <w:rPr>
          <w:rFonts w:ascii="Arial" w:hAnsi="Arial" w:cs="Arial"/>
          <w:sz w:val="20"/>
          <w:szCs w:val="20"/>
        </w:rPr>
      </w:pPr>
    </w:p>
    <w:p w14:paraId="61D084B9" w14:textId="747A2052" w:rsidR="00AF65A3" w:rsidRPr="008A7A35" w:rsidRDefault="00AF65A3" w:rsidP="00AF65A3">
      <w:pPr>
        <w:jc w:val="both"/>
        <w:rPr>
          <w:rFonts w:ascii="Arial" w:hAnsi="Arial" w:cs="Arial"/>
          <w:sz w:val="20"/>
          <w:szCs w:val="20"/>
        </w:rPr>
      </w:pPr>
      <w:r w:rsidRPr="008A7A35">
        <w:rPr>
          <w:rFonts w:ascii="Arial" w:hAnsi="Arial" w:cs="Arial"/>
          <w:sz w:val="20"/>
          <w:szCs w:val="20"/>
        </w:rPr>
        <w:t>Performance in the decarbonisation portfolio was mixed. Solid Power continued to make progress, launching the testing of its all-solid-state battery cells in collaboration with BMW</w:t>
      </w:r>
      <w:r w:rsidR="00E5091F" w:rsidRPr="00E5091F">
        <w:rPr>
          <w:rFonts w:ascii="Arial" w:hAnsi="Arial" w:cs="Arial"/>
          <w:sz w:val="20"/>
          <w:szCs w:val="20"/>
        </w:rPr>
        <w:t xml:space="preserve"> </w:t>
      </w:r>
      <w:r w:rsidR="00E5091F">
        <w:rPr>
          <w:rFonts w:ascii="Arial" w:hAnsi="Arial" w:cs="Arial"/>
          <w:sz w:val="20"/>
          <w:szCs w:val="20"/>
        </w:rPr>
        <w:t xml:space="preserve">and announcing advancements in its pilot production given ongoing demand for its electrolyte products. </w:t>
      </w:r>
      <w:r w:rsidRPr="008A7A35">
        <w:rPr>
          <w:rFonts w:ascii="Arial" w:hAnsi="Arial" w:cs="Arial"/>
          <w:sz w:val="20"/>
          <w:szCs w:val="20"/>
        </w:rPr>
        <w:t xml:space="preserve">This was offset, however, by the announcement in March </w:t>
      </w:r>
      <w:r w:rsidR="000C1C89">
        <w:rPr>
          <w:rFonts w:ascii="Arial" w:hAnsi="Arial" w:cs="Arial"/>
          <w:sz w:val="20"/>
          <w:szCs w:val="20"/>
        </w:rPr>
        <w:t xml:space="preserve">2025 </w:t>
      </w:r>
      <w:r w:rsidRPr="008A7A35">
        <w:rPr>
          <w:rFonts w:ascii="Arial" w:hAnsi="Arial" w:cs="Arial"/>
          <w:sz w:val="20"/>
          <w:szCs w:val="20"/>
        </w:rPr>
        <w:t>that Hyzon shareholders had approved the company’s formal dissolution. The outcome reflects the more challenging macro environment for early-stage decarbonisation technologies, particularly in North America, where policy uncertainty and capital constraints continue to affect companies</w:t>
      </w:r>
      <w:r w:rsidR="0083493B">
        <w:rPr>
          <w:rFonts w:ascii="Arial" w:hAnsi="Arial" w:cs="Arial"/>
          <w:sz w:val="20"/>
          <w:szCs w:val="20"/>
        </w:rPr>
        <w:t xml:space="preserve"> </w:t>
      </w:r>
      <w:r w:rsidR="00BB4918">
        <w:rPr>
          <w:rFonts w:ascii="Arial" w:hAnsi="Arial" w:cs="Arial"/>
          <w:sz w:val="20"/>
          <w:szCs w:val="20"/>
        </w:rPr>
        <w:t>focused on the energy transition</w:t>
      </w:r>
      <w:r w:rsidRPr="008A7A35">
        <w:rPr>
          <w:rFonts w:ascii="Arial" w:hAnsi="Arial" w:cs="Arial"/>
          <w:sz w:val="20"/>
          <w:szCs w:val="20"/>
        </w:rPr>
        <w:t xml:space="preserve"> that require a stable regulatory environment.</w:t>
      </w:r>
    </w:p>
    <w:p w14:paraId="4B0E27B4" w14:textId="77777777" w:rsidR="00AF65A3" w:rsidRPr="008A7A35" w:rsidRDefault="00AF65A3" w:rsidP="00AF65A3">
      <w:pPr>
        <w:jc w:val="both"/>
        <w:rPr>
          <w:rFonts w:ascii="Arial" w:hAnsi="Arial" w:cs="Arial"/>
          <w:b/>
          <w:bCs/>
          <w:sz w:val="20"/>
          <w:szCs w:val="20"/>
        </w:rPr>
      </w:pPr>
    </w:p>
    <w:p w14:paraId="7AFD670F" w14:textId="2C349E48" w:rsidR="00AF65A3" w:rsidRPr="008A7A35" w:rsidRDefault="00AF65A3" w:rsidP="00AF65A3">
      <w:pPr>
        <w:jc w:val="both"/>
        <w:rPr>
          <w:rFonts w:ascii="Arial" w:hAnsi="Arial" w:cs="Arial"/>
          <w:b/>
          <w:bCs/>
          <w:sz w:val="20"/>
          <w:szCs w:val="20"/>
        </w:rPr>
      </w:pPr>
      <w:r w:rsidRPr="008A7A35">
        <w:rPr>
          <w:rFonts w:ascii="Arial" w:hAnsi="Arial" w:cs="Arial"/>
          <w:b/>
          <w:bCs/>
          <w:sz w:val="20"/>
          <w:szCs w:val="20"/>
        </w:rPr>
        <w:t>Share Buyback Programme</w:t>
      </w:r>
    </w:p>
    <w:p w14:paraId="36B90746" w14:textId="3FA29B83" w:rsidR="009C007A" w:rsidRPr="008A7A35" w:rsidRDefault="00AF65A3" w:rsidP="00AF65A3">
      <w:pPr>
        <w:jc w:val="both"/>
        <w:rPr>
          <w:rFonts w:ascii="Arial" w:hAnsi="Arial" w:cs="Arial"/>
          <w:sz w:val="20"/>
          <w:szCs w:val="20"/>
        </w:rPr>
      </w:pPr>
      <w:r w:rsidRPr="008A7A35">
        <w:rPr>
          <w:rFonts w:ascii="Arial" w:hAnsi="Arial" w:cs="Arial"/>
          <w:sz w:val="20"/>
          <w:szCs w:val="20"/>
        </w:rPr>
        <w:t xml:space="preserve">We continued to execute our share buyback programme during the first half of the year, reflecting our ongoing commitment to deliver value for </w:t>
      </w:r>
      <w:r w:rsidR="003E730A">
        <w:rPr>
          <w:rFonts w:ascii="Arial" w:hAnsi="Arial" w:cs="Arial"/>
          <w:sz w:val="20"/>
          <w:szCs w:val="20"/>
        </w:rPr>
        <w:t>S</w:t>
      </w:r>
      <w:r w:rsidRPr="008A7A35">
        <w:rPr>
          <w:rFonts w:ascii="Arial" w:hAnsi="Arial" w:cs="Arial"/>
          <w:sz w:val="20"/>
          <w:szCs w:val="20"/>
        </w:rPr>
        <w:t xml:space="preserve">hareholders and reduce the discount to NAV. </w:t>
      </w:r>
      <w:r w:rsidR="00331C35">
        <w:rPr>
          <w:rFonts w:ascii="Arial" w:hAnsi="Arial" w:cs="Arial"/>
          <w:sz w:val="20"/>
          <w:szCs w:val="20"/>
        </w:rPr>
        <w:t>From inception to</w:t>
      </w:r>
      <w:r w:rsidRPr="008A7A35">
        <w:rPr>
          <w:rFonts w:ascii="Arial" w:hAnsi="Arial" w:cs="Arial"/>
          <w:sz w:val="20"/>
          <w:szCs w:val="20"/>
        </w:rPr>
        <w:t xml:space="preserve"> 30 June 2025, the Company had repurchased</w:t>
      </w:r>
      <w:r w:rsidR="00074BAB">
        <w:rPr>
          <w:rFonts w:ascii="Arial" w:hAnsi="Arial" w:cs="Arial"/>
          <w:sz w:val="20"/>
          <w:szCs w:val="20"/>
        </w:rPr>
        <w:t xml:space="preserve">, through </w:t>
      </w:r>
      <w:r w:rsidR="00331C35">
        <w:rPr>
          <w:rFonts w:ascii="Arial" w:hAnsi="Arial" w:cs="Arial"/>
          <w:sz w:val="20"/>
          <w:szCs w:val="20"/>
        </w:rPr>
        <w:t xml:space="preserve">the share </w:t>
      </w:r>
      <w:r w:rsidR="00074BAB">
        <w:rPr>
          <w:rFonts w:ascii="Arial" w:hAnsi="Arial" w:cs="Arial"/>
          <w:sz w:val="20"/>
          <w:szCs w:val="20"/>
        </w:rPr>
        <w:t>buyback</w:t>
      </w:r>
      <w:r w:rsidR="00331C35">
        <w:rPr>
          <w:rFonts w:ascii="Arial" w:hAnsi="Arial" w:cs="Arial"/>
          <w:sz w:val="20"/>
          <w:szCs w:val="20"/>
        </w:rPr>
        <w:t xml:space="preserve"> programme</w:t>
      </w:r>
      <w:r w:rsidR="00512D58">
        <w:rPr>
          <w:rFonts w:ascii="Arial" w:hAnsi="Arial" w:cs="Arial"/>
          <w:sz w:val="20"/>
          <w:szCs w:val="20"/>
        </w:rPr>
        <w:t>,</w:t>
      </w:r>
      <w:r w:rsidRPr="008A7A35">
        <w:rPr>
          <w:rFonts w:ascii="Arial" w:hAnsi="Arial" w:cs="Arial"/>
          <w:sz w:val="20"/>
          <w:szCs w:val="20"/>
        </w:rPr>
        <w:t xml:space="preserve"> a </w:t>
      </w:r>
      <w:r w:rsidRPr="00A06BE6">
        <w:rPr>
          <w:rFonts w:ascii="Arial" w:hAnsi="Arial" w:cs="Arial"/>
          <w:sz w:val="20"/>
          <w:szCs w:val="20"/>
        </w:rPr>
        <w:t xml:space="preserve">total of </w:t>
      </w:r>
      <w:r w:rsidR="00AA0D49">
        <w:rPr>
          <w:rFonts w:ascii="Arial" w:hAnsi="Arial" w:cs="Arial"/>
          <w:sz w:val="20"/>
          <w:szCs w:val="20"/>
        </w:rPr>
        <w:t>37,075,536</w:t>
      </w:r>
      <w:r w:rsidR="00751D80" w:rsidRPr="00A06BE6">
        <w:rPr>
          <w:rFonts w:ascii="Arial" w:hAnsi="Arial" w:cs="Arial"/>
          <w:sz w:val="20"/>
          <w:szCs w:val="20"/>
        </w:rPr>
        <w:t xml:space="preserve"> </w:t>
      </w:r>
      <w:r w:rsidRPr="00A06BE6">
        <w:rPr>
          <w:rFonts w:ascii="Arial" w:hAnsi="Arial" w:cs="Arial"/>
          <w:sz w:val="20"/>
          <w:szCs w:val="20"/>
        </w:rPr>
        <w:t>shares at an average price of £</w:t>
      </w:r>
      <w:r w:rsidR="00C37E2C" w:rsidRPr="00A06BE6">
        <w:rPr>
          <w:rFonts w:ascii="Arial" w:hAnsi="Arial" w:cs="Arial"/>
          <w:sz w:val="20"/>
          <w:szCs w:val="20"/>
        </w:rPr>
        <w:t>4.44</w:t>
      </w:r>
      <w:r w:rsidRPr="00A06BE6">
        <w:rPr>
          <w:rFonts w:ascii="Arial" w:hAnsi="Arial" w:cs="Arial"/>
          <w:sz w:val="20"/>
          <w:szCs w:val="20"/>
        </w:rPr>
        <w:t xml:space="preserve"> ($</w:t>
      </w:r>
      <w:r w:rsidR="00C37E2C" w:rsidRPr="00A06BE6">
        <w:rPr>
          <w:rFonts w:ascii="Arial" w:hAnsi="Arial" w:cs="Arial"/>
          <w:sz w:val="20"/>
          <w:szCs w:val="20"/>
        </w:rPr>
        <w:t>5.67</w:t>
      </w:r>
      <w:r w:rsidRPr="00A06BE6">
        <w:rPr>
          <w:rFonts w:ascii="Arial" w:hAnsi="Arial" w:cs="Arial"/>
          <w:sz w:val="20"/>
          <w:szCs w:val="20"/>
        </w:rPr>
        <w:t>), returning approximately £</w:t>
      </w:r>
      <w:r w:rsidR="00C37E2C" w:rsidRPr="00A06BE6">
        <w:rPr>
          <w:rFonts w:ascii="Arial" w:hAnsi="Arial" w:cs="Arial"/>
          <w:sz w:val="20"/>
          <w:szCs w:val="20"/>
        </w:rPr>
        <w:t>164.5</w:t>
      </w:r>
      <w:r w:rsidRPr="00A06BE6">
        <w:rPr>
          <w:rFonts w:ascii="Arial" w:hAnsi="Arial" w:cs="Arial"/>
          <w:sz w:val="20"/>
          <w:szCs w:val="20"/>
        </w:rPr>
        <w:t xml:space="preserve"> million ($</w:t>
      </w:r>
      <w:r w:rsidR="00C37E2C" w:rsidRPr="00A06BE6">
        <w:rPr>
          <w:rFonts w:ascii="Arial" w:hAnsi="Arial" w:cs="Arial"/>
          <w:sz w:val="20"/>
          <w:szCs w:val="20"/>
        </w:rPr>
        <w:t>210.1</w:t>
      </w:r>
      <w:r w:rsidRPr="00A06BE6">
        <w:rPr>
          <w:rFonts w:ascii="Arial" w:hAnsi="Arial" w:cs="Arial"/>
          <w:sz w:val="20"/>
          <w:szCs w:val="20"/>
        </w:rPr>
        <w:t xml:space="preserve"> million) of capital to </w:t>
      </w:r>
      <w:r w:rsidR="003E730A">
        <w:rPr>
          <w:rFonts w:ascii="Arial" w:hAnsi="Arial" w:cs="Arial"/>
          <w:sz w:val="20"/>
          <w:szCs w:val="20"/>
        </w:rPr>
        <w:t>S</w:t>
      </w:r>
      <w:r w:rsidRPr="00A06BE6">
        <w:rPr>
          <w:rFonts w:ascii="Arial" w:hAnsi="Arial" w:cs="Arial"/>
          <w:sz w:val="20"/>
          <w:szCs w:val="20"/>
        </w:rPr>
        <w:t>hareholders. During the</w:t>
      </w:r>
      <w:r w:rsidR="00512D58" w:rsidRPr="00A06BE6">
        <w:rPr>
          <w:rFonts w:ascii="Arial" w:hAnsi="Arial" w:cs="Arial"/>
          <w:sz w:val="20"/>
          <w:szCs w:val="20"/>
        </w:rPr>
        <w:t xml:space="preserve"> </w:t>
      </w:r>
      <w:proofErr w:type="gramStart"/>
      <w:r w:rsidR="00C65F5E" w:rsidRPr="00A06BE6">
        <w:rPr>
          <w:rFonts w:ascii="Arial" w:hAnsi="Arial" w:cs="Arial"/>
          <w:sz w:val="20"/>
          <w:szCs w:val="20"/>
        </w:rPr>
        <w:t>six</w:t>
      </w:r>
      <w:r w:rsidR="00512D58" w:rsidRPr="00A06BE6">
        <w:rPr>
          <w:rFonts w:ascii="Arial" w:hAnsi="Arial" w:cs="Arial"/>
          <w:sz w:val="20"/>
          <w:szCs w:val="20"/>
        </w:rPr>
        <w:t xml:space="preserve"> month</w:t>
      </w:r>
      <w:proofErr w:type="gramEnd"/>
      <w:r w:rsidRPr="00A06BE6">
        <w:rPr>
          <w:rFonts w:ascii="Arial" w:hAnsi="Arial" w:cs="Arial"/>
          <w:sz w:val="20"/>
          <w:szCs w:val="20"/>
        </w:rPr>
        <w:t xml:space="preserve"> period</w:t>
      </w:r>
      <w:r w:rsidR="00512D58" w:rsidRPr="00A06BE6">
        <w:rPr>
          <w:rFonts w:ascii="Arial" w:hAnsi="Arial" w:cs="Arial"/>
          <w:sz w:val="20"/>
          <w:szCs w:val="20"/>
        </w:rPr>
        <w:t xml:space="preserve"> ended 30 June 2025,</w:t>
      </w:r>
      <w:r w:rsidRPr="00A06BE6">
        <w:rPr>
          <w:rFonts w:ascii="Arial" w:hAnsi="Arial" w:cs="Arial"/>
          <w:sz w:val="20"/>
          <w:szCs w:val="20"/>
        </w:rPr>
        <w:t xml:space="preserve"> the </w:t>
      </w:r>
      <w:r w:rsidR="000C1C89" w:rsidRPr="00A06BE6">
        <w:rPr>
          <w:rFonts w:ascii="Arial" w:hAnsi="Arial" w:cs="Arial"/>
          <w:sz w:val="20"/>
          <w:szCs w:val="20"/>
        </w:rPr>
        <w:t>Company</w:t>
      </w:r>
      <w:r w:rsidRPr="00A06BE6">
        <w:rPr>
          <w:rFonts w:ascii="Arial" w:hAnsi="Arial" w:cs="Arial"/>
          <w:sz w:val="20"/>
          <w:szCs w:val="20"/>
        </w:rPr>
        <w:t xml:space="preserve"> purchased and cancelled </w:t>
      </w:r>
      <w:r w:rsidR="00D545CD" w:rsidRPr="00A06BE6">
        <w:rPr>
          <w:rFonts w:ascii="Arial" w:hAnsi="Arial" w:cs="Arial"/>
          <w:sz w:val="20"/>
          <w:szCs w:val="20"/>
        </w:rPr>
        <w:t>751,311</w:t>
      </w:r>
      <w:r w:rsidRPr="00A06BE6">
        <w:rPr>
          <w:rFonts w:ascii="Arial" w:hAnsi="Arial" w:cs="Arial"/>
          <w:sz w:val="20"/>
          <w:szCs w:val="20"/>
        </w:rPr>
        <w:t xml:space="preserve"> shares at an average price of £</w:t>
      </w:r>
      <w:r w:rsidR="00993B77" w:rsidRPr="00A06BE6">
        <w:rPr>
          <w:rFonts w:ascii="Arial" w:hAnsi="Arial" w:cs="Arial"/>
          <w:sz w:val="20"/>
          <w:szCs w:val="20"/>
        </w:rPr>
        <w:t>7</w:t>
      </w:r>
      <w:r w:rsidR="004E39F0" w:rsidRPr="00A06BE6">
        <w:rPr>
          <w:rFonts w:ascii="Arial" w:hAnsi="Arial" w:cs="Arial"/>
          <w:sz w:val="20"/>
          <w:szCs w:val="20"/>
        </w:rPr>
        <w:t>.</w:t>
      </w:r>
      <w:r w:rsidR="00993B77" w:rsidRPr="00A06BE6">
        <w:rPr>
          <w:rFonts w:ascii="Arial" w:hAnsi="Arial" w:cs="Arial"/>
          <w:sz w:val="20"/>
          <w:szCs w:val="20"/>
        </w:rPr>
        <w:t>38</w:t>
      </w:r>
      <w:r w:rsidRPr="00A06BE6">
        <w:rPr>
          <w:rFonts w:ascii="Arial" w:hAnsi="Arial" w:cs="Arial"/>
          <w:sz w:val="20"/>
          <w:szCs w:val="20"/>
        </w:rPr>
        <w:t xml:space="preserve"> per share. Following these transactions, the Company had </w:t>
      </w:r>
      <w:r w:rsidR="00A04A67" w:rsidRPr="00A06BE6">
        <w:rPr>
          <w:rFonts w:ascii="Arial" w:hAnsi="Arial" w:cs="Arial"/>
          <w:sz w:val="20"/>
          <w:szCs w:val="20"/>
        </w:rPr>
        <w:t>24,591,380</w:t>
      </w:r>
      <w:r w:rsidR="00462185" w:rsidRPr="00A06BE6">
        <w:rPr>
          <w:rFonts w:ascii="Arial" w:hAnsi="Arial" w:cs="Arial"/>
          <w:sz w:val="20"/>
          <w:szCs w:val="20"/>
        </w:rPr>
        <w:t xml:space="preserve"> </w:t>
      </w:r>
      <w:r w:rsidRPr="00A06BE6">
        <w:rPr>
          <w:rFonts w:ascii="Arial" w:hAnsi="Arial" w:cs="Arial"/>
          <w:sz w:val="20"/>
          <w:szCs w:val="20"/>
        </w:rPr>
        <w:t>ordinary shares in issue</w:t>
      </w:r>
      <w:r w:rsidR="000C1C89" w:rsidRPr="00A06BE6">
        <w:rPr>
          <w:rFonts w:ascii="Arial" w:hAnsi="Arial" w:cs="Arial"/>
          <w:sz w:val="20"/>
          <w:szCs w:val="20"/>
        </w:rPr>
        <w:t xml:space="preserve"> as </w:t>
      </w:r>
      <w:proofErr w:type="gramStart"/>
      <w:r w:rsidR="000C1C89" w:rsidRPr="00A06BE6">
        <w:rPr>
          <w:rFonts w:ascii="Arial" w:hAnsi="Arial" w:cs="Arial"/>
          <w:sz w:val="20"/>
          <w:szCs w:val="20"/>
        </w:rPr>
        <w:t>at</w:t>
      </w:r>
      <w:proofErr w:type="gramEnd"/>
      <w:r w:rsidR="000C1C89" w:rsidRPr="00A06BE6">
        <w:rPr>
          <w:rFonts w:ascii="Arial" w:hAnsi="Arial" w:cs="Arial"/>
          <w:sz w:val="20"/>
          <w:szCs w:val="20"/>
        </w:rPr>
        <w:t xml:space="preserve"> 30 June 2025</w:t>
      </w:r>
      <w:r w:rsidRPr="00A06BE6">
        <w:rPr>
          <w:rFonts w:ascii="Arial" w:hAnsi="Arial" w:cs="Arial"/>
          <w:sz w:val="20"/>
          <w:szCs w:val="20"/>
        </w:rPr>
        <w:t xml:space="preserve">. We believe this disciplined capital return strategy </w:t>
      </w:r>
      <w:r w:rsidR="000C1C89" w:rsidRPr="00A06BE6">
        <w:rPr>
          <w:rFonts w:ascii="Arial" w:hAnsi="Arial" w:cs="Arial"/>
          <w:sz w:val="20"/>
          <w:szCs w:val="20"/>
        </w:rPr>
        <w:t xml:space="preserve">has over time </w:t>
      </w:r>
      <w:r w:rsidRPr="00A06BE6">
        <w:rPr>
          <w:rFonts w:ascii="Arial" w:hAnsi="Arial" w:cs="Arial"/>
          <w:sz w:val="20"/>
          <w:szCs w:val="20"/>
        </w:rPr>
        <w:t>enhance</w:t>
      </w:r>
      <w:r w:rsidR="000C1C89" w:rsidRPr="00A06BE6">
        <w:rPr>
          <w:rFonts w:ascii="Arial" w:hAnsi="Arial" w:cs="Arial"/>
          <w:sz w:val="20"/>
          <w:szCs w:val="20"/>
        </w:rPr>
        <w:t>d</w:t>
      </w:r>
      <w:r w:rsidRPr="00A06BE6">
        <w:rPr>
          <w:rFonts w:ascii="Arial" w:hAnsi="Arial" w:cs="Arial"/>
          <w:sz w:val="20"/>
          <w:szCs w:val="20"/>
        </w:rPr>
        <w:t xml:space="preserve"> long-term </w:t>
      </w:r>
      <w:r w:rsidR="003E730A">
        <w:rPr>
          <w:rFonts w:ascii="Arial" w:hAnsi="Arial" w:cs="Arial"/>
          <w:sz w:val="20"/>
          <w:szCs w:val="20"/>
        </w:rPr>
        <w:t>S</w:t>
      </w:r>
      <w:r w:rsidRPr="00A06BE6">
        <w:rPr>
          <w:rFonts w:ascii="Arial" w:hAnsi="Arial" w:cs="Arial"/>
          <w:sz w:val="20"/>
          <w:szCs w:val="20"/>
        </w:rPr>
        <w:t>hareholder value while maintaining balance sheet strength.</w:t>
      </w:r>
      <w:r w:rsidR="004D2C2D" w:rsidRPr="00A06BE6">
        <w:rPr>
          <w:rFonts w:ascii="Arial" w:hAnsi="Arial" w:cs="Arial"/>
          <w:sz w:val="20"/>
          <w:szCs w:val="20"/>
        </w:rPr>
        <w:t xml:space="preserve"> However, in conjunction with the Managed Wind-Down, the Company has agreed that it will not return cash other than by way of </w:t>
      </w:r>
      <w:r w:rsidR="004D2C2D" w:rsidRPr="00A06BE6">
        <w:rPr>
          <w:rFonts w:ascii="Arial" w:hAnsi="Arial" w:cs="Arial"/>
          <w:i/>
          <w:iCs/>
          <w:sz w:val="20"/>
          <w:szCs w:val="20"/>
        </w:rPr>
        <w:t>pro rata</w:t>
      </w:r>
      <w:r w:rsidR="004D2C2D" w:rsidRPr="00A06BE6">
        <w:rPr>
          <w:rFonts w:ascii="Arial" w:hAnsi="Arial" w:cs="Arial"/>
          <w:sz w:val="20"/>
          <w:szCs w:val="20"/>
        </w:rPr>
        <w:t> compulsory</w:t>
      </w:r>
      <w:r w:rsidR="004D2C2D" w:rsidRPr="004D2C2D">
        <w:rPr>
          <w:rFonts w:ascii="Arial" w:hAnsi="Arial" w:cs="Arial"/>
          <w:sz w:val="20"/>
          <w:szCs w:val="20"/>
        </w:rPr>
        <w:t xml:space="preserve"> redemption of Ordinary Shares without the prior consent of the Investment Manager (such consent to be exercised by the Investment Manager in its sole discretion).</w:t>
      </w:r>
    </w:p>
    <w:p w14:paraId="7646C7BF" w14:textId="77777777" w:rsidR="009C007A" w:rsidRPr="008A7A35" w:rsidRDefault="009C007A" w:rsidP="00AF65A3">
      <w:pPr>
        <w:jc w:val="both"/>
        <w:rPr>
          <w:rFonts w:ascii="Arial" w:hAnsi="Arial" w:cs="Arial"/>
          <w:sz w:val="20"/>
          <w:szCs w:val="20"/>
        </w:rPr>
      </w:pPr>
    </w:p>
    <w:p w14:paraId="5BE8CB0C" w14:textId="07A2E0F2" w:rsidR="00AF65A3" w:rsidRPr="008A7A35" w:rsidRDefault="00AF65A3" w:rsidP="00AF65A3">
      <w:pPr>
        <w:jc w:val="both"/>
        <w:rPr>
          <w:rFonts w:ascii="Arial" w:hAnsi="Arial" w:cs="Arial"/>
          <w:b/>
          <w:bCs/>
          <w:sz w:val="20"/>
          <w:szCs w:val="20"/>
        </w:rPr>
      </w:pPr>
      <w:r w:rsidRPr="008A7A35">
        <w:rPr>
          <w:rFonts w:ascii="Arial" w:hAnsi="Arial" w:cs="Arial"/>
          <w:b/>
          <w:bCs/>
          <w:sz w:val="20"/>
          <w:szCs w:val="20"/>
        </w:rPr>
        <w:t>Board Update</w:t>
      </w:r>
    </w:p>
    <w:p w14:paraId="38A677A6" w14:textId="2C142B3E"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During the first half of 2025, we announced further changes to the composition of the Board. At the Company’s </w:t>
      </w:r>
      <w:r w:rsidR="00A42849">
        <w:rPr>
          <w:rFonts w:ascii="Arial" w:hAnsi="Arial" w:cs="Arial"/>
          <w:sz w:val="20"/>
          <w:szCs w:val="20"/>
        </w:rPr>
        <w:t>AGM</w:t>
      </w:r>
      <w:r w:rsidRPr="008A7A35">
        <w:rPr>
          <w:rFonts w:ascii="Arial" w:hAnsi="Arial" w:cs="Arial"/>
          <w:sz w:val="20"/>
          <w:szCs w:val="20"/>
        </w:rPr>
        <w:t xml:space="preserve"> in May</w:t>
      </w:r>
      <w:r w:rsidR="00A42849">
        <w:rPr>
          <w:rFonts w:ascii="Arial" w:hAnsi="Arial" w:cs="Arial"/>
          <w:sz w:val="20"/>
          <w:szCs w:val="20"/>
        </w:rPr>
        <w:t xml:space="preserve"> 2025</w:t>
      </w:r>
      <w:r w:rsidRPr="008A7A35">
        <w:rPr>
          <w:rFonts w:ascii="Arial" w:hAnsi="Arial" w:cs="Arial"/>
          <w:sz w:val="20"/>
          <w:szCs w:val="20"/>
        </w:rPr>
        <w:t xml:space="preserve">, Claire Whittet retired as a Non-Executive Director and as Chair of the Management Engagement Committee, having served on the Board for over nine years. Subsequently, Karen McClellan has been appointed to succeed Claire </w:t>
      </w:r>
      <w:r w:rsidR="00A42849">
        <w:rPr>
          <w:rFonts w:ascii="Arial" w:hAnsi="Arial" w:cs="Arial"/>
          <w:sz w:val="20"/>
          <w:szCs w:val="20"/>
        </w:rPr>
        <w:t xml:space="preserve">Whittet </w:t>
      </w:r>
      <w:r w:rsidRPr="008A7A35">
        <w:rPr>
          <w:rFonts w:ascii="Arial" w:hAnsi="Arial" w:cs="Arial"/>
          <w:sz w:val="20"/>
          <w:szCs w:val="20"/>
        </w:rPr>
        <w:t>as Chair of the Management Engagement Committee, bringing deep expertise in carbon policy, clean infrastructure and zero-carbon technologies to the role.</w:t>
      </w:r>
      <w:r w:rsidR="00A42849">
        <w:rPr>
          <w:rFonts w:ascii="Arial" w:hAnsi="Arial" w:cs="Arial"/>
          <w:sz w:val="20"/>
          <w:szCs w:val="20"/>
        </w:rPr>
        <w:t xml:space="preserve"> On behalf of the Board, I would like to say a special thank you to Claire Whittet for her professional work, sound advice and judgement delivered throughout her time serving on the Board of the Company.  </w:t>
      </w:r>
    </w:p>
    <w:p w14:paraId="0CB31FB8" w14:textId="77777777" w:rsidR="00AF65A3" w:rsidRPr="008A7A35" w:rsidRDefault="00AF65A3" w:rsidP="00AF65A3">
      <w:pPr>
        <w:jc w:val="both"/>
        <w:rPr>
          <w:rFonts w:ascii="Arial" w:hAnsi="Arial" w:cs="Arial"/>
          <w:b/>
          <w:bCs/>
          <w:sz w:val="20"/>
          <w:szCs w:val="20"/>
        </w:rPr>
      </w:pPr>
    </w:p>
    <w:p w14:paraId="50878AD7" w14:textId="7266CB14" w:rsidR="00AF65A3" w:rsidRPr="008A7A35" w:rsidRDefault="00AF65A3" w:rsidP="00AF65A3">
      <w:pPr>
        <w:jc w:val="both"/>
        <w:rPr>
          <w:rFonts w:ascii="Arial" w:hAnsi="Arial" w:cs="Arial"/>
          <w:b/>
          <w:bCs/>
          <w:sz w:val="20"/>
          <w:szCs w:val="20"/>
        </w:rPr>
      </w:pPr>
      <w:r w:rsidRPr="008A7A35">
        <w:rPr>
          <w:rFonts w:ascii="Arial" w:hAnsi="Arial" w:cs="Arial"/>
          <w:b/>
          <w:bCs/>
          <w:sz w:val="20"/>
          <w:szCs w:val="20"/>
        </w:rPr>
        <w:t>Concluding Remarks</w:t>
      </w:r>
    </w:p>
    <w:p w14:paraId="37A44423" w14:textId="4D63975E"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The tenth anniversary of the Paris Agreement in 2025 should serve as a moment of reflection for the global energy community. It has become increasingly clear that the energy transition will be a long, complex and capital-intensive journey. Global demand for reliable, secure and lower-carbon energy continues to grow. We believe that supporting both conventional and clean energy, within a balanced and disciplined framework, remains the most effective way to </w:t>
      </w:r>
      <w:r w:rsidRPr="00BB4918">
        <w:rPr>
          <w:rFonts w:ascii="Arial" w:hAnsi="Arial" w:cs="Arial"/>
          <w:sz w:val="20"/>
          <w:szCs w:val="20"/>
        </w:rPr>
        <w:t xml:space="preserve">deliver </w:t>
      </w:r>
      <w:r w:rsidRPr="008A7A35">
        <w:rPr>
          <w:rFonts w:ascii="Arial" w:hAnsi="Arial" w:cs="Arial"/>
          <w:sz w:val="20"/>
          <w:szCs w:val="20"/>
        </w:rPr>
        <w:t>value.</w:t>
      </w:r>
    </w:p>
    <w:p w14:paraId="48E9477C" w14:textId="77777777" w:rsidR="009C007A" w:rsidRPr="008A7A35" w:rsidRDefault="009C007A" w:rsidP="00AF65A3">
      <w:pPr>
        <w:jc w:val="both"/>
        <w:rPr>
          <w:rFonts w:ascii="Arial" w:hAnsi="Arial" w:cs="Arial"/>
          <w:sz w:val="20"/>
          <w:szCs w:val="20"/>
        </w:rPr>
      </w:pPr>
    </w:p>
    <w:p w14:paraId="33D6BC12" w14:textId="5C34D43E"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That said, the challenging market and shifting policy environment has created difficult trading conditions for many of our </w:t>
      </w:r>
      <w:r w:rsidR="00A42849">
        <w:rPr>
          <w:rFonts w:ascii="Arial" w:hAnsi="Arial" w:cs="Arial"/>
          <w:sz w:val="20"/>
          <w:szCs w:val="20"/>
        </w:rPr>
        <w:t xml:space="preserve">investment </w:t>
      </w:r>
      <w:r w:rsidRPr="008A7A35">
        <w:rPr>
          <w:rFonts w:ascii="Arial" w:hAnsi="Arial" w:cs="Arial"/>
          <w:sz w:val="20"/>
          <w:szCs w:val="20"/>
        </w:rPr>
        <w:t xml:space="preserve">portfolio companies. As a result, while not a decision taken lightly, the </w:t>
      </w:r>
      <w:r w:rsidR="002C2A43" w:rsidRPr="008A7A35">
        <w:rPr>
          <w:rFonts w:ascii="Arial" w:hAnsi="Arial" w:cs="Arial"/>
          <w:sz w:val="20"/>
          <w:szCs w:val="20"/>
        </w:rPr>
        <w:t>approved Managed</w:t>
      </w:r>
      <w:r w:rsidRPr="008A7A35">
        <w:rPr>
          <w:rFonts w:ascii="Arial" w:hAnsi="Arial" w:cs="Arial"/>
          <w:sz w:val="20"/>
          <w:szCs w:val="20"/>
        </w:rPr>
        <w:t xml:space="preserve"> </w:t>
      </w:r>
      <w:r w:rsidR="002C2A43" w:rsidRPr="008A7A35">
        <w:rPr>
          <w:rFonts w:ascii="Arial" w:hAnsi="Arial" w:cs="Arial"/>
          <w:sz w:val="20"/>
          <w:szCs w:val="20"/>
        </w:rPr>
        <w:t>W</w:t>
      </w:r>
      <w:r w:rsidRPr="008A7A35">
        <w:rPr>
          <w:rFonts w:ascii="Arial" w:hAnsi="Arial" w:cs="Arial"/>
          <w:sz w:val="20"/>
          <w:szCs w:val="20"/>
        </w:rPr>
        <w:t>ind-</w:t>
      </w:r>
      <w:r w:rsidR="002C2A43" w:rsidRPr="008A7A35">
        <w:rPr>
          <w:rFonts w:ascii="Arial" w:hAnsi="Arial" w:cs="Arial"/>
          <w:sz w:val="20"/>
          <w:szCs w:val="20"/>
        </w:rPr>
        <w:t>D</w:t>
      </w:r>
      <w:r w:rsidRPr="008A7A35">
        <w:rPr>
          <w:rFonts w:ascii="Arial" w:hAnsi="Arial" w:cs="Arial"/>
          <w:sz w:val="20"/>
          <w:szCs w:val="20"/>
        </w:rPr>
        <w:t xml:space="preserve">own of the Company represents the next logical step in </w:t>
      </w:r>
      <w:r w:rsidR="00A42849">
        <w:rPr>
          <w:rFonts w:ascii="Arial" w:hAnsi="Arial" w:cs="Arial"/>
          <w:sz w:val="20"/>
          <w:szCs w:val="20"/>
        </w:rPr>
        <w:t xml:space="preserve">the Company’s </w:t>
      </w:r>
      <w:r w:rsidRPr="008A7A35">
        <w:rPr>
          <w:rFonts w:ascii="Arial" w:hAnsi="Arial" w:cs="Arial"/>
          <w:sz w:val="20"/>
          <w:szCs w:val="20"/>
        </w:rPr>
        <w:t xml:space="preserve">evolution. The Board believes it offers the most efficient route to </w:t>
      </w:r>
      <w:r w:rsidR="00A42849">
        <w:rPr>
          <w:rFonts w:ascii="Arial" w:hAnsi="Arial" w:cs="Arial"/>
          <w:sz w:val="20"/>
          <w:szCs w:val="20"/>
        </w:rPr>
        <w:t xml:space="preserve">an orderly realisation of </w:t>
      </w:r>
      <w:r w:rsidRPr="008A7A35">
        <w:rPr>
          <w:rFonts w:ascii="Arial" w:hAnsi="Arial" w:cs="Arial"/>
          <w:sz w:val="20"/>
          <w:szCs w:val="20"/>
        </w:rPr>
        <w:t xml:space="preserve">value for </w:t>
      </w:r>
      <w:r w:rsidR="003E730A">
        <w:rPr>
          <w:rFonts w:ascii="Arial" w:hAnsi="Arial" w:cs="Arial"/>
          <w:sz w:val="20"/>
          <w:szCs w:val="20"/>
        </w:rPr>
        <w:t>S</w:t>
      </w:r>
      <w:r w:rsidRPr="008A7A35">
        <w:rPr>
          <w:rFonts w:ascii="Arial" w:hAnsi="Arial" w:cs="Arial"/>
          <w:sz w:val="20"/>
          <w:szCs w:val="20"/>
        </w:rPr>
        <w:t xml:space="preserve">hareholders and to manage the </w:t>
      </w:r>
      <w:r w:rsidR="00A42849">
        <w:rPr>
          <w:rFonts w:ascii="Arial" w:hAnsi="Arial" w:cs="Arial"/>
          <w:sz w:val="20"/>
          <w:szCs w:val="20"/>
        </w:rPr>
        <w:t xml:space="preserve">investment </w:t>
      </w:r>
      <w:r w:rsidRPr="008A7A35">
        <w:rPr>
          <w:rFonts w:ascii="Arial" w:hAnsi="Arial" w:cs="Arial"/>
          <w:sz w:val="20"/>
          <w:szCs w:val="20"/>
        </w:rPr>
        <w:t>portfolio responsibly through its final stages.</w:t>
      </w:r>
    </w:p>
    <w:p w14:paraId="218F4CB4" w14:textId="77777777" w:rsidR="00AF65A3" w:rsidRPr="008A7A35" w:rsidRDefault="00AF65A3" w:rsidP="00AF65A3">
      <w:pPr>
        <w:jc w:val="both"/>
        <w:rPr>
          <w:rFonts w:ascii="Arial" w:hAnsi="Arial" w:cs="Arial"/>
          <w:sz w:val="20"/>
          <w:szCs w:val="20"/>
        </w:rPr>
      </w:pPr>
    </w:p>
    <w:p w14:paraId="4ACFC156" w14:textId="77777777" w:rsidR="00AF65A3" w:rsidRPr="008A7A35" w:rsidRDefault="00AF65A3" w:rsidP="00AF65A3">
      <w:pPr>
        <w:jc w:val="both"/>
        <w:rPr>
          <w:rFonts w:ascii="Arial" w:hAnsi="Arial" w:cs="Arial"/>
          <w:sz w:val="20"/>
          <w:szCs w:val="20"/>
        </w:rPr>
      </w:pPr>
    </w:p>
    <w:p w14:paraId="3DEEFE6C" w14:textId="50D4E2EB" w:rsidR="00AF65A3" w:rsidRPr="008A7A35" w:rsidRDefault="00AF65A3" w:rsidP="00AF65A3">
      <w:pPr>
        <w:jc w:val="both"/>
        <w:rPr>
          <w:rFonts w:ascii="Arial" w:hAnsi="Arial" w:cs="Arial"/>
          <w:sz w:val="20"/>
          <w:szCs w:val="20"/>
        </w:rPr>
      </w:pPr>
      <w:r w:rsidRPr="008A7A35">
        <w:rPr>
          <w:rFonts w:ascii="Arial" w:hAnsi="Arial" w:cs="Arial"/>
          <w:sz w:val="20"/>
          <w:szCs w:val="20"/>
        </w:rPr>
        <w:t xml:space="preserve">On behalf of the Board, I would like to </w:t>
      </w:r>
      <w:r w:rsidR="00AA4D99">
        <w:rPr>
          <w:rFonts w:ascii="Arial" w:hAnsi="Arial" w:cs="Arial"/>
          <w:sz w:val="20"/>
          <w:szCs w:val="20"/>
        </w:rPr>
        <w:t xml:space="preserve">express my gratitude to </w:t>
      </w:r>
      <w:r w:rsidR="003E730A">
        <w:rPr>
          <w:rFonts w:ascii="Arial" w:hAnsi="Arial" w:cs="Arial"/>
          <w:sz w:val="20"/>
          <w:szCs w:val="20"/>
        </w:rPr>
        <w:t>S</w:t>
      </w:r>
      <w:r w:rsidRPr="008A7A35">
        <w:rPr>
          <w:rFonts w:ascii="Arial" w:hAnsi="Arial" w:cs="Arial"/>
          <w:sz w:val="20"/>
          <w:szCs w:val="20"/>
        </w:rPr>
        <w:t xml:space="preserve">hareholders for their continued </w:t>
      </w:r>
      <w:r w:rsidR="00AA4D99">
        <w:rPr>
          <w:rFonts w:ascii="Arial" w:hAnsi="Arial" w:cs="Arial"/>
          <w:sz w:val="20"/>
          <w:szCs w:val="20"/>
        </w:rPr>
        <w:t xml:space="preserve">engagement and </w:t>
      </w:r>
      <w:r w:rsidRPr="008A7A35">
        <w:rPr>
          <w:rFonts w:ascii="Arial" w:hAnsi="Arial" w:cs="Arial"/>
          <w:sz w:val="20"/>
          <w:szCs w:val="20"/>
        </w:rPr>
        <w:t xml:space="preserve">support. I look forward to updating you as we progress through the concluding phase of the Company’s lifecycle and </w:t>
      </w:r>
      <w:r w:rsidR="00AA4D99">
        <w:rPr>
          <w:rFonts w:ascii="Arial" w:hAnsi="Arial" w:cs="Arial"/>
          <w:sz w:val="20"/>
          <w:szCs w:val="20"/>
        </w:rPr>
        <w:t xml:space="preserve">our progression to </w:t>
      </w:r>
      <w:r w:rsidRPr="008A7A35">
        <w:rPr>
          <w:rFonts w:ascii="Arial" w:hAnsi="Arial" w:cs="Arial"/>
          <w:sz w:val="20"/>
          <w:szCs w:val="20"/>
        </w:rPr>
        <w:t xml:space="preserve">return capital to </w:t>
      </w:r>
      <w:r w:rsidR="00AA4D99">
        <w:rPr>
          <w:rFonts w:ascii="Arial" w:hAnsi="Arial" w:cs="Arial"/>
          <w:sz w:val="20"/>
          <w:szCs w:val="20"/>
        </w:rPr>
        <w:t xml:space="preserve">you, </w:t>
      </w:r>
      <w:r w:rsidRPr="008A7A35">
        <w:rPr>
          <w:rFonts w:ascii="Arial" w:hAnsi="Arial" w:cs="Arial"/>
          <w:sz w:val="20"/>
          <w:szCs w:val="20"/>
        </w:rPr>
        <w:t xml:space="preserve">our </w:t>
      </w:r>
      <w:r w:rsidR="003E730A">
        <w:rPr>
          <w:rFonts w:ascii="Arial" w:hAnsi="Arial" w:cs="Arial"/>
          <w:sz w:val="20"/>
          <w:szCs w:val="20"/>
        </w:rPr>
        <w:t>S</w:t>
      </w:r>
      <w:r w:rsidRPr="008A7A35">
        <w:rPr>
          <w:rFonts w:ascii="Arial" w:hAnsi="Arial" w:cs="Arial"/>
          <w:sz w:val="20"/>
          <w:szCs w:val="20"/>
        </w:rPr>
        <w:t>hareholders.</w:t>
      </w:r>
    </w:p>
    <w:p w14:paraId="359FC1E7" w14:textId="77777777" w:rsidR="001D0EB8" w:rsidRPr="008A7A35" w:rsidRDefault="001D0EB8" w:rsidP="006A546E">
      <w:pPr>
        <w:rPr>
          <w:rFonts w:ascii="Arial" w:hAnsi="Arial" w:cs="Arial"/>
          <w:sz w:val="20"/>
          <w:szCs w:val="20"/>
        </w:rPr>
      </w:pPr>
    </w:p>
    <w:p w14:paraId="4CDE7B81" w14:textId="6F39F71C" w:rsidR="001D0EB8" w:rsidRPr="008A7A35" w:rsidRDefault="001D0EB8" w:rsidP="006A546E">
      <w:pPr>
        <w:rPr>
          <w:rFonts w:ascii="Arial" w:hAnsi="Arial" w:cs="Arial"/>
          <w:sz w:val="20"/>
          <w:szCs w:val="20"/>
        </w:rPr>
      </w:pPr>
      <w:r w:rsidRPr="008A7A35">
        <w:rPr>
          <w:rFonts w:ascii="Arial" w:hAnsi="Arial" w:cs="Arial"/>
          <w:b/>
          <w:bCs/>
          <w:sz w:val="20"/>
          <w:szCs w:val="20"/>
        </w:rPr>
        <w:t>Richard Horlick</w:t>
      </w:r>
      <w:r w:rsidRPr="008A7A35">
        <w:rPr>
          <w:rFonts w:ascii="Arial" w:hAnsi="Arial" w:cs="Arial"/>
          <w:sz w:val="20"/>
          <w:szCs w:val="20"/>
        </w:rPr>
        <w:br/>
        <w:t xml:space="preserve">Chair of </w:t>
      </w:r>
      <w:r w:rsidR="00590232" w:rsidRPr="008A7A35">
        <w:rPr>
          <w:rFonts w:ascii="Arial" w:hAnsi="Arial" w:cs="Arial"/>
          <w:sz w:val="20"/>
          <w:szCs w:val="20"/>
        </w:rPr>
        <w:t>the Board</w:t>
      </w:r>
    </w:p>
    <w:p w14:paraId="27B8139D" w14:textId="741C8265" w:rsidR="00BD73CE" w:rsidRPr="008A7A35" w:rsidRDefault="00782415" w:rsidP="00BD73CE">
      <w:pPr>
        <w:pStyle w:val="Bodytext"/>
        <w:jc w:val="both"/>
        <w:rPr>
          <w:rFonts w:cs="Arial"/>
        </w:rPr>
      </w:pPr>
      <w:r w:rsidRPr="008A7A35">
        <w:rPr>
          <w:rFonts w:cs="Arial"/>
          <w:bCs/>
          <w:szCs w:val="20"/>
        </w:rPr>
        <w:t>2</w:t>
      </w:r>
      <w:r w:rsidR="00C95DEE">
        <w:rPr>
          <w:rFonts w:cs="Arial"/>
          <w:bCs/>
          <w:szCs w:val="20"/>
        </w:rPr>
        <w:t>6</w:t>
      </w:r>
      <w:r w:rsidR="00590232" w:rsidRPr="008A7A35">
        <w:rPr>
          <w:rFonts w:cs="Arial"/>
          <w:bCs/>
          <w:szCs w:val="20"/>
        </w:rPr>
        <w:t xml:space="preserve"> August </w:t>
      </w:r>
      <w:r w:rsidR="00BD73CE" w:rsidRPr="008A7A35">
        <w:rPr>
          <w:rFonts w:cs="Arial"/>
        </w:rPr>
        <w:t>202</w:t>
      </w:r>
      <w:r w:rsidR="00590232" w:rsidRPr="008A7A35">
        <w:rPr>
          <w:rFonts w:cs="Arial"/>
        </w:rPr>
        <w:t>5</w:t>
      </w:r>
    </w:p>
    <w:p w14:paraId="1EC05851" w14:textId="77777777" w:rsidR="00DE2110" w:rsidRDefault="00DE2110">
      <w:pPr>
        <w:rPr>
          <w:rFonts w:ascii="Arial" w:eastAsiaTheme="majorEastAsia" w:hAnsi="Arial" w:cs="Arial"/>
          <w:b/>
          <w:bCs/>
          <w:caps/>
          <w:sz w:val="30"/>
          <w:szCs w:val="30"/>
        </w:rPr>
      </w:pPr>
      <w:bookmarkStart w:id="1" w:name="_Hlk45116763"/>
    </w:p>
    <w:p w14:paraId="3033B45D" w14:textId="77777777" w:rsidR="00DE2110" w:rsidRPr="008A7A35" w:rsidRDefault="00DE2110">
      <w:pPr>
        <w:rPr>
          <w:rFonts w:ascii="Arial" w:eastAsiaTheme="majorEastAsia" w:hAnsi="Arial" w:cs="Arial"/>
          <w:b/>
          <w:bCs/>
          <w:caps/>
          <w:sz w:val="30"/>
          <w:szCs w:val="30"/>
        </w:rPr>
      </w:pPr>
    </w:p>
    <w:p w14:paraId="1D4DC54D" w14:textId="7FEDA0EC" w:rsidR="00EC5136" w:rsidRPr="008A7A35" w:rsidRDefault="00E13E11" w:rsidP="00213F9C">
      <w:pPr>
        <w:pStyle w:val="Heading1"/>
        <w:spacing w:before="120"/>
        <w:rPr>
          <w:rFonts w:cs="Arial"/>
          <w:szCs w:val="30"/>
        </w:rPr>
      </w:pPr>
      <w:r w:rsidRPr="008A7A35">
        <w:rPr>
          <w:rFonts w:cs="Arial"/>
          <w:szCs w:val="30"/>
        </w:rPr>
        <w:t>I</w:t>
      </w:r>
      <w:r w:rsidR="00EC5136" w:rsidRPr="008A7A35">
        <w:rPr>
          <w:rFonts w:cs="Arial"/>
          <w:szCs w:val="30"/>
        </w:rPr>
        <w:t>nvestment Manager’s Report</w:t>
      </w:r>
    </w:p>
    <w:p w14:paraId="0B987480" w14:textId="77777777" w:rsidR="0008084A" w:rsidRPr="008A7A35" w:rsidRDefault="0008084A">
      <w:pPr>
        <w:rPr>
          <w:rFonts w:ascii="Arial" w:hAnsi="Arial" w:cs="Arial"/>
        </w:rPr>
      </w:pPr>
    </w:p>
    <w:p w14:paraId="08F87964" w14:textId="77777777" w:rsidR="00EC1005" w:rsidRPr="008A7A35" w:rsidRDefault="00EC1005" w:rsidP="00EC1005">
      <w:pPr>
        <w:rPr>
          <w:rFonts w:ascii="Arial" w:hAnsi="Arial" w:cs="Arial"/>
          <w:b/>
          <w:bCs/>
          <w:sz w:val="20"/>
          <w:szCs w:val="20"/>
        </w:rPr>
      </w:pPr>
      <w:r w:rsidRPr="008A7A35">
        <w:rPr>
          <w:rFonts w:ascii="Arial" w:hAnsi="Arial" w:cs="Arial"/>
          <w:b/>
          <w:bCs/>
          <w:sz w:val="20"/>
          <w:szCs w:val="20"/>
        </w:rPr>
        <w:t>Macroeconomic uncertainty but investment markets recover</w:t>
      </w:r>
    </w:p>
    <w:p w14:paraId="3F559871" w14:textId="77777777" w:rsidR="00EC1005" w:rsidRPr="008A7A35" w:rsidRDefault="00EC1005" w:rsidP="00391CE4">
      <w:pPr>
        <w:jc w:val="both"/>
        <w:rPr>
          <w:rFonts w:ascii="Arial" w:hAnsi="Arial" w:cs="Arial"/>
          <w:sz w:val="20"/>
          <w:szCs w:val="20"/>
        </w:rPr>
      </w:pPr>
      <w:r w:rsidRPr="008A7A35">
        <w:rPr>
          <w:rFonts w:ascii="Arial" w:hAnsi="Arial" w:cs="Arial"/>
          <w:sz w:val="20"/>
          <w:szCs w:val="20"/>
        </w:rPr>
        <w:t xml:space="preserve">The first half of 2025 has seen heightened macro-economic uncertainty as the new US administration has introduced a wide range of policy initiatives that have upended established trade policy norms and threatened to uproot global supply chains. Shifting U.S. trade and energy policies, combined with persistent inflationary pressures, amid geopolitical conflicts and tensions, have led to large swings in investor sentiment. </w:t>
      </w:r>
    </w:p>
    <w:p w14:paraId="51C5F9D9" w14:textId="77777777" w:rsidR="00EC1005" w:rsidRPr="008A7A35" w:rsidRDefault="00EC1005" w:rsidP="00391CE4">
      <w:pPr>
        <w:jc w:val="both"/>
        <w:rPr>
          <w:rFonts w:ascii="Arial" w:hAnsi="Arial" w:cs="Arial"/>
          <w:sz w:val="20"/>
          <w:szCs w:val="20"/>
        </w:rPr>
      </w:pPr>
    </w:p>
    <w:p w14:paraId="330EC8A8" w14:textId="00B2BE07" w:rsidR="00EC1005" w:rsidRPr="008A7A35" w:rsidRDefault="00EC1005" w:rsidP="00391CE4">
      <w:pPr>
        <w:jc w:val="both"/>
        <w:rPr>
          <w:rFonts w:ascii="Arial" w:hAnsi="Arial" w:cs="Arial"/>
          <w:sz w:val="20"/>
          <w:szCs w:val="20"/>
        </w:rPr>
      </w:pPr>
      <w:r w:rsidRPr="008A7A35">
        <w:rPr>
          <w:rFonts w:ascii="Arial" w:hAnsi="Arial" w:cs="Arial"/>
          <w:sz w:val="20"/>
          <w:szCs w:val="20"/>
        </w:rPr>
        <w:t xml:space="preserve">Equity markets saw pronounced volatility in the first half of 2025. Following the </w:t>
      </w:r>
      <w:r w:rsidR="00CA7D13">
        <w:rPr>
          <w:rFonts w:ascii="Arial" w:hAnsi="Arial" w:cs="Arial"/>
          <w:sz w:val="20"/>
          <w:szCs w:val="20"/>
        </w:rPr>
        <w:t>U.S.</w:t>
      </w:r>
      <w:r w:rsidR="00CA7D13" w:rsidRPr="008A7A35">
        <w:rPr>
          <w:rFonts w:ascii="Arial" w:hAnsi="Arial" w:cs="Arial"/>
          <w:sz w:val="20"/>
          <w:szCs w:val="20"/>
        </w:rPr>
        <w:t xml:space="preserve"> </w:t>
      </w:r>
      <w:r w:rsidRPr="008A7A35">
        <w:rPr>
          <w:rFonts w:ascii="Arial" w:hAnsi="Arial" w:cs="Arial"/>
          <w:sz w:val="20"/>
          <w:szCs w:val="20"/>
        </w:rPr>
        <w:t>Administration’s sweeping “Liberation Day” tariffs in April</w:t>
      </w:r>
      <w:r w:rsidR="00FB4F49">
        <w:rPr>
          <w:rFonts w:ascii="Arial" w:hAnsi="Arial" w:cs="Arial"/>
          <w:sz w:val="20"/>
          <w:szCs w:val="20"/>
        </w:rPr>
        <w:t xml:space="preserve"> 2025</w:t>
      </w:r>
      <w:r w:rsidRPr="008A7A35">
        <w:rPr>
          <w:rFonts w:ascii="Arial" w:hAnsi="Arial" w:cs="Arial"/>
          <w:sz w:val="20"/>
          <w:szCs w:val="20"/>
        </w:rPr>
        <w:t xml:space="preserve">, market sentiment deteriorated sharply, triggering </w:t>
      </w:r>
      <w:proofErr w:type="gramStart"/>
      <w:r w:rsidRPr="008A7A35">
        <w:rPr>
          <w:rFonts w:ascii="Arial" w:hAnsi="Arial" w:cs="Arial"/>
          <w:sz w:val="20"/>
          <w:szCs w:val="20"/>
        </w:rPr>
        <w:t>sell-offs</w:t>
      </w:r>
      <w:proofErr w:type="gramEnd"/>
      <w:r w:rsidRPr="008A7A35">
        <w:rPr>
          <w:rFonts w:ascii="Arial" w:hAnsi="Arial" w:cs="Arial"/>
          <w:sz w:val="20"/>
          <w:szCs w:val="20"/>
        </w:rPr>
        <w:t xml:space="preserve"> across equities and commodities. The S&amp;P 500 fell to a low of 4,9</w:t>
      </w:r>
      <w:r w:rsidR="00522CDC" w:rsidRPr="008A7A35">
        <w:rPr>
          <w:rFonts w:ascii="Arial" w:hAnsi="Arial" w:cs="Arial"/>
          <w:sz w:val="20"/>
          <w:szCs w:val="20"/>
        </w:rPr>
        <w:t>2</w:t>
      </w:r>
      <w:r w:rsidRPr="008A7A35">
        <w:rPr>
          <w:rFonts w:ascii="Arial" w:hAnsi="Arial" w:cs="Arial"/>
          <w:sz w:val="20"/>
          <w:szCs w:val="20"/>
        </w:rPr>
        <w:t xml:space="preserve">0 before investor sentiment swung as tariff implementation was deferred, recovering to close the first half </w:t>
      </w:r>
      <w:r w:rsidR="00522CDC" w:rsidRPr="008A7A35">
        <w:rPr>
          <w:rFonts w:ascii="Arial" w:hAnsi="Arial" w:cs="Arial"/>
          <w:sz w:val="20"/>
          <w:szCs w:val="20"/>
        </w:rPr>
        <w:t>6 per cent.</w:t>
      </w:r>
      <w:r w:rsidRPr="008A7A35">
        <w:rPr>
          <w:rFonts w:ascii="Arial" w:hAnsi="Arial" w:cs="Arial"/>
          <w:sz w:val="20"/>
          <w:szCs w:val="20"/>
        </w:rPr>
        <w:t xml:space="preserve"> above its January </w:t>
      </w:r>
      <w:r w:rsidR="00C57F2C">
        <w:rPr>
          <w:rFonts w:ascii="Arial" w:hAnsi="Arial" w:cs="Arial"/>
          <w:sz w:val="20"/>
          <w:szCs w:val="20"/>
        </w:rPr>
        <w:t xml:space="preserve">2025 </w:t>
      </w:r>
      <w:r w:rsidRPr="008A7A35">
        <w:rPr>
          <w:rFonts w:ascii="Arial" w:hAnsi="Arial" w:cs="Arial"/>
          <w:sz w:val="20"/>
          <w:szCs w:val="20"/>
        </w:rPr>
        <w:t xml:space="preserve">level of 5,868. Meanwhile, the FTSE 100 also bounced back, ending the period at 8,761 up nearly </w:t>
      </w:r>
      <w:r w:rsidR="00522CDC" w:rsidRPr="008A7A35">
        <w:rPr>
          <w:rFonts w:ascii="Arial" w:hAnsi="Arial" w:cs="Arial"/>
          <w:sz w:val="20"/>
          <w:szCs w:val="20"/>
        </w:rPr>
        <w:t>7 per cent.</w:t>
      </w:r>
      <w:r w:rsidRPr="008A7A35">
        <w:rPr>
          <w:rFonts w:ascii="Arial" w:hAnsi="Arial" w:cs="Arial"/>
          <w:sz w:val="20"/>
          <w:szCs w:val="20"/>
        </w:rPr>
        <w:t xml:space="preserve"> year-to-date.</w:t>
      </w:r>
    </w:p>
    <w:p w14:paraId="5934B22A" w14:textId="77777777" w:rsidR="00EC1005" w:rsidRPr="008A7A35" w:rsidRDefault="00EC1005" w:rsidP="00391CE4">
      <w:pPr>
        <w:jc w:val="both"/>
        <w:rPr>
          <w:rFonts w:ascii="Arial" w:hAnsi="Arial" w:cs="Arial"/>
          <w:sz w:val="20"/>
          <w:szCs w:val="20"/>
        </w:rPr>
      </w:pPr>
    </w:p>
    <w:p w14:paraId="55A3ECFE" w14:textId="6430D3F4" w:rsidR="00EC1005" w:rsidRPr="008A7A35" w:rsidRDefault="00EC1005" w:rsidP="00391CE4">
      <w:pPr>
        <w:jc w:val="both"/>
        <w:rPr>
          <w:rFonts w:ascii="Arial" w:hAnsi="Arial" w:cs="Arial"/>
          <w:sz w:val="20"/>
          <w:szCs w:val="20"/>
        </w:rPr>
      </w:pPr>
      <w:r w:rsidRPr="008A7A35">
        <w:rPr>
          <w:rFonts w:ascii="Arial" w:hAnsi="Arial" w:cs="Arial"/>
          <w:sz w:val="20"/>
          <w:szCs w:val="20"/>
        </w:rPr>
        <w:t xml:space="preserve">While inflation has moderated somewhat since its post-pandemic highs, the threat of tariff-induced price rises, combined with global supply chain disruption has seen inflation remain a persistent feature, which has led central banks to adopt a cautious approach to monetary easing. The U.S. Federal Reserve held rates steady at </w:t>
      </w:r>
      <w:r w:rsidR="00522CDC" w:rsidRPr="008A7A35">
        <w:rPr>
          <w:rFonts w:ascii="Arial" w:hAnsi="Arial" w:cs="Arial"/>
          <w:sz w:val="20"/>
          <w:szCs w:val="20"/>
        </w:rPr>
        <w:t>4.25</w:t>
      </w:r>
      <w:r w:rsidR="00F43E2D" w:rsidRPr="008A7A35">
        <w:rPr>
          <w:rFonts w:ascii="Arial" w:hAnsi="Arial" w:cs="Arial"/>
          <w:sz w:val="20"/>
          <w:szCs w:val="20"/>
        </w:rPr>
        <w:t>-</w:t>
      </w:r>
      <w:r w:rsidRPr="008A7A35">
        <w:rPr>
          <w:rFonts w:ascii="Arial" w:hAnsi="Arial" w:cs="Arial"/>
          <w:sz w:val="20"/>
          <w:szCs w:val="20"/>
        </w:rPr>
        <w:t>4.5</w:t>
      </w:r>
      <w:r w:rsidR="00522CDC" w:rsidRPr="008A7A35">
        <w:rPr>
          <w:rFonts w:ascii="Arial" w:hAnsi="Arial" w:cs="Arial"/>
          <w:sz w:val="20"/>
          <w:szCs w:val="20"/>
        </w:rPr>
        <w:t xml:space="preserve"> per cent.</w:t>
      </w:r>
      <w:r w:rsidRPr="008A7A35">
        <w:rPr>
          <w:rFonts w:ascii="Arial" w:hAnsi="Arial" w:cs="Arial"/>
          <w:sz w:val="20"/>
          <w:szCs w:val="20"/>
        </w:rPr>
        <w:t xml:space="preserve"> throughout the first half</w:t>
      </w:r>
      <w:r w:rsidR="00522CDC" w:rsidRPr="008A7A35">
        <w:rPr>
          <w:rFonts w:ascii="Arial" w:hAnsi="Arial" w:cs="Arial"/>
          <w:sz w:val="20"/>
          <w:szCs w:val="20"/>
        </w:rPr>
        <w:t xml:space="preserve"> </w:t>
      </w:r>
      <w:r w:rsidR="00C57F2C">
        <w:rPr>
          <w:rFonts w:ascii="Arial" w:hAnsi="Arial" w:cs="Arial"/>
          <w:sz w:val="20"/>
          <w:szCs w:val="20"/>
        </w:rPr>
        <w:t xml:space="preserve">and to date in </w:t>
      </w:r>
      <w:r w:rsidR="00522CDC" w:rsidRPr="008A7A35">
        <w:rPr>
          <w:rFonts w:ascii="Arial" w:hAnsi="Arial" w:cs="Arial"/>
          <w:sz w:val="20"/>
          <w:szCs w:val="20"/>
        </w:rPr>
        <w:t>2025</w:t>
      </w:r>
      <w:r w:rsidRPr="008A7A35">
        <w:rPr>
          <w:rFonts w:ascii="Arial" w:hAnsi="Arial" w:cs="Arial"/>
          <w:sz w:val="20"/>
          <w:szCs w:val="20"/>
        </w:rPr>
        <w:t xml:space="preserve">, and the Bank of England’s February </w:t>
      </w:r>
      <w:r w:rsidR="00C57F2C">
        <w:rPr>
          <w:rFonts w:ascii="Arial" w:hAnsi="Arial" w:cs="Arial"/>
          <w:sz w:val="20"/>
          <w:szCs w:val="20"/>
        </w:rPr>
        <w:t xml:space="preserve">2025 </w:t>
      </w:r>
      <w:r w:rsidRPr="008A7A35">
        <w:rPr>
          <w:rFonts w:ascii="Arial" w:hAnsi="Arial" w:cs="Arial"/>
          <w:sz w:val="20"/>
          <w:szCs w:val="20"/>
        </w:rPr>
        <w:t>rate cut was followed by a pause in March</w:t>
      </w:r>
      <w:r w:rsidR="00C57F2C">
        <w:rPr>
          <w:rFonts w:ascii="Arial" w:hAnsi="Arial" w:cs="Arial"/>
          <w:sz w:val="20"/>
          <w:szCs w:val="20"/>
        </w:rPr>
        <w:t xml:space="preserve"> 2025</w:t>
      </w:r>
      <w:r w:rsidRPr="008A7A35">
        <w:rPr>
          <w:rFonts w:ascii="Arial" w:hAnsi="Arial" w:cs="Arial"/>
          <w:sz w:val="20"/>
          <w:szCs w:val="20"/>
        </w:rPr>
        <w:t xml:space="preserve">. Investor expectations of successive cuts have declined, as policymakers weigh inflation risks against slowing growth and geopolitical tensions. Although there has been some pressure from the </w:t>
      </w:r>
      <w:r w:rsidR="00CA7D13">
        <w:rPr>
          <w:rFonts w:ascii="Arial" w:hAnsi="Arial" w:cs="Arial"/>
          <w:sz w:val="20"/>
          <w:szCs w:val="20"/>
        </w:rPr>
        <w:t>U.S.</w:t>
      </w:r>
      <w:r w:rsidR="00CA7D13" w:rsidRPr="008A7A35">
        <w:rPr>
          <w:rFonts w:ascii="Arial" w:hAnsi="Arial" w:cs="Arial"/>
          <w:sz w:val="20"/>
          <w:szCs w:val="20"/>
        </w:rPr>
        <w:t xml:space="preserve"> </w:t>
      </w:r>
      <w:r w:rsidRPr="008A7A35">
        <w:rPr>
          <w:rFonts w:ascii="Arial" w:hAnsi="Arial" w:cs="Arial"/>
          <w:sz w:val="20"/>
          <w:szCs w:val="20"/>
        </w:rPr>
        <w:t>administration on the Fed to accelerate interest rate cuts.</w:t>
      </w:r>
    </w:p>
    <w:p w14:paraId="0CC7B028" w14:textId="77777777" w:rsidR="00EC1005" w:rsidRPr="008A7A35" w:rsidRDefault="00EC1005" w:rsidP="00EC1005">
      <w:pPr>
        <w:rPr>
          <w:rFonts w:ascii="Arial" w:hAnsi="Arial" w:cs="Arial"/>
          <w:b/>
          <w:bCs/>
        </w:rPr>
      </w:pPr>
    </w:p>
    <w:p w14:paraId="63BDA6E0" w14:textId="77777777" w:rsidR="00EC1005" w:rsidRPr="008A7A35" w:rsidRDefault="00EC1005" w:rsidP="00EC1005">
      <w:pPr>
        <w:rPr>
          <w:rFonts w:ascii="Arial" w:hAnsi="Arial" w:cs="Arial"/>
          <w:b/>
          <w:bCs/>
          <w:sz w:val="20"/>
          <w:szCs w:val="20"/>
        </w:rPr>
      </w:pPr>
      <w:r w:rsidRPr="008A7A35">
        <w:rPr>
          <w:rFonts w:ascii="Arial" w:hAnsi="Arial" w:cs="Arial"/>
          <w:b/>
          <w:bCs/>
          <w:sz w:val="20"/>
          <w:szCs w:val="20"/>
        </w:rPr>
        <w:t>Energy pricing remains volatile</w:t>
      </w:r>
    </w:p>
    <w:p w14:paraId="7DB7CFFD" w14:textId="3D730EDF" w:rsidR="00EC1005" w:rsidRPr="008A7A35" w:rsidRDefault="00EC1005" w:rsidP="00391CE4">
      <w:pPr>
        <w:jc w:val="both"/>
        <w:rPr>
          <w:rFonts w:ascii="Arial" w:hAnsi="Arial" w:cs="Arial"/>
          <w:sz w:val="20"/>
          <w:szCs w:val="20"/>
        </w:rPr>
      </w:pPr>
      <w:r w:rsidRPr="008A7A35">
        <w:rPr>
          <w:rFonts w:ascii="Arial" w:hAnsi="Arial" w:cs="Arial"/>
          <w:sz w:val="20"/>
          <w:szCs w:val="20"/>
        </w:rPr>
        <w:t xml:space="preserve">The energy policy agenda in the U.S. has added further uncertainty to the mix. While the administration aimed to lower domestic oil prices to $50 per barrel, viewed as economically unsustainable for much of the U.S. industry, it simultaneously cast doubt over clean energy investment by suspending permitting for offshore wind and reviewing key elements of the Inflation Reduction Act. These policy moves weakened investor confidence in decarbonisation assets and increased the cost of capital for new infrastructure projects. Despite this, investor </w:t>
      </w:r>
      <w:r w:rsidRPr="008A7A35">
        <w:rPr>
          <w:rFonts w:ascii="Arial" w:hAnsi="Arial" w:cs="Arial"/>
          <w:sz w:val="20"/>
          <w:szCs w:val="20"/>
        </w:rPr>
        <w:lastRenderedPageBreak/>
        <w:t xml:space="preserve">confidence remains broadly resilient, with twice as </w:t>
      </w:r>
      <w:proofErr w:type="gramStart"/>
      <w:r w:rsidRPr="008A7A35">
        <w:rPr>
          <w:rFonts w:ascii="Arial" w:hAnsi="Arial" w:cs="Arial"/>
          <w:sz w:val="20"/>
          <w:szCs w:val="20"/>
        </w:rPr>
        <w:t>much</w:t>
      </w:r>
      <w:proofErr w:type="gramEnd"/>
      <w:r w:rsidRPr="008A7A35">
        <w:rPr>
          <w:rFonts w:ascii="Arial" w:hAnsi="Arial" w:cs="Arial"/>
          <w:sz w:val="20"/>
          <w:szCs w:val="20"/>
        </w:rPr>
        <w:t xml:space="preserve"> set to be invested in clean energy as fossil fuels this year.</w:t>
      </w:r>
    </w:p>
    <w:p w14:paraId="0FB31D57" w14:textId="77777777" w:rsidR="00EC1005" w:rsidRPr="008A7A35" w:rsidRDefault="00EC1005" w:rsidP="00391CE4">
      <w:pPr>
        <w:jc w:val="both"/>
        <w:rPr>
          <w:rFonts w:ascii="Arial" w:hAnsi="Arial" w:cs="Arial"/>
          <w:sz w:val="20"/>
          <w:szCs w:val="20"/>
        </w:rPr>
      </w:pPr>
    </w:p>
    <w:p w14:paraId="657952F8" w14:textId="7AABC7E9" w:rsidR="00EC1005" w:rsidRPr="008A7A35" w:rsidRDefault="00EC1005" w:rsidP="00391CE4">
      <w:pPr>
        <w:jc w:val="both"/>
        <w:rPr>
          <w:rFonts w:ascii="Arial" w:hAnsi="Arial" w:cs="Arial"/>
          <w:sz w:val="20"/>
          <w:szCs w:val="20"/>
        </w:rPr>
      </w:pPr>
      <w:r w:rsidRPr="008A7A35">
        <w:rPr>
          <w:rFonts w:ascii="Arial" w:hAnsi="Arial" w:cs="Arial"/>
          <w:sz w:val="20"/>
          <w:szCs w:val="20"/>
        </w:rPr>
        <w:t>Oil and gas markets reflected the broader macroeconomic volatility. WTI crude opened the year at $71.72, rose to near $80, dropped as low as $</w:t>
      </w:r>
      <w:r w:rsidR="00522CDC" w:rsidRPr="008A7A35">
        <w:rPr>
          <w:rFonts w:ascii="Arial" w:hAnsi="Arial" w:cs="Arial"/>
          <w:sz w:val="20"/>
          <w:szCs w:val="20"/>
        </w:rPr>
        <w:t>55.30</w:t>
      </w:r>
      <w:r w:rsidRPr="008A7A35">
        <w:rPr>
          <w:rFonts w:ascii="Arial" w:hAnsi="Arial" w:cs="Arial"/>
          <w:sz w:val="20"/>
          <w:szCs w:val="20"/>
        </w:rPr>
        <w:t xml:space="preserve">, and settled at around $65 by </w:t>
      </w:r>
      <w:r w:rsidR="00C57F2C">
        <w:rPr>
          <w:rFonts w:ascii="Arial" w:hAnsi="Arial" w:cs="Arial"/>
          <w:sz w:val="20"/>
          <w:szCs w:val="20"/>
        </w:rPr>
        <w:t>the half year</w:t>
      </w:r>
      <w:r w:rsidRPr="008A7A35">
        <w:rPr>
          <w:rFonts w:ascii="Arial" w:hAnsi="Arial" w:cs="Arial"/>
          <w:sz w:val="20"/>
          <w:szCs w:val="20"/>
        </w:rPr>
        <w:t>. This erratic pattern was driven by a mix of OPEC+ production policy shifts and geopolitical risk in the Middle East, notably the U.S. and Israeli strikes on Iranian infrastructure. Vastly differing demand forecasts from the IEA and OPEC+ complicate the picture further.</w:t>
      </w:r>
    </w:p>
    <w:p w14:paraId="769F488E" w14:textId="77777777" w:rsidR="00942C01" w:rsidRPr="008A7A35" w:rsidRDefault="00942C01" w:rsidP="00391CE4">
      <w:pPr>
        <w:jc w:val="both"/>
        <w:rPr>
          <w:rFonts w:ascii="Arial" w:hAnsi="Arial" w:cs="Arial"/>
          <w:sz w:val="20"/>
          <w:szCs w:val="20"/>
        </w:rPr>
      </w:pPr>
    </w:p>
    <w:p w14:paraId="3235D805" w14:textId="0AE16BDA" w:rsidR="00942C01" w:rsidRPr="008A7A35" w:rsidRDefault="00942C01" w:rsidP="00391CE4">
      <w:pPr>
        <w:jc w:val="both"/>
        <w:rPr>
          <w:rFonts w:ascii="Arial" w:hAnsi="Arial" w:cs="Arial"/>
          <w:sz w:val="20"/>
          <w:szCs w:val="20"/>
        </w:rPr>
      </w:pPr>
      <w:r w:rsidRPr="008A7A35">
        <w:rPr>
          <w:rFonts w:ascii="Arial" w:hAnsi="Arial" w:cs="Arial"/>
          <w:sz w:val="20"/>
          <w:szCs w:val="20"/>
        </w:rPr>
        <w:t xml:space="preserve">Gas prices showed greater consistency, supported by seasonal demand and storage dynamics. Henry Hub climbed over </w:t>
      </w:r>
      <w:r w:rsidR="00305983" w:rsidRPr="008A7A35">
        <w:rPr>
          <w:rFonts w:ascii="Arial" w:hAnsi="Arial" w:cs="Arial"/>
          <w:sz w:val="20"/>
          <w:szCs w:val="20"/>
        </w:rPr>
        <w:t>13 per cent.</w:t>
      </w:r>
      <w:r w:rsidRPr="008A7A35">
        <w:rPr>
          <w:rFonts w:ascii="Arial" w:hAnsi="Arial" w:cs="Arial"/>
          <w:sz w:val="20"/>
          <w:szCs w:val="20"/>
        </w:rPr>
        <w:t xml:space="preserve"> in Q1</w:t>
      </w:r>
      <w:r w:rsidR="00C57F2C">
        <w:rPr>
          <w:rFonts w:ascii="Arial" w:hAnsi="Arial" w:cs="Arial"/>
          <w:sz w:val="20"/>
          <w:szCs w:val="20"/>
        </w:rPr>
        <w:t xml:space="preserve"> 2025</w:t>
      </w:r>
      <w:r w:rsidRPr="008A7A35">
        <w:rPr>
          <w:rFonts w:ascii="Arial" w:hAnsi="Arial" w:cs="Arial"/>
          <w:sz w:val="20"/>
          <w:szCs w:val="20"/>
        </w:rPr>
        <w:t>, rising from $3.66 to $4.</w:t>
      </w:r>
      <w:r w:rsidR="00305983" w:rsidRPr="008A7A35">
        <w:rPr>
          <w:rFonts w:ascii="Arial" w:hAnsi="Arial" w:cs="Arial"/>
          <w:sz w:val="20"/>
          <w:szCs w:val="20"/>
        </w:rPr>
        <w:t>12</w:t>
      </w:r>
      <w:r w:rsidRPr="008A7A35">
        <w:rPr>
          <w:rFonts w:ascii="Arial" w:hAnsi="Arial" w:cs="Arial"/>
          <w:sz w:val="20"/>
          <w:szCs w:val="20"/>
        </w:rPr>
        <w:t xml:space="preserve"> per million BTU, buoyed by a cold winter and depleted European inventories. However, by the end of Q2</w:t>
      </w:r>
      <w:r w:rsidR="00C57F2C">
        <w:rPr>
          <w:rFonts w:ascii="Arial" w:hAnsi="Arial" w:cs="Arial"/>
          <w:sz w:val="20"/>
          <w:szCs w:val="20"/>
        </w:rPr>
        <w:t xml:space="preserve"> 2025</w:t>
      </w:r>
      <w:r w:rsidRPr="008A7A35">
        <w:rPr>
          <w:rFonts w:ascii="Arial" w:hAnsi="Arial" w:cs="Arial"/>
          <w:sz w:val="20"/>
          <w:szCs w:val="20"/>
        </w:rPr>
        <w:t>, gas prices had moderated to end the half</w:t>
      </w:r>
      <w:r w:rsidR="00C57F2C">
        <w:rPr>
          <w:rFonts w:ascii="Arial" w:hAnsi="Arial" w:cs="Arial"/>
          <w:sz w:val="20"/>
          <w:szCs w:val="20"/>
        </w:rPr>
        <w:t xml:space="preserve"> </w:t>
      </w:r>
      <w:proofErr w:type="gramStart"/>
      <w:r w:rsidR="00C57F2C">
        <w:rPr>
          <w:rFonts w:ascii="Arial" w:hAnsi="Arial" w:cs="Arial"/>
          <w:sz w:val="20"/>
          <w:szCs w:val="20"/>
        </w:rPr>
        <w:t xml:space="preserve">year </w:t>
      </w:r>
      <w:r w:rsidRPr="008A7A35">
        <w:rPr>
          <w:rFonts w:ascii="Arial" w:hAnsi="Arial" w:cs="Arial"/>
          <w:sz w:val="20"/>
          <w:szCs w:val="20"/>
        </w:rPr>
        <w:t xml:space="preserve"> down</w:t>
      </w:r>
      <w:proofErr w:type="gramEnd"/>
      <w:r w:rsidRPr="008A7A35">
        <w:rPr>
          <w:rFonts w:ascii="Arial" w:hAnsi="Arial" w:cs="Arial"/>
          <w:sz w:val="20"/>
          <w:szCs w:val="20"/>
        </w:rPr>
        <w:t xml:space="preserve"> </w:t>
      </w:r>
      <w:r w:rsidR="00305983" w:rsidRPr="008A7A35">
        <w:rPr>
          <w:rFonts w:ascii="Arial" w:hAnsi="Arial" w:cs="Arial"/>
          <w:sz w:val="20"/>
          <w:szCs w:val="20"/>
        </w:rPr>
        <w:t>5</w:t>
      </w:r>
      <w:r w:rsidR="00E80B4A">
        <w:rPr>
          <w:rFonts w:ascii="Arial" w:hAnsi="Arial" w:cs="Arial"/>
          <w:sz w:val="20"/>
          <w:szCs w:val="20"/>
        </w:rPr>
        <w:t xml:space="preserve"> per cent.</w:t>
      </w:r>
      <w:r w:rsidRPr="008A7A35">
        <w:rPr>
          <w:rFonts w:ascii="Arial" w:hAnsi="Arial" w:cs="Arial"/>
          <w:sz w:val="20"/>
          <w:szCs w:val="20"/>
        </w:rPr>
        <w:t xml:space="preserve"> at $3.4</w:t>
      </w:r>
      <w:r w:rsidR="00305983" w:rsidRPr="008A7A35">
        <w:rPr>
          <w:rFonts w:ascii="Arial" w:hAnsi="Arial" w:cs="Arial"/>
          <w:sz w:val="20"/>
          <w:szCs w:val="20"/>
        </w:rPr>
        <w:t>6</w:t>
      </w:r>
      <w:r w:rsidRPr="008A7A35">
        <w:rPr>
          <w:rFonts w:ascii="Arial" w:hAnsi="Arial" w:cs="Arial"/>
          <w:sz w:val="20"/>
          <w:szCs w:val="20"/>
        </w:rPr>
        <w:t>, following a thaw in the Israel-Iran conflict.</w:t>
      </w:r>
    </w:p>
    <w:p w14:paraId="56ACFC3A" w14:textId="77777777" w:rsidR="00942C01" w:rsidRPr="008A7A35" w:rsidRDefault="00942C01" w:rsidP="00942C01">
      <w:pPr>
        <w:rPr>
          <w:rFonts w:ascii="Arial" w:hAnsi="Arial" w:cs="Arial"/>
          <w:b/>
          <w:bCs/>
        </w:rPr>
      </w:pPr>
    </w:p>
    <w:p w14:paraId="455510B1" w14:textId="7AE736DB" w:rsidR="00942C01" w:rsidRPr="008A7A35" w:rsidRDefault="00942C01" w:rsidP="00942C01">
      <w:pPr>
        <w:rPr>
          <w:rFonts w:ascii="Arial" w:hAnsi="Arial" w:cs="Arial"/>
          <w:b/>
          <w:bCs/>
          <w:sz w:val="20"/>
          <w:szCs w:val="20"/>
        </w:rPr>
      </w:pPr>
      <w:r w:rsidRPr="008A7A35">
        <w:rPr>
          <w:rFonts w:ascii="Arial" w:hAnsi="Arial" w:cs="Arial"/>
          <w:b/>
          <w:bCs/>
          <w:sz w:val="20"/>
          <w:szCs w:val="20"/>
        </w:rPr>
        <w:t>Conventional Energy: Providing stable value amid volatility</w:t>
      </w:r>
    </w:p>
    <w:p w14:paraId="6B6E250C" w14:textId="5493ED2E" w:rsidR="00942C01" w:rsidRPr="008A7A35" w:rsidRDefault="00C57F2C" w:rsidP="00391CE4">
      <w:pPr>
        <w:jc w:val="both"/>
        <w:rPr>
          <w:rFonts w:ascii="Arial" w:hAnsi="Arial" w:cs="Arial"/>
          <w:sz w:val="20"/>
          <w:szCs w:val="20"/>
        </w:rPr>
      </w:pPr>
      <w:r>
        <w:rPr>
          <w:rFonts w:ascii="Arial" w:hAnsi="Arial" w:cs="Arial"/>
          <w:sz w:val="20"/>
          <w:szCs w:val="20"/>
        </w:rPr>
        <w:t xml:space="preserve">The Company’s </w:t>
      </w:r>
      <w:r w:rsidR="00942C01" w:rsidRPr="008A7A35">
        <w:rPr>
          <w:rFonts w:ascii="Arial" w:hAnsi="Arial" w:cs="Arial"/>
          <w:sz w:val="20"/>
          <w:szCs w:val="20"/>
        </w:rPr>
        <w:t xml:space="preserve">conventional energy portfolio continued to deliver good operating results and despite the uncertain market environment the portfolio held up well overall in 1H 2025. The standout development was the announcement in March </w:t>
      </w:r>
      <w:r>
        <w:rPr>
          <w:rFonts w:ascii="Arial" w:hAnsi="Arial" w:cs="Arial"/>
          <w:sz w:val="20"/>
          <w:szCs w:val="20"/>
        </w:rPr>
        <w:t xml:space="preserve">2025 </w:t>
      </w:r>
      <w:r w:rsidR="00942C01" w:rsidRPr="008A7A35">
        <w:rPr>
          <w:rFonts w:ascii="Arial" w:hAnsi="Arial" w:cs="Arial"/>
          <w:sz w:val="20"/>
          <w:szCs w:val="20"/>
        </w:rPr>
        <w:t xml:space="preserve">of Veren’s all-stock </w:t>
      </w:r>
      <w:r w:rsidR="00132AC0">
        <w:rPr>
          <w:rFonts w:ascii="Arial" w:hAnsi="Arial" w:cs="Arial"/>
          <w:sz w:val="20"/>
          <w:szCs w:val="20"/>
        </w:rPr>
        <w:t>CAD</w:t>
      </w:r>
      <w:r w:rsidR="00942C01" w:rsidRPr="008A7A35">
        <w:rPr>
          <w:rFonts w:ascii="Arial" w:hAnsi="Arial" w:cs="Arial"/>
          <w:sz w:val="20"/>
          <w:szCs w:val="20"/>
        </w:rPr>
        <w:t>$15</w:t>
      </w:r>
      <w:r w:rsidR="00132AC0">
        <w:rPr>
          <w:rFonts w:ascii="Arial" w:hAnsi="Arial" w:cs="Arial"/>
          <w:sz w:val="20"/>
          <w:szCs w:val="20"/>
        </w:rPr>
        <w:t xml:space="preserve"> </w:t>
      </w:r>
      <w:r w:rsidR="00942C01" w:rsidRPr="008A7A35">
        <w:rPr>
          <w:rFonts w:ascii="Arial" w:hAnsi="Arial" w:cs="Arial"/>
          <w:sz w:val="20"/>
          <w:szCs w:val="20"/>
        </w:rPr>
        <w:t>b</w:t>
      </w:r>
      <w:r w:rsidR="00132AC0">
        <w:rPr>
          <w:rFonts w:ascii="Arial" w:hAnsi="Arial" w:cs="Arial"/>
          <w:sz w:val="20"/>
          <w:szCs w:val="20"/>
        </w:rPr>
        <w:t>illio</w:t>
      </w:r>
      <w:r w:rsidR="00942C01" w:rsidRPr="008A7A35">
        <w:rPr>
          <w:rFonts w:ascii="Arial" w:hAnsi="Arial" w:cs="Arial"/>
          <w:sz w:val="20"/>
          <w:szCs w:val="20"/>
        </w:rPr>
        <w:t>n combination with Whitecap Resources</w:t>
      </w:r>
      <w:r w:rsidR="0040223F" w:rsidRPr="008A7A35">
        <w:rPr>
          <w:rFonts w:ascii="Arial" w:hAnsi="Arial" w:cs="Arial"/>
          <w:sz w:val="20"/>
          <w:szCs w:val="20"/>
        </w:rPr>
        <w:t>.</w:t>
      </w:r>
      <w:r w:rsidR="00942C01" w:rsidRPr="008A7A35">
        <w:rPr>
          <w:rFonts w:ascii="Arial" w:hAnsi="Arial" w:cs="Arial"/>
          <w:sz w:val="20"/>
          <w:szCs w:val="20"/>
        </w:rPr>
        <w:t xml:space="preserve"> The merger</w:t>
      </w:r>
      <w:r w:rsidR="00F43E2D" w:rsidRPr="008A7A35">
        <w:rPr>
          <w:rFonts w:ascii="Arial" w:hAnsi="Arial" w:cs="Arial"/>
          <w:sz w:val="20"/>
          <w:szCs w:val="20"/>
        </w:rPr>
        <w:t>,</w:t>
      </w:r>
      <w:r w:rsidR="00942C01" w:rsidRPr="008A7A35">
        <w:rPr>
          <w:rFonts w:ascii="Arial" w:hAnsi="Arial" w:cs="Arial"/>
          <w:sz w:val="20"/>
          <w:szCs w:val="20"/>
        </w:rPr>
        <w:t xml:space="preserve"> completed</w:t>
      </w:r>
      <w:r w:rsidR="00F43E2D" w:rsidRPr="008A7A35">
        <w:rPr>
          <w:rFonts w:ascii="Arial" w:hAnsi="Arial" w:cs="Arial"/>
          <w:sz w:val="20"/>
          <w:szCs w:val="20"/>
        </w:rPr>
        <w:t xml:space="preserve"> in May</w:t>
      </w:r>
      <w:r w:rsidR="009A086D" w:rsidRPr="008A7A35">
        <w:rPr>
          <w:rFonts w:ascii="Arial" w:hAnsi="Arial" w:cs="Arial"/>
          <w:sz w:val="20"/>
          <w:szCs w:val="20"/>
        </w:rPr>
        <w:t xml:space="preserve"> 2025</w:t>
      </w:r>
      <w:r w:rsidR="00942C01" w:rsidRPr="008A7A35">
        <w:rPr>
          <w:rFonts w:ascii="Arial" w:hAnsi="Arial" w:cs="Arial"/>
          <w:sz w:val="20"/>
          <w:szCs w:val="20"/>
        </w:rPr>
        <w:t xml:space="preserve"> has led to the creation of the seventh largest Canadian oil and gas producer with a projected output of 370,000 </w:t>
      </w:r>
      <w:r>
        <w:rPr>
          <w:rFonts w:ascii="Arial" w:hAnsi="Arial" w:cs="Arial"/>
          <w:sz w:val="20"/>
          <w:szCs w:val="20"/>
        </w:rPr>
        <w:t>B</w:t>
      </w:r>
      <w:r w:rsidR="00942C01" w:rsidRPr="008A7A35">
        <w:rPr>
          <w:rFonts w:ascii="Arial" w:hAnsi="Arial" w:cs="Arial"/>
          <w:sz w:val="20"/>
          <w:szCs w:val="20"/>
        </w:rPr>
        <w:t xml:space="preserve">oe/d. </w:t>
      </w:r>
      <w:r>
        <w:rPr>
          <w:rFonts w:ascii="Arial" w:hAnsi="Arial" w:cs="Arial"/>
          <w:sz w:val="20"/>
          <w:szCs w:val="20"/>
        </w:rPr>
        <w:t>For now, the Company</w:t>
      </w:r>
      <w:r w:rsidR="00942C01" w:rsidRPr="008A7A35">
        <w:rPr>
          <w:rFonts w:ascii="Arial" w:hAnsi="Arial" w:cs="Arial"/>
          <w:sz w:val="20"/>
          <w:szCs w:val="20"/>
        </w:rPr>
        <w:t xml:space="preserve"> retains exposure to the combined entity, with </w:t>
      </w:r>
      <w:r w:rsidR="00305983" w:rsidRPr="008A7A35">
        <w:rPr>
          <w:rFonts w:ascii="Arial" w:hAnsi="Arial" w:cs="Arial"/>
          <w:sz w:val="20"/>
          <w:szCs w:val="20"/>
        </w:rPr>
        <w:t xml:space="preserve">Whitecap’s </w:t>
      </w:r>
      <w:r w:rsidR="00942C01" w:rsidRPr="008A7A35">
        <w:rPr>
          <w:rFonts w:ascii="Arial" w:hAnsi="Arial" w:cs="Arial"/>
          <w:sz w:val="20"/>
          <w:szCs w:val="20"/>
        </w:rPr>
        <w:t xml:space="preserve">stock price increasing by </w:t>
      </w:r>
      <w:r w:rsidR="00305983" w:rsidRPr="008A7A35">
        <w:rPr>
          <w:rFonts w:ascii="Arial" w:hAnsi="Arial" w:cs="Arial"/>
          <w:sz w:val="20"/>
          <w:szCs w:val="20"/>
        </w:rPr>
        <w:t>17 per cent.</w:t>
      </w:r>
      <w:r w:rsidR="00942C01" w:rsidRPr="008A7A35">
        <w:rPr>
          <w:rFonts w:ascii="Arial" w:hAnsi="Arial" w:cs="Arial"/>
          <w:sz w:val="20"/>
          <w:szCs w:val="20"/>
        </w:rPr>
        <w:t xml:space="preserve"> in the first half of the year and </w:t>
      </w:r>
      <w:r>
        <w:rPr>
          <w:rFonts w:ascii="Arial" w:hAnsi="Arial" w:cs="Arial"/>
          <w:sz w:val="20"/>
          <w:szCs w:val="20"/>
        </w:rPr>
        <w:t xml:space="preserve">the Company’s </w:t>
      </w:r>
      <w:r w:rsidR="00942C01" w:rsidRPr="008A7A35">
        <w:rPr>
          <w:rFonts w:ascii="Arial" w:hAnsi="Arial" w:cs="Arial"/>
          <w:sz w:val="20"/>
          <w:szCs w:val="20"/>
        </w:rPr>
        <w:t xml:space="preserve">holding valuation improving from 0.82x to </w:t>
      </w:r>
      <w:r w:rsidR="00305983" w:rsidRPr="008A7A35">
        <w:rPr>
          <w:rFonts w:ascii="Arial" w:hAnsi="Arial" w:cs="Arial"/>
          <w:sz w:val="20"/>
          <w:szCs w:val="20"/>
        </w:rPr>
        <w:t>0.87</w:t>
      </w:r>
      <w:r w:rsidR="00942C01" w:rsidRPr="008A7A35">
        <w:rPr>
          <w:rFonts w:ascii="Arial" w:hAnsi="Arial" w:cs="Arial"/>
          <w:sz w:val="20"/>
          <w:szCs w:val="20"/>
        </w:rPr>
        <w:t>x</w:t>
      </w:r>
      <w:r w:rsidR="009B5110" w:rsidRPr="008A7A35">
        <w:rPr>
          <w:rFonts w:ascii="Arial" w:hAnsi="Arial" w:cs="Arial"/>
          <w:sz w:val="20"/>
          <w:szCs w:val="20"/>
        </w:rPr>
        <w:t xml:space="preserve"> Gross</w:t>
      </w:r>
      <w:r w:rsidR="00942C01" w:rsidRPr="008A7A35">
        <w:rPr>
          <w:rFonts w:ascii="Arial" w:hAnsi="Arial" w:cs="Arial"/>
          <w:sz w:val="20"/>
          <w:szCs w:val="20"/>
        </w:rPr>
        <w:t xml:space="preserve"> MOIC during the period.</w:t>
      </w:r>
    </w:p>
    <w:p w14:paraId="7B9039E3" w14:textId="77777777" w:rsidR="00942C01" w:rsidRPr="008A7A35" w:rsidRDefault="00942C01" w:rsidP="00391CE4">
      <w:pPr>
        <w:jc w:val="both"/>
        <w:rPr>
          <w:rFonts w:ascii="Arial" w:hAnsi="Arial" w:cs="Arial"/>
          <w:sz w:val="20"/>
          <w:szCs w:val="20"/>
        </w:rPr>
      </w:pPr>
    </w:p>
    <w:p w14:paraId="6709B578" w14:textId="04F32DF1" w:rsidR="00942C01" w:rsidRPr="008A7A35" w:rsidRDefault="00942C01" w:rsidP="00391CE4">
      <w:pPr>
        <w:jc w:val="both"/>
        <w:rPr>
          <w:rFonts w:ascii="Arial" w:hAnsi="Arial" w:cs="Arial"/>
          <w:sz w:val="20"/>
          <w:szCs w:val="20"/>
        </w:rPr>
      </w:pPr>
      <w:r w:rsidRPr="008A7A35">
        <w:rPr>
          <w:rFonts w:ascii="Arial" w:hAnsi="Arial" w:cs="Arial"/>
          <w:sz w:val="20"/>
          <w:szCs w:val="20"/>
        </w:rPr>
        <w:t xml:space="preserve">Permian Resources, </w:t>
      </w:r>
      <w:r w:rsidR="00C57F2C">
        <w:rPr>
          <w:rFonts w:ascii="Arial" w:hAnsi="Arial" w:cs="Arial"/>
          <w:sz w:val="20"/>
          <w:szCs w:val="20"/>
        </w:rPr>
        <w:t xml:space="preserve">the Company’s </w:t>
      </w:r>
      <w:r w:rsidRPr="008A7A35">
        <w:rPr>
          <w:rFonts w:ascii="Arial" w:hAnsi="Arial" w:cs="Arial"/>
          <w:sz w:val="20"/>
          <w:szCs w:val="20"/>
        </w:rPr>
        <w:t xml:space="preserve">largest conventional holding, continued to grow with the acquisition of 13,000 net acres and 12,000 Boe/d of production in the core North Delaware Basin area. Despite a </w:t>
      </w:r>
      <w:r w:rsidR="00F43E2D" w:rsidRPr="008A7A35">
        <w:rPr>
          <w:rFonts w:ascii="Arial" w:hAnsi="Arial" w:cs="Arial"/>
          <w:sz w:val="20"/>
          <w:szCs w:val="20"/>
        </w:rPr>
        <w:t>5</w:t>
      </w:r>
      <w:r w:rsidR="00EE73A7">
        <w:rPr>
          <w:rFonts w:ascii="Arial" w:hAnsi="Arial" w:cs="Arial"/>
          <w:sz w:val="20"/>
          <w:szCs w:val="20"/>
        </w:rPr>
        <w:t xml:space="preserve"> per cent.</w:t>
      </w:r>
      <w:r w:rsidRPr="008A7A35">
        <w:rPr>
          <w:rFonts w:ascii="Arial" w:hAnsi="Arial" w:cs="Arial"/>
          <w:sz w:val="20"/>
          <w:szCs w:val="20"/>
        </w:rPr>
        <w:t xml:space="preserve"> share price decline in the first half of the year, Permian remains a resilient asset, ending the first half of the year at a </w:t>
      </w:r>
      <w:r w:rsidR="00305983" w:rsidRPr="008A7A35">
        <w:rPr>
          <w:rFonts w:ascii="Arial" w:hAnsi="Arial" w:cs="Arial"/>
          <w:sz w:val="20"/>
          <w:szCs w:val="20"/>
        </w:rPr>
        <w:t>1.39</w:t>
      </w:r>
      <w:r w:rsidRPr="008A7A35">
        <w:rPr>
          <w:rFonts w:ascii="Arial" w:hAnsi="Arial" w:cs="Arial"/>
          <w:sz w:val="20"/>
          <w:szCs w:val="20"/>
        </w:rPr>
        <w:t xml:space="preserve">x </w:t>
      </w:r>
      <w:r w:rsidR="009B5110" w:rsidRPr="008A7A35">
        <w:rPr>
          <w:rFonts w:ascii="Arial" w:hAnsi="Arial" w:cs="Arial"/>
          <w:sz w:val="20"/>
          <w:szCs w:val="20"/>
        </w:rPr>
        <w:t xml:space="preserve">Gross </w:t>
      </w:r>
      <w:r w:rsidRPr="008A7A35">
        <w:rPr>
          <w:rFonts w:ascii="Arial" w:hAnsi="Arial" w:cs="Arial"/>
          <w:sz w:val="20"/>
          <w:szCs w:val="20"/>
        </w:rPr>
        <w:t xml:space="preserve">MOIC. </w:t>
      </w:r>
    </w:p>
    <w:p w14:paraId="7A83AE1B" w14:textId="77777777" w:rsidR="00942C01" w:rsidRPr="008A7A35" w:rsidRDefault="00942C01" w:rsidP="00391CE4">
      <w:pPr>
        <w:jc w:val="both"/>
        <w:rPr>
          <w:rFonts w:ascii="Arial" w:hAnsi="Arial" w:cs="Arial"/>
          <w:sz w:val="20"/>
          <w:szCs w:val="20"/>
        </w:rPr>
      </w:pPr>
    </w:p>
    <w:p w14:paraId="01CD6129" w14:textId="1F47A2FC" w:rsidR="00E81FA7" w:rsidRPr="00C11A1F" w:rsidRDefault="00942C01" w:rsidP="00C11A1F">
      <w:pPr>
        <w:jc w:val="both"/>
        <w:rPr>
          <w:rFonts w:ascii="Arial" w:hAnsi="Arial" w:cs="Arial"/>
          <w:sz w:val="20"/>
          <w:szCs w:val="20"/>
        </w:rPr>
      </w:pPr>
      <w:r w:rsidRPr="008A7A35">
        <w:rPr>
          <w:rFonts w:ascii="Arial" w:hAnsi="Arial" w:cs="Arial"/>
          <w:sz w:val="20"/>
          <w:szCs w:val="20"/>
        </w:rPr>
        <w:t xml:space="preserve">Onyx Power held steady at </w:t>
      </w:r>
      <w:r w:rsidR="00305983" w:rsidRPr="008A7A35">
        <w:rPr>
          <w:rFonts w:ascii="Arial" w:hAnsi="Arial" w:cs="Arial"/>
          <w:sz w:val="20"/>
          <w:szCs w:val="20"/>
        </w:rPr>
        <w:t>2.80</w:t>
      </w:r>
      <w:r w:rsidRPr="008A7A35">
        <w:rPr>
          <w:rFonts w:ascii="Arial" w:hAnsi="Arial" w:cs="Arial"/>
          <w:sz w:val="20"/>
          <w:szCs w:val="20"/>
        </w:rPr>
        <w:t xml:space="preserve">x </w:t>
      </w:r>
      <w:r w:rsidR="009B5110" w:rsidRPr="008A7A35">
        <w:rPr>
          <w:rFonts w:ascii="Arial" w:hAnsi="Arial" w:cs="Arial"/>
          <w:sz w:val="20"/>
          <w:szCs w:val="20"/>
        </w:rPr>
        <w:t xml:space="preserve">Gross </w:t>
      </w:r>
      <w:r w:rsidRPr="008A7A35">
        <w:rPr>
          <w:rFonts w:ascii="Arial" w:hAnsi="Arial" w:cs="Arial"/>
          <w:sz w:val="20"/>
          <w:szCs w:val="20"/>
        </w:rPr>
        <w:t>MOIC, supported by the extension of its strategic role in Germany’s grid reserve through to 2031 and its agreement to connect Germany’s proposed hydrogen pipeline, critical to Onyx</w:t>
      </w:r>
      <w:r w:rsidR="00C57F2C">
        <w:rPr>
          <w:rFonts w:ascii="Arial" w:hAnsi="Arial" w:cs="Arial"/>
          <w:sz w:val="20"/>
          <w:szCs w:val="20"/>
        </w:rPr>
        <w:t xml:space="preserve"> Power’s </w:t>
      </w:r>
      <w:r w:rsidRPr="008A7A35">
        <w:rPr>
          <w:rFonts w:ascii="Arial" w:hAnsi="Arial" w:cs="Arial"/>
          <w:sz w:val="20"/>
          <w:szCs w:val="20"/>
        </w:rPr>
        <w:t>longer term low carbon positioning.</w:t>
      </w:r>
    </w:p>
    <w:p w14:paraId="472995C1" w14:textId="77777777" w:rsidR="00E81FA7" w:rsidRPr="008A7A35" w:rsidRDefault="00E81FA7" w:rsidP="00942C01">
      <w:pPr>
        <w:rPr>
          <w:rFonts w:ascii="Arial" w:hAnsi="Arial" w:cs="Arial"/>
          <w:b/>
          <w:bCs/>
        </w:rPr>
      </w:pPr>
    </w:p>
    <w:p w14:paraId="4BFBA395" w14:textId="0E7C489F" w:rsidR="00942C01" w:rsidRPr="008A7A35" w:rsidRDefault="00942C01" w:rsidP="00942C01">
      <w:pPr>
        <w:rPr>
          <w:rFonts w:ascii="Arial" w:hAnsi="Arial" w:cs="Arial"/>
          <w:b/>
          <w:bCs/>
          <w:sz w:val="20"/>
          <w:szCs w:val="20"/>
        </w:rPr>
      </w:pPr>
      <w:r w:rsidRPr="008A7A35">
        <w:rPr>
          <w:rFonts w:ascii="Arial" w:hAnsi="Arial" w:cs="Arial"/>
          <w:b/>
          <w:bCs/>
          <w:sz w:val="20"/>
          <w:szCs w:val="20"/>
        </w:rPr>
        <w:t>Decarbonisation Portfolio: Pressure and Select Resilience</w:t>
      </w:r>
      <w:r w:rsidR="007F3D87" w:rsidRPr="007F3D87">
        <w:rPr>
          <w:rFonts w:ascii="Arial" w:eastAsia="Calibri" w:hAnsi="Arial" w:cs="Arial"/>
          <w:sz w:val="20"/>
          <w:szCs w:val="20"/>
          <w:lang w:val="en-US"/>
        </w:rPr>
        <w:t xml:space="preserve"> </w:t>
      </w:r>
    </w:p>
    <w:p w14:paraId="0FBF74B5" w14:textId="10425A9F" w:rsidR="00942C01" w:rsidRPr="008A7A35" w:rsidRDefault="00942C01" w:rsidP="00391CE4">
      <w:pPr>
        <w:jc w:val="both"/>
        <w:rPr>
          <w:rFonts w:ascii="Arial" w:hAnsi="Arial" w:cs="Arial"/>
          <w:sz w:val="20"/>
          <w:szCs w:val="20"/>
        </w:rPr>
      </w:pPr>
      <w:r w:rsidRPr="008A7A35">
        <w:rPr>
          <w:rFonts w:ascii="Arial" w:hAnsi="Arial" w:cs="Arial"/>
          <w:sz w:val="20"/>
          <w:szCs w:val="20"/>
        </w:rPr>
        <w:t xml:space="preserve">The </w:t>
      </w:r>
      <w:r w:rsidR="00BB4918">
        <w:rPr>
          <w:rFonts w:ascii="Arial" w:hAnsi="Arial" w:cs="Arial"/>
          <w:sz w:val="20"/>
          <w:szCs w:val="20"/>
        </w:rPr>
        <w:t>U</w:t>
      </w:r>
      <w:r w:rsidR="00132AC0">
        <w:rPr>
          <w:rFonts w:ascii="Arial" w:hAnsi="Arial" w:cs="Arial"/>
          <w:sz w:val="20"/>
          <w:szCs w:val="20"/>
        </w:rPr>
        <w:t>.</w:t>
      </w:r>
      <w:r w:rsidR="00BB4918">
        <w:rPr>
          <w:rFonts w:ascii="Arial" w:hAnsi="Arial" w:cs="Arial"/>
          <w:sz w:val="20"/>
          <w:szCs w:val="20"/>
        </w:rPr>
        <w:t>S</w:t>
      </w:r>
      <w:r w:rsidR="00132AC0">
        <w:rPr>
          <w:rFonts w:ascii="Arial" w:hAnsi="Arial" w:cs="Arial"/>
          <w:sz w:val="20"/>
          <w:szCs w:val="20"/>
        </w:rPr>
        <w:t>.</w:t>
      </w:r>
      <w:r w:rsidRPr="008A7A35">
        <w:rPr>
          <w:rFonts w:ascii="Arial" w:hAnsi="Arial" w:cs="Arial"/>
          <w:sz w:val="20"/>
          <w:szCs w:val="20"/>
        </w:rPr>
        <w:t xml:space="preserve"> Administration’s stance towards decarbonisation investments has created uncertainty around the level of support and subsidies which will be provided on an ongoing basis. In addition, elevated interest rates and supply chain costs have continued to serve as headwinds to the sector. Despite this</w:t>
      </w:r>
      <w:r w:rsidR="00B001AC">
        <w:rPr>
          <w:rFonts w:ascii="Arial" w:hAnsi="Arial" w:cs="Arial"/>
          <w:sz w:val="20"/>
          <w:szCs w:val="20"/>
        </w:rPr>
        <w:t>,</w:t>
      </w:r>
      <w:r w:rsidRPr="008A7A35">
        <w:rPr>
          <w:rFonts w:ascii="Arial" w:hAnsi="Arial" w:cs="Arial"/>
          <w:sz w:val="20"/>
          <w:szCs w:val="20"/>
        </w:rPr>
        <w:t xml:space="preserve"> there have been some signs of selective investor appetite improving towards the decarbonisation investment space</w:t>
      </w:r>
      <w:r w:rsidR="00E5091F">
        <w:rPr>
          <w:rFonts w:ascii="Arial" w:hAnsi="Arial" w:cs="Arial"/>
          <w:sz w:val="20"/>
          <w:szCs w:val="20"/>
        </w:rPr>
        <w:t>, including a Columbia</w:t>
      </w:r>
      <w:r w:rsidR="00E5091F" w:rsidRPr="008A7A35">
        <w:rPr>
          <w:rFonts w:ascii="Arial" w:hAnsi="Arial" w:cs="Arial"/>
          <w:sz w:val="20"/>
          <w:szCs w:val="20"/>
        </w:rPr>
        <w:t xml:space="preserve"> </w:t>
      </w:r>
      <w:r w:rsidR="00E5091F">
        <w:rPr>
          <w:rFonts w:ascii="Arial" w:hAnsi="Arial" w:cs="Arial"/>
          <w:sz w:val="20"/>
          <w:szCs w:val="20"/>
        </w:rPr>
        <w:t xml:space="preserve">University report, which stated in Q1 2025 there was $67 billion invested in US clean energy and transportation. Of the $67 billion invested during the quarter, half of the activity is driven by retail purchases and installations of clean technology and $13 billion alone is related to the production of EV batteries. While we hope these trends create tailwinds for </w:t>
      </w:r>
      <w:r w:rsidR="008B2376">
        <w:rPr>
          <w:rFonts w:ascii="Arial" w:hAnsi="Arial" w:cs="Arial"/>
          <w:sz w:val="20"/>
          <w:szCs w:val="20"/>
        </w:rPr>
        <w:t xml:space="preserve">the </w:t>
      </w:r>
      <w:r w:rsidR="00B35C97">
        <w:rPr>
          <w:rFonts w:ascii="Arial" w:hAnsi="Arial" w:cs="Arial"/>
          <w:sz w:val="20"/>
          <w:szCs w:val="20"/>
        </w:rPr>
        <w:t>Company’s</w:t>
      </w:r>
      <w:r w:rsidR="00E5091F">
        <w:rPr>
          <w:rFonts w:ascii="Arial" w:hAnsi="Arial" w:cs="Arial"/>
          <w:sz w:val="20"/>
          <w:szCs w:val="20"/>
        </w:rPr>
        <w:t xml:space="preserve"> decarbonisation strategy going forward</w:t>
      </w:r>
      <w:r w:rsidR="00B35C97">
        <w:rPr>
          <w:rFonts w:ascii="Arial" w:hAnsi="Arial" w:cs="Arial"/>
          <w:sz w:val="20"/>
          <w:szCs w:val="20"/>
        </w:rPr>
        <w:t>,</w:t>
      </w:r>
      <w:r w:rsidRPr="008A7A35">
        <w:rPr>
          <w:rFonts w:ascii="Arial" w:hAnsi="Arial" w:cs="Arial"/>
          <w:sz w:val="20"/>
          <w:szCs w:val="20"/>
        </w:rPr>
        <w:t xml:space="preserve"> </w:t>
      </w:r>
      <w:r w:rsidR="00B35C97">
        <w:rPr>
          <w:rFonts w:ascii="Arial" w:hAnsi="Arial" w:cs="Arial"/>
          <w:sz w:val="20"/>
          <w:szCs w:val="20"/>
        </w:rPr>
        <w:t>t</w:t>
      </w:r>
      <w:r w:rsidRPr="008A7A35">
        <w:rPr>
          <w:rFonts w:ascii="Arial" w:hAnsi="Arial" w:cs="Arial"/>
          <w:sz w:val="20"/>
          <w:szCs w:val="20"/>
        </w:rPr>
        <w:t xml:space="preserve">he </w:t>
      </w:r>
      <w:r w:rsidR="00AA0D49">
        <w:rPr>
          <w:rFonts w:ascii="Arial" w:hAnsi="Arial" w:cs="Arial"/>
          <w:sz w:val="20"/>
          <w:szCs w:val="20"/>
        </w:rPr>
        <w:t xml:space="preserve">Company’s decarbonisation </w:t>
      </w:r>
      <w:r w:rsidRPr="008A7A35">
        <w:rPr>
          <w:rFonts w:ascii="Arial" w:hAnsi="Arial" w:cs="Arial"/>
          <w:sz w:val="20"/>
          <w:szCs w:val="20"/>
        </w:rPr>
        <w:t xml:space="preserve">portfolio declined by </w:t>
      </w:r>
      <w:r w:rsidR="00AA0D49">
        <w:rPr>
          <w:rFonts w:ascii="Arial" w:hAnsi="Arial" w:cs="Arial"/>
          <w:sz w:val="20"/>
          <w:szCs w:val="20"/>
        </w:rPr>
        <w:t>8</w:t>
      </w:r>
      <w:r w:rsidR="009B5110" w:rsidRPr="008A7A35">
        <w:rPr>
          <w:rFonts w:ascii="Arial" w:hAnsi="Arial" w:cs="Arial"/>
          <w:sz w:val="20"/>
          <w:szCs w:val="20"/>
        </w:rPr>
        <w:t>.</w:t>
      </w:r>
      <w:r w:rsidR="004600CB">
        <w:rPr>
          <w:rFonts w:ascii="Arial" w:hAnsi="Arial" w:cs="Arial"/>
          <w:sz w:val="20"/>
          <w:szCs w:val="20"/>
        </w:rPr>
        <w:t>5</w:t>
      </w:r>
      <w:r w:rsidR="009B5110" w:rsidRPr="008A7A35">
        <w:rPr>
          <w:rFonts w:ascii="Arial" w:hAnsi="Arial" w:cs="Arial"/>
          <w:sz w:val="20"/>
          <w:szCs w:val="20"/>
        </w:rPr>
        <w:t xml:space="preserve"> per cent.</w:t>
      </w:r>
      <w:r w:rsidRPr="008A7A35">
        <w:rPr>
          <w:rFonts w:ascii="Arial" w:hAnsi="Arial" w:cs="Arial"/>
          <w:sz w:val="20"/>
          <w:szCs w:val="20"/>
        </w:rPr>
        <w:t xml:space="preserve"> in the first half of 2025.</w:t>
      </w:r>
    </w:p>
    <w:p w14:paraId="3EECF49C" w14:textId="77777777" w:rsidR="00942C01" w:rsidRPr="008A7A35" w:rsidRDefault="00942C01" w:rsidP="00391CE4">
      <w:pPr>
        <w:jc w:val="both"/>
        <w:rPr>
          <w:rFonts w:ascii="Arial" w:hAnsi="Arial" w:cs="Arial"/>
          <w:sz w:val="20"/>
          <w:szCs w:val="20"/>
        </w:rPr>
      </w:pPr>
    </w:p>
    <w:p w14:paraId="2370C8A2" w14:textId="3F1E13A0" w:rsidR="00942C01" w:rsidRPr="008A7A35" w:rsidRDefault="00942C01" w:rsidP="0087346D">
      <w:pPr>
        <w:jc w:val="both"/>
        <w:rPr>
          <w:rFonts w:ascii="Arial" w:hAnsi="Arial" w:cs="Arial"/>
          <w:sz w:val="20"/>
          <w:szCs w:val="20"/>
        </w:rPr>
      </w:pPr>
      <w:bookmarkStart w:id="2" w:name="_Hlk205240124"/>
      <w:proofErr w:type="spellStart"/>
      <w:r w:rsidRPr="00C034EE">
        <w:rPr>
          <w:rFonts w:ascii="Arial" w:hAnsi="Arial" w:cs="Arial"/>
          <w:sz w:val="20"/>
          <w:szCs w:val="20"/>
        </w:rPr>
        <w:t>GoodLeap’s</w:t>
      </w:r>
      <w:proofErr w:type="spellEnd"/>
      <w:r w:rsidRPr="00C034EE">
        <w:rPr>
          <w:rFonts w:ascii="Arial" w:hAnsi="Arial" w:cs="Arial"/>
          <w:sz w:val="20"/>
          <w:szCs w:val="20"/>
        </w:rPr>
        <w:t xml:space="preserve"> valuation held steady at </w:t>
      </w:r>
      <w:r w:rsidR="009B5110" w:rsidRPr="00C034EE">
        <w:rPr>
          <w:rFonts w:ascii="Arial" w:hAnsi="Arial" w:cs="Arial"/>
          <w:sz w:val="20"/>
          <w:szCs w:val="20"/>
        </w:rPr>
        <w:t>1.0</w:t>
      </w:r>
      <w:r w:rsidRPr="00C034EE">
        <w:rPr>
          <w:rFonts w:ascii="Arial" w:hAnsi="Arial" w:cs="Arial"/>
          <w:sz w:val="20"/>
          <w:szCs w:val="20"/>
        </w:rPr>
        <w:t xml:space="preserve">x </w:t>
      </w:r>
      <w:r w:rsidR="009B5110" w:rsidRPr="00C034EE">
        <w:rPr>
          <w:rFonts w:ascii="Arial" w:hAnsi="Arial" w:cs="Arial"/>
          <w:sz w:val="20"/>
          <w:szCs w:val="20"/>
        </w:rPr>
        <w:t xml:space="preserve">Gross </w:t>
      </w:r>
      <w:r w:rsidRPr="00C034EE">
        <w:rPr>
          <w:rFonts w:ascii="Arial" w:hAnsi="Arial" w:cs="Arial"/>
          <w:sz w:val="20"/>
          <w:szCs w:val="20"/>
        </w:rPr>
        <w:t xml:space="preserve">MOIC in the first half of 2025, buoyed by </w:t>
      </w:r>
      <w:r w:rsidRPr="00830133">
        <w:rPr>
          <w:rFonts w:ascii="Arial" w:hAnsi="Arial" w:cs="Arial"/>
          <w:sz w:val="20"/>
          <w:szCs w:val="20"/>
        </w:rPr>
        <w:t>$7 billion in financing raised in 2024</w:t>
      </w:r>
      <w:r w:rsidRPr="00C034EE">
        <w:rPr>
          <w:rFonts w:ascii="Arial" w:hAnsi="Arial" w:cs="Arial"/>
          <w:sz w:val="20"/>
          <w:szCs w:val="20"/>
        </w:rPr>
        <w:t xml:space="preserve"> and a $386</w:t>
      </w:r>
      <w:r w:rsidR="009B5110" w:rsidRPr="00C034EE">
        <w:rPr>
          <w:rFonts w:ascii="Arial" w:hAnsi="Arial" w:cs="Arial"/>
          <w:sz w:val="20"/>
          <w:szCs w:val="20"/>
        </w:rPr>
        <w:t xml:space="preserve"> </w:t>
      </w:r>
      <w:r w:rsidRPr="00C034EE">
        <w:rPr>
          <w:rFonts w:ascii="Arial" w:hAnsi="Arial" w:cs="Arial"/>
          <w:sz w:val="20"/>
          <w:szCs w:val="20"/>
        </w:rPr>
        <w:t>m</w:t>
      </w:r>
      <w:r w:rsidR="009B5110" w:rsidRPr="00C034EE">
        <w:rPr>
          <w:rFonts w:ascii="Arial" w:hAnsi="Arial" w:cs="Arial"/>
          <w:sz w:val="20"/>
          <w:szCs w:val="20"/>
        </w:rPr>
        <w:t>illion</w:t>
      </w:r>
      <w:r w:rsidRPr="00C034EE">
        <w:rPr>
          <w:rFonts w:ascii="Arial" w:hAnsi="Arial" w:cs="Arial"/>
          <w:sz w:val="20"/>
          <w:szCs w:val="20"/>
        </w:rPr>
        <w:t xml:space="preserve"> securitisation in February 2025. The management team is continuing to monitor risks relating to</w:t>
      </w:r>
      <w:r w:rsidRPr="008A7A35">
        <w:rPr>
          <w:rFonts w:ascii="Arial" w:hAnsi="Arial" w:cs="Arial"/>
          <w:sz w:val="20"/>
          <w:szCs w:val="20"/>
        </w:rPr>
        <w:t xml:space="preserve"> the Solar Investment Tax Credit emanating from the </w:t>
      </w:r>
      <w:r w:rsidR="00CA7D13">
        <w:rPr>
          <w:rFonts w:ascii="Arial" w:hAnsi="Arial" w:cs="Arial"/>
          <w:sz w:val="20"/>
          <w:szCs w:val="20"/>
        </w:rPr>
        <w:t xml:space="preserve">U.S. </w:t>
      </w:r>
      <w:r w:rsidR="00C57F2C">
        <w:rPr>
          <w:rFonts w:ascii="Arial" w:hAnsi="Arial" w:cs="Arial"/>
          <w:sz w:val="20"/>
          <w:szCs w:val="20"/>
        </w:rPr>
        <w:t>A</w:t>
      </w:r>
      <w:r w:rsidRPr="008A7A35">
        <w:rPr>
          <w:rFonts w:ascii="Arial" w:hAnsi="Arial" w:cs="Arial"/>
          <w:sz w:val="20"/>
          <w:szCs w:val="20"/>
        </w:rPr>
        <w:t xml:space="preserve">dministration’s executive orders. So far there has been no impact and GoodLeap is transitioning towards home improvement sales which is expected to mitigate any potential impact. </w:t>
      </w:r>
    </w:p>
    <w:bookmarkEnd w:id="2"/>
    <w:p w14:paraId="218F0638" w14:textId="77777777" w:rsidR="008B1329" w:rsidRPr="008A7A35" w:rsidRDefault="008B1329" w:rsidP="00391CE4">
      <w:pPr>
        <w:jc w:val="both"/>
        <w:rPr>
          <w:rFonts w:ascii="Arial" w:hAnsi="Arial" w:cs="Arial"/>
          <w:sz w:val="20"/>
          <w:szCs w:val="20"/>
        </w:rPr>
      </w:pPr>
    </w:p>
    <w:p w14:paraId="38CDBF07" w14:textId="7FE3BFC1" w:rsidR="00942C01" w:rsidRPr="008A7A35" w:rsidRDefault="00942C01" w:rsidP="00391CE4">
      <w:pPr>
        <w:jc w:val="both"/>
        <w:rPr>
          <w:rFonts w:ascii="Arial" w:hAnsi="Arial" w:cs="Arial"/>
          <w:sz w:val="20"/>
          <w:szCs w:val="20"/>
        </w:rPr>
      </w:pPr>
      <w:r w:rsidRPr="008A7A35">
        <w:rPr>
          <w:rFonts w:ascii="Arial" w:hAnsi="Arial" w:cs="Arial"/>
          <w:sz w:val="20"/>
          <w:szCs w:val="20"/>
        </w:rPr>
        <w:t>Solid Power’s share price rose</w:t>
      </w:r>
      <w:r w:rsidR="008F052E">
        <w:rPr>
          <w:rFonts w:ascii="Arial" w:hAnsi="Arial" w:cs="Arial"/>
          <w:sz w:val="20"/>
          <w:szCs w:val="20"/>
        </w:rPr>
        <w:t xml:space="preserve"> </w:t>
      </w:r>
      <w:r w:rsidR="009B5110" w:rsidRPr="008A7A35">
        <w:rPr>
          <w:rFonts w:ascii="Arial" w:hAnsi="Arial" w:cs="Arial"/>
          <w:sz w:val="20"/>
          <w:szCs w:val="20"/>
        </w:rPr>
        <w:t>16</w:t>
      </w:r>
      <w:r w:rsidR="00F8679E">
        <w:rPr>
          <w:rFonts w:ascii="Arial" w:hAnsi="Arial" w:cs="Arial"/>
          <w:sz w:val="20"/>
          <w:szCs w:val="20"/>
        </w:rPr>
        <w:t xml:space="preserve"> per cent.</w:t>
      </w:r>
      <w:r w:rsidRPr="008A7A35">
        <w:rPr>
          <w:rFonts w:ascii="Arial" w:hAnsi="Arial" w:cs="Arial"/>
          <w:sz w:val="20"/>
          <w:szCs w:val="20"/>
        </w:rPr>
        <w:t xml:space="preserve"> in the first half of 2025 and the </w:t>
      </w:r>
      <w:r w:rsidR="009B5110" w:rsidRPr="008A7A35">
        <w:rPr>
          <w:rFonts w:ascii="Arial" w:hAnsi="Arial" w:cs="Arial"/>
          <w:sz w:val="20"/>
          <w:szCs w:val="20"/>
        </w:rPr>
        <w:t xml:space="preserve">Gross </w:t>
      </w:r>
      <w:r w:rsidRPr="008A7A35">
        <w:rPr>
          <w:rFonts w:ascii="Arial" w:hAnsi="Arial" w:cs="Arial"/>
          <w:sz w:val="20"/>
          <w:szCs w:val="20"/>
        </w:rPr>
        <w:t xml:space="preserve">MOIC rose to </w:t>
      </w:r>
      <w:r w:rsidR="009B5110" w:rsidRPr="008A7A35">
        <w:rPr>
          <w:rFonts w:ascii="Arial" w:hAnsi="Arial" w:cs="Arial"/>
          <w:sz w:val="20"/>
          <w:szCs w:val="20"/>
        </w:rPr>
        <w:t>0.</w:t>
      </w:r>
      <w:r w:rsidR="00512D58">
        <w:rPr>
          <w:rFonts w:ascii="Arial" w:hAnsi="Arial" w:cs="Arial"/>
          <w:sz w:val="20"/>
          <w:szCs w:val="20"/>
        </w:rPr>
        <w:t>33</w:t>
      </w:r>
      <w:r w:rsidRPr="008A7A35">
        <w:rPr>
          <w:rFonts w:ascii="Arial" w:hAnsi="Arial" w:cs="Arial"/>
          <w:sz w:val="20"/>
          <w:szCs w:val="20"/>
        </w:rPr>
        <w:t>x, supported by continued progress on commercialising its solid-state battery technology, combined with its solid liquidity position.</w:t>
      </w:r>
    </w:p>
    <w:p w14:paraId="482630A8" w14:textId="77777777" w:rsidR="00942C01" w:rsidRPr="008A7A35" w:rsidRDefault="00942C01" w:rsidP="00391CE4">
      <w:pPr>
        <w:jc w:val="both"/>
        <w:rPr>
          <w:rFonts w:ascii="Arial" w:hAnsi="Arial" w:cs="Arial"/>
          <w:sz w:val="20"/>
          <w:szCs w:val="20"/>
        </w:rPr>
      </w:pPr>
    </w:p>
    <w:p w14:paraId="7C2570F3" w14:textId="405FA725" w:rsidR="00942C01" w:rsidRDefault="00942C01" w:rsidP="00391CE4">
      <w:pPr>
        <w:jc w:val="both"/>
        <w:rPr>
          <w:rFonts w:ascii="Arial" w:hAnsi="Arial" w:cs="Arial"/>
          <w:sz w:val="20"/>
          <w:szCs w:val="20"/>
        </w:rPr>
      </w:pPr>
      <w:r w:rsidRPr="008A7A35">
        <w:rPr>
          <w:rFonts w:ascii="Arial" w:hAnsi="Arial" w:cs="Arial"/>
          <w:sz w:val="20"/>
          <w:szCs w:val="20"/>
        </w:rPr>
        <w:t xml:space="preserve">Infinitum’s valuation declined from 0.85x to </w:t>
      </w:r>
      <w:r w:rsidR="009B5110" w:rsidRPr="008A7A35">
        <w:rPr>
          <w:rFonts w:ascii="Arial" w:hAnsi="Arial" w:cs="Arial"/>
          <w:sz w:val="20"/>
          <w:szCs w:val="20"/>
        </w:rPr>
        <w:t>0.65</w:t>
      </w:r>
      <w:r w:rsidRPr="008A7A35">
        <w:rPr>
          <w:rFonts w:ascii="Arial" w:hAnsi="Arial" w:cs="Arial"/>
          <w:sz w:val="20"/>
          <w:szCs w:val="20"/>
        </w:rPr>
        <w:t xml:space="preserve">x </w:t>
      </w:r>
      <w:r w:rsidR="009B5110" w:rsidRPr="008A7A35">
        <w:rPr>
          <w:rFonts w:ascii="Arial" w:hAnsi="Arial" w:cs="Arial"/>
          <w:sz w:val="20"/>
          <w:szCs w:val="20"/>
        </w:rPr>
        <w:t xml:space="preserve">Gross </w:t>
      </w:r>
      <w:r w:rsidRPr="008A7A35">
        <w:rPr>
          <w:rFonts w:ascii="Arial" w:hAnsi="Arial" w:cs="Arial"/>
          <w:sz w:val="20"/>
          <w:szCs w:val="20"/>
        </w:rPr>
        <w:t xml:space="preserve">MOIC due to longer sales cycles and the potential impact of tariffs, the full extent of which is still being assessed by the management team. These </w:t>
      </w:r>
      <w:r w:rsidR="00BB4918">
        <w:rPr>
          <w:rFonts w:ascii="Arial" w:hAnsi="Arial" w:cs="Arial"/>
          <w:sz w:val="20"/>
          <w:szCs w:val="20"/>
        </w:rPr>
        <w:t>challenges</w:t>
      </w:r>
      <w:r w:rsidRPr="008A7A35">
        <w:rPr>
          <w:rFonts w:ascii="Arial" w:hAnsi="Arial" w:cs="Arial"/>
          <w:sz w:val="20"/>
          <w:szCs w:val="20"/>
        </w:rPr>
        <w:t xml:space="preserve"> have been partially offset by a $34</w:t>
      </w:r>
      <w:r w:rsidR="009B5110" w:rsidRPr="008A7A35">
        <w:rPr>
          <w:rFonts w:ascii="Arial" w:hAnsi="Arial" w:cs="Arial"/>
          <w:sz w:val="20"/>
          <w:szCs w:val="20"/>
        </w:rPr>
        <w:t xml:space="preserve"> </w:t>
      </w:r>
      <w:r w:rsidRPr="008A7A35">
        <w:rPr>
          <w:rFonts w:ascii="Arial" w:hAnsi="Arial" w:cs="Arial"/>
          <w:sz w:val="20"/>
          <w:szCs w:val="20"/>
        </w:rPr>
        <w:t>m</w:t>
      </w:r>
      <w:r w:rsidR="009B5110" w:rsidRPr="008A7A35">
        <w:rPr>
          <w:rFonts w:ascii="Arial" w:hAnsi="Arial" w:cs="Arial"/>
          <w:sz w:val="20"/>
          <w:szCs w:val="20"/>
        </w:rPr>
        <w:t>illion</w:t>
      </w:r>
      <w:r w:rsidRPr="008A7A35">
        <w:rPr>
          <w:rFonts w:ascii="Arial" w:hAnsi="Arial" w:cs="Arial"/>
          <w:sz w:val="20"/>
          <w:szCs w:val="20"/>
        </w:rPr>
        <w:t xml:space="preserve"> contract with the U.S. Department of Energy and a $19 million tax credit to support </w:t>
      </w:r>
      <w:r w:rsidR="005F7C7A">
        <w:rPr>
          <w:rFonts w:ascii="Arial" w:hAnsi="Arial" w:cs="Arial"/>
          <w:sz w:val="20"/>
          <w:szCs w:val="20"/>
        </w:rPr>
        <w:t xml:space="preserve">the </w:t>
      </w:r>
      <w:r w:rsidRPr="008A7A35">
        <w:rPr>
          <w:rFonts w:ascii="Arial" w:hAnsi="Arial" w:cs="Arial"/>
          <w:sz w:val="20"/>
          <w:szCs w:val="20"/>
        </w:rPr>
        <w:t>high-powered printed circuit board stators facility in Rockdale, Texas.</w:t>
      </w:r>
    </w:p>
    <w:p w14:paraId="6C5C6F19" w14:textId="77777777" w:rsidR="00AA0D49" w:rsidRDefault="00AA0D49" w:rsidP="00391CE4">
      <w:pPr>
        <w:jc w:val="both"/>
        <w:rPr>
          <w:rFonts w:ascii="Arial" w:hAnsi="Arial" w:cs="Arial"/>
          <w:sz w:val="20"/>
          <w:szCs w:val="20"/>
        </w:rPr>
      </w:pPr>
    </w:p>
    <w:p w14:paraId="77B6CF02" w14:textId="045862AF" w:rsidR="00AA0D49" w:rsidRPr="008A7A35" w:rsidRDefault="00AA0D49" w:rsidP="00391CE4">
      <w:pPr>
        <w:jc w:val="both"/>
        <w:rPr>
          <w:rFonts w:ascii="Arial" w:hAnsi="Arial" w:cs="Arial"/>
          <w:sz w:val="20"/>
          <w:szCs w:val="20"/>
        </w:rPr>
      </w:pPr>
      <w:r w:rsidRPr="00AA0D49">
        <w:rPr>
          <w:rFonts w:ascii="Arial" w:hAnsi="Arial" w:cs="Arial"/>
          <w:sz w:val="20"/>
          <w:szCs w:val="20"/>
        </w:rPr>
        <w:t xml:space="preserve">The valuation multiple for Group14 was lowered from 0.75x to 0.25x Gross MOIC </w:t>
      </w:r>
      <w:r>
        <w:rPr>
          <w:rFonts w:ascii="Arial" w:hAnsi="Arial" w:cs="Arial"/>
          <w:sz w:val="20"/>
          <w:szCs w:val="20"/>
        </w:rPr>
        <w:t>during</w:t>
      </w:r>
      <w:r w:rsidRPr="00AA0D49">
        <w:rPr>
          <w:rFonts w:ascii="Arial" w:hAnsi="Arial" w:cs="Arial"/>
          <w:sz w:val="20"/>
          <w:szCs w:val="20"/>
        </w:rPr>
        <w:t xml:space="preserve"> the second quarter of 2025.</w:t>
      </w:r>
      <w:r>
        <w:rPr>
          <w:rFonts w:ascii="Arial" w:hAnsi="Arial" w:cs="Arial"/>
          <w:sz w:val="20"/>
          <w:szCs w:val="20"/>
        </w:rPr>
        <w:t xml:space="preserve"> </w:t>
      </w:r>
      <w:r w:rsidRPr="00AA0D49">
        <w:rPr>
          <w:rFonts w:ascii="Arial" w:hAnsi="Arial" w:cs="Arial"/>
          <w:sz w:val="20"/>
          <w:szCs w:val="20"/>
        </w:rPr>
        <w:t>The mark-down is primarily driven by new delays in production of the BAM-2 facility from 2025 to 2026, thereby</w:t>
      </w:r>
      <w:r>
        <w:rPr>
          <w:rFonts w:ascii="Arial" w:hAnsi="Arial" w:cs="Arial"/>
          <w:sz w:val="20"/>
          <w:szCs w:val="20"/>
        </w:rPr>
        <w:t xml:space="preserve"> </w:t>
      </w:r>
      <w:r w:rsidRPr="00AA0D49">
        <w:rPr>
          <w:rFonts w:ascii="Arial" w:hAnsi="Arial" w:cs="Arial"/>
          <w:sz w:val="20"/>
          <w:szCs w:val="20"/>
        </w:rPr>
        <w:t>pushing back the ramp up in revenue.</w:t>
      </w:r>
    </w:p>
    <w:p w14:paraId="436B04E7" w14:textId="77777777" w:rsidR="00942C01" w:rsidRPr="008A7A35" w:rsidRDefault="00942C01" w:rsidP="00391CE4">
      <w:pPr>
        <w:jc w:val="both"/>
        <w:rPr>
          <w:rFonts w:ascii="Arial" w:hAnsi="Arial" w:cs="Arial"/>
          <w:sz w:val="20"/>
          <w:szCs w:val="20"/>
        </w:rPr>
      </w:pPr>
    </w:p>
    <w:p w14:paraId="7BA7D7AC" w14:textId="0DD61640" w:rsidR="00942C01" w:rsidRPr="008A7A35" w:rsidRDefault="00942C01" w:rsidP="00391CE4">
      <w:pPr>
        <w:jc w:val="both"/>
        <w:rPr>
          <w:rFonts w:ascii="Arial" w:hAnsi="Arial" w:cs="Arial"/>
          <w:sz w:val="20"/>
          <w:szCs w:val="20"/>
        </w:rPr>
      </w:pPr>
      <w:r w:rsidRPr="008A7A35">
        <w:rPr>
          <w:rFonts w:ascii="Arial" w:hAnsi="Arial" w:cs="Arial"/>
          <w:sz w:val="20"/>
          <w:szCs w:val="20"/>
        </w:rPr>
        <w:t xml:space="preserve">Hyzon Motors was written down fully to 0.00x </w:t>
      </w:r>
      <w:r w:rsidR="009B5110" w:rsidRPr="008A7A35">
        <w:rPr>
          <w:rFonts w:ascii="Arial" w:hAnsi="Arial" w:cs="Arial"/>
          <w:sz w:val="20"/>
          <w:szCs w:val="20"/>
        </w:rPr>
        <w:t xml:space="preserve">Gross </w:t>
      </w:r>
      <w:r w:rsidRPr="008A7A35">
        <w:rPr>
          <w:rFonts w:ascii="Arial" w:hAnsi="Arial" w:cs="Arial"/>
          <w:sz w:val="20"/>
          <w:szCs w:val="20"/>
        </w:rPr>
        <w:t>MOIC in Q1 2025 and has been written off.</w:t>
      </w:r>
    </w:p>
    <w:p w14:paraId="7109E5CE" w14:textId="77777777" w:rsidR="00942C01" w:rsidRPr="008A7A35" w:rsidRDefault="00942C01" w:rsidP="00942C01">
      <w:pPr>
        <w:rPr>
          <w:rFonts w:ascii="Arial" w:hAnsi="Arial" w:cs="Arial"/>
          <w:b/>
          <w:bCs/>
        </w:rPr>
      </w:pPr>
    </w:p>
    <w:p w14:paraId="23C207A6" w14:textId="5C58CDE9" w:rsidR="00942C01" w:rsidRPr="008A7A35" w:rsidRDefault="005F7C7A" w:rsidP="00942C01">
      <w:pPr>
        <w:rPr>
          <w:rFonts w:ascii="Arial" w:hAnsi="Arial" w:cs="Arial"/>
          <w:b/>
          <w:bCs/>
          <w:sz w:val="20"/>
          <w:szCs w:val="20"/>
        </w:rPr>
      </w:pPr>
      <w:bookmarkStart w:id="3" w:name="_Hlk206662719"/>
      <w:r>
        <w:rPr>
          <w:rFonts w:ascii="Arial" w:hAnsi="Arial" w:cs="Arial"/>
          <w:b/>
          <w:bCs/>
          <w:sz w:val="20"/>
          <w:szCs w:val="20"/>
        </w:rPr>
        <w:lastRenderedPageBreak/>
        <w:t xml:space="preserve">Orderly Realisation and Managed </w:t>
      </w:r>
      <w:r w:rsidR="00942C01" w:rsidRPr="008A7A35">
        <w:rPr>
          <w:rFonts w:ascii="Arial" w:hAnsi="Arial" w:cs="Arial"/>
          <w:b/>
          <w:bCs/>
          <w:sz w:val="20"/>
          <w:szCs w:val="20"/>
        </w:rPr>
        <w:t>Wind-Down</w:t>
      </w:r>
    </w:p>
    <w:p w14:paraId="3EB26589" w14:textId="60388138" w:rsidR="00371A3B" w:rsidRDefault="00942C01" w:rsidP="00391CE4">
      <w:pPr>
        <w:jc w:val="both"/>
        <w:rPr>
          <w:rFonts w:ascii="Arial" w:hAnsi="Arial" w:cs="Arial"/>
          <w:sz w:val="20"/>
          <w:szCs w:val="20"/>
        </w:rPr>
      </w:pPr>
      <w:r w:rsidRPr="008A7A35">
        <w:rPr>
          <w:rFonts w:ascii="Arial" w:hAnsi="Arial" w:cs="Arial"/>
          <w:sz w:val="20"/>
          <w:szCs w:val="20"/>
        </w:rPr>
        <w:t xml:space="preserve">In May 2025, </w:t>
      </w:r>
      <w:r w:rsidR="005F7C7A">
        <w:rPr>
          <w:rFonts w:ascii="Arial" w:hAnsi="Arial" w:cs="Arial"/>
          <w:sz w:val="20"/>
          <w:szCs w:val="20"/>
        </w:rPr>
        <w:t xml:space="preserve">the Company’s </w:t>
      </w:r>
      <w:r w:rsidRPr="008A7A35">
        <w:rPr>
          <w:rFonts w:ascii="Arial" w:hAnsi="Arial" w:cs="Arial"/>
          <w:sz w:val="20"/>
          <w:szCs w:val="20"/>
        </w:rPr>
        <w:t xml:space="preserve">Board </w:t>
      </w:r>
      <w:r w:rsidR="00371A3B" w:rsidRPr="00BB40B3">
        <w:rPr>
          <w:rFonts w:ascii="Arial" w:hAnsi="Arial" w:cs="Arial"/>
          <w:sz w:val="20"/>
          <w:szCs w:val="20"/>
        </w:rPr>
        <w:t xml:space="preserve">announced that it had agreed the key principles for </w:t>
      </w:r>
      <w:r w:rsidRPr="008A7A35">
        <w:rPr>
          <w:rFonts w:ascii="Arial" w:hAnsi="Arial" w:cs="Arial"/>
          <w:sz w:val="20"/>
          <w:szCs w:val="20"/>
        </w:rPr>
        <w:t xml:space="preserve">a formal </w:t>
      </w:r>
      <w:r w:rsidR="002C2A43" w:rsidRPr="008A7A35">
        <w:rPr>
          <w:rFonts w:ascii="Arial" w:hAnsi="Arial" w:cs="Arial"/>
          <w:sz w:val="20"/>
          <w:szCs w:val="20"/>
        </w:rPr>
        <w:t>M</w:t>
      </w:r>
      <w:r w:rsidRPr="008A7A35">
        <w:rPr>
          <w:rFonts w:ascii="Arial" w:hAnsi="Arial" w:cs="Arial"/>
          <w:sz w:val="20"/>
          <w:szCs w:val="20"/>
        </w:rPr>
        <w:t xml:space="preserve">anaged </w:t>
      </w:r>
      <w:r w:rsidR="002C2A43" w:rsidRPr="008A7A35">
        <w:rPr>
          <w:rFonts w:ascii="Arial" w:hAnsi="Arial" w:cs="Arial"/>
          <w:sz w:val="20"/>
          <w:szCs w:val="20"/>
        </w:rPr>
        <w:t>W</w:t>
      </w:r>
      <w:r w:rsidRPr="008A7A35">
        <w:rPr>
          <w:rFonts w:ascii="Arial" w:hAnsi="Arial" w:cs="Arial"/>
          <w:sz w:val="20"/>
          <w:szCs w:val="20"/>
        </w:rPr>
        <w:t>ind-</w:t>
      </w:r>
      <w:r w:rsidR="002C2A43" w:rsidRPr="008A7A35">
        <w:rPr>
          <w:rFonts w:ascii="Arial" w:hAnsi="Arial" w:cs="Arial"/>
          <w:sz w:val="20"/>
          <w:szCs w:val="20"/>
        </w:rPr>
        <w:t>D</w:t>
      </w:r>
      <w:r w:rsidRPr="008A7A35">
        <w:rPr>
          <w:rFonts w:ascii="Arial" w:hAnsi="Arial" w:cs="Arial"/>
          <w:sz w:val="20"/>
          <w:szCs w:val="20"/>
        </w:rPr>
        <w:t xml:space="preserve">own of the Company, </w:t>
      </w:r>
      <w:r w:rsidR="002C2A43" w:rsidRPr="008A7A35">
        <w:rPr>
          <w:rFonts w:ascii="Arial" w:hAnsi="Arial" w:cs="Arial"/>
          <w:sz w:val="20"/>
          <w:szCs w:val="20"/>
        </w:rPr>
        <w:t>which was entered into following</w:t>
      </w:r>
      <w:r w:rsidRPr="008A7A35">
        <w:rPr>
          <w:rFonts w:ascii="Arial" w:hAnsi="Arial" w:cs="Arial"/>
          <w:sz w:val="20"/>
          <w:szCs w:val="20"/>
        </w:rPr>
        <w:t xml:space="preserve"> </w:t>
      </w:r>
      <w:r w:rsidR="00BC6676">
        <w:rPr>
          <w:rFonts w:ascii="Arial" w:hAnsi="Arial" w:cs="Arial"/>
          <w:sz w:val="20"/>
          <w:szCs w:val="20"/>
        </w:rPr>
        <w:t>S</w:t>
      </w:r>
      <w:r w:rsidRPr="008A7A35">
        <w:rPr>
          <w:rFonts w:ascii="Arial" w:hAnsi="Arial" w:cs="Arial"/>
          <w:sz w:val="20"/>
          <w:szCs w:val="20"/>
        </w:rPr>
        <w:t>hareholder approval</w:t>
      </w:r>
      <w:r w:rsidR="002C2A43" w:rsidRPr="008A7A35">
        <w:rPr>
          <w:rFonts w:ascii="Arial" w:hAnsi="Arial" w:cs="Arial"/>
          <w:sz w:val="20"/>
          <w:szCs w:val="20"/>
        </w:rPr>
        <w:t xml:space="preserve"> at an EGM on 22 August 2025</w:t>
      </w:r>
      <w:r w:rsidRPr="008A7A35">
        <w:rPr>
          <w:rFonts w:ascii="Arial" w:hAnsi="Arial" w:cs="Arial"/>
          <w:sz w:val="20"/>
          <w:szCs w:val="20"/>
        </w:rPr>
        <w:t>. Under th</w:t>
      </w:r>
      <w:r w:rsidR="002C2A43" w:rsidRPr="008A7A35">
        <w:rPr>
          <w:rFonts w:ascii="Arial" w:hAnsi="Arial" w:cs="Arial"/>
          <w:sz w:val="20"/>
          <w:szCs w:val="20"/>
        </w:rPr>
        <w:t>e new investment objective and policy</w:t>
      </w:r>
      <w:r w:rsidRPr="008A7A35">
        <w:rPr>
          <w:rFonts w:ascii="Arial" w:hAnsi="Arial" w:cs="Arial"/>
          <w:sz w:val="20"/>
          <w:szCs w:val="20"/>
        </w:rPr>
        <w:t xml:space="preserve">, </w:t>
      </w:r>
      <w:r w:rsidR="005F7C7A">
        <w:rPr>
          <w:rFonts w:ascii="Arial" w:hAnsi="Arial" w:cs="Arial"/>
          <w:sz w:val="20"/>
          <w:szCs w:val="20"/>
        </w:rPr>
        <w:t xml:space="preserve">the Company </w:t>
      </w:r>
      <w:r w:rsidRPr="008A7A35">
        <w:rPr>
          <w:rFonts w:ascii="Arial" w:hAnsi="Arial" w:cs="Arial"/>
          <w:sz w:val="20"/>
          <w:szCs w:val="20"/>
        </w:rPr>
        <w:t>cease</w:t>
      </w:r>
      <w:r w:rsidR="005F7C7A">
        <w:rPr>
          <w:rFonts w:ascii="Arial" w:hAnsi="Arial" w:cs="Arial"/>
          <w:sz w:val="20"/>
          <w:szCs w:val="20"/>
        </w:rPr>
        <w:t xml:space="preserve">s to make </w:t>
      </w:r>
      <w:r w:rsidRPr="008A7A35">
        <w:rPr>
          <w:rFonts w:ascii="Arial" w:hAnsi="Arial" w:cs="Arial"/>
          <w:sz w:val="20"/>
          <w:szCs w:val="20"/>
        </w:rPr>
        <w:t xml:space="preserve">new investments and will instead focus on the orderly realisation of </w:t>
      </w:r>
      <w:r w:rsidR="005F7C7A">
        <w:rPr>
          <w:rFonts w:ascii="Arial" w:hAnsi="Arial" w:cs="Arial"/>
          <w:sz w:val="20"/>
          <w:szCs w:val="20"/>
        </w:rPr>
        <w:t xml:space="preserve">the </w:t>
      </w:r>
      <w:r w:rsidRPr="008A7A35">
        <w:rPr>
          <w:rFonts w:ascii="Arial" w:hAnsi="Arial" w:cs="Arial"/>
          <w:sz w:val="20"/>
          <w:szCs w:val="20"/>
        </w:rPr>
        <w:t xml:space="preserve">existing </w:t>
      </w:r>
      <w:r w:rsidR="005F7C7A">
        <w:rPr>
          <w:rFonts w:ascii="Arial" w:hAnsi="Arial" w:cs="Arial"/>
          <w:sz w:val="20"/>
          <w:szCs w:val="20"/>
        </w:rPr>
        <w:t xml:space="preserve">investment portfolio </w:t>
      </w:r>
      <w:r w:rsidRPr="008A7A35">
        <w:rPr>
          <w:rFonts w:ascii="Arial" w:hAnsi="Arial" w:cs="Arial"/>
          <w:sz w:val="20"/>
          <w:szCs w:val="20"/>
        </w:rPr>
        <w:t xml:space="preserve">and the progressive return of capital to </w:t>
      </w:r>
      <w:r w:rsidR="00BC6676">
        <w:rPr>
          <w:rFonts w:ascii="Arial" w:hAnsi="Arial" w:cs="Arial"/>
          <w:sz w:val="20"/>
          <w:szCs w:val="20"/>
        </w:rPr>
        <w:t>S</w:t>
      </w:r>
      <w:r w:rsidRPr="008A7A35">
        <w:rPr>
          <w:rFonts w:ascii="Arial" w:hAnsi="Arial" w:cs="Arial"/>
          <w:sz w:val="20"/>
          <w:szCs w:val="20"/>
        </w:rPr>
        <w:t xml:space="preserve">hareholders via compulsory redemptions. The Investment Manager’s fee structure </w:t>
      </w:r>
      <w:r w:rsidR="005F7C7A">
        <w:rPr>
          <w:rFonts w:ascii="Arial" w:hAnsi="Arial" w:cs="Arial"/>
          <w:sz w:val="20"/>
          <w:szCs w:val="20"/>
        </w:rPr>
        <w:t xml:space="preserve">has been </w:t>
      </w:r>
      <w:r w:rsidRPr="008A7A35">
        <w:rPr>
          <w:rFonts w:ascii="Arial" w:hAnsi="Arial" w:cs="Arial"/>
          <w:sz w:val="20"/>
          <w:szCs w:val="20"/>
        </w:rPr>
        <w:t xml:space="preserve">adjusted, reduced from 1.5 per cent. </w:t>
      </w:r>
      <w:r w:rsidR="00371A3B">
        <w:rPr>
          <w:rFonts w:ascii="Arial" w:hAnsi="Arial" w:cs="Arial"/>
          <w:sz w:val="20"/>
          <w:szCs w:val="20"/>
        </w:rPr>
        <w:t xml:space="preserve">per annum (including cash) </w:t>
      </w:r>
      <w:r w:rsidRPr="008A7A35">
        <w:rPr>
          <w:rFonts w:ascii="Arial" w:hAnsi="Arial" w:cs="Arial"/>
          <w:sz w:val="20"/>
          <w:szCs w:val="20"/>
        </w:rPr>
        <w:t>to 1 per cent. per annum (excluding cash), with a $500,000 annual minimum</w:t>
      </w:r>
      <w:r w:rsidR="005F7C7A">
        <w:rPr>
          <w:rFonts w:ascii="Arial" w:hAnsi="Arial" w:cs="Arial"/>
          <w:sz w:val="20"/>
          <w:szCs w:val="20"/>
        </w:rPr>
        <w:t xml:space="preserve"> and </w:t>
      </w:r>
      <w:r w:rsidRPr="008A7A35">
        <w:rPr>
          <w:rFonts w:ascii="Arial" w:hAnsi="Arial" w:cs="Arial"/>
          <w:sz w:val="20"/>
          <w:szCs w:val="20"/>
        </w:rPr>
        <w:t xml:space="preserve">the performance allocation </w:t>
      </w:r>
      <w:r w:rsidR="005F7C7A">
        <w:rPr>
          <w:rFonts w:ascii="Arial" w:hAnsi="Arial" w:cs="Arial"/>
          <w:sz w:val="20"/>
          <w:szCs w:val="20"/>
        </w:rPr>
        <w:t xml:space="preserve">structure has been </w:t>
      </w:r>
      <w:r w:rsidRPr="008A7A35">
        <w:rPr>
          <w:rFonts w:ascii="Arial" w:hAnsi="Arial" w:cs="Arial"/>
          <w:sz w:val="20"/>
          <w:szCs w:val="20"/>
        </w:rPr>
        <w:t>discontinued</w:t>
      </w:r>
      <w:r w:rsidR="005F7C7A">
        <w:rPr>
          <w:rFonts w:ascii="Arial" w:hAnsi="Arial" w:cs="Arial"/>
          <w:sz w:val="20"/>
          <w:szCs w:val="20"/>
        </w:rPr>
        <w:t xml:space="preserve"> with no payments arising to the Investment Manager</w:t>
      </w:r>
      <w:r w:rsidRPr="008A7A35">
        <w:rPr>
          <w:rFonts w:ascii="Arial" w:hAnsi="Arial" w:cs="Arial"/>
          <w:sz w:val="20"/>
          <w:szCs w:val="20"/>
        </w:rPr>
        <w:t>.</w:t>
      </w:r>
      <w:r w:rsidR="005F7C7A">
        <w:rPr>
          <w:rFonts w:ascii="Arial" w:hAnsi="Arial" w:cs="Arial"/>
          <w:sz w:val="20"/>
          <w:szCs w:val="20"/>
        </w:rPr>
        <w:t xml:space="preserve"> </w:t>
      </w:r>
    </w:p>
    <w:p w14:paraId="2E26D41C" w14:textId="77777777" w:rsidR="00371A3B" w:rsidRDefault="00371A3B" w:rsidP="00391CE4">
      <w:pPr>
        <w:jc w:val="both"/>
        <w:rPr>
          <w:rFonts w:ascii="Arial" w:hAnsi="Arial" w:cs="Arial"/>
          <w:sz w:val="20"/>
          <w:szCs w:val="20"/>
        </w:rPr>
      </w:pPr>
    </w:p>
    <w:p w14:paraId="65AC2FDD" w14:textId="2CB9DCFC" w:rsidR="00942C01" w:rsidRPr="008A7A35" w:rsidRDefault="005F7C7A" w:rsidP="00391CE4">
      <w:pPr>
        <w:jc w:val="both"/>
        <w:rPr>
          <w:rFonts w:ascii="Arial" w:hAnsi="Arial" w:cs="Arial"/>
          <w:sz w:val="20"/>
          <w:szCs w:val="20"/>
        </w:rPr>
      </w:pPr>
      <w:r>
        <w:rPr>
          <w:rFonts w:ascii="Arial" w:hAnsi="Arial" w:cs="Arial"/>
          <w:sz w:val="20"/>
          <w:szCs w:val="20"/>
        </w:rPr>
        <w:t>The Company and the Investment Manager have agreed to a new Adjustment Payments mechanism throughout the expected Managed Wind-Down period to compensate for the removal of the termination payment provisions which previously existed</w:t>
      </w:r>
      <w:r w:rsidR="00BB40B3" w:rsidRPr="00BB40B3">
        <w:rPr>
          <w:rFonts w:ascii="Arial" w:hAnsi="Arial" w:cs="Arial"/>
          <w:sz w:val="20"/>
          <w:szCs w:val="20"/>
        </w:rPr>
        <w:t xml:space="preserve"> and to appropriately incentivise the Investment Manager as it oversees the realisation of the Company’s investment portfolio during the Managed Wind-Down period.</w:t>
      </w:r>
    </w:p>
    <w:p w14:paraId="19B512D8" w14:textId="77777777" w:rsidR="00942C01" w:rsidRPr="008A7A35" w:rsidRDefault="00942C01" w:rsidP="00391CE4">
      <w:pPr>
        <w:jc w:val="both"/>
        <w:rPr>
          <w:rFonts w:ascii="Arial" w:hAnsi="Arial" w:cs="Arial"/>
          <w:sz w:val="20"/>
          <w:szCs w:val="20"/>
        </w:rPr>
      </w:pPr>
    </w:p>
    <w:p w14:paraId="52A0AEFA" w14:textId="1FD27B1F" w:rsidR="00942C01" w:rsidRPr="008A7A35" w:rsidRDefault="002C2A43" w:rsidP="00391CE4">
      <w:pPr>
        <w:jc w:val="both"/>
        <w:rPr>
          <w:rFonts w:ascii="Arial" w:hAnsi="Arial" w:cs="Arial"/>
          <w:sz w:val="20"/>
          <w:szCs w:val="20"/>
        </w:rPr>
      </w:pPr>
      <w:r w:rsidRPr="008A7A35">
        <w:rPr>
          <w:rFonts w:ascii="Arial" w:hAnsi="Arial" w:cs="Arial"/>
          <w:sz w:val="20"/>
          <w:szCs w:val="20"/>
        </w:rPr>
        <w:t xml:space="preserve">Following </w:t>
      </w:r>
      <w:r w:rsidR="00BC6676">
        <w:rPr>
          <w:rFonts w:ascii="Arial" w:hAnsi="Arial" w:cs="Arial"/>
          <w:sz w:val="20"/>
          <w:szCs w:val="20"/>
        </w:rPr>
        <w:t>S</w:t>
      </w:r>
      <w:r w:rsidRPr="008A7A35">
        <w:rPr>
          <w:rFonts w:ascii="Arial" w:hAnsi="Arial" w:cs="Arial"/>
          <w:sz w:val="20"/>
          <w:szCs w:val="20"/>
        </w:rPr>
        <w:t>hareholder approval on 22 August</w:t>
      </w:r>
      <w:r w:rsidR="005F7C7A">
        <w:rPr>
          <w:rFonts w:ascii="Arial" w:hAnsi="Arial" w:cs="Arial"/>
          <w:sz w:val="20"/>
          <w:szCs w:val="20"/>
        </w:rPr>
        <w:t xml:space="preserve"> 2025</w:t>
      </w:r>
      <w:r w:rsidRPr="008A7A35">
        <w:rPr>
          <w:rFonts w:ascii="Arial" w:hAnsi="Arial" w:cs="Arial"/>
          <w:sz w:val="20"/>
          <w:szCs w:val="20"/>
        </w:rPr>
        <w:t>,</w:t>
      </w:r>
      <w:r w:rsidR="00942C01" w:rsidRPr="008A7A35">
        <w:rPr>
          <w:rFonts w:ascii="Arial" w:hAnsi="Arial" w:cs="Arial"/>
          <w:sz w:val="20"/>
          <w:szCs w:val="20"/>
        </w:rPr>
        <w:t xml:space="preserve"> th</w:t>
      </w:r>
      <w:r w:rsidR="005F7C7A">
        <w:rPr>
          <w:rFonts w:ascii="Arial" w:hAnsi="Arial" w:cs="Arial"/>
          <w:sz w:val="20"/>
          <w:szCs w:val="20"/>
        </w:rPr>
        <w:t xml:space="preserve">e Managed Wind-Down </w:t>
      </w:r>
      <w:r w:rsidR="00942C01" w:rsidRPr="008A7A35">
        <w:rPr>
          <w:rFonts w:ascii="Arial" w:hAnsi="Arial" w:cs="Arial"/>
          <w:sz w:val="20"/>
          <w:szCs w:val="20"/>
        </w:rPr>
        <w:t xml:space="preserve">process </w:t>
      </w:r>
      <w:r w:rsidR="005F7C7A">
        <w:rPr>
          <w:rFonts w:ascii="Arial" w:hAnsi="Arial" w:cs="Arial"/>
          <w:sz w:val="20"/>
          <w:szCs w:val="20"/>
        </w:rPr>
        <w:t xml:space="preserve">is now </w:t>
      </w:r>
      <w:r w:rsidR="00942C01" w:rsidRPr="008A7A35">
        <w:rPr>
          <w:rFonts w:ascii="Arial" w:hAnsi="Arial" w:cs="Arial"/>
          <w:sz w:val="20"/>
          <w:szCs w:val="20"/>
        </w:rPr>
        <w:t>underway</w:t>
      </w:r>
      <w:r w:rsidR="005F7C7A">
        <w:rPr>
          <w:rFonts w:ascii="Arial" w:hAnsi="Arial" w:cs="Arial"/>
          <w:sz w:val="20"/>
          <w:szCs w:val="20"/>
        </w:rPr>
        <w:t xml:space="preserve"> </w:t>
      </w:r>
      <w:r w:rsidR="00942C01" w:rsidRPr="008A7A35">
        <w:rPr>
          <w:rFonts w:ascii="Arial" w:hAnsi="Arial" w:cs="Arial"/>
          <w:sz w:val="20"/>
          <w:szCs w:val="20"/>
        </w:rPr>
        <w:t xml:space="preserve">with the </w:t>
      </w:r>
      <w:r w:rsidR="00BB40B3">
        <w:rPr>
          <w:rFonts w:ascii="Arial" w:hAnsi="Arial" w:cs="Arial"/>
          <w:sz w:val="20"/>
          <w:szCs w:val="20"/>
        </w:rPr>
        <w:t>aim</w:t>
      </w:r>
      <w:r w:rsidR="00BB40B3" w:rsidRPr="008A7A35">
        <w:rPr>
          <w:rFonts w:ascii="Arial" w:hAnsi="Arial" w:cs="Arial"/>
          <w:sz w:val="20"/>
          <w:szCs w:val="20"/>
        </w:rPr>
        <w:t xml:space="preserve"> </w:t>
      </w:r>
      <w:r w:rsidR="005F7C7A">
        <w:rPr>
          <w:rFonts w:ascii="Arial" w:hAnsi="Arial" w:cs="Arial"/>
          <w:sz w:val="20"/>
          <w:szCs w:val="20"/>
        </w:rPr>
        <w:t xml:space="preserve">that </w:t>
      </w:r>
      <w:r w:rsidR="00942C01" w:rsidRPr="008A7A35">
        <w:rPr>
          <w:rFonts w:ascii="Arial" w:hAnsi="Arial" w:cs="Arial"/>
          <w:sz w:val="20"/>
          <w:szCs w:val="20"/>
        </w:rPr>
        <w:t>it should be completed by 2027 should market conditions allow.</w:t>
      </w:r>
    </w:p>
    <w:bookmarkEnd w:id="3"/>
    <w:p w14:paraId="573A2878" w14:textId="77777777" w:rsidR="00BB40B3" w:rsidRPr="008A7A35" w:rsidRDefault="00BB40B3" w:rsidP="00942C01">
      <w:pPr>
        <w:rPr>
          <w:rFonts w:ascii="Arial" w:hAnsi="Arial" w:cs="Arial"/>
          <w:b/>
          <w:bCs/>
        </w:rPr>
      </w:pPr>
    </w:p>
    <w:p w14:paraId="467BB81C" w14:textId="77777777" w:rsidR="00942C01" w:rsidRPr="008A7A35" w:rsidRDefault="00942C01" w:rsidP="00942C01">
      <w:pPr>
        <w:rPr>
          <w:rFonts w:ascii="Arial" w:hAnsi="Arial" w:cs="Arial"/>
          <w:b/>
          <w:bCs/>
          <w:sz w:val="20"/>
          <w:szCs w:val="20"/>
        </w:rPr>
      </w:pPr>
      <w:r w:rsidRPr="008A7A35">
        <w:rPr>
          <w:rFonts w:ascii="Arial" w:hAnsi="Arial" w:cs="Arial"/>
          <w:b/>
          <w:bCs/>
          <w:sz w:val="20"/>
          <w:szCs w:val="20"/>
        </w:rPr>
        <w:t>Capital Returns and Shareholder Value</w:t>
      </w:r>
    </w:p>
    <w:p w14:paraId="1352EAE8" w14:textId="68CA1ED0" w:rsidR="00942C01" w:rsidRPr="008A7A35" w:rsidRDefault="00535AD1" w:rsidP="00391CE4">
      <w:pPr>
        <w:jc w:val="both"/>
        <w:rPr>
          <w:rFonts w:ascii="Arial" w:hAnsi="Arial" w:cs="Arial"/>
          <w:sz w:val="20"/>
          <w:szCs w:val="20"/>
        </w:rPr>
      </w:pPr>
      <w:r>
        <w:rPr>
          <w:rFonts w:ascii="Arial" w:hAnsi="Arial" w:cs="Arial"/>
          <w:sz w:val="20"/>
          <w:szCs w:val="20"/>
        </w:rPr>
        <w:t xml:space="preserve">The Company </w:t>
      </w:r>
      <w:r w:rsidR="00942C01" w:rsidRPr="008A7A35">
        <w:rPr>
          <w:rFonts w:ascii="Arial" w:hAnsi="Arial" w:cs="Arial"/>
          <w:sz w:val="20"/>
          <w:szCs w:val="20"/>
        </w:rPr>
        <w:t>continued its disciplined share buyback programme</w:t>
      </w:r>
      <w:r>
        <w:rPr>
          <w:rFonts w:ascii="Arial" w:hAnsi="Arial" w:cs="Arial"/>
          <w:sz w:val="20"/>
          <w:szCs w:val="20"/>
        </w:rPr>
        <w:t xml:space="preserve"> which over time has accounted for the </w:t>
      </w:r>
      <w:r w:rsidR="00942C01" w:rsidRPr="008A7A35">
        <w:rPr>
          <w:rFonts w:ascii="Arial" w:hAnsi="Arial" w:cs="Arial"/>
          <w:sz w:val="20"/>
          <w:szCs w:val="20"/>
        </w:rPr>
        <w:t xml:space="preserve">repurchasing </w:t>
      </w:r>
      <w:r>
        <w:rPr>
          <w:rFonts w:ascii="Arial" w:hAnsi="Arial" w:cs="Arial"/>
          <w:sz w:val="20"/>
          <w:szCs w:val="20"/>
        </w:rPr>
        <w:t xml:space="preserve">of </w:t>
      </w:r>
      <w:r w:rsidR="00942C01" w:rsidRPr="008A7A35">
        <w:rPr>
          <w:rFonts w:ascii="Arial" w:hAnsi="Arial" w:cs="Arial"/>
          <w:sz w:val="20"/>
          <w:szCs w:val="20"/>
        </w:rPr>
        <w:t>over 3</w:t>
      </w:r>
      <w:r w:rsidR="00033351" w:rsidRPr="008A7A35">
        <w:rPr>
          <w:rFonts w:ascii="Arial" w:hAnsi="Arial" w:cs="Arial"/>
          <w:sz w:val="20"/>
          <w:szCs w:val="20"/>
        </w:rPr>
        <w:t>7</w:t>
      </w:r>
      <w:r w:rsidR="00942C01" w:rsidRPr="008A7A35">
        <w:rPr>
          <w:rFonts w:ascii="Arial" w:hAnsi="Arial" w:cs="Arial"/>
          <w:sz w:val="20"/>
          <w:szCs w:val="20"/>
        </w:rPr>
        <w:t>.</w:t>
      </w:r>
      <w:r w:rsidR="00033351" w:rsidRPr="008A7A35">
        <w:rPr>
          <w:rFonts w:ascii="Arial" w:hAnsi="Arial" w:cs="Arial"/>
          <w:sz w:val="20"/>
          <w:szCs w:val="20"/>
        </w:rPr>
        <w:t>1</w:t>
      </w:r>
      <w:r w:rsidR="00942C01" w:rsidRPr="008A7A35">
        <w:rPr>
          <w:rFonts w:ascii="Arial" w:hAnsi="Arial" w:cs="Arial"/>
          <w:sz w:val="20"/>
          <w:szCs w:val="20"/>
        </w:rPr>
        <w:t xml:space="preserve"> million shares at an average price of £4.4</w:t>
      </w:r>
      <w:r w:rsidR="00FB1503" w:rsidRPr="008A7A35">
        <w:rPr>
          <w:rFonts w:ascii="Arial" w:hAnsi="Arial" w:cs="Arial"/>
          <w:sz w:val="20"/>
          <w:szCs w:val="20"/>
        </w:rPr>
        <w:t>4</w:t>
      </w:r>
      <w:r w:rsidR="00942C01" w:rsidRPr="008A7A35">
        <w:rPr>
          <w:rFonts w:ascii="Arial" w:hAnsi="Arial" w:cs="Arial"/>
          <w:sz w:val="20"/>
          <w:szCs w:val="20"/>
        </w:rPr>
        <w:t xml:space="preserve"> ($5.6</w:t>
      </w:r>
      <w:r w:rsidR="00FB1503" w:rsidRPr="008A7A35">
        <w:rPr>
          <w:rFonts w:ascii="Arial" w:hAnsi="Arial" w:cs="Arial"/>
          <w:sz w:val="20"/>
          <w:szCs w:val="20"/>
        </w:rPr>
        <w:t>7</w:t>
      </w:r>
      <w:r w:rsidR="00942C01" w:rsidRPr="008A7A35">
        <w:rPr>
          <w:rFonts w:ascii="Arial" w:hAnsi="Arial" w:cs="Arial"/>
          <w:sz w:val="20"/>
          <w:szCs w:val="20"/>
        </w:rPr>
        <w:t>), reducing the share count to under 25 million</w:t>
      </w:r>
      <w:r>
        <w:rPr>
          <w:rFonts w:ascii="Arial" w:hAnsi="Arial" w:cs="Arial"/>
          <w:sz w:val="20"/>
          <w:szCs w:val="20"/>
        </w:rPr>
        <w:t xml:space="preserve"> as </w:t>
      </w:r>
      <w:proofErr w:type="gramStart"/>
      <w:r>
        <w:rPr>
          <w:rFonts w:ascii="Arial" w:hAnsi="Arial" w:cs="Arial"/>
          <w:sz w:val="20"/>
          <w:szCs w:val="20"/>
        </w:rPr>
        <w:t>at</w:t>
      </w:r>
      <w:proofErr w:type="gramEnd"/>
      <w:r>
        <w:rPr>
          <w:rFonts w:ascii="Arial" w:hAnsi="Arial" w:cs="Arial"/>
          <w:sz w:val="20"/>
          <w:szCs w:val="20"/>
        </w:rPr>
        <w:t xml:space="preserve"> 30 June 2025</w:t>
      </w:r>
      <w:r w:rsidR="00942C01" w:rsidRPr="008A7A35">
        <w:rPr>
          <w:rFonts w:ascii="Arial" w:hAnsi="Arial" w:cs="Arial"/>
          <w:sz w:val="20"/>
          <w:szCs w:val="20"/>
        </w:rPr>
        <w:t xml:space="preserve">. These actions, combined with the </w:t>
      </w:r>
      <w:r>
        <w:rPr>
          <w:rFonts w:ascii="Arial" w:hAnsi="Arial" w:cs="Arial"/>
          <w:sz w:val="20"/>
          <w:szCs w:val="20"/>
        </w:rPr>
        <w:t xml:space="preserve">implementation of the agreed </w:t>
      </w:r>
      <w:r w:rsidR="00B35C97">
        <w:rPr>
          <w:rFonts w:ascii="Arial" w:hAnsi="Arial" w:cs="Arial"/>
          <w:sz w:val="20"/>
          <w:szCs w:val="20"/>
        </w:rPr>
        <w:t>Managed W</w:t>
      </w:r>
      <w:r w:rsidR="00942C01" w:rsidRPr="008A7A35">
        <w:rPr>
          <w:rFonts w:ascii="Arial" w:hAnsi="Arial" w:cs="Arial"/>
          <w:sz w:val="20"/>
          <w:szCs w:val="20"/>
        </w:rPr>
        <w:t>ind-</w:t>
      </w:r>
      <w:r w:rsidR="00B35C97">
        <w:rPr>
          <w:rFonts w:ascii="Arial" w:hAnsi="Arial" w:cs="Arial"/>
          <w:sz w:val="20"/>
          <w:szCs w:val="20"/>
        </w:rPr>
        <w:t>D</w:t>
      </w:r>
      <w:r w:rsidR="00942C01" w:rsidRPr="008A7A35">
        <w:rPr>
          <w:rFonts w:ascii="Arial" w:hAnsi="Arial" w:cs="Arial"/>
          <w:sz w:val="20"/>
          <w:szCs w:val="20"/>
        </w:rPr>
        <w:t xml:space="preserve">own strategy, reflect the Company’s commitment to returning capital </w:t>
      </w:r>
      <w:r>
        <w:rPr>
          <w:rFonts w:ascii="Arial" w:hAnsi="Arial" w:cs="Arial"/>
          <w:sz w:val="20"/>
          <w:szCs w:val="20"/>
        </w:rPr>
        <w:t xml:space="preserve">to </w:t>
      </w:r>
      <w:r w:rsidR="00BC6676">
        <w:rPr>
          <w:rFonts w:ascii="Arial" w:hAnsi="Arial" w:cs="Arial"/>
          <w:sz w:val="20"/>
          <w:szCs w:val="20"/>
        </w:rPr>
        <w:t>S</w:t>
      </w:r>
      <w:r>
        <w:rPr>
          <w:rFonts w:ascii="Arial" w:hAnsi="Arial" w:cs="Arial"/>
          <w:sz w:val="20"/>
          <w:szCs w:val="20"/>
        </w:rPr>
        <w:t>hareholders</w:t>
      </w:r>
      <w:r w:rsidR="00F87F81">
        <w:rPr>
          <w:rFonts w:ascii="Arial" w:hAnsi="Arial" w:cs="Arial"/>
          <w:sz w:val="20"/>
          <w:szCs w:val="20"/>
        </w:rPr>
        <w:t>.</w:t>
      </w:r>
      <w:r w:rsidR="00942C01" w:rsidRPr="008A7A35">
        <w:rPr>
          <w:rFonts w:ascii="Arial" w:hAnsi="Arial" w:cs="Arial"/>
          <w:sz w:val="20"/>
          <w:szCs w:val="20"/>
        </w:rPr>
        <w:t xml:space="preserve"> </w:t>
      </w:r>
    </w:p>
    <w:p w14:paraId="6F0A8CDC" w14:textId="77777777" w:rsidR="00942C01" w:rsidRPr="008A7A35" w:rsidRDefault="00942C01" w:rsidP="00391CE4">
      <w:pPr>
        <w:jc w:val="both"/>
        <w:rPr>
          <w:rFonts w:ascii="Arial" w:hAnsi="Arial" w:cs="Arial"/>
          <w:sz w:val="20"/>
          <w:szCs w:val="20"/>
        </w:rPr>
      </w:pPr>
    </w:p>
    <w:p w14:paraId="02CAD82D" w14:textId="2D0D0780" w:rsidR="00942C01" w:rsidRPr="008A7A35" w:rsidRDefault="00F87F81" w:rsidP="00391CE4">
      <w:pPr>
        <w:jc w:val="both"/>
        <w:rPr>
          <w:rFonts w:ascii="Arial" w:hAnsi="Arial" w:cs="Arial"/>
          <w:sz w:val="20"/>
          <w:szCs w:val="20"/>
        </w:rPr>
      </w:pPr>
      <w:r w:rsidRPr="00A06BE6">
        <w:rPr>
          <w:rFonts w:ascii="Arial" w:hAnsi="Arial" w:cs="Arial"/>
          <w:sz w:val="20"/>
          <w:szCs w:val="20"/>
        </w:rPr>
        <w:t xml:space="preserve">The Company’s investment </w:t>
      </w:r>
      <w:r w:rsidR="00942C01" w:rsidRPr="00A06BE6">
        <w:rPr>
          <w:rFonts w:ascii="Arial" w:hAnsi="Arial" w:cs="Arial"/>
          <w:sz w:val="20"/>
          <w:szCs w:val="20"/>
        </w:rPr>
        <w:t xml:space="preserve">portfolio </w:t>
      </w:r>
      <w:proofErr w:type="gramStart"/>
      <w:r w:rsidR="00942C01" w:rsidRPr="00A06BE6">
        <w:rPr>
          <w:rFonts w:ascii="Arial" w:hAnsi="Arial" w:cs="Arial"/>
          <w:sz w:val="20"/>
          <w:szCs w:val="20"/>
        </w:rPr>
        <w:t>at</w:t>
      </w:r>
      <w:proofErr w:type="gramEnd"/>
      <w:r w:rsidR="00942C01" w:rsidRPr="00A06BE6">
        <w:rPr>
          <w:rFonts w:ascii="Arial" w:hAnsi="Arial" w:cs="Arial"/>
          <w:sz w:val="20"/>
          <w:szCs w:val="20"/>
        </w:rPr>
        <w:t xml:space="preserve"> 30 June 2025 comprised </w:t>
      </w:r>
      <w:r w:rsidR="009B5110" w:rsidRPr="00A06BE6">
        <w:rPr>
          <w:rFonts w:ascii="Arial" w:hAnsi="Arial" w:cs="Arial"/>
          <w:sz w:val="20"/>
          <w:szCs w:val="20"/>
        </w:rPr>
        <w:t>seven</w:t>
      </w:r>
      <w:r w:rsidR="00942C01" w:rsidRPr="00A06BE6">
        <w:rPr>
          <w:rFonts w:ascii="Arial" w:hAnsi="Arial" w:cs="Arial"/>
          <w:sz w:val="20"/>
          <w:szCs w:val="20"/>
        </w:rPr>
        <w:t xml:space="preserve"> active investments: </w:t>
      </w:r>
      <w:r w:rsidR="009B5110" w:rsidRPr="00A06BE6">
        <w:rPr>
          <w:rFonts w:ascii="Arial" w:hAnsi="Arial" w:cs="Arial"/>
          <w:sz w:val="20"/>
          <w:szCs w:val="20"/>
        </w:rPr>
        <w:t>four</w:t>
      </w:r>
      <w:r w:rsidR="00942C01" w:rsidRPr="00A06BE6">
        <w:rPr>
          <w:rFonts w:ascii="Arial" w:hAnsi="Arial" w:cs="Arial"/>
          <w:sz w:val="20"/>
          <w:szCs w:val="20"/>
        </w:rPr>
        <w:t xml:space="preserve"> in decarbonisation and three in conventional energy. The </w:t>
      </w:r>
      <w:r w:rsidR="00B001AC">
        <w:rPr>
          <w:rFonts w:ascii="Arial" w:hAnsi="Arial" w:cs="Arial"/>
          <w:sz w:val="20"/>
          <w:szCs w:val="20"/>
        </w:rPr>
        <w:t xml:space="preserve">current portfolio </w:t>
      </w:r>
      <w:r w:rsidR="00942C01" w:rsidRPr="00A06BE6">
        <w:rPr>
          <w:rFonts w:ascii="Arial" w:hAnsi="Arial" w:cs="Arial"/>
          <w:sz w:val="20"/>
          <w:szCs w:val="20"/>
        </w:rPr>
        <w:t xml:space="preserve">total invested </w:t>
      </w:r>
      <w:r w:rsidRPr="00A06BE6">
        <w:rPr>
          <w:rFonts w:ascii="Arial" w:hAnsi="Arial" w:cs="Arial"/>
          <w:sz w:val="20"/>
          <w:szCs w:val="20"/>
        </w:rPr>
        <w:t xml:space="preserve">and realised </w:t>
      </w:r>
      <w:r w:rsidR="00942C01" w:rsidRPr="00A06BE6">
        <w:rPr>
          <w:rFonts w:ascii="Arial" w:hAnsi="Arial" w:cs="Arial"/>
          <w:sz w:val="20"/>
          <w:szCs w:val="20"/>
        </w:rPr>
        <w:t>capital stood at $</w:t>
      </w:r>
      <w:r w:rsidR="008F6DB0" w:rsidRPr="00A06BE6">
        <w:rPr>
          <w:rFonts w:ascii="Arial" w:hAnsi="Arial" w:cs="Arial"/>
          <w:sz w:val="20"/>
          <w:szCs w:val="20"/>
        </w:rPr>
        <w:t>7</w:t>
      </w:r>
      <w:r w:rsidR="00B001AC">
        <w:rPr>
          <w:rFonts w:ascii="Arial" w:hAnsi="Arial" w:cs="Arial"/>
          <w:sz w:val="20"/>
          <w:szCs w:val="20"/>
        </w:rPr>
        <w:t>28</w:t>
      </w:r>
      <w:r w:rsidR="00942C01" w:rsidRPr="00A06BE6">
        <w:rPr>
          <w:rFonts w:ascii="Arial" w:hAnsi="Arial" w:cs="Arial"/>
          <w:sz w:val="20"/>
          <w:szCs w:val="20"/>
        </w:rPr>
        <w:t xml:space="preserve"> million</w:t>
      </w:r>
      <w:r w:rsidRPr="00A06BE6">
        <w:rPr>
          <w:rFonts w:ascii="Arial" w:hAnsi="Arial" w:cs="Arial"/>
          <w:sz w:val="20"/>
          <w:szCs w:val="20"/>
        </w:rPr>
        <w:t xml:space="preserve"> and $55</w:t>
      </w:r>
      <w:r w:rsidR="00461CF6" w:rsidRPr="00A06BE6">
        <w:rPr>
          <w:rFonts w:ascii="Arial" w:hAnsi="Arial" w:cs="Arial"/>
          <w:sz w:val="20"/>
          <w:szCs w:val="20"/>
        </w:rPr>
        <w:t>8</w:t>
      </w:r>
      <w:r w:rsidRPr="00A06BE6">
        <w:rPr>
          <w:rFonts w:ascii="Arial" w:hAnsi="Arial" w:cs="Arial"/>
          <w:sz w:val="20"/>
          <w:szCs w:val="20"/>
        </w:rPr>
        <w:t xml:space="preserve"> million respectively</w:t>
      </w:r>
      <w:r w:rsidR="00942C01" w:rsidRPr="00A06BE6">
        <w:rPr>
          <w:rFonts w:ascii="Arial" w:hAnsi="Arial" w:cs="Arial"/>
          <w:sz w:val="20"/>
          <w:szCs w:val="20"/>
        </w:rPr>
        <w:t>, with gross unrealised value of $</w:t>
      </w:r>
      <w:r w:rsidR="002F13A5" w:rsidRPr="00A06BE6">
        <w:rPr>
          <w:rFonts w:ascii="Arial" w:hAnsi="Arial" w:cs="Arial"/>
          <w:sz w:val="20"/>
          <w:szCs w:val="20"/>
        </w:rPr>
        <w:t>300</w:t>
      </w:r>
      <w:r w:rsidR="00942C01" w:rsidRPr="00A06BE6">
        <w:rPr>
          <w:rFonts w:ascii="Arial" w:hAnsi="Arial" w:cs="Arial"/>
          <w:sz w:val="20"/>
          <w:szCs w:val="20"/>
        </w:rPr>
        <w:t xml:space="preserve"> million and a </w:t>
      </w:r>
      <w:r w:rsidR="009B5110" w:rsidRPr="00A06BE6">
        <w:rPr>
          <w:rFonts w:ascii="Arial" w:hAnsi="Arial" w:cs="Arial"/>
          <w:sz w:val="20"/>
          <w:szCs w:val="20"/>
        </w:rPr>
        <w:t>G</w:t>
      </w:r>
      <w:r w:rsidR="00942C01" w:rsidRPr="00A06BE6">
        <w:rPr>
          <w:rFonts w:ascii="Arial" w:hAnsi="Arial" w:cs="Arial"/>
          <w:sz w:val="20"/>
          <w:szCs w:val="20"/>
        </w:rPr>
        <w:t xml:space="preserve">ross MOIC of </w:t>
      </w:r>
      <w:r w:rsidR="008F6DB0" w:rsidRPr="00A06BE6">
        <w:rPr>
          <w:rFonts w:ascii="Arial" w:hAnsi="Arial" w:cs="Arial"/>
          <w:sz w:val="20"/>
          <w:szCs w:val="20"/>
        </w:rPr>
        <w:t>1.18</w:t>
      </w:r>
      <w:r w:rsidR="00942C01" w:rsidRPr="00A06BE6">
        <w:rPr>
          <w:rFonts w:ascii="Arial" w:hAnsi="Arial" w:cs="Arial"/>
          <w:sz w:val="20"/>
          <w:szCs w:val="20"/>
        </w:rPr>
        <w:t>x. Cash reserves totalled $</w:t>
      </w:r>
      <w:r w:rsidR="009B5110" w:rsidRPr="00A06BE6">
        <w:rPr>
          <w:rFonts w:ascii="Arial" w:hAnsi="Arial" w:cs="Arial"/>
          <w:sz w:val="20"/>
          <w:szCs w:val="20"/>
        </w:rPr>
        <w:t>7</w:t>
      </w:r>
      <w:r w:rsidR="002F13A5" w:rsidRPr="00A06BE6">
        <w:rPr>
          <w:rFonts w:ascii="Arial" w:hAnsi="Arial" w:cs="Arial"/>
          <w:sz w:val="20"/>
          <w:szCs w:val="20"/>
        </w:rPr>
        <w:t>3</w:t>
      </w:r>
      <w:r w:rsidR="00942C01" w:rsidRPr="00A06BE6">
        <w:rPr>
          <w:rFonts w:ascii="Arial" w:hAnsi="Arial" w:cs="Arial"/>
          <w:sz w:val="20"/>
          <w:szCs w:val="20"/>
        </w:rPr>
        <w:t xml:space="preserve"> million. Net Asset Value at period-end was $</w:t>
      </w:r>
      <w:r w:rsidR="002F13A5" w:rsidRPr="00A06BE6">
        <w:rPr>
          <w:rFonts w:ascii="Arial" w:hAnsi="Arial" w:cs="Arial"/>
          <w:sz w:val="20"/>
          <w:szCs w:val="20"/>
        </w:rPr>
        <w:t>372</w:t>
      </w:r>
      <w:r w:rsidR="00942C01" w:rsidRPr="00A06BE6">
        <w:rPr>
          <w:rFonts w:ascii="Arial" w:hAnsi="Arial" w:cs="Arial"/>
          <w:sz w:val="20"/>
          <w:szCs w:val="20"/>
        </w:rPr>
        <w:t xml:space="preserve"> million, or $</w:t>
      </w:r>
      <w:r w:rsidR="002F13A5" w:rsidRPr="00A06BE6">
        <w:rPr>
          <w:rFonts w:ascii="Arial" w:hAnsi="Arial" w:cs="Arial"/>
          <w:sz w:val="20"/>
          <w:szCs w:val="20"/>
        </w:rPr>
        <w:t>15.11</w:t>
      </w:r>
      <w:r w:rsidR="00942C01" w:rsidRPr="00A06BE6">
        <w:rPr>
          <w:rFonts w:ascii="Arial" w:hAnsi="Arial" w:cs="Arial"/>
          <w:sz w:val="20"/>
          <w:szCs w:val="20"/>
        </w:rPr>
        <w:t xml:space="preserve"> per share.</w:t>
      </w:r>
    </w:p>
    <w:p w14:paraId="0B8EFFB5" w14:textId="77777777" w:rsidR="002E5E27" w:rsidRPr="008A7A35" w:rsidRDefault="002E5E27" w:rsidP="00EC1005">
      <w:pPr>
        <w:rPr>
          <w:rFonts w:ascii="Arial" w:hAnsi="Arial" w:cs="Arial"/>
        </w:rPr>
      </w:pPr>
    </w:p>
    <w:p w14:paraId="4E08E48C" w14:textId="77777777" w:rsidR="006F7265" w:rsidRPr="008A7A35" w:rsidRDefault="006F7265" w:rsidP="00F25FD3">
      <w:pPr>
        <w:spacing w:after="120"/>
        <w:jc w:val="both"/>
        <w:rPr>
          <w:rFonts w:ascii="Arial" w:hAnsi="Arial" w:cs="Arial"/>
          <w:bCs/>
          <w:sz w:val="20"/>
          <w:szCs w:val="20"/>
        </w:rPr>
      </w:pPr>
    </w:p>
    <w:p w14:paraId="21A74507" w14:textId="5F84869C" w:rsidR="006F2696" w:rsidRPr="008A7A35" w:rsidRDefault="006F2696" w:rsidP="006F2696">
      <w:pPr>
        <w:jc w:val="both"/>
        <w:rPr>
          <w:rFonts w:ascii="Arial" w:hAnsi="Arial" w:cs="Arial"/>
          <w:b/>
          <w:sz w:val="20"/>
          <w:szCs w:val="20"/>
          <w:lang w:val="en-US"/>
        </w:rPr>
      </w:pPr>
      <w:r w:rsidRPr="008A7A35">
        <w:rPr>
          <w:rFonts w:ascii="Arial" w:hAnsi="Arial" w:cs="Arial"/>
          <w:b/>
          <w:sz w:val="20"/>
          <w:szCs w:val="20"/>
          <w:lang w:val="en-US"/>
        </w:rPr>
        <w:t xml:space="preserve">Current Portfolio – </w:t>
      </w:r>
      <w:proofErr w:type="gramStart"/>
      <w:r w:rsidRPr="008A7A35">
        <w:rPr>
          <w:rFonts w:ascii="Arial" w:hAnsi="Arial" w:cs="Arial"/>
          <w:b/>
          <w:sz w:val="20"/>
          <w:szCs w:val="20"/>
          <w:lang w:val="en-US"/>
        </w:rPr>
        <w:t>Conventional</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1</w:t>
      </w:r>
      <w:r w:rsidR="00EA15CD" w:rsidRPr="008A7A35">
        <w:rPr>
          <w:rFonts w:ascii="Arial" w:hAnsi="Arial" w:cs="Arial"/>
          <w:b/>
          <w:bCs/>
          <w:sz w:val="20"/>
          <w:szCs w:val="20"/>
          <w:vertAlign w:val="superscript"/>
        </w:rPr>
        <w:t>2</w:t>
      </w:r>
      <w:r w:rsidRPr="008A7A35">
        <w:rPr>
          <w:rFonts w:ascii="Arial" w:hAnsi="Arial" w:cs="Arial"/>
          <w:b/>
          <w:bCs/>
          <w:sz w:val="20"/>
          <w:szCs w:val="20"/>
          <w:vertAlign w:val="superscript"/>
        </w:rPr>
        <w:t>)</w:t>
      </w:r>
    </w:p>
    <w:p w14:paraId="290FE720" w14:textId="77777777" w:rsidR="006F2696" w:rsidRPr="008A7A35" w:rsidRDefault="006F2696" w:rsidP="006F2696">
      <w:pPr>
        <w:jc w:val="both"/>
        <w:rPr>
          <w:rFonts w:ascii="Arial" w:hAnsi="Arial" w:cs="Arial"/>
          <w:b/>
          <w:sz w:val="20"/>
          <w:szCs w:val="20"/>
        </w:rPr>
      </w:pPr>
    </w:p>
    <w:tbl>
      <w:tblPr>
        <w:tblW w:w="5508" w:type="pct"/>
        <w:tblInd w:w="-569" w:type="dxa"/>
        <w:tblLayout w:type="fixed"/>
        <w:tblCellMar>
          <w:left w:w="0" w:type="dxa"/>
          <w:right w:w="0" w:type="dxa"/>
        </w:tblCellMar>
        <w:tblLook w:val="0420" w:firstRow="1" w:lastRow="0" w:firstColumn="0" w:lastColumn="0" w:noHBand="0" w:noVBand="1"/>
      </w:tblPr>
      <w:tblGrid>
        <w:gridCol w:w="2003"/>
        <w:gridCol w:w="1543"/>
        <w:gridCol w:w="1136"/>
        <w:gridCol w:w="1134"/>
        <w:gridCol w:w="1134"/>
        <w:gridCol w:w="1700"/>
        <w:gridCol w:w="1134"/>
        <w:gridCol w:w="991"/>
      </w:tblGrid>
      <w:tr w:rsidR="009E1B55" w:rsidRPr="008A7A35" w14:paraId="0765FCB2" w14:textId="77777777" w:rsidTr="00391CE4">
        <w:trPr>
          <w:trHeight w:val="447"/>
        </w:trPr>
        <w:tc>
          <w:tcPr>
            <w:tcW w:w="929" w:type="pct"/>
            <w:tcBorders>
              <w:left w:val="nil"/>
              <w:bottom w:val="single" w:sz="4" w:space="0" w:color="auto"/>
              <w:right w:val="nil"/>
            </w:tcBorders>
            <w:tcMar>
              <w:top w:w="15" w:type="dxa"/>
              <w:left w:w="137" w:type="dxa"/>
              <w:bottom w:w="0" w:type="dxa"/>
              <w:right w:w="15" w:type="dxa"/>
            </w:tcMar>
            <w:vAlign w:val="bottom"/>
          </w:tcPr>
          <w:p w14:paraId="62227856" w14:textId="77777777" w:rsidR="006F2696" w:rsidRPr="008A7A35" w:rsidRDefault="006F2696" w:rsidP="00391CE4">
            <w:pPr>
              <w:ind w:left="-136"/>
              <w:jc w:val="center"/>
              <w:rPr>
                <w:rFonts w:ascii="Arial" w:hAnsi="Arial" w:cs="Arial"/>
                <w:b/>
                <w:sz w:val="20"/>
                <w:szCs w:val="20"/>
              </w:rPr>
            </w:pPr>
            <w:r w:rsidRPr="008A7A35">
              <w:rPr>
                <w:rFonts w:ascii="Arial" w:hAnsi="Arial" w:cs="Arial"/>
                <w:b/>
                <w:sz w:val="20"/>
                <w:szCs w:val="20"/>
              </w:rPr>
              <w:t>Investment</w:t>
            </w:r>
            <w:proofErr w:type="gramStart"/>
            <w:r w:rsidRPr="008A7A35">
              <w:rPr>
                <w:rFonts w:ascii="Arial" w:hAnsi="Arial" w:cs="Arial"/>
                <w:b/>
                <w:sz w:val="20"/>
                <w:szCs w:val="20"/>
              </w:rPr>
              <w:t xml:space="preserve">   </w:t>
            </w:r>
            <w:r w:rsidRPr="008A7A35">
              <w:rPr>
                <w:rFonts w:ascii="Arial" w:hAnsi="Arial" w:cs="Arial"/>
                <w:sz w:val="20"/>
                <w:szCs w:val="20"/>
              </w:rPr>
              <w:t>(</w:t>
            </w:r>
            <w:proofErr w:type="gramEnd"/>
            <w:r w:rsidRPr="008A7A35">
              <w:rPr>
                <w:rFonts w:ascii="Arial" w:hAnsi="Arial" w:cs="Arial"/>
                <w:i/>
                <w:sz w:val="20"/>
                <w:szCs w:val="20"/>
              </w:rPr>
              <w:t>Public/Private</w:t>
            </w:r>
            <w:r w:rsidRPr="008A7A35">
              <w:rPr>
                <w:rFonts w:ascii="Arial" w:hAnsi="Arial" w:cs="Arial"/>
                <w:sz w:val="20"/>
                <w:szCs w:val="20"/>
              </w:rPr>
              <w:t>)</w:t>
            </w:r>
          </w:p>
        </w:tc>
        <w:tc>
          <w:tcPr>
            <w:tcW w:w="716" w:type="pct"/>
            <w:tcBorders>
              <w:left w:val="nil"/>
              <w:bottom w:val="single" w:sz="4" w:space="0" w:color="auto"/>
              <w:right w:val="nil"/>
            </w:tcBorders>
            <w:vAlign w:val="bottom"/>
          </w:tcPr>
          <w:p w14:paraId="5F6F608B" w14:textId="40D423D4" w:rsidR="006F2696" w:rsidRPr="008A7A35" w:rsidRDefault="006F2696" w:rsidP="00734264">
            <w:pPr>
              <w:jc w:val="center"/>
              <w:rPr>
                <w:rFonts w:ascii="Arial" w:hAnsi="Arial" w:cs="Arial"/>
                <w:sz w:val="20"/>
                <w:szCs w:val="20"/>
              </w:rPr>
            </w:pPr>
            <w:r w:rsidRPr="008A7A35">
              <w:rPr>
                <w:rFonts w:ascii="Arial" w:hAnsi="Arial" w:cs="Arial"/>
                <w:b/>
                <w:bCs/>
                <w:sz w:val="20"/>
                <w:szCs w:val="20"/>
              </w:rPr>
              <w:t>Gross Committed Capital ($mm)</w:t>
            </w:r>
          </w:p>
        </w:tc>
        <w:tc>
          <w:tcPr>
            <w:tcW w:w="527" w:type="pct"/>
            <w:tcBorders>
              <w:left w:val="nil"/>
              <w:bottom w:val="single" w:sz="4" w:space="0" w:color="auto"/>
              <w:right w:val="nil"/>
            </w:tcBorders>
            <w:tcMar>
              <w:top w:w="15" w:type="dxa"/>
              <w:left w:w="69" w:type="dxa"/>
              <w:bottom w:w="0" w:type="dxa"/>
              <w:right w:w="69" w:type="dxa"/>
            </w:tcMar>
            <w:vAlign w:val="bottom"/>
          </w:tcPr>
          <w:p w14:paraId="4ED7A483" w14:textId="77777777" w:rsidR="006F2696" w:rsidRPr="008A7A35" w:rsidRDefault="006F2696" w:rsidP="00734264">
            <w:pPr>
              <w:spacing w:line="280" w:lineRule="exact"/>
              <w:jc w:val="center"/>
              <w:rPr>
                <w:rFonts w:ascii="Arial" w:hAnsi="Arial" w:cs="Arial"/>
                <w:b/>
                <w:bCs/>
                <w:sz w:val="20"/>
                <w:szCs w:val="20"/>
              </w:rPr>
            </w:pPr>
            <w:r w:rsidRPr="008A7A35">
              <w:rPr>
                <w:rFonts w:ascii="Arial" w:hAnsi="Arial" w:cs="Arial"/>
                <w:b/>
                <w:bCs/>
                <w:sz w:val="20"/>
                <w:szCs w:val="20"/>
              </w:rPr>
              <w:t>Invested</w:t>
            </w:r>
          </w:p>
          <w:p w14:paraId="41CF24A2" w14:textId="77777777" w:rsidR="006F2696" w:rsidRPr="008A7A35" w:rsidRDefault="006F2696" w:rsidP="00734264">
            <w:pPr>
              <w:jc w:val="center"/>
              <w:rPr>
                <w:rFonts w:ascii="Arial" w:hAnsi="Arial" w:cs="Arial"/>
                <w:sz w:val="20"/>
                <w:szCs w:val="20"/>
              </w:rPr>
            </w:pPr>
            <w:r w:rsidRPr="008A7A35">
              <w:rPr>
                <w:rFonts w:ascii="Arial" w:hAnsi="Arial" w:cs="Arial"/>
                <w:b/>
                <w:bCs/>
                <w:sz w:val="20"/>
                <w:szCs w:val="20"/>
              </w:rPr>
              <w:t>Capital ($mm)</w:t>
            </w:r>
          </w:p>
        </w:tc>
        <w:tc>
          <w:tcPr>
            <w:tcW w:w="526" w:type="pct"/>
            <w:tcBorders>
              <w:left w:val="nil"/>
              <w:bottom w:val="single" w:sz="4" w:space="0" w:color="auto"/>
              <w:right w:val="nil"/>
            </w:tcBorders>
            <w:tcMar>
              <w:top w:w="15" w:type="dxa"/>
              <w:left w:w="69" w:type="dxa"/>
              <w:bottom w:w="0" w:type="dxa"/>
              <w:right w:w="69" w:type="dxa"/>
            </w:tcMar>
            <w:vAlign w:val="bottom"/>
          </w:tcPr>
          <w:p w14:paraId="42BD3C09" w14:textId="77777777" w:rsidR="006F2696" w:rsidRPr="008A7A35" w:rsidRDefault="006F2696" w:rsidP="00734264">
            <w:pPr>
              <w:spacing w:line="280" w:lineRule="exact"/>
              <w:jc w:val="center"/>
              <w:rPr>
                <w:rFonts w:ascii="Arial" w:hAnsi="Arial" w:cs="Arial"/>
                <w:b/>
                <w:bCs/>
                <w:sz w:val="20"/>
                <w:szCs w:val="20"/>
              </w:rPr>
            </w:pPr>
            <w:r w:rsidRPr="008A7A35">
              <w:rPr>
                <w:rFonts w:ascii="Arial" w:hAnsi="Arial" w:cs="Arial"/>
                <w:b/>
                <w:bCs/>
                <w:sz w:val="20"/>
                <w:szCs w:val="20"/>
              </w:rPr>
              <w:t>Gross Realised</w:t>
            </w:r>
          </w:p>
          <w:p w14:paraId="70B4EF4C" w14:textId="77777777" w:rsidR="006F2696" w:rsidRPr="008A7A35" w:rsidRDefault="006F2696" w:rsidP="00734264">
            <w:pPr>
              <w:jc w:val="center"/>
              <w:rPr>
                <w:rFonts w:ascii="Arial" w:hAnsi="Arial" w:cs="Arial"/>
                <w:color w:val="000000"/>
                <w:sz w:val="20"/>
                <w:szCs w:val="20"/>
                <w:vertAlign w:val="superscript"/>
              </w:rPr>
            </w:pPr>
            <w:r w:rsidRPr="008A7A35">
              <w:rPr>
                <w:rFonts w:ascii="Arial" w:hAnsi="Arial" w:cs="Arial"/>
                <w:b/>
                <w:bCs/>
                <w:sz w:val="20"/>
                <w:szCs w:val="20"/>
              </w:rPr>
              <w:t>Capital ($</w:t>
            </w:r>
            <w:proofErr w:type="gramStart"/>
            <w:r w:rsidRPr="008A7A35">
              <w:rPr>
                <w:rFonts w:ascii="Arial" w:hAnsi="Arial" w:cs="Arial"/>
                <w:b/>
                <w:bCs/>
                <w:sz w:val="20"/>
                <w:szCs w:val="20"/>
              </w:rPr>
              <w:t>mm)</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1)</w:t>
            </w:r>
          </w:p>
        </w:tc>
        <w:tc>
          <w:tcPr>
            <w:tcW w:w="526" w:type="pct"/>
            <w:tcBorders>
              <w:left w:val="nil"/>
              <w:bottom w:val="single" w:sz="4" w:space="0" w:color="auto"/>
              <w:right w:val="nil"/>
            </w:tcBorders>
            <w:vAlign w:val="bottom"/>
          </w:tcPr>
          <w:p w14:paraId="684D2221" w14:textId="77777777" w:rsidR="006F2696" w:rsidRPr="008A7A35" w:rsidRDefault="006F2696" w:rsidP="00734264">
            <w:pPr>
              <w:spacing w:line="280" w:lineRule="exact"/>
              <w:jc w:val="center"/>
              <w:rPr>
                <w:rFonts w:ascii="Arial" w:hAnsi="Arial" w:cs="Arial"/>
                <w:b/>
                <w:bCs/>
                <w:sz w:val="20"/>
                <w:szCs w:val="20"/>
              </w:rPr>
            </w:pPr>
            <w:r w:rsidRPr="008A7A35">
              <w:rPr>
                <w:rFonts w:ascii="Arial" w:hAnsi="Arial" w:cs="Arial"/>
                <w:b/>
                <w:bCs/>
                <w:sz w:val="20"/>
                <w:szCs w:val="20"/>
              </w:rPr>
              <w:t>Gross Unrealised Value</w:t>
            </w:r>
          </w:p>
          <w:p w14:paraId="72233F00" w14:textId="77777777" w:rsidR="006F2696" w:rsidRPr="008A7A35" w:rsidRDefault="006F2696" w:rsidP="00734264">
            <w:pPr>
              <w:jc w:val="center"/>
              <w:rPr>
                <w:rFonts w:ascii="Arial" w:hAnsi="Arial" w:cs="Arial"/>
                <w:sz w:val="20"/>
                <w:szCs w:val="20"/>
              </w:rPr>
            </w:pPr>
            <w:r w:rsidRPr="008A7A35">
              <w:rPr>
                <w:rFonts w:ascii="Arial" w:hAnsi="Arial" w:cs="Arial"/>
                <w:b/>
                <w:bCs/>
                <w:sz w:val="20"/>
                <w:szCs w:val="20"/>
              </w:rPr>
              <w:t>($</w:t>
            </w:r>
            <w:proofErr w:type="gramStart"/>
            <w:r w:rsidRPr="008A7A35">
              <w:rPr>
                <w:rFonts w:ascii="Arial" w:hAnsi="Arial" w:cs="Arial"/>
                <w:b/>
                <w:bCs/>
                <w:sz w:val="20"/>
                <w:szCs w:val="20"/>
              </w:rPr>
              <w:t>mm)</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2)</w:t>
            </w:r>
          </w:p>
        </w:tc>
        <w:tc>
          <w:tcPr>
            <w:tcW w:w="789" w:type="pct"/>
            <w:tcBorders>
              <w:left w:val="nil"/>
              <w:bottom w:val="single" w:sz="4" w:space="0" w:color="auto"/>
              <w:right w:val="nil"/>
            </w:tcBorders>
            <w:vAlign w:val="bottom"/>
          </w:tcPr>
          <w:p w14:paraId="4D34DC3C" w14:textId="77777777" w:rsidR="006F2696" w:rsidRPr="008A7A35" w:rsidRDefault="006F2696" w:rsidP="00734264">
            <w:pPr>
              <w:jc w:val="center"/>
              <w:rPr>
                <w:rFonts w:ascii="Arial" w:hAnsi="Arial" w:cs="Arial"/>
                <w:sz w:val="20"/>
                <w:szCs w:val="20"/>
              </w:rPr>
            </w:pPr>
            <w:r w:rsidRPr="008A7A35">
              <w:rPr>
                <w:rFonts w:ascii="Arial" w:hAnsi="Arial" w:cs="Arial"/>
                <w:b/>
                <w:bCs/>
                <w:sz w:val="20"/>
                <w:szCs w:val="20"/>
              </w:rPr>
              <w:t>Gross Realised Capital &amp; Unrealised Value ($mm)</w:t>
            </w:r>
          </w:p>
        </w:tc>
        <w:tc>
          <w:tcPr>
            <w:tcW w:w="526" w:type="pct"/>
            <w:tcBorders>
              <w:left w:val="nil"/>
              <w:bottom w:val="single" w:sz="4" w:space="0" w:color="auto"/>
              <w:right w:val="nil"/>
            </w:tcBorders>
            <w:tcMar>
              <w:top w:w="15" w:type="dxa"/>
              <w:left w:w="69" w:type="dxa"/>
              <w:bottom w:w="0" w:type="dxa"/>
              <w:right w:w="69" w:type="dxa"/>
            </w:tcMar>
            <w:vAlign w:val="bottom"/>
          </w:tcPr>
          <w:p w14:paraId="7FF1BFBC" w14:textId="7A2D08BA" w:rsidR="006F2696" w:rsidRPr="008A7A35" w:rsidRDefault="006F2696" w:rsidP="00734264">
            <w:pPr>
              <w:jc w:val="center"/>
              <w:rPr>
                <w:rFonts w:ascii="Arial" w:hAnsi="Arial" w:cs="Arial"/>
                <w:sz w:val="20"/>
                <w:szCs w:val="20"/>
                <w:vertAlign w:val="superscript"/>
              </w:rPr>
            </w:pPr>
            <w:r w:rsidRPr="008A7A35">
              <w:rPr>
                <w:rFonts w:ascii="Arial" w:hAnsi="Arial" w:cs="Arial"/>
                <w:b/>
                <w:bCs/>
                <w:sz w:val="20"/>
                <w:szCs w:val="20"/>
              </w:rPr>
              <w:t>30 Jun 202</w:t>
            </w:r>
            <w:r w:rsidR="00590232" w:rsidRPr="008A7A35">
              <w:rPr>
                <w:rFonts w:ascii="Arial" w:hAnsi="Arial" w:cs="Arial"/>
                <w:b/>
                <w:bCs/>
                <w:sz w:val="20"/>
                <w:szCs w:val="20"/>
              </w:rPr>
              <w:t>5</w:t>
            </w:r>
            <w:r w:rsidRPr="008A7A35">
              <w:rPr>
                <w:rFonts w:ascii="Arial" w:hAnsi="Arial" w:cs="Arial"/>
                <w:b/>
                <w:bCs/>
                <w:sz w:val="20"/>
                <w:szCs w:val="20"/>
              </w:rPr>
              <w:t xml:space="preserve"> Gross </w:t>
            </w:r>
            <w:proofErr w:type="gramStart"/>
            <w:r w:rsidRPr="008A7A35">
              <w:rPr>
                <w:rFonts w:ascii="Arial" w:hAnsi="Arial" w:cs="Arial"/>
                <w:b/>
                <w:bCs/>
                <w:sz w:val="20"/>
                <w:szCs w:val="20"/>
              </w:rPr>
              <w:t>MOIC</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2)</w:t>
            </w:r>
          </w:p>
        </w:tc>
        <w:tc>
          <w:tcPr>
            <w:tcW w:w="460" w:type="pct"/>
            <w:tcBorders>
              <w:left w:val="nil"/>
              <w:bottom w:val="single" w:sz="4" w:space="0" w:color="auto"/>
              <w:right w:val="nil"/>
            </w:tcBorders>
            <w:vAlign w:val="bottom"/>
          </w:tcPr>
          <w:p w14:paraId="78559C9C" w14:textId="2CB4C3A7" w:rsidR="006F2696" w:rsidRPr="008A7A35" w:rsidRDefault="006F2696" w:rsidP="00734264">
            <w:pPr>
              <w:jc w:val="center"/>
              <w:rPr>
                <w:rFonts w:ascii="Arial" w:hAnsi="Arial" w:cs="Arial"/>
                <w:sz w:val="20"/>
                <w:szCs w:val="20"/>
              </w:rPr>
            </w:pPr>
            <w:r w:rsidRPr="008A7A35">
              <w:rPr>
                <w:rFonts w:ascii="Arial" w:hAnsi="Arial" w:cs="Arial"/>
                <w:b/>
                <w:bCs/>
                <w:sz w:val="20"/>
                <w:szCs w:val="20"/>
              </w:rPr>
              <w:t>31 Dec 202</w:t>
            </w:r>
            <w:r w:rsidR="00590232" w:rsidRPr="008A7A35">
              <w:rPr>
                <w:rFonts w:ascii="Arial" w:hAnsi="Arial" w:cs="Arial"/>
                <w:b/>
                <w:bCs/>
                <w:sz w:val="20"/>
                <w:szCs w:val="20"/>
              </w:rPr>
              <w:t>4</w:t>
            </w:r>
            <w:r w:rsidRPr="008A7A35">
              <w:rPr>
                <w:rFonts w:ascii="Arial" w:hAnsi="Arial" w:cs="Arial"/>
                <w:b/>
                <w:bCs/>
                <w:sz w:val="20"/>
                <w:szCs w:val="20"/>
              </w:rPr>
              <w:t xml:space="preserve"> Gross </w:t>
            </w:r>
            <w:proofErr w:type="gramStart"/>
            <w:r w:rsidRPr="008A7A35">
              <w:rPr>
                <w:rFonts w:ascii="Arial" w:hAnsi="Arial" w:cs="Arial"/>
                <w:b/>
                <w:bCs/>
                <w:sz w:val="20"/>
                <w:szCs w:val="20"/>
              </w:rPr>
              <w:t>MOIC</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2)</w:t>
            </w:r>
          </w:p>
        </w:tc>
      </w:tr>
      <w:tr w:rsidR="009E1B55" w:rsidRPr="008A7A35" w14:paraId="145097BF" w14:textId="77777777" w:rsidTr="00391CE4">
        <w:trPr>
          <w:trHeight w:val="447"/>
        </w:trPr>
        <w:tc>
          <w:tcPr>
            <w:tcW w:w="929" w:type="pct"/>
            <w:tcBorders>
              <w:left w:val="nil"/>
              <w:right w:val="nil"/>
            </w:tcBorders>
            <w:tcMar>
              <w:top w:w="15" w:type="dxa"/>
              <w:left w:w="137" w:type="dxa"/>
              <w:bottom w:w="0" w:type="dxa"/>
              <w:right w:w="15" w:type="dxa"/>
            </w:tcMar>
          </w:tcPr>
          <w:p w14:paraId="6E9BDB0E" w14:textId="77777777" w:rsidR="00590232" w:rsidRPr="008A7A35" w:rsidRDefault="00590232" w:rsidP="00590232">
            <w:pPr>
              <w:spacing w:after="120"/>
              <w:rPr>
                <w:rFonts w:ascii="Arial" w:hAnsi="Arial" w:cs="Arial"/>
                <w:b/>
                <w:sz w:val="20"/>
                <w:szCs w:val="20"/>
              </w:rPr>
            </w:pPr>
            <w:r w:rsidRPr="008A7A35">
              <w:rPr>
                <w:rFonts w:ascii="Arial" w:hAnsi="Arial" w:cs="Arial"/>
                <w:b/>
                <w:sz w:val="20"/>
                <w:szCs w:val="20"/>
              </w:rPr>
              <w:t xml:space="preserve">Permian Resources </w:t>
            </w:r>
            <w:r w:rsidRPr="008A7A35">
              <w:rPr>
                <w:rFonts w:ascii="Arial" w:hAnsi="Arial" w:cs="Arial"/>
                <w:b/>
                <w:iCs/>
                <w:sz w:val="20"/>
                <w:szCs w:val="20"/>
                <w:vertAlign w:val="superscript"/>
              </w:rPr>
              <w:t>(4)</w:t>
            </w:r>
            <w:r w:rsidRPr="008A7A35">
              <w:rPr>
                <w:rFonts w:ascii="Arial" w:hAnsi="Arial" w:cs="Arial"/>
                <w:b/>
                <w:sz w:val="20"/>
                <w:szCs w:val="20"/>
              </w:rPr>
              <w:t xml:space="preserve"> </w:t>
            </w:r>
            <w:r w:rsidRPr="008A7A35">
              <w:rPr>
                <w:rFonts w:ascii="Arial" w:hAnsi="Arial" w:cs="Arial"/>
                <w:bCs/>
                <w:i/>
                <w:iCs/>
                <w:sz w:val="20"/>
                <w:szCs w:val="20"/>
              </w:rPr>
              <w:t>(Public)</w:t>
            </w:r>
          </w:p>
        </w:tc>
        <w:tc>
          <w:tcPr>
            <w:tcW w:w="716" w:type="pct"/>
            <w:tcBorders>
              <w:left w:val="nil"/>
              <w:right w:val="nil"/>
            </w:tcBorders>
          </w:tcPr>
          <w:p w14:paraId="6C2F903C" w14:textId="20DBD55A" w:rsidR="00590232" w:rsidRPr="008A7A35" w:rsidRDefault="00A421B2" w:rsidP="00590232">
            <w:pPr>
              <w:tabs>
                <w:tab w:val="left" w:pos="1152"/>
                <w:tab w:val="right" w:pos="1273"/>
              </w:tabs>
              <w:spacing w:after="120"/>
              <w:jc w:val="center"/>
              <w:rPr>
                <w:rFonts w:ascii="Arial" w:hAnsi="Arial" w:cs="Arial"/>
                <w:bCs/>
                <w:sz w:val="20"/>
                <w:szCs w:val="20"/>
              </w:rPr>
            </w:pPr>
            <w:r w:rsidRPr="008A7A35">
              <w:rPr>
                <w:rFonts w:ascii="Arial" w:hAnsi="Arial" w:cs="Arial"/>
                <w:bCs/>
                <w:sz w:val="20"/>
                <w:szCs w:val="20"/>
              </w:rPr>
              <w:t>268</w:t>
            </w:r>
          </w:p>
        </w:tc>
        <w:tc>
          <w:tcPr>
            <w:tcW w:w="527" w:type="pct"/>
            <w:tcBorders>
              <w:left w:val="nil"/>
              <w:right w:val="nil"/>
            </w:tcBorders>
            <w:tcMar>
              <w:top w:w="15" w:type="dxa"/>
              <w:left w:w="69" w:type="dxa"/>
              <w:bottom w:w="0" w:type="dxa"/>
              <w:right w:w="69" w:type="dxa"/>
            </w:tcMar>
          </w:tcPr>
          <w:p w14:paraId="77BD3A37" w14:textId="5B7DCC0D"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268</w:t>
            </w:r>
          </w:p>
        </w:tc>
        <w:tc>
          <w:tcPr>
            <w:tcW w:w="526" w:type="pct"/>
            <w:tcBorders>
              <w:left w:val="nil"/>
              <w:right w:val="nil"/>
            </w:tcBorders>
            <w:tcMar>
              <w:top w:w="15" w:type="dxa"/>
              <w:left w:w="69" w:type="dxa"/>
              <w:bottom w:w="0" w:type="dxa"/>
              <w:right w:w="69" w:type="dxa"/>
            </w:tcMar>
          </w:tcPr>
          <w:p w14:paraId="316F49E4" w14:textId="0C342217"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235</w:t>
            </w:r>
          </w:p>
        </w:tc>
        <w:tc>
          <w:tcPr>
            <w:tcW w:w="526" w:type="pct"/>
            <w:tcBorders>
              <w:left w:val="nil"/>
              <w:right w:val="nil"/>
            </w:tcBorders>
          </w:tcPr>
          <w:p w14:paraId="157277B0" w14:textId="24CA8236"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137</w:t>
            </w:r>
          </w:p>
        </w:tc>
        <w:tc>
          <w:tcPr>
            <w:tcW w:w="789" w:type="pct"/>
            <w:tcBorders>
              <w:left w:val="nil"/>
              <w:right w:val="nil"/>
            </w:tcBorders>
          </w:tcPr>
          <w:p w14:paraId="636655D4" w14:textId="0F26D626"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372</w:t>
            </w:r>
          </w:p>
        </w:tc>
        <w:tc>
          <w:tcPr>
            <w:tcW w:w="526" w:type="pct"/>
            <w:tcBorders>
              <w:left w:val="nil"/>
              <w:right w:val="nil"/>
            </w:tcBorders>
            <w:tcMar>
              <w:top w:w="15" w:type="dxa"/>
              <w:left w:w="69" w:type="dxa"/>
              <w:bottom w:w="0" w:type="dxa"/>
              <w:right w:w="69" w:type="dxa"/>
            </w:tcMar>
          </w:tcPr>
          <w:p w14:paraId="67F79D60" w14:textId="6637DEB9"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1.39</w:t>
            </w:r>
            <w:r w:rsidR="00590232" w:rsidRPr="008A7A35">
              <w:rPr>
                <w:rFonts w:ascii="Arial" w:hAnsi="Arial" w:cs="Arial"/>
                <w:bCs/>
                <w:sz w:val="20"/>
                <w:szCs w:val="20"/>
              </w:rPr>
              <w:t>x</w:t>
            </w:r>
          </w:p>
        </w:tc>
        <w:tc>
          <w:tcPr>
            <w:tcW w:w="460" w:type="pct"/>
            <w:tcBorders>
              <w:left w:val="nil"/>
              <w:right w:val="nil"/>
            </w:tcBorders>
          </w:tcPr>
          <w:p w14:paraId="215D5347" w14:textId="08685A78" w:rsidR="00590232" w:rsidRPr="008A7A35" w:rsidRDefault="00590232" w:rsidP="00590232">
            <w:pPr>
              <w:spacing w:after="120"/>
              <w:jc w:val="center"/>
              <w:rPr>
                <w:rFonts w:ascii="Arial" w:hAnsi="Arial" w:cs="Arial"/>
                <w:bCs/>
                <w:sz w:val="20"/>
                <w:szCs w:val="20"/>
              </w:rPr>
            </w:pPr>
            <w:r w:rsidRPr="008A7A35">
              <w:rPr>
                <w:rFonts w:ascii="Arial" w:hAnsi="Arial" w:cs="Arial"/>
                <w:sz w:val="20"/>
                <w:szCs w:val="20"/>
              </w:rPr>
              <w:t>1.41</w:t>
            </w:r>
            <w:r w:rsidRPr="008A7A35">
              <w:rPr>
                <w:rFonts w:ascii="Arial" w:hAnsi="Arial" w:cs="Arial"/>
                <w:bCs/>
                <w:sz w:val="20"/>
                <w:szCs w:val="20"/>
              </w:rPr>
              <w:t>x</w:t>
            </w:r>
          </w:p>
        </w:tc>
      </w:tr>
      <w:tr w:rsidR="009E1B55" w:rsidRPr="008A7A35" w14:paraId="08D6BDC7" w14:textId="77777777" w:rsidTr="00391CE4">
        <w:trPr>
          <w:trHeight w:val="1042"/>
        </w:trPr>
        <w:tc>
          <w:tcPr>
            <w:tcW w:w="929" w:type="pct"/>
            <w:tcBorders>
              <w:left w:val="nil"/>
              <w:right w:val="nil"/>
            </w:tcBorders>
            <w:tcMar>
              <w:top w:w="15" w:type="dxa"/>
              <w:left w:w="137" w:type="dxa"/>
              <w:bottom w:w="0" w:type="dxa"/>
              <w:right w:w="15" w:type="dxa"/>
            </w:tcMar>
          </w:tcPr>
          <w:p w14:paraId="40BC7726" w14:textId="77475391" w:rsidR="00590232" w:rsidRPr="008A7A35" w:rsidRDefault="00590232" w:rsidP="00590232">
            <w:pPr>
              <w:spacing w:after="120"/>
              <w:rPr>
                <w:rFonts w:ascii="Arial" w:hAnsi="Arial" w:cs="Arial"/>
                <w:b/>
                <w:sz w:val="20"/>
                <w:szCs w:val="20"/>
              </w:rPr>
            </w:pPr>
            <w:r w:rsidRPr="008A7A35">
              <w:rPr>
                <w:rFonts w:ascii="Arial" w:hAnsi="Arial" w:cs="Arial"/>
                <w:b/>
                <w:sz w:val="20"/>
                <w:szCs w:val="20"/>
              </w:rPr>
              <w:t>White</w:t>
            </w:r>
            <w:r w:rsidR="009A4EB9" w:rsidRPr="008A7A35">
              <w:rPr>
                <w:rFonts w:ascii="Arial" w:hAnsi="Arial" w:cs="Arial"/>
                <w:b/>
                <w:sz w:val="20"/>
                <w:szCs w:val="20"/>
              </w:rPr>
              <w:t>c</w:t>
            </w:r>
            <w:r w:rsidRPr="008A7A35">
              <w:rPr>
                <w:rFonts w:ascii="Arial" w:hAnsi="Arial" w:cs="Arial"/>
                <w:b/>
                <w:sz w:val="20"/>
                <w:szCs w:val="20"/>
              </w:rPr>
              <w:t>ap Resources Inc (</w:t>
            </w:r>
            <w:r w:rsidR="00B001AC">
              <w:rPr>
                <w:rFonts w:ascii="Arial" w:hAnsi="Arial" w:cs="Arial"/>
                <w:b/>
                <w:sz w:val="20"/>
                <w:szCs w:val="20"/>
              </w:rPr>
              <w:t xml:space="preserve">formerly </w:t>
            </w:r>
            <w:r w:rsidRPr="008A7A35">
              <w:rPr>
                <w:rFonts w:ascii="Arial" w:hAnsi="Arial" w:cs="Arial"/>
                <w:b/>
                <w:sz w:val="20"/>
                <w:szCs w:val="20"/>
              </w:rPr>
              <w:t xml:space="preserve">Veren </w:t>
            </w:r>
            <w:proofErr w:type="gramStart"/>
            <w:r w:rsidRPr="008A7A35">
              <w:rPr>
                <w:rFonts w:ascii="Arial" w:hAnsi="Arial" w:cs="Arial"/>
                <w:b/>
                <w:sz w:val="20"/>
                <w:szCs w:val="20"/>
              </w:rPr>
              <w:t>Inc)</w:t>
            </w:r>
            <w:r w:rsidRPr="008A7A35">
              <w:rPr>
                <w:rFonts w:ascii="Arial" w:hAnsi="Arial" w:cs="Arial"/>
                <w:b/>
                <w:iCs/>
                <w:sz w:val="20"/>
                <w:szCs w:val="20"/>
                <w:vertAlign w:val="superscript"/>
              </w:rPr>
              <w:t>(</w:t>
            </w:r>
            <w:proofErr w:type="gramEnd"/>
            <w:r w:rsidRPr="008A7A35">
              <w:rPr>
                <w:rFonts w:ascii="Arial" w:hAnsi="Arial" w:cs="Arial"/>
                <w:b/>
                <w:iCs/>
                <w:sz w:val="20"/>
                <w:szCs w:val="20"/>
                <w:vertAlign w:val="superscript"/>
              </w:rPr>
              <w:t>4)</w:t>
            </w:r>
            <w:r w:rsidRPr="008A7A35">
              <w:rPr>
                <w:rFonts w:ascii="Arial" w:hAnsi="Arial" w:cs="Arial"/>
                <w:b/>
                <w:sz w:val="20"/>
                <w:szCs w:val="20"/>
              </w:rPr>
              <w:t xml:space="preserve"> </w:t>
            </w:r>
            <w:r w:rsidRPr="008A7A35">
              <w:rPr>
                <w:rFonts w:ascii="Arial" w:hAnsi="Arial" w:cs="Arial"/>
                <w:b/>
                <w:bCs/>
                <w:sz w:val="20"/>
                <w:szCs w:val="20"/>
                <w:vertAlign w:val="superscript"/>
              </w:rPr>
              <w:t xml:space="preserve">(10) </w:t>
            </w:r>
            <w:r w:rsidRPr="008A7A35">
              <w:rPr>
                <w:rFonts w:ascii="Arial" w:hAnsi="Arial" w:cs="Arial"/>
                <w:i/>
                <w:sz w:val="20"/>
                <w:szCs w:val="20"/>
              </w:rPr>
              <w:t>(Public)</w:t>
            </w:r>
          </w:p>
        </w:tc>
        <w:tc>
          <w:tcPr>
            <w:tcW w:w="716" w:type="pct"/>
            <w:tcBorders>
              <w:left w:val="nil"/>
              <w:right w:val="nil"/>
            </w:tcBorders>
          </w:tcPr>
          <w:p w14:paraId="1933C825" w14:textId="4CE3AF1A" w:rsidR="00590232" w:rsidRPr="008A7A35" w:rsidRDefault="00A421B2" w:rsidP="00590232">
            <w:pPr>
              <w:tabs>
                <w:tab w:val="left" w:pos="1152"/>
                <w:tab w:val="right" w:pos="1273"/>
              </w:tabs>
              <w:spacing w:after="120"/>
              <w:jc w:val="center"/>
              <w:rPr>
                <w:rFonts w:ascii="Arial" w:hAnsi="Arial" w:cs="Arial"/>
                <w:sz w:val="20"/>
                <w:szCs w:val="20"/>
              </w:rPr>
            </w:pPr>
            <w:r w:rsidRPr="008A7A35">
              <w:rPr>
                <w:rFonts w:ascii="Arial" w:hAnsi="Arial" w:cs="Arial"/>
                <w:bCs/>
                <w:sz w:val="20"/>
                <w:szCs w:val="20"/>
              </w:rPr>
              <w:t>29</w:t>
            </w:r>
            <w:r w:rsidR="00F75EA0" w:rsidRPr="008A7A35">
              <w:rPr>
                <w:rFonts w:ascii="Arial" w:hAnsi="Arial" w:cs="Arial"/>
                <w:bCs/>
                <w:sz w:val="20"/>
                <w:szCs w:val="20"/>
              </w:rPr>
              <w:t>6</w:t>
            </w:r>
          </w:p>
        </w:tc>
        <w:tc>
          <w:tcPr>
            <w:tcW w:w="527" w:type="pct"/>
            <w:tcBorders>
              <w:left w:val="nil"/>
              <w:right w:val="nil"/>
            </w:tcBorders>
            <w:tcMar>
              <w:top w:w="15" w:type="dxa"/>
              <w:left w:w="69" w:type="dxa"/>
              <w:bottom w:w="0" w:type="dxa"/>
              <w:right w:w="69" w:type="dxa"/>
            </w:tcMar>
          </w:tcPr>
          <w:p w14:paraId="7291F706" w14:textId="740B915D" w:rsidR="00590232" w:rsidRPr="008A7A35" w:rsidRDefault="00A421B2" w:rsidP="00590232">
            <w:pPr>
              <w:spacing w:after="120"/>
              <w:jc w:val="center"/>
              <w:rPr>
                <w:rFonts w:ascii="Arial" w:hAnsi="Arial" w:cs="Arial"/>
                <w:sz w:val="20"/>
                <w:szCs w:val="20"/>
              </w:rPr>
            </w:pPr>
            <w:r w:rsidRPr="008A7A35">
              <w:rPr>
                <w:rFonts w:ascii="Arial" w:hAnsi="Arial" w:cs="Arial"/>
                <w:bCs/>
                <w:sz w:val="20"/>
                <w:szCs w:val="20"/>
              </w:rPr>
              <w:t>29</w:t>
            </w:r>
            <w:r w:rsidR="00F75EA0" w:rsidRPr="008A7A35">
              <w:rPr>
                <w:rFonts w:ascii="Arial" w:hAnsi="Arial" w:cs="Arial"/>
                <w:bCs/>
                <w:sz w:val="20"/>
                <w:szCs w:val="20"/>
              </w:rPr>
              <w:t>6</w:t>
            </w:r>
          </w:p>
        </w:tc>
        <w:tc>
          <w:tcPr>
            <w:tcW w:w="526" w:type="pct"/>
            <w:tcBorders>
              <w:left w:val="nil"/>
              <w:right w:val="nil"/>
            </w:tcBorders>
            <w:tcMar>
              <w:top w:w="15" w:type="dxa"/>
              <w:left w:w="69" w:type="dxa"/>
              <w:bottom w:w="0" w:type="dxa"/>
              <w:right w:w="69" w:type="dxa"/>
            </w:tcMar>
          </w:tcPr>
          <w:p w14:paraId="64BE9B3C" w14:textId="44493F04" w:rsidR="00590232" w:rsidRPr="008A7A35" w:rsidRDefault="00A421B2" w:rsidP="00590232">
            <w:pPr>
              <w:spacing w:after="120"/>
              <w:jc w:val="center"/>
              <w:rPr>
                <w:rFonts w:ascii="Arial" w:hAnsi="Arial" w:cs="Arial"/>
                <w:sz w:val="20"/>
                <w:szCs w:val="20"/>
              </w:rPr>
            </w:pPr>
            <w:r w:rsidRPr="008A7A35">
              <w:rPr>
                <w:rFonts w:ascii="Arial" w:hAnsi="Arial" w:cs="Arial"/>
                <w:bCs/>
                <w:sz w:val="20"/>
                <w:szCs w:val="20"/>
              </w:rPr>
              <w:t>20</w:t>
            </w:r>
            <w:r w:rsidR="00A013EC">
              <w:rPr>
                <w:rFonts w:ascii="Arial" w:hAnsi="Arial" w:cs="Arial"/>
                <w:bCs/>
                <w:sz w:val="20"/>
                <w:szCs w:val="20"/>
              </w:rPr>
              <w:t>0</w:t>
            </w:r>
          </w:p>
        </w:tc>
        <w:tc>
          <w:tcPr>
            <w:tcW w:w="526" w:type="pct"/>
            <w:tcBorders>
              <w:left w:val="nil"/>
              <w:right w:val="nil"/>
            </w:tcBorders>
          </w:tcPr>
          <w:p w14:paraId="7F5648F3" w14:textId="4903620E" w:rsidR="00590232" w:rsidRPr="008A7A35" w:rsidRDefault="00A421B2" w:rsidP="00590232">
            <w:pPr>
              <w:spacing w:after="120"/>
              <w:jc w:val="center"/>
              <w:rPr>
                <w:rFonts w:ascii="Arial" w:hAnsi="Arial" w:cs="Arial"/>
                <w:sz w:val="20"/>
                <w:szCs w:val="20"/>
              </w:rPr>
            </w:pPr>
            <w:r w:rsidRPr="008A7A35">
              <w:rPr>
                <w:rFonts w:ascii="Arial" w:hAnsi="Arial" w:cs="Arial"/>
                <w:bCs/>
                <w:sz w:val="20"/>
                <w:szCs w:val="20"/>
              </w:rPr>
              <w:t>5</w:t>
            </w:r>
            <w:r w:rsidR="00A013EC">
              <w:rPr>
                <w:rFonts w:ascii="Arial" w:hAnsi="Arial" w:cs="Arial"/>
                <w:bCs/>
                <w:sz w:val="20"/>
                <w:szCs w:val="20"/>
              </w:rPr>
              <w:t>9</w:t>
            </w:r>
          </w:p>
        </w:tc>
        <w:tc>
          <w:tcPr>
            <w:tcW w:w="789" w:type="pct"/>
            <w:tcBorders>
              <w:left w:val="nil"/>
              <w:right w:val="nil"/>
            </w:tcBorders>
          </w:tcPr>
          <w:p w14:paraId="2C3991A8" w14:textId="302A970B" w:rsidR="00590232" w:rsidRPr="008A7A35" w:rsidRDefault="00A421B2" w:rsidP="00590232">
            <w:pPr>
              <w:spacing w:after="120"/>
              <w:jc w:val="center"/>
              <w:rPr>
                <w:rFonts w:ascii="Arial" w:hAnsi="Arial" w:cs="Arial"/>
                <w:sz w:val="20"/>
                <w:szCs w:val="20"/>
              </w:rPr>
            </w:pPr>
            <w:r w:rsidRPr="008A7A35">
              <w:rPr>
                <w:rFonts w:ascii="Arial" w:hAnsi="Arial" w:cs="Arial"/>
                <w:bCs/>
                <w:sz w:val="20"/>
                <w:szCs w:val="20"/>
              </w:rPr>
              <w:t>259</w:t>
            </w:r>
          </w:p>
        </w:tc>
        <w:tc>
          <w:tcPr>
            <w:tcW w:w="526" w:type="pct"/>
            <w:tcBorders>
              <w:left w:val="nil"/>
              <w:right w:val="nil"/>
            </w:tcBorders>
            <w:tcMar>
              <w:top w:w="15" w:type="dxa"/>
              <w:left w:w="69" w:type="dxa"/>
              <w:bottom w:w="0" w:type="dxa"/>
              <w:right w:w="69" w:type="dxa"/>
            </w:tcMar>
          </w:tcPr>
          <w:p w14:paraId="3795ABC7" w14:textId="0064EA5E" w:rsidR="00590232" w:rsidRPr="008A7A35" w:rsidRDefault="00A421B2" w:rsidP="00590232">
            <w:pPr>
              <w:spacing w:after="120"/>
              <w:jc w:val="center"/>
              <w:rPr>
                <w:rFonts w:ascii="Arial" w:hAnsi="Arial" w:cs="Arial"/>
                <w:sz w:val="20"/>
                <w:szCs w:val="20"/>
              </w:rPr>
            </w:pPr>
            <w:r w:rsidRPr="008A7A35">
              <w:rPr>
                <w:rFonts w:ascii="Arial" w:hAnsi="Arial" w:cs="Arial"/>
                <w:bCs/>
                <w:sz w:val="20"/>
                <w:szCs w:val="20"/>
              </w:rPr>
              <w:t>0.87</w:t>
            </w:r>
            <w:r w:rsidR="00590232" w:rsidRPr="008A7A35">
              <w:rPr>
                <w:rFonts w:ascii="Arial" w:hAnsi="Arial" w:cs="Arial"/>
                <w:bCs/>
                <w:sz w:val="20"/>
                <w:szCs w:val="20"/>
              </w:rPr>
              <w:t>x</w:t>
            </w:r>
          </w:p>
        </w:tc>
        <w:tc>
          <w:tcPr>
            <w:tcW w:w="460" w:type="pct"/>
            <w:tcBorders>
              <w:left w:val="nil"/>
              <w:right w:val="nil"/>
            </w:tcBorders>
          </w:tcPr>
          <w:p w14:paraId="03EBD1A8" w14:textId="3A7FDA9C" w:rsidR="00590232" w:rsidRPr="008A7A35" w:rsidRDefault="00590232" w:rsidP="00590232">
            <w:pPr>
              <w:spacing w:after="120"/>
              <w:jc w:val="center"/>
              <w:rPr>
                <w:rFonts w:ascii="Arial" w:hAnsi="Arial" w:cs="Arial"/>
                <w:sz w:val="20"/>
                <w:szCs w:val="20"/>
              </w:rPr>
            </w:pPr>
            <w:r w:rsidRPr="008A7A35">
              <w:rPr>
                <w:rFonts w:ascii="Arial" w:hAnsi="Arial" w:cs="Arial"/>
                <w:sz w:val="20"/>
                <w:szCs w:val="20"/>
              </w:rPr>
              <w:t>0.82x</w:t>
            </w:r>
          </w:p>
        </w:tc>
      </w:tr>
      <w:tr w:rsidR="009E1B55" w:rsidRPr="008A7A35" w14:paraId="22C1E8A6" w14:textId="77777777" w:rsidTr="00391CE4">
        <w:trPr>
          <w:trHeight w:val="581"/>
        </w:trPr>
        <w:tc>
          <w:tcPr>
            <w:tcW w:w="929" w:type="pct"/>
            <w:tcBorders>
              <w:left w:val="nil"/>
              <w:bottom w:val="single" w:sz="4" w:space="0" w:color="auto"/>
              <w:right w:val="nil"/>
            </w:tcBorders>
            <w:tcMar>
              <w:top w:w="15" w:type="dxa"/>
              <w:left w:w="137" w:type="dxa"/>
              <w:bottom w:w="0" w:type="dxa"/>
              <w:right w:w="15" w:type="dxa"/>
            </w:tcMar>
          </w:tcPr>
          <w:p w14:paraId="4E97A1F1" w14:textId="4B870D1B" w:rsidR="00590232" w:rsidRPr="008A7A35" w:rsidDel="00590232" w:rsidRDefault="00590232" w:rsidP="00590232">
            <w:pPr>
              <w:spacing w:after="120"/>
              <w:rPr>
                <w:rFonts w:ascii="Arial" w:hAnsi="Arial" w:cs="Arial"/>
                <w:b/>
                <w:sz w:val="20"/>
                <w:szCs w:val="20"/>
              </w:rPr>
            </w:pPr>
            <w:r w:rsidRPr="008A7A35">
              <w:rPr>
                <w:rFonts w:ascii="Arial" w:hAnsi="Arial" w:cs="Arial"/>
                <w:b/>
                <w:sz w:val="20"/>
                <w:szCs w:val="20"/>
              </w:rPr>
              <w:t xml:space="preserve">Onyx </w:t>
            </w:r>
            <w:r w:rsidR="00AF2753">
              <w:rPr>
                <w:rFonts w:ascii="Arial" w:hAnsi="Arial" w:cs="Arial"/>
                <w:b/>
                <w:sz w:val="20"/>
                <w:szCs w:val="20"/>
              </w:rPr>
              <w:t>Power</w:t>
            </w:r>
            <w:r w:rsidRPr="008A7A35">
              <w:rPr>
                <w:rFonts w:ascii="Arial" w:hAnsi="Arial" w:cs="Arial"/>
                <w:b/>
                <w:sz w:val="20"/>
                <w:szCs w:val="20"/>
              </w:rPr>
              <w:t xml:space="preserve">            </w:t>
            </w:r>
            <w:proofErr w:type="gramStart"/>
            <w:r w:rsidRPr="008A7A35">
              <w:rPr>
                <w:rFonts w:ascii="Arial" w:hAnsi="Arial" w:cs="Arial"/>
                <w:b/>
                <w:sz w:val="20"/>
                <w:szCs w:val="20"/>
              </w:rPr>
              <w:t xml:space="preserve">   </w:t>
            </w:r>
            <w:r w:rsidRPr="008A7A35">
              <w:rPr>
                <w:rFonts w:ascii="Arial" w:hAnsi="Arial" w:cs="Arial"/>
                <w:i/>
                <w:sz w:val="20"/>
                <w:szCs w:val="20"/>
              </w:rPr>
              <w:t>(</w:t>
            </w:r>
            <w:proofErr w:type="gramEnd"/>
            <w:r w:rsidRPr="008A7A35">
              <w:rPr>
                <w:rFonts w:ascii="Arial" w:hAnsi="Arial" w:cs="Arial"/>
                <w:i/>
                <w:sz w:val="20"/>
                <w:szCs w:val="20"/>
              </w:rPr>
              <w:t>Private)</w:t>
            </w:r>
          </w:p>
        </w:tc>
        <w:tc>
          <w:tcPr>
            <w:tcW w:w="716" w:type="pct"/>
            <w:tcBorders>
              <w:left w:val="nil"/>
              <w:bottom w:val="single" w:sz="4" w:space="0" w:color="auto"/>
              <w:right w:val="nil"/>
            </w:tcBorders>
          </w:tcPr>
          <w:p w14:paraId="2A2C7404" w14:textId="55F270EF" w:rsidR="00590232" w:rsidRPr="008A7A35" w:rsidRDefault="00A421B2" w:rsidP="00590232">
            <w:pPr>
              <w:tabs>
                <w:tab w:val="left" w:pos="1152"/>
                <w:tab w:val="right" w:pos="1273"/>
              </w:tabs>
              <w:spacing w:after="120"/>
              <w:jc w:val="center"/>
              <w:rPr>
                <w:rFonts w:ascii="Arial" w:hAnsi="Arial" w:cs="Arial"/>
                <w:bCs/>
                <w:sz w:val="20"/>
                <w:szCs w:val="20"/>
              </w:rPr>
            </w:pPr>
            <w:r w:rsidRPr="008A7A35">
              <w:rPr>
                <w:rFonts w:ascii="Arial" w:hAnsi="Arial" w:cs="Arial"/>
                <w:bCs/>
                <w:sz w:val="20"/>
                <w:szCs w:val="20"/>
              </w:rPr>
              <w:t>66</w:t>
            </w:r>
          </w:p>
        </w:tc>
        <w:tc>
          <w:tcPr>
            <w:tcW w:w="527" w:type="pct"/>
            <w:tcBorders>
              <w:left w:val="nil"/>
              <w:bottom w:val="single" w:sz="4" w:space="0" w:color="auto"/>
              <w:right w:val="nil"/>
            </w:tcBorders>
            <w:tcMar>
              <w:top w:w="15" w:type="dxa"/>
              <w:left w:w="69" w:type="dxa"/>
              <w:bottom w:w="0" w:type="dxa"/>
              <w:right w:w="69" w:type="dxa"/>
            </w:tcMar>
          </w:tcPr>
          <w:p w14:paraId="066B92A7" w14:textId="50E35604"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60</w:t>
            </w:r>
          </w:p>
        </w:tc>
        <w:tc>
          <w:tcPr>
            <w:tcW w:w="526" w:type="pct"/>
            <w:tcBorders>
              <w:left w:val="nil"/>
              <w:bottom w:val="single" w:sz="4" w:space="0" w:color="auto"/>
              <w:right w:val="nil"/>
            </w:tcBorders>
            <w:tcMar>
              <w:top w:w="15" w:type="dxa"/>
              <w:left w:w="69" w:type="dxa"/>
              <w:bottom w:w="0" w:type="dxa"/>
              <w:right w:w="69" w:type="dxa"/>
            </w:tcMar>
          </w:tcPr>
          <w:p w14:paraId="67E5B1EF" w14:textId="3C67C573"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121</w:t>
            </w:r>
          </w:p>
        </w:tc>
        <w:tc>
          <w:tcPr>
            <w:tcW w:w="526" w:type="pct"/>
            <w:tcBorders>
              <w:left w:val="nil"/>
              <w:bottom w:val="single" w:sz="4" w:space="0" w:color="auto"/>
              <w:right w:val="nil"/>
            </w:tcBorders>
          </w:tcPr>
          <w:p w14:paraId="71E81089" w14:textId="740E9920"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46</w:t>
            </w:r>
          </w:p>
        </w:tc>
        <w:tc>
          <w:tcPr>
            <w:tcW w:w="789" w:type="pct"/>
            <w:tcBorders>
              <w:left w:val="nil"/>
              <w:bottom w:val="single" w:sz="4" w:space="0" w:color="auto"/>
              <w:right w:val="nil"/>
            </w:tcBorders>
          </w:tcPr>
          <w:p w14:paraId="6ECF5B7E" w14:textId="6F156459"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167</w:t>
            </w:r>
          </w:p>
        </w:tc>
        <w:tc>
          <w:tcPr>
            <w:tcW w:w="526" w:type="pct"/>
            <w:tcBorders>
              <w:left w:val="nil"/>
              <w:bottom w:val="single" w:sz="4" w:space="0" w:color="auto"/>
              <w:right w:val="nil"/>
            </w:tcBorders>
            <w:tcMar>
              <w:top w:w="15" w:type="dxa"/>
              <w:left w:w="69" w:type="dxa"/>
              <w:bottom w:w="0" w:type="dxa"/>
              <w:right w:w="69" w:type="dxa"/>
            </w:tcMar>
          </w:tcPr>
          <w:p w14:paraId="23F5D734" w14:textId="22B790C3" w:rsidR="00590232" w:rsidRPr="008A7A35" w:rsidRDefault="00A421B2" w:rsidP="00590232">
            <w:pPr>
              <w:spacing w:after="120"/>
              <w:jc w:val="center"/>
              <w:rPr>
                <w:rFonts w:ascii="Arial" w:hAnsi="Arial" w:cs="Arial"/>
                <w:bCs/>
                <w:sz w:val="20"/>
                <w:szCs w:val="20"/>
              </w:rPr>
            </w:pPr>
            <w:r w:rsidRPr="008A7A35">
              <w:rPr>
                <w:rFonts w:ascii="Arial" w:hAnsi="Arial" w:cs="Arial"/>
                <w:bCs/>
                <w:sz w:val="20"/>
                <w:szCs w:val="20"/>
              </w:rPr>
              <w:t>2.80</w:t>
            </w:r>
            <w:r w:rsidR="00590232" w:rsidRPr="008A7A35">
              <w:rPr>
                <w:rFonts w:ascii="Arial" w:hAnsi="Arial" w:cs="Arial"/>
                <w:bCs/>
                <w:sz w:val="20"/>
                <w:szCs w:val="20"/>
              </w:rPr>
              <w:t>x</w:t>
            </w:r>
          </w:p>
        </w:tc>
        <w:tc>
          <w:tcPr>
            <w:tcW w:w="460" w:type="pct"/>
            <w:tcBorders>
              <w:left w:val="nil"/>
              <w:bottom w:val="single" w:sz="4" w:space="0" w:color="auto"/>
              <w:right w:val="nil"/>
            </w:tcBorders>
          </w:tcPr>
          <w:p w14:paraId="294DA50F" w14:textId="0B28A245" w:rsidR="00590232" w:rsidRPr="008A7A35" w:rsidRDefault="00590232" w:rsidP="00590232">
            <w:pPr>
              <w:spacing w:after="120"/>
              <w:jc w:val="center"/>
              <w:rPr>
                <w:rFonts w:ascii="Arial" w:hAnsi="Arial" w:cs="Arial"/>
                <w:sz w:val="20"/>
                <w:szCs w:val="20"/>
              </w:rPr>
            </w:pPr>
            <w:r w:rsidRPr="008A7A35">
              <w:rPr>
                <w:rFonts w:ascii="Arial" w:hAnsi="Arial" w:cs="Arial"/>
                <w:sz w:val="20"/>
                <w:szCs w:val="20"/>
              </w:rPr>
              <w:t>2.80</w:t>
            </w:r>
            <w:r w:rsidRPr="008A7A35">
              <w:rPr>
                <w:rFonts w:ascii="Arial" w:hAnsi="Arial" w:cs="Arial"/>
                <w:bCs/>
                <w:sz w:val="20"/>
                <w:szCs w:val="20"/>
              </w:rPr>
              <w:t>x</w:t>
            </w:r>
          </w:p>
        </w:tc>
      </w:tr>
      <w:tr w:rsidR="009E1B55" w:rsidRPr="008A7A35" w14:paraId="06D3E110" w14:textId="77777777" w:rsidTr="00391CE4">
        <w:trPr>
          <w:trHeight w:val="447"/>
        </w:trPr>
        <w:tc>
          <w:tcPr>
            <w:tcW w:w="929" w:type="pct"/>
            <w:tcBorders>
              <w:top w:val="single" w:sz="4" w:space="0" w:color="auto"/>
              <w:left w:val="nil"/>
              <w:bottom w:val="single" w:sz="4" w:space="0" w:color="auto"/>
              <w:right w:val="nil"/>
            </w:tcBorders>
            <w:tcMar>
              <w:top w:w="15" w:type="dxa"/>
              <w:left w:w="137" w:type="dxa"/>
              <w:bottom w:w="0" w:type="dxa"/>
              <w:right w:w="15" w:type="dxa"/>
            </w:tcMar>
          </w:tcPr>
          <w:p w14:paraId="313B210F" w14:textId="77777777" w:rsidR="00590232" w:rsidRPr="008A7A35" w:rsidRDefault="00590232" w:rsidP="00590232">
            <w:pPr>
              <w:spacing w:after="120"/>
              <w:rPr>
                <w:rFonts w:ascii="Arial" w:hAnsi="Arial" w:cs="Arial"/>
                <w:b/>
                <w:i/>
                <w:sz w:val="20"/>
                <w:szCs w:val="20"/>
                <w:vertAlign w:val="superscript"/>
              </w:rPr>
            </w:pPr>
            <w:r w:rsidRPr="008A7A35">
              <w:rPr>
                <w:rFonts w:ascii="Arial" w:hAnsi="Arial" w:cs="Arial"/>
                <w:b/>
                <w:sz w:val="20"/>
                <w:szCs w:val="20"/>
              </w:rPr>
              <w:t xml:space="preserve">Total Current Portfolio - Conventional – </w:t>
            </w:r>
            <w:proofErr w:type="gramStart"/>
            <w:r w:rsidRPr="008A7A35">
              <w:rPr>
                <w:rFonts w:ascii="Arial" w:hAnsi="Arial" w:cs="Arial"/>
                <w:b/>
                <w:sz w:val="20"/>
                <w:szCs w:val="20"/>
              </w:rPr>
              <w:t>Public</w:t>
            </w:r>
            <w:r w:rsidRPr="008A7A35">
              <w:rPr>
                <w:rFonts w:ascii="Arial" w:hAnsi="Arial" w:cs="Arial"/>
                <w:b/>
                <w:sz w:val="20"/>
                <w:szCs w:val="20"/>
                <w:vertAlign w:val="superscript"/>
              </w:rPr>
              <w:t>(</w:t>
            </w:r>
            <w:proofErr w:type="gramEnd"/>
            <w:r w:rsidRPr="008A7A35">
              <w:rPr>
                <w:rFonts w:ascii="Arial" w:hAnsi="Arial" w:cs="Arial"/>
                <w:b/>
                <w:sz w:val="20"/>
                <w:szCs w:val="20"/>
                <w:vertAlign w:val="superscript"/>
              </w:rPr>
              <w:t>3)</w:t>
            </w:r>
          </w:p>
        </w:tc>
        <w:tc>
          <w:tcPr>
            <w:tcW w:w="716" w:type="pct"/>
            <w:tcBorders>
              <w:top w:val="single" w:sz="4" w:space="0" w:color="auto"/>
              <w:left w:val="nil"/>
              <w:bottom w:val="single" w:sz="4" w:space="0" w:color="auto"/>
              <w:right w:val="nil"/>
            </w:tcBorders>
          </w:tcPr>
          <w:p w14:paraId="447004E8" w14:textId="6B8C2CEC"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564</w:t>
            </w:r>
          </w:p>
        </w:tc>
        <w:tc>
          <w:tcPr>
            <w:tcW w:w="527" w:type="pct"/>
            <w:tcBorders>
              <w:top w:val="single" w:sz="4" w:space="0" w:color="auto"/>
              <w:left w:val="nil"/>
              <w:bottom w:val="single" w:sz="4" w:space="0" w:color="auto"/>
              <w:right w:val="nil"/>
            </w:tcBorders>
            <w:tcMar>
              <w:top w:w="15" w:type="dxa"/>
              <w:left w:w="69" w:type="dxa"/>
              <w:bottom w:w="0" w:type="dxa"/>
              <w:right w:w="69" w:type="dxa"/>
            </w:tcMar>
          </w:tcPr>
          <w:p w14:paraId="18790490" w14:textId="66B450A1" w:rsidR="00590232" w:rsidRPr="008A7A35" w:rsidRDefault="00590232" w:rsidP="00590232">
            <w:pPr>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564</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75B0B857" w14:textId="21D5989E" w:rsidR="00590232" w:rsidRPr="008A7A35" w:rsidRDefault="00590232" w:rsidP="00590232">
            <w:pPr>
              <w:spacing w:after="120"/>
              <w:jc w:val="center"/>
              <w:rPr>
                <w:rFonts w:ascii="Arial" w:hAnsi="Arial" w:cs="Arial"/>
                <w:b/>
                <w:bCs/>
                <w:color w:val="000000"/>
                <w:sz w:val="20"/>
                <w:szCs w:val="20"/>
              </w:rPr>
            </w:pPr>
            <w:r w:rsidRPr="008A7A35">
              <w:rPr>
                <w:rFonts w:ascii="Arial" w:hAnsi="Arial" w:cs="Arial"/>
                <w:b/>
                <w:bCs/>
                <w:sz w:val="20"/>
                <w:szCs w:val="20"/>
              </w:rPr>
              <w:t>$</w:t>
            </w:r>
            <w:r w:rsidR="00F75EA0" w:rsidRPr="008A7A35">
              <w:rPr>
                <w:rFonts w:ascii="Arial" w:hAnsi="Arial" w:cs="Arial"/>
                <w:b/>
                <w:bCs/>
                <w:sz w:val="20"/>
                <w:szCs w:val="20"/>
              </w:rPr>
              <w:t>43</w:t>
            </w:r>
            <w:r w:rsidR="00A013EC">
              <w:rPr>
                <w:rFonts w:ascii="Arial" w:hAnsi="Arial" w:cs="Arial"/>
                <w:b/>
                <w:bCs/>
                <w:sz w:val="20"/>
                <w:szCs w:val="20"/>
              </w:rPr>
              <w:t>5</w:t>
            </w:r>
          </w:p>
        </w:tc>
        <w:tc>
          <w:tcPr>
            <w:tcW w:w="526" w:type="pct"/>
            <w:tcBorders>
              <w:top w:val="single" w:sz="4" w:space="0" w:color="auto"/>
              <w:left w:val="nil"/>
              <w:bottom w:val="single" w:sz="4" w:space="0" w:color="auto"/>
              <w:right w:val="nil"/>
            </w:tcBorders>
          </w:tcPr>
          <w:p w14:paraId="179CCC02" w14:textId="1A4C9D99" w:rsidR="00590232" w:rsidRPr="008A7A35" w:rsidRDefault="00590232" w:rsidP="00590232">
            <w:pPr>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19</w:t>
            </w:r>
            <w:r w:rsidR="00A013EC">
              <w:rPr>
                <w:rFonts w:ascii="Arial" w:hAnsi="Arial" w:cs="Arial"/>
                <w:b/>
                <w:bCs/>
                <w:sz w:val="20"/>
                <w:szCs w:val="20"/>
              </w:rPr>
              <w:t>6</w:t>
            </w:r>
          </w:p>
        </w:tc>
        <w:tc>
          <w:tcPr>
            <w:tcW w:w="789" w:type="pct"/>
            <w:tcBorders>
              <w:top w:val="single" w:sz="4" w:space="0" w:color="auto"/>
              <w:left w:val="nil"/>
              <w:bottom w:val="single" w:sz="4" w:space="0" w:color="auto"/>
              <w:right w:val="nil"/>
            </w:tcBorders>
          </w:tcPr>
          <w:p w14:paraId="754B1981" w14:textId="71A6D74C" w:rsidR="00590232" w:rsidRPr="008A7A35" w:rsidRDefault="00590232" w:rsidP="00590232">
            <w:pPr>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631</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5D1E4D37" w14:textId="40864603" w:rsidR="00590232" w:rsidRPr="008A7A35" w:rsidRDefault="00F75EA0" w:rsidP="00590232">
            <w:pPr>
              <w:spacing w:after="120"/>
              <w:jc w:val="center"/>
              <w:rPr>
                <w:rFonts w:ascii="Arial" w:hAnsi="Arial" w:cs="Arial"/>
                <w:b/>
                <w:sz w:val="20"/>
                <w:szCs w:val="20"/>
              </w:rPr>
            </w:pPr>
            <w:r w:rsidRPr="008A7A35">
              <w:rPr>
                <w:rFonts w:ascii="Arial" w:hAnsi="Arial" w:cs="Arial"/>
                <w:b/>
                <w:bCs/>
                <w:sz w:val="20"/>
                <w:szCs w:val="20"/>
              </w:rPr>
              <w:t>1.12</w:t>
            </w:r>
            <w:r w:rsidR="00590232" w:rsidRPr="008A7A35">
              <w:rPr>
                <w:rFonts w:ascii="Arial" w:hAnsi="Arial" w:cs="Arial"/>
                <w:b/>
                <w:sz w:val="20"/>
                <w:szCs w:val="20"/>
              </w:rPr>
              <w:t>x</w:t>
            </w:r>
          </w:p>
        </w:tc>
        <w:tc>
          <w:tcPr>
            <w:tcW w:w="460" w:type="pct"/>
            <w:tcBorders>
              <w:top w:val="single" w:sz="4" w:space="0" w:color="auto"/>
              <w:left w:val="nil"/>
              <w:bottom w:val="single" w:sz="4" w:space="0" w:color="auto"/>
              <w:right w:val="nil"/>
            </w:tcBorders>
          </w:tcPr>
          <w:p w14:paraId="6E8531C9" w14:textId="77777777" w:rsidR="00590232" w:rsidRPr="008A7A35" w:rsidRDefault="00590232" w:rsidP="00590232">
            <w:pPr>
              <w:spacing w:after="120"/>
              <w:jc w:val="center"/>
              <w:rPr>
                <w:rFonts w:ascii="Arial" w:hAnsi="Arial" w:cs="Arial"/>
                <w:b/>
                <w:sz w:val="20"/>
                <w:szCs w:val="20"/>
              </w:rPr>
            </w:pPr>
            <w:r w:rsidRPr="008A7A35">
              <w:rPr>
                <w:rFonts w:ascii="Arial" w:hAnsi="Arial" w:cs="Arial"/>
                <w:b/>
                <w:sz w:val="20"/>
                <w:szCs w:val="20"/>
              </w:rPr>
              <w:t>1.10x</w:t>
            </w:r>
          </w:p>
        </w:tc>
      </w:tr>
      <w:tr w:rsidR="009E1B55" w:rsidRPr="008A7A35" w14:paraId="2BD94D45" w14:textId="77777777" w:rsidTr="00391CE4">
        <w:trPr>
          <w:trHeight w:val="447"/>
        </w:trPr>
        <w:tc>
          <w:tcPr>
            <w:tcW w:w="929" w:type="pct"/>
            <w:tcBorders>
              <w:top w:val="single" w:sz="4" w:space="0" w:color="auto"/>
              <w:left w:val="nil"/>
              <w:bottom w:val="single" w:sz="4" w:space="0" w:color="auto"/>
              <w:right w:val="nil"/>
            </w:tcBorders>
            <w:tcMar>
              <w:top w:w="15" w:type="dxa"/>
              <w:left w:w="137" w:type="dxa"/>
              <w:bottom w:w="0" w:type="dxa"/>
              <w:right w:w="15" w:type="dxa"/>
            </w:tcMar>
          </w:tcPr>
          <w:p w14:paraId="096DCBCD" w14:textId="77777777" w:rsidR="00590232" w:rsidRPr="008A7A35" w:rsidRDefault="00590232" w:rsidP="00590232">
            <w:pPr>
              <w:spacing w:after="120"/>
              <w:rPr>
                <w:rFonts w:ascii="Arial" w:hAnsi="Arial" w:cs="Arial"/>
                <w:b/>
                <w:sz w:val="20"/>
                <w:szCs w:val="20"/>
              </w:rPr>
            </w:pPr>
            <w:r w:rsidRPr="008A7A35">
              <w:rPr>
                <w:rFonts w:ascii="Arial" w:hAnsi="Arial" w:cs="Arial"/>
                <w:b/>
                <w:sz w:val="20"/>
                <w:szCs w:val="20"/>
              </w:rPr>
              <w:t xml:space="preserve">Total Current Portfolio - Conventional – </w:t>
            </w:r>
            <w:proofErr w:type="gramStart"/>
            <w:r w:rsidRPr="008A7A35">
              <w:rPr>
                <w:rFonts w:ascii="Arial" w:hAnsi="Arial" w:cs="Arial"/>
                <w:b/>
                <w:sz w:val="20"/>
                <w:szCs w:val="20"/>
              </w:rPr>
              <w:t>Private</w:t>
            </w:r>
            <w:r w:rsidRPr="008A7A35">
              <w:rPr>
                <w:rFonts w:ascii="Arial" w:hAnsi="Arial" w:cs="Arial"/>
                <w:b/>
                <w:sz w:val="20"/>
                <w:szCs w:val="20"/>
                <w:vertAlign w:val="superscript"/>
              </w:rPr>
              <w:t>(</w:t>
            </w:r>
            <w:proofErr w:type="gramEnd"/>
            <w:r w:rsidRPr="008A7A35">
              <w:rPr>
                <w:rFonts w:ascii="Arial" w:hAnsi="Arial" w:cs="Arial"/>
                <w:b/>
                <w:sz w:val="20"/>
                <w:szCs w:val="20"/>
                <w:vertAlign w:val="superscript"/>
              </w:rPr>
              <w:t>3)</w:t>
            </w:r>
          </w:p>
        </w:tc>
        <w:tc>
          <w:tcPr>
            <w:tcW w:w="716" w:type="pct"/>
            <w:tcBorders>
              <w:top w:val="single" w:sz="4" w:space="0" w:color="auto"/>
              <w:left w:val="nil"/>
              <w:bottom w:val="single" w:sz="4" w:space="0" w:color="auto"/>
              <w:right w:val="nil"/>
            </w:tcBorders>
          </w:tcPr>
          <w:p w14:paraId="543038A9" w14:textId="6B79A460"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66</w:t>
            </w:r>
          </w:p>
        </w:tc>
        <w:tc>
          <w:tcPr>
            <w:tcW w:w="527" w:type="pct"/>
            <w:tcBorders>
              <w:top w:val="single" w:sz="4" w:space="0" w:color="auto"/>
              <w:left w:val="nil"/>
              <w:bottom w:val="single" w:sz="4" w:space="0" w:color="auto"/>
              <w:right w:val="nil"/>
            </w:tcBorders>
            <w:tcMar>
              <w:top w:w="15" w:type="dxa"/>
              <w:left w:w="69" w:type="dxa"/>
              <w:bottom w:w="0" w:type="dxa"/>
              <w:right w:w="69" w:type="dxa"/>
            </w:tcMar>
          </w:tcPr>
          <w:p w14:paraId="58FA8648" w14:textId="0E3CAF31"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60</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1DFE5EA9" w14:textId="7915E1BA"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121</w:t>
            </w:r>
          </w:p>
        </w:tc>
        <w:tc>
          <w:tcPr>
            <w:tcW w:w="526" w:type="pct"/>
            <w:tcBorders>
              <w:top w:val="single" w:sz="4" w:space="0" w:color="auto"/>
              <w:left w:val="nil"/>
              <w:bottom w:val="single" w:sz="4" w:space="0" w:color="auto"/>
              <w:right w:val="nil"/>
            </w:tcBorders>
          </w:tcPr>
          <w:p w14:paraId="42823F74" w14:textId="58548217"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46</w:t>
            </w:r>
          </w:p>
        </w:tc>
        <w:tc>
          <w:tcPr>
            <w:tcW w:w="789" w:type="pct"/>
            <w:tcBorders>
              <w:top w:val="single" w:sz="4" w:space="0" w:color="auto"/>
              <w:left w:val="nil"/>
              <w:bottom w:val="single" w:sz="4" w:space="0" w:color="auto"/>
              <w:right w:val="nil"/>
            </w:tcBorders>
          </w:tcPr>
          <w:p w14:paraId="19C9189D" w14:textId="1C917DEE"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167</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52C1FFD9" w14:textId="5D74CB2E" w:rsidR="00590232" w:rsidRPr="008A7A35" w:rsidRDefault="00F75EA0" w:rsidP="00590232">
            <w:pPr>
              <w:spacing w:after="120"/>
              <w:jc w:val="center"/>
              <w:rPr>
                <w:rFonts w:ascii="Arial" w:hAnsi="Arial" w:cs="Arial"/>
                <w:b/>
                <w:sz w:val="20"/>
                <w:szCs w:val="20"/>
              </w:rPr>
            </w:pPr>
            <w:r w:rsidRPr="008A7A35">
              <w:rPr>
                <w:rFonts w:ascii="Arial" w:hAnsi="Arial" w:cs="Arial"/>
                <w:b/>
                <w:bCs/>
                <w:sz w:val="20"/>
                <w:szCs w:val="20"/>
              </w:rPr>
              <w:t>2.80</w:t>
            </w:r>
            <w:r w:rsidR="00590232" w:rsidRPr="008A7A35">
              <w:rPr>
                <w:rFonts w:ascii="Arial" w:hAnsi="Arial" w:cs="Arial"/>
                <w:b/>
                <w:sz w:val="20"/>
                <w:szCs w:val="20"/>
              </w:rPr>
              <w:t>x</w:t>
            </w:r>
          </w:p>
        </w:tc>
        <w:tc>
          <w:tcPr>
            <w:tcW w:w="460" w:type="pct"/>
            <w:tcBorders>
              <w:top w:val="single" w:sz="4" w:space="0" w:color="auto"/>
              <w:left w:val="nil"/>
              <w:bottom w:val="single" w:sz="4" w:space="0" w:color="auto"/>
              <w:right w:val="nil"/>
            </w:tcBorders>
          </w:tcPr>
          <w:p w14:paraId="7781063D" w14:textId="6F4259D3" w:rsidR="00590232" w:rsidRPr="008A7A35" w:rsidRDefault="00590232" w:rsidP="00590232">
            <w:pPr>
              <w:spacing w:after="120"/>
              <w:jc w:val="center"/>
              <w:rPr>
                <w:rFonts w:ascii="Arial" w:hAnsi="Arial" w:cs="Arial"/>
                <w:b/>
                <w:sz w:val="20"/>
                <w:szCs w:val="20"/>
              </w:rPr>
            </w:pPr>
            <w:r w:rsidRPr="008A7A35">
              <w:rPr>
                <w:rFonts w:ascii="Arial" w:hAnsi="Arial" w:cs="Arial"/>
                <w:b/>
                <w:sz w:val="20"/>
                <w:szCs w:val="20"/>
              </w:rPr>
              <w:t>2.80x</w:t>
            </w:r>
          </w:p>
        </w:tc>
      </w:tr>
      <w:tr w:rsidR="009E1B55" w:rsidRPr="008A7A35" w14:paraId="13692D57" w14:textId="77777777" w:rsidTr="00391CE4">
        <w:trPr>
          <w:trHeight w:val="447"/>
        </w:trPr>
        <w:tc>
          <w:tcPr>
            <w:tcW w:w="929" w:type="pct"/>
            <w:tcBorders>
              <w:top w:val="single" w:sz="4" w:space="0" w:color="auto"/>
              <w:left w:val="nil"/>
              <w:bottom w:val="single" w:sz="4" w:space="0" w:color="auto"/>
              <w:right w:val="nil"/>
            </w:tcBorders>
            <w:tcMar>
              <w:top w:w="15" w:type="dxa"/>
              <w:left w:w="137" w:type="dxa"/>
              <w:bottom w:w="0" w:type="dxa"/>
              <w:right w:w="15" w:type="dxa"/>
            </w:tcMar>
          </w:tcPr>
          <w:p w14:paraId="4A761453" w14:textId="77777777" w:rsidR="00590232" w:rsidRPr="008A7A35" w:rsidRDefault="00590232" w:rsidP="00590232">
            <w:pPr>
              <w:spacing w:after="120"/>
              <w:rPr>
                <w:rFonts w:ascii="Arial" w:hAnsi="Arial" w:cs="Arial"/>
                <w:b/>
                <w:sz w:val="20"/>
                <w:szCs w:val="20"/>
              </w:rPr>
            </w:pPr>
            <w:r w:rsidRPr="008A7A35">
              <w:rPr>
                <w:rFonts w:ascii="Arial" w:hAnsi="Arial" w:cs="Arial"/>
                <w:b/>
                <w:sz w:val="20"/>
                <w:szCs w:val="20"/>
              </w:rPr>
              <w:t xml:space="preserve">Total Current Portfolio - Conventional – Public &amp; </w:t>
            </w:r>
            <w:proofErr w:type="gramStart"/>
            <w:r w:rsidRPr="008A7A35">
              <w:rPr>
                <w:rFonts w:ascii="Arial" w:hAnsi="Arial" w:cs="Arial"/>
                <w:b/>
                <w:sz w:val="20"/>
                <w:szCs w:val="20"/>
              </w:rPr>
              <w:t>Private</w:t>
            </w:r>
            <w:r w:rsidRPr="008A7A35">
              <w:rPr>
                <w:rFonts w:ascii="Arial" w:hAnsi="Arial" w:cs="Arial"/>
                <w:b/>
                <w:sz w:val="20"/>
                <w:szCs w:val="20"/>
                <w:vertAlign w:val="superscript"/>
              </w:rPr>
              <w:t>(</w:t>
            </w:r>
            <w:proofErr w:type="gramEnd"/>
            <w:r w:rsidRPr="008A7A35">
              <w:rPr>
                <w:rFonts w:ascii="Arial" w:hAnsi="Arial" w:cs="Arial"/>
                <w:b/>
                <w:sz w:val="20"/>
                <w:szCs w:val="20"/>
                <w:vertAlign w:val="superscript"/>
              </w:rPr>
              <w:t>3)</w:t>
            </w:r>
          </w:p>
        </w:tc>
        <w:tc>
          <w:tcPr>
            <w:tcW w:w="716" w:type="pct"/>
            <w:tcBorders>
              <w:top w:val="single" w:sz="4" w:space="0" w:color="auto"/>
              <w:left w:val="nil"/>
              <w:bottom w:val="single" w:sz="4" w:space="0" w:color="auto"/>
              <w:right w:val="nil"/>
            </w:tcBorders>
          </w:tcPr>
          <w:p w14:paraId="2EF6A033" w14:textId="5370DAAC"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630</w:t>
            </w:r>
          </w:p>
        </w:tc>
        <w:tc>
          <w:tcPr>
            <w:tcW w:w="527" w:type="pct"/>
            <w:tcBorders>
              <w:top w:val="single" w:sz="4" w:space="0" w:color="auto"/>
              <w:left w:val="nil"/>
              <w:bottom w:val="single" w:sz="4" w:space="0" w:color="auto"/>
              <w:right w:val="nil"/>
            </w:tcBorders>
            <w:tcMar>
              <w:top w:w="15" w:type="dxa"/>
              <w:left w:w="69" w:type="dxa"/>
              <w:bottom w:w="0" w:type="dxa"/>
              <w:right w:w="69" w:type="dxa"/>
            </w:tcMar>
          </w:tcPr>
          <w:p w14:paraId="466C9B85" w14:textId="306B54EF"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624</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4F9712BC" w14:textId="0846B2E7"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55</w:t>
            </w:r>
            <w:r w:rsidR="00A013EC">
              <w:rPr>
                <w:rFonts w:ascii="Arial" w:hAnsi="Arial" w:cs="Arial"/>
                <w:b/>
                <w:bCs/>
                <w:sz w:val="20"/>
                <w:szCs w:val="20"/>
              </w:rPr>
              <w:t>6</w:t>
            </w:r>
          </w:p>
        </w:tc>
        <w:tc>
          <w:tcPr>
            <w:tcW w:w="526" w:type="pct"/>
            <w:tcBorders>
              <w:top w:val="single" w:sz="4" w:space="0" w:color="auto"/>
              <w:left w:val="nil"/>
              <w:bottom w:val="single" w:sz="4" w:space="0" w:color="auto"/>
              <w:right w:val="nil"/>
            </w:tcBorders>
          </w:tcPr>
          <w:p w14:paraId="71B692D5" w14:textId="1B4A03DD"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24</w:t>
            </w:r>
            <w:r w:rsidR="00A013EC">
              <w:rPr>
                <w:rFonts w:ascii="Arial" w:hAnsi="Arial" w:cs="Arial"/>
                <w:b/>
                <w:bCs/>
                <w:sz w:val="20"/>
                <w:szCs w:val="20"/>
              </w:rPr>
              <w:t>2</w:t>
            </w:r>
          </w:p>
        </w:tc>
        <w:tc>
          <w:tcPr>
            <w:tcW w:w="789" w:type="pct"/>
            <w:tcBorders>
              <w:top w:val="single" w:sz="4" w:space="0" w:color="auto"/>
              <w:left w:val="nil"/>
              <w:bottom w:val="single" w:sz="4" w:space="0" w:color="auto"/>
              <w:right w:val="nil"/>
            </w:tcBorders>
          </w:tcPr>
          <w:p w14:paraId="042BDBBC" w14:textId="0F2CAF5B" w:rsidR="00590232" w:rsidRPr="008A7A35" w:rsidRDefault="00590232" w:rsidP="00590232">
            <w:pPr>
              <w:tabs>
                <w:tab w:val="left" w:pos="1152"/>
                <w:tab w:val="right" w:pos="1273"/>
              </w:tabs>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bCs/>
                <w:sz w:val="20"/>
                <w:szCs w:val="20"/>
              </w:rPr>
              <w:t>798</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21997392" w14:textId="20FF2ECC" w:rsidR="00590232" w:rsidRPr="008A7A35" w:rsidRDefault="00F75EA0" w:rsidP="00590232">
            <w:pPr>
              <w:spacing w:after="120"/>
              <w:jc w:val="center"/>
              <w:rPr>
                <w:rFonts w:ascii="Arial" w:hAnsi="Arial" w:cs="Arial"/>
                <w:b/>
                <w:sz w:val="20"/>
                <w:szCs w:val="20"/>
              </w:rPr>
            </w:pPr>
            <w:r w:rsidRPr="008A7A35">
              <w:rPr>
                <w:rFonts w:ascii="Arial" w:hAnsi="Arial" w:cs="Arial"/>
                <w:b/>
                <w:bCs/>
                <w:sz w:val="20"/>
                <w:szCs w:val="20"/>
              </w:rPr>
              <w:t>1.28</w:t>
            </w:r>
            <w:r w:rsidR="00590232" w:rsidRPr="008A7A35">
              <w:rPr>
                <w:rFonts w:ascii="Arial" w:hAnsi="Arial" w:cs="Arial"/>
                <w:b/>
                <w:sz w:val="20"/>
                <w:szCs w:val="20"/>
              </w:rPr>
              <w:t>x</w:t>
            </w:r>
          </w:p>
        </w:tc>
        <w:tc>
          <w:tcPr>
            <w:tcW w:w="460" w:type="pct"/>
            <w:tcBorders>
              <w:top w:val="single" w:sz="4" w:space="0" w:color="auto"/>
              <w:left w:val="nil"/>
              <w:bottom w:val="single" w:sz="4" w:space="0" w:color="auto"/>
              <w:right w:val="nil"/>
            </w:tcBorders>
          </w:tcPr>
          <w:p w14:paraId="16F36B54" w14:textId="78B31E46" w:rsidR="00590232" w:rsidRPr="008A7A35" w:rsidRDefault="00590232" w:rsidP="00590232">
            <w:pPr>
              <w:spacing w:after="120"/>
              <w:jc w:val="center"/>
              <w:rPr>
                <w:rFonts w:ascii="Arial" w:hAnsi="Arial" w:cs="Arial"/>
                <w:b/>
                <w:sz w:val="20"/>
                <w:szCs w:val="20"/>
              </w:rPr>
            </w:pPr>
            <w:r w:rsidRPr="008A7A35">
              <w:rPr>
                <w:rFonts w:ascii="Arial" w:hAnsi="Arial" w:cs="Arial"/>
                <w:b/>
                <w:sz w:val="20"/>
                <w:szCs w:val="20"/>
              </w:rPr>
              <w:t>1.26x</w:t>
            </w:r>
          </w:p>
        </w:tc>
      </w:tr>
    </w:tbl>
    <w:p w14:paraId="44FD2272" w14:textId="77777777" w:rsidR="006F2696" w:rsidRPr="008A7A35" w:rsidRDefault="006F2696" w:rsidP="006F2696">
      <w:pPr>
        <w:jc w:val="both"/>
        <w:rPr>
          <w:rFonts w:ascii="Arial" w:eastAsia="Calibri" w:hAnsi="Arial" w:cs="Arial"/>
          <w:sz w:val="20"/>
          <w:szCs w:val="20"/>
        </w:rPr>
      </w:pPr>
    </w:p>
    <w:p w14:paraId="3E1F3FF6" w14:textId="77777777" w:rsidR="006F2696" w:rsidRPr="008A7A35" w:rsidRDefault="006F2696" w:rsidP="006F2696">
      <w:pPr>
        <w:jc w:val="both"/>
        <w:rPr>
          <w:rFonts w:ascii="Arial" w:eastAsia="Calibri" w:hAnsi="Arial" w:cs="Arial"/>
          <w:sz w:val="20"/>
          <w:szCs w:val="20"/>
        </w:rPr>
      </w:pPr>
    </w:p>
    <w:p w14:paraId="4FE5A452" w14:textId="0A9D5F4A" w:rsidR="006F2696" w:rsidRPr="008A7A35" w:rsidRDefault="006F2696" w:rsidP="006F2696">
      <w:pPr>
        <w:jc w:val="both"/>
        <w:rPr>
          <w:rFonts w:ascii="Arial" w:hAnsi="Arial" w:cs="Arial"/>
          <w:b/>
          <w:sz w:val="20"/>
          <w:szCs w:val="20"/>
          <w:lang w:val="en-US"/>
        </w:rPr>
      </w:pPr>
      <w:r w:rsidRPr="008A7A35">
        <w:rPr>
          <w:rFonts w:ascii="Arial" w:hAnsi="Arial" w:cs="Arial"/>
          <w:b/>
          <w:sz w:val="20"/>
          <w:szCs w:val="20"/>
          <w:lang w:val="en-US"/>
        </w:rPr>
        <w:lastRenderedPageBreak/>
        <w:t xml:space="preserve">Current Portfolio – </w:t>
      </w:r>
      <w:proofErr w:type="gramStart"/>
      <w:r w:rsidRPr="008A7A35">
        <w:rPr>
          <w:rFonts w:ascii="Arial" w:hAnsi="Arial" w:cs="Arial"/>
          <w:b/>
          <w:sz w:val="20"/>
          <w:szCs w:val="20"/>
          <w:lang w:val="en-US"/>
        </w:rPr>
        <w:t>Decarbonisation</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1</w:t>
      </w:r>
      <w:r w:rsidR="00EA15CD" w:rsidRPr="008A7A35">
        <w:rPr>
          <w:rFonts w:ascii="Arial" w:hAnsi="Arial" w:cs="Arial"/>
          <w:b/>
          <w:bCs/>
          <w:sz w:val="20"/>
          <w:szCs w:val="20"/>
          <w:vertAlign w:val="superscript"/>
        </w:rPr>
        <w:t>2</w:t>
      </w:r>
      <w:r w:rsidRPr="008A7A35">
        <w:rPr>
          <w:rFonts w:ascii="Arial" w:hAnsi="Arial" w:cs="Arial"/>
          <w:b/>
          <w:bCs/>
          <w:sz w:val="20"/>
          <w:szCs w:val="20"/>
          <w:vertAlign w:val="superscript"/>
        </w:rPr>
        <w:t>)</w:t>
      </w:r>
    </w:p>
    <w:p w14:paraId="37DDC378" w14:textId="77777777" w:rsidR="006F2696" w:rsidRPr="008A7A35" w:rsidRDefault="006F2696" w:rsidP="006F2696">
      <w:pPr>
        <w:jc w:val="both"/>
        <w:rPr>
          <w:rFonts w:ascii="Arial" w:hAnsi="Arial" w:cs="Arial"/>
          <w:b/>
          <w:sz w:val="20"/>
          <w:szCs w:val="20"/>
        </w:rPr>
      </w:pPr>
    </w:p>
    <w:tbl>
      <w:tblPr>
        <w:tblW w:w="5507" w:type="pct"/>
        <w:tblInd w:w="-567" w:type="dxa"/>
        <w:tblLayout w:type="fixed"/>
        <w:tblCellMar>
          <w:left w:w="0" w:type="dxa"/>
          <w:right w:w="0" w:type="dxa"/>
        </w:tblCellMar>
        <w:tblLook w:val="0420" w:firstRow="1" w:lastRow="0" w:firstColumn="0" w:lastColumn="0" w:noHBand="0" w:noVBand="1"/>
      </w:tblPr>
      <w:tblGrid>
        <w:gridCol w:w="1985"/>
        <w:gridCol w:w="1561"/>
        <w:gridCol w:w="1134"/>
        <w:gridCol w:w="1136"/>
        <w:gridCol w:w="1131"/>
        <w:gridCol w:w="1702"/>
        <w:gridCol w:w="1133"/>
        <w:gridCol w:w="9"/>
        <w:gridCol w:w="982"/>
      </w:tblGrid>
      <w:tr w:rsidR="00FA0111" w:rsidRPr="008A7A35" w14:paraId="35C8FF50" w14:textId="77777777" w:rsidTr="2A6FF115">
        <w:trPr>
          <w:trHeight w:val="507"/>
        </w:trPr>
        <w:tc>
          <w:tcPr>
            <w:tcW w:w="921" w:type="pct"/>
            <w:tcBorders>
              <w:left w:val="nil"/>
              <w:bottom w:val="single" w:sz="4" w:space="0" w:color="auto"/>
              <w:right w:val="nil"/>
            </w:tcBorders>
            <w:tcMar>
              <w:top w:w="15" w:type="dxa"/>
              <w:left w:w="137" w:type="dxa"/>
              <w:bottom w:w="0" w:type="dxa"/>
              <w:right w:w="15" w:type="dxa"/>
            </w:tcMar>
            <w:vAlign w:val="bottom"/>
          </w:tcPr>
          <w:p w14:paraId="51A098BA" w14:textId="77777777" w:rsidR="006F2696" w:rsidRPr="008A7A35" w:rsidRDefault="006F2696" w:rsidP="00391CE4">
            <w:pPr>
              <w:jc w:val="center"/>
              <w:rPr>
                <w:rFonts w:ascii="Arial" w:hAnsi="Arial" w:cs="Arial"/>
                <w:b/>
                <w:sz w:val="20"/>
                <w:szCs w:val="20"/>
              </w:rPr>
            </w:pPr>
            <w:r w:rsidRPr="008A7A35">
              <w:rPr>
                <w:rFonts w:ascii="Arial" w:hAnsi="Arial" w:cs="Arial"/>
                <w:b/>
                <w:sz w:val="20"/>
                <w:szCs w:val="20"/>
              </w:rPr>
              <w:t>Investment</w:t>
            </w:r>
            <w:proofErr w:type="gramStart"/>
            <w:r w:rsidRPr="008A7A35">
              <w:rPr>
                <w:rFonts w:ascii="Arial" w:hAnsi="Arial" w:cs="Arial"/>
                <w:b/>
                <w:sz w:val="20"/>
                <w:szCs w:val="20"/>
              </w:rPr>
              <w:t xml:space="preserve">   </w:t>
            </w:r>
            <w:r w:rsidRPr="008A7A35">
              <w:rPr>
                <w:rFonts w:ascii="Arial" w:hAnsi="Arial" w:cs="Arial"/>
                <w:sz w:val="20"/>
                <w:szCs w:val="20"/>
              </w:rPr>
              <w:t>(</w:t>
            </w:r>
            <w:proofErr w:type="gramEnd"/>
            <w:r w:rsidRPr="008A7A35">
              <w:rPr>
                <w:rFonts w:ascii="Arial" w:hAnsi="Arial" w:cs="Arial"/>
                <w:i/>
                <w:sz w:val="20"/>
                <w:szCs w:val="20"/>
              </w:rPr>
              <w:t>Public/Private</w:t>
            </w:r>
            <w:r w:rsidRPr="008A7A35">
              <w:rPr>
                <w:rFonts w:ascii="Arial" w:hAnsi="Arial" w:cs="Arial"/>
                <w:sz w:val="20"/>
                <w:szCs w:val="20"/>
              </w:rPr>
              <w:t>)</w:t>
            </w:r>
          </w:p>
        </w:tc>
        <w:tc>
          <w:tcPr>
            <w:tcW w:w="724" w:type="pct"/>
            <w:tcBorders>
              <w:left w:val="nil"/>
              <w:bottom w:val="single" w:sz="4" w:space="0" w:color="auto"/>
              <w:right w:val="nil"/>
            </w:tcBorders>
            <w:vAlign w:val="bottom"/>
          </w:tcPr>
          <w:p w14:paraId="190FF203" w14:textId="77777777" w:rsidR="006F2696" w:rsidRPr="008A7A35" w:rsidRDefault="006F2696" w:rsidP="00734264">
            <w:pPr>
              <w:jc w:val="center"/>
              <w:rPr>
                <w:rFonts w:ascii="Arial" w:hAnsi="Arial" w:cs="Arial"/>
                <w:sz w:val="20"/>
                <w:szCs w:val="20"/>
              </w:rPr>
            </w:pPr>
            <w:r w:rsidRPr="008A7A35">
              <w:rPr>
                <w:rFonts w:ascii="Arial" w:hAnsi="Arial" w:cs="Arial"/>
                <w:b/>
                <w:bCs/>
                <w:sz w:val="20"/>
                <w:szCs w:val="20"/>
              </w:rPr>
              <w:t>Gross Committed Capital ($mm)</w:t>
            </w:r>
          </w:p>
        </w:tc>
        <w:tc>
          <w:tcPr>
            <w:tcW w:w="526" w:type="pct"/>
            <w:tcBorders>
              <w:left w:val="nil"/>
              <w:bottom w:val="single" w:sz="4" w:space="0" w:color="auto"/>
              <w:right w:val="nil"/>
            </w:tcBorders>
            <w:tcMar>
              <w:top w:w="15" w:type="dxa"/>
              <w:left w:w="69" w:type="dxa"/>
              <w:bottom w:w="0" w:type="dxa"/>
              <w:right w:w="69" w:type="dxa"/>
            </w:tcMar>
            <w:vAlign w:val="bottom"/>
          </w:tcPr>
          <w:p w14:paraId="13C419C9" w14:textId="77777777" w:rsidR="006F2696" w:rsidRPr="008A7A35" w:rsidRDefault="006F2696" w:rsidP="00734264">
            <w:pPr>
              <w:spacing w:line="280" w:lineRule="exact"/>
              <w:jc w:val="center"/>
              <w:rPr>
                <w:rFonts w:ascii="Arial" w:hAnsi="Arial" w:cs="Arial"/>
                <w:b/>
                <w:bCs/>
                <w:sz w:val="20"/>
                <w:szCs w:val="20"/>
              </w:rPr>
            </w:pPr>
            <w:r w:rsidRPr="008A7A35">
              <w:rPr>
                <w:rFonts w:ascii="Arial" w:hAnsi="Arial" w:cs="Arial"/>
                <w:b/>
                <w:bCs/>
                <w:sz w:val="20"/>
                <w:szCs w:val="20"/>
              </w:rPr>
              <w:t>Invested</w:t>
            </w:r>
          </w:p>
          <w:p w14:paraId="651DEC70" w14:textId="77777777" w:rsidR="006F2696" w:rsidRPr="008A7A35" w:rsidRDefault="006F2696" w:rsidP="00734264">
            <w:pPr>
              <w:jc w:val="center"/>
              <w:rPr>
                <w:rFonts w:ascii="Arial" w:hAnsi="Arial" w:cs="Arial"/>
                <w:sz w:val="20"/>
                <w:szCs w:val="20"/>
              </w:rPr>
            </w:pPr>
            <w:r w:rsidRPr="008A7A35">
              <w:rPr>
                <w:rFonts w:ascii="Arial" w:hAnsi="Arial" w:cs="Arial"/>
                <w:b/>
                <w:bCs/>
                <w:sz w:val="20"/>
                <w:szCs w:val="20"/>
              </w:rPr>
              <w:t>Capital ($mm)</w:t>
            </w:r>
          </w:p>
        </w:tc>
        <w:tc>
          <w:tcPr>
            <w:tcW w:w="527" w:type="pct"/>
            <w:tcBorders>
              <w:left w:val="nil"/>
              <w:bottom w:val="single" w:sz="4" w:space="0" w:color="auto"/>
              <w:right w:val="nil"/>
            </w:tcBorders>
            <w:tcMar>
              <w:top w:w="15" w:type="dxa"/>
              <w:left w:w="69" w:type="dxa"/>
              <w:bottom w:w="0" w:type="dxa"/>
              <w:right w:w="69" w:type="dxa"/>
            </w:tcMar>
            <w:vAlign w:val="bottom"/>
          </w:tcPr>
          <w:p w14:paraId="48047C46" w14:textId="77777777" w:rsidR="006F2696" w:rsidRPr="008A7A35" w:rsidRDefault="006F2696" w:rsidP="00734264">
            <w:pPr>
              <w:spacing w:line="280" w:lineRule="exact"/>
              <w:jc w:val="center"/>
              <w:rPr>
                <w:rFonts w:ascii="Arial" w:hAnsi="Arial" w:cs="Arial"/>
                <w:b/>
                <w:bCs/>
                <w:sz w:val="20"/>
                <w:szCs w:val="20"/>
              </w:rPr>
            </w:pPr>
            <w:r w:rsidRPr="008A7A35">
              <w:rPr>
                <w:rFonts w:ascii="Arial" w:hAnsi="Arial" w:cs="Arial"/>
                <w:b/>
                <w:bCs/>
                <w:sz w:val="20"/>
                <w:szCs w:val="20"/>
              </w:rPr>
              <w:t>Gross Realised</w:t>
            </w:r>
          </w:p>
          <w:p w14:paraId="6F205F5F" w14:textId="77777777" w:rsidR="006F2696" w:rsidRPr="008A7A35" w:rsidRDefault="006F2696" w:rsidP="00734264">
            <w:pPr>
              <w:jc w:val="center"/>
              <w:rPr>
                <w:rFonts w:ascii="Arial" w:hAnsi="Arial" w:cs="Arial"/>
                <w:color w:val="000000"/>
                <w:sz w:val="20"/>
                <w:szCs w:val="20"/>
              </w:rPr>
            </w:pPr>
            <w:r w:rsidRPr="008A7A35">
              <w:rPr>
                <w:rFonts w:ascii="Arial" w:hAnsi="Arial" w:cs="Arial"/>
                <w:b/>
                <w:bCs/>
                <w:sz w:val="20"/>
                <w:szCs w:val="20"/>
              </w:rPr>
              <w:t>Capital ($</w:t>
            </w:r>
            <w:proofErr w:type="gramStart"/>
            <w:r w:rsidRPr="008A7A35">
              <w:rPr>
                <w:rFonts w:ascii="Arial" w:hAnsi="Arial" w:cs="Arial"/>
                <w:b/>
                <w:bCs/>
                <w:sz w:val="20"/>
                <w:szCs w:val="20"/>
              </w:rPr>
              <w:t>mm)</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1)</w:t>
            </w:r>
          </w:p>
        </w:tc>
        <w:tc>
          <w:tcPr>
            <w:tcW w:w="525" w:type="pct"/>
            <w:tcBorders>
              <w:left w:val="nil"/>
              <w:bottom w:val="single" w:sz="4" w:space="0" w:color="auto"/>
              <w:right w:val="nil"/>
            </w:tcBorders>
            <w:vAlign w:val="bottom"/>
          </w:tcPr>
          <w:p w14:paraId="47F7A677" w14:textId="77777777" w:rsidR="006F2696" w:rsidRPr="008A7A35" w:rsidRDefault="006F2696" w:rsidP="00734264">
            <w:pPr>
              <w:spacing w:line="280" w:lineRule="exact"/>
              <w:jc w:val="center"/>
              <w:rPr>
                <w:rFonts w:ascii="Arial" w:hAnsi="Arial" w:cs="Arial"/>
                <w:b/>
                <w:bCs/>
                <w:sz w:val="20"/>
                <w:szCs w:val="20"/>
              </w:rPr>
            </w:pPr>
            <w:r w:rsidRPr="008A7A35">
              <w:rPr>
                <w:rFonts w:ascii="Arial" w:hAnsi="Arial" w:cs="Arial"/>
                <w:b/>
                <w:bCs/>
                <w:sz w:val="20"/>
                <w:szCs w:val="20"/>
              </w:rPr>
              <w:t>Gross Unrealised Value</w:t>
            </w:r>
          </w:p>
          <w:p w14:paraId="02B9ECE4" w14:textId="77777777" w:rsidR="006F2696" w:rsidRPr="008A7A35" w:rsidRDefault="006F2696" w:rsidP="00734264">
            <w:pPr>
              <w:jc w:val="center"/>
              <w:rPr>
                <w:rFonts w:ascii="Arial" w:hAnsi="Arial" w:cs="Arial"/>
                <w:sz w:val="20"/>
                <w:szCs w:val="20"/>
              </w:rPr>
            </w:pPr>
            <w:r w:rsidRPr="008A7A35">
              <w:rPr>
                <w:rFonts w:ascii="Arial" w:hAnsi="Arial" w:cs="Arial"/>
                <w:b/>
                <w:bCs/>
                <w:sz w:val="20"/>
                <w:szCs w:val="20"/>
              </w:rPr>
              <w:t>($</w:t>
            </w:r>
            <w:proofErr w:type="gramStart"/>
            <w:r w:rsidRPr="008A7A35">
              <w:rPr>
                <w:rFonts w:ascii="Arial" w:hAnsi="Arial" w:cs="Arial"/>
                <w:b/>
                <w:bCs/>
                <w:sz w:val="20"/>
                <w:szCs w:val="20"/>
              </w:rPr>
              <w:t>mm)</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2)</w:t>
            </w:r>
          </w:p>
        </w:tc>
        <w:tc>
          <w:tcPr>
            <w:tcW w:w="790" w:type="pct"/>
            <w:tcBorders>
              <w:left w:val="nil"/>
              <w:bottom w:val="single" w:sz="4" w:space="0" w:color="auto"/>
              <w:right w:val="nil"/>
            </w:tcBorders>
            <w:vAlign w:val="bottom"/>
          </w:tcPr>
          <w:p w14:paraId="31C18925" w14:textId="77777777" w:rsidR="006F2696" w:rsidRPr="008A7A35" w:rsidRDefault="006F2696" w:rsidP="00734264">
            <w:pPr>
              <w:jc w:val="center"/>
              <w:rPr>
                <w:rFonts w:ascii="Arial" w:hAnsi="Arial" w:cs="Arial"/>
                <w:sz w:val="20"/>
                <w:szCs w:val="20"/>
              </w:rPr>
            </w:pPr>
            <w:r w:rsidRPr="008A7A35">
              <w:rPr>
                <w:rFonts w:ascii="Arial" w:hAnsi="Arial" w:cs="Arial"/>
                <w:b/>
                <w:bCs/>
                <w:sz w:val="20"/>
                <w:szCs w:val="20"/>
              </w:rPr>
              <w:t>Gross Realised Capital &amp; Unrealised Value ($mm)</w:t>
            </w:r>
          </w:p>
        </w:tc>
        <w:tc>
          <w:tcPr>
            <w:tcW w:w="526" w:type="pct"/>
            <w:tcBorders>
              <w:left w:val="nil"/>
              <w:bottom w:val="single" w:sz="4" w:space="0" w:color="auto"/>
              <w:right w:val="nil"/>
            </w:tcBorders>
            <w:tcMar>
              <w:top w:w="15" w:type="dxa"/>
              <w:left w:w="69" w:type="dxa"/>
              <w:bottom w:w="0" w:type="dxa"/>
              <w:right w:w="69" w:type="dxa"/>
            </w:tcMar>
            <w:vAlign w:val="bottom"/>
          </w:tcPr>
          <w:p w14:paraId="68B731A0" w14:textId="525D5719" w:rsidR="006F2696" w:rsidRPr="008A7A35" w:rsidRDefault="006F2696" w:rsidP="00734264">
            <w:pPr>
              <w:jc w:val="center"/>
              <w:rPr>
                <w:rFonts w:ascii="Arial" w:hAnsi="Arial" w:cs="Arial"/>
                <w:sz w:val="20"/>
                <w:szCs w:val="20"/>
              </w:rPr>
            </w:pPr>
            <w:r w:rsidRPr="008A7A35">
              <w:rPr>
                <w:rFonts w:ascii="Arial" w:hAnsi="Arial" w:cs="Arial"/>
                <w:b/>
                <w:bCs/>
                <w:sz w:val="20"/>
                <w:szCs w:val="20"/>
              </w:rPr>
              <w:t>30 Jun 202</w:t>
            </w:r>
            <w:r w:rsidR="00FA0111" w:rsidRPr="008A7A35">
              <w:rPr>
                <w:rFonts w:ascii="Arial" w:hAnsi="Arial" w:cs="Arial"/>
                <w:b/>
                <w:bCs/>
                <w:sz w:val="20"/>
                <w:szCs w:val="20"/>
              </w:rPr>
              <w:t>5</w:t>
            </w:r>
            <w:r w:rsidRPr="008A7A35">
              <w:rPr>
                <w:rFonts w:ascii="Arial" w:hAnsi="Arial" w:cs="Arial"/>
                <w:b/>
                <w:bCs/>
                <w:sz w:val="20"/>
                <w:szCs w:val="20"/>
              </w:rPr>
              <w:t xml:space="preserve"> Gross </w:t>
            </w:r>
            <w:proofErr w:type="gramStart"/>
            <w:r w:rsidRPr="008A7A35">
              <w:rPr>
                <w:rFonts w:ascii="Arial" w:hAnsi="Arial" w:cs="Arial"/>
                <w:b/>
                <w:bCs/>
                <w:sz w:val="20"/>
                <w:szCs w:val="20"/>
              </w:rPr>
              <w:t>MOIC</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2)</w:t>
            </w:r>
          </w:p>
        </w:tc>
        <w:tc>
          <w:tcPr>
            <w:tcW w:w="460" w:type="pct"/>
            <w:gridSpan w:val="2"/>
            <w:tcBorders>
              <w:left w:val="nil"/>
              <w:bottom w:val="single" w:sz="4" w:space="0" w:color="auto"/>
              <w:right w:val="nil"/>
            </w:tcBorders>
            <w:vAlign w:val="bottom"/>
          </w:tcPr>
          <w:p w14:paraId="56F7A828" w14:textId="61E34348" w:rsidR="006F2696" w:rsidRPr="008A7A35" w:rsidRDefault="006F2696" w:rsidP="00734264">
            <w:pPr>
              <w:jc w:val="center"/>
              <w:rPr>
                <w:rFonts w:ascii="Arial" w:hAnsi="Arial" w:cs="Arial"/>
                <w:b/>
                <w:bCs/>
                <w:sz w:val="20"/>
                <w:szCs w:val="20"/>
              </w:rPr>
            </w:pPr>
            <w:r w:rsidRPr="008A7A35">
              <w:rPr>
                <w:rFonts w:ascii="Arial" w:hAnsi="Arial" w:cs="Arial"/>
                <w:b/>
                <w:bCs/>
                <w:sz w:val="20"/>
                <w:szCs w:val="20"/>
              </w:rPr>
              <w:t>31 Dec 202</w:t>
            </w:r>
            <w:r w:rsidR="00FA0111" w:rsidRPr="008A7A35">
              <w:rPr>
                <w:rFonts w:ascii="Arial" w:hAnsi="Arial" w:cs="Arial"/>
                <w:b/>
                <w:bCs/>
                <w:sz w:val="20"/>
                <w:szCs w:val="20"/>
              </w:rPr>
              <w:t>4</w:t>
            </w:r>
          </w:p>
          <w:p w14:paraId="75FAE8FC" w14:textId="77777777" w:rsidR="006F2696" w:rsidRPr="008A7A35" w:rsidRDefault="006F2696" w:rsidP="00734264">
            <w:pPr>
              <w:ind w:right="82"/>
              <w:jc w:val="center"/>
              <w:rPr>
                <w:rFonts w:ascii="Arial" w:hAnsi="Arial" w:cs="Arial"/>
                <w:b/>
                <w:bCs/>
                <w:sz w:val="20"/>
                <w:szCs w:val="20"/>
              </w:rPr>
            </w:pPr>
            <w:r w:rsidRPr="008A7A35">
              <w:rPr>
                <w:rFonts w:ascii="Arial" w:hAnsi="Arial" w:cs="Arial"/>
                <w:b/>
                <w:bCs/>
                <w:sz w:val="20"/>
                <w:szCs w:val="20"/>
              </w:rPr>
              <w:t xml:space="preserve">Gross </w:t>
            </w:r>
            <w:proofErr w:type="gramStart"/>
            <w:r w:rsidRPr="008A7A35">
              <w:rPr>
                <w:rFonts w:ascii="Arial" w:hAnsi="Arial" w:cs="Arial"/>
                <w:b/>
                <w:bCs/>
                <w:sz w:val="20"/>
                <w:szCs w:val="20"/>
              </w:rPr>
              <w:t>MOIC</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2)</w:t>
            </w:r>
          </w:p>
        </w:tc>
      </w:tr>
      <w:tr w:rsidR="00FA0111" w:rsidRPr="008A7A35" w14:paraId="5606CCB5" w14:textId="77777777" w:rsidTr="2A6FF115">
        <w:trPr>
          <w:trHeight w:val="507"/>
        </w:trPr>
        <w:tc>
          <w:tcPr>
            <w:tcW w:w="921" w:type="pct"/>
            <w:tcBorders>
              <w:left w:val="nil"/>
              <w:right w:val="nil"/>
            </w:tcBorders>
            <w:tcMar>
              <w:top w:w="15" w:type="dxa"/>
              <w:left w:w="137" w:type="dxa"/>
              <w:bottom w:w="0" w:type="dxa"/>
              <w:right w:w="15" w:type="dxa"/>
            </w:tcMar>
          </w:tcPr>
          <w:p w14:paraId="0E95BF23" w14:textId="13555C6C" w:rsidR="00FA0111" w:rsidRPr="008A7A35" w:rsidRDefault="00FA0111" w:rsidP="2A6FF115">
            <w:pPr>
              <w:spacing w:after="120"/>
              <w:rPr>
                <w:rFonts w:ascii="Arial" w:hAnsi="Arial" w:cs="Arial"/>
                <w:b/>
                <w:bCs/>
                <w:sz w:val="20"/>
                <w:szCs w:val="20"/>
              </w:rPr>
            </w:pPr>
            <w:r w:rsidRPr="2A6FF115">
              <w:rPr>
                <w:rFonts w:ascii="Arial" w:hAnsi="Arial" w:cs="Arial"/>
                <w:b/>
                <w:bCs/>
                <w:sz w:val="20"/>
                <w:szCs w:val="20"/>
              </w:rPr>
              <w:t xml:space="preserve">GoodLeap        </w:t>
            </w:r>
            <w:proofErr w:type="gramStart"/>
            <w:r w:rsidRPr="2A6FF115">
              <w:rPr>
                <w:rFonts w:ascii="Arial" w:hAnsi="Arial" w:cs="Arial"/>
                <w:b/>
                <w:bCs/>
                <w:sz w:val="20"/>
                <w:szCs w:val="20"/>
              </w:rPr>
              <w:t xml:space="preserve">   </w:t>
            </w:r>
            <w:r w:rsidRPr="2A6FF115">
              <w:rPr>
                <w:rFonts w:ascii="Arial" w:hAnsi="Arial" w:cs="Arial"/>
                <w:i/>
                <w:iCs/>
                <w:sz w:val="20"/>
                <w:szCs w:val="20"/>
              </w:rPr>
              <w:t>(</w:t>
            </w:r>
            <w:proofErr w:type="gramEnd"/>
            <w:r w:rsidRPr="2A6FF115">
              <w:rPr>
                <w:rFonts w:ascii="Arial" w:hAnsi="Arial" w:cs="Arial"/>
                <w:i/>
                <w:iCs/>
                <w:sz w:val="20"/>
                <w:szCs w:val="20"/>
              </w:rPr>
              <w:t>Private)</w:t>
            </w:r>
          </w:p>
        </w:tc>
        <w:tc>
          <w:tcPr>
            <w:tcW w:w="724" w:type="pct"/>
            <w:tcBorders>
              <w:left w:val="nil"/>
              <w:right w:val="nil"/>
            </w:tcBorders>
          </w:tcPr>
          <w:p w14:paraId="1D884590" w14:textId="03725EAC"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25</w:t>
            </w:r>
          </w:p>
        </w:tc>
        <w:tc>
          <w:tcPr>
            <w:tcW w:w="526" w:type="pct"/>
            <w:tcBorders>
              <w:left w:val="nil"/>
              <w:right w:val="nil"/>
            </w:tcBorders>
            <w:tcMar>
              <w:top w:w="15" w:type="dxa"/>
              <w:left w:w="69" w:type="dxa"/>
              <w:bottom w:w="0" w:type="dxa"/>
              <w:right w:w="69" w:type="dxa"/>
            </w:tcMar>
          </w:tcPr>
          <w:p w14:paraId="0FE15532" w14:textId="7239EA38"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25</w:t>
            </w:r>
          </w:p>
        </w:tc>
        <w:tc>
          <w:tcPr>
            <w:tcW w:w="527" w:type="pct"/>
            <w:tcBorders>
              <w:left w:val="nil"/>
              <w:right w:val="nil"/>
            </w:tcBorders>
            <w:tcMar>
              <w:top w:w="15" w:type="dxa"/>
              <w:left w:w="69" w:type="dxa"/>
              <w:bottom w:w="0" w:type="dxa"/>
              <w:right w:w="69" w:type="dxa"/>
            </w:tcMar>
          </w:tcPr>
          <w:p w14:paraId="528E1543" w14:textId="2669F5A4"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2</w:t>
            </w:r>
          </w:p>
        </w:tc>
        <w:tc>
          <w:tcPr>
            <w:tcW w:w="525" w:type="pct"/>
            <w:tcBorders>
              <w:left w:val="nil"/>
              <w:right w:val="nil"/>
            </w:tcBorders>
          </w:tcPr>
          <w:p w14:paraId="2FD28ABA" w14:textId="2F24A806"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23</w:t>
            </w:r>
          </w:p>
        </w:tc>
        <w:tc>
          <w:tcPr>
            <w:tcW w:w="790" w:type="pct"/>
            <w:tcBorders>
              <w:left w:val="nil"/>
              <w:right w:val="nil"/>
            </w:tcBorders>
          </w:tcPr>
          <w:p w14:paraId="3B20BDD0" w14:textId="65C694B4"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25</w:t>
            </w:r>
          </w:p>
        </w:tc>
        <w:tc>
          <w:tcPr>
            <w:tcW w:w="526" w:type="pct"/>
            <w:tcBorders>
              <w:left w:val="nil"/>
              <w:right w:val="nil"/>
            </w:tcBorders>
            <w:tcMar>
              <w:top w:w="15" w:type="dxa"/>
              <w:left w:w="69" w:type="dxa"/>
              <w:bottom w:w="0" w:type="dxa"/>
              <w:right w:w="69" w:type="dxa"/>
            </w:tcMar>
          </w:tcPr>
          <w:p w14:paraId="721EAFE6" w14:textId="5221A333"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1.00</w:t>
            </w:r>
            <w:r w:rsidR="00FA0111" w:rsidRPr="008A7A35">
              <w:rPr>
                <w:rFonts w:ascii="Arial" w:hAnsi="Arial" w:cs="Arial"/>
                <w:bCs/>
                <w:sz w:val="20"/>
                <w:szCs w:val="20"/>
              </w:rPr>
              <w:t>x</w:t>
            </w:r>
          </w:p>
        </w:tc>
        <w:tc>
          <w:tcPr>
            <w:tcW w:w="460" w:type="pct"/>
            <w:gridSpan w:val="2"/>
            <w:tcBorders>
              <w:left w:val="nil"/>
              <w:right w:val="nil"/>
            </w:tcBorders>
          </w:tcPr>
          <w:p w14:paraId="1E4EF481" w14:textId="6C5C792B" w:rsidR="00FA0111" w:rsidRPr="008A7A35" w:rsidRDefault="00FA0111" w:rsidP="00FA0111">
            <w:pPr>
              <w:spacing w:after="120"/>
              <w:jc w:val="center"/>
              <w:rPr>
                <w:rFonts w:ascii="Arial" w:hAnsi="Arial" w:cs="Arial"/>
                <w:bCs/>
                <w:sz w:val="20"/>
                <w:szCs w:val="20"/>
              </w:rPr>
            </w:pPr>
            <w:r w:rsidRPr="008A7A35">
              <w:rPr>
                <w:rFonts w:ascii="Arial" w:hAnsi="Arial" w:cs="Arial"/>
                <w:sz w:val="20"/>
                <w:szCs w:val="20"/>
              </w:rPr>
              <w:t>1.00</w:t>
            </w:r>
            <w:r w:rsidRPr="008A7A35">
              <w:rPr>
                <w:rFonts w:ascii="Arial" w:hAnsi="Arial" w:cs="Arial"/>
                <w:bCs/>
                <w:sz w:val="20"/>
                <w:szCs w:val="20"/>
              </w:rPr>
              <w:t>x</w:t>
            </w:r>
          </w:p>
        </w:tc>
      </w:tr>
      <w:tr w:rsidR="00FA0111" w:rsidRPr="008A7A35" w14:paraId="36C3FDA2" w14:textId="77777777" w:rsidTr="2A6FF115">
        <w:trPr>
          <w:trHeight w:val="507"/>
        </w:trPr>
        <w:tc>
          <w:tcPr>
            <w:tcW w:w="921" w:type="pct"/>
            <w:tcBorders>
              <w:left w:val="nil"/>
              <w:right w:val="nil"/>
            </w:tcBorders>
            <w:tcMar>
              <w:top w:w="15" w:type="dxa"/>
              <w:left w:w="137" w:type="dxa"/>
              <w:bottom w:w="0" w:type="dxa"/>
              <w:right w:w="15" w:type="dxa"/>
            </w:tcMar>
          </w:tcPr>
          <w:p w14:paraId="2120FF10" w14:textId="77777777" w:rsidR="00FA0111" w:rsidRPr="008A7A35" w:rsidRDefault="00FA0111" w:rsidP="00FA0111">
            <w:pPr>
              <w:rPr>
                <w:rFonts w:ascii="Arial" w:hAnsi="Arial" w:cs="Arial"/>
                <w:b/>
                <w:sz w:val="20"/>
                <w:szCs w:val="20"/>
                <w:lang w:val="en-US"/>
              </w:rPr>
            </w:pPr>
            <w:r w:rsidRPr="008A7A35">
              <w:rPr>
                <w:rFonts w:ascii="Arial" w:hAnsi="Arial" w:cs="Arial"/>
                <w:b/>
                <w:sz w:val="20"/>
                <w:szCs w:val="20"/>
                <w:lang w:val="en-US"/>
              </w:rPr>
              <w:t>Infinitum</w:t>
            </w:r>
          </w:p>
          <w:p w14:paraId="3AAD8A70" w14:textId="09E5DC36" w:rsidR="00FA0111" w:rsidRPr="008A7A35" w:rsidRDefault="00FA0111" w:rsidP="00FA0111">
            <w:pPr>
              <w:spacing w:after="120"/>
              <w:rPr>
                <w:rFonts w:ascii="Arial" w:hAnsi="Arial" w:cs="Arial"/>
                <w:b/>
                <w:sz w:val="20"/>
                <w:szCs w:val="20"/>
                <w:lang w:val="en-US"/>
              </w:rPr>
            </w:pPr>
            <w:r w:rsidRPr="008A7A35">
              <w:rPr>
                <w:rFonts w:ascii="Arial" w:hAnsi="Arial" w:cs="Arial"/>
                <w:bCs/>
                <w:i/>
                <w:iCs/>
                <w:sz w:val="20"/>
                <w:szCs w:val="20"/>
                <w:lang w:val="en-US"/>
              </w:rPr>
              <w:t>(Private)</w:t>
            </w:r>
          </w:p>
        </w:tc>
        <w:tc>
          <w:tcPr>
            <w:tcW w:w="724" w:type="pct"/>
            <w:tcBorders>
              <w:left w:val="nil"/>
              <w:right w:val="nil"/>
            </w:tcBorders>
          </w:tcPr>
          <w:p w14:paraId="2EA4CD4B" w14:textId="32A16686"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27</w:t>
            </w:r>
          </w:p>
        </w:tc>
        <w:tc>
          <w:tcPr>
            <w:tcW w:w="526" w:type="pct"/>
            <w:tcBorders>
              <w:left w:val="nil"/>
              <w:right w:val="nil"/>
            </w:tcBorders>
            <w:tcMar>
              <w:top w:w="15" w:type="dxa"/>
              <w:left w:w="69" w:type="dxa"/>
              <w:bottom w:w="0" w:type="dxa"/>
              <w:right w:w="69" w:type="dxa"/>
            </w:tcMar>
          </w:tcPr>
          <w:p w14:paraId="03649196" w14:textId="74E6FEEA"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27</w:t>
            </w:r>
          </w:p>
        </w:tc>
        <w:tc>
          <w:tcPr>
            <w:tcW w:w="527" w:type="pct"/>
            <w:tcBorders>
              <w:left w:val="nil"/>
              <w:right w:val="nil"/>
            </w:tcBorders>
            <w:tcMar>
              <w:top w:w="15" w:type="dxa"/>
              <w:left w:w="69" w:type="dxa"/>
              <w:bottom w:w="0" w:type="dxa"/>
              <w:right w:w="69" w:type="dxa"/>
            </w:tcMar>
          </w:tcPr>
          <w:p w14:paraId="4431EB14" w14:textId="5CCE47D9"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w:t>
            </w:r>
          </w:p>
        </w:tc>
        <w:tc>
          <w:tcPr>
            <w:tcW w:w="525" w:type="pct"/>
            <w:tcBorders>
              <w:left w:val="nil"/>
              <w:right w:val="nil"/>
            </w:tcBorders>
          </w:tcPr>
          <w:p w14:paraId="4A1431F6" w14:textId="70A73EF3"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18</w:t>
            </w:r>
          </w:p>
        </w:tc>
        <w:tc>
          <w:tcPr>
            <w:tcW w:w="790" w:type="pct"/>
            <w:tcBorders>
              <w:left w:val="nil"/>
              <w:right w:val="nil"/>
            </w:tcBorders>
          </w:tcPr>
          <w:p w14:paraId="03CD8017" w14:textId="5B26D86D"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18</w:t>
            </w:r>
          </w:p>
        </w:tc>
        <w:tc>
          <w:tcPr>
            <w:tcW w:w="526" w:type="pct"/>
            <w:tcBorders>
              <w:left w:val="nil"/>
              <w:right w:val="nil"/>
            </w:tcBorders>
            <w:tcMar>
              <w:top w:w="15" w:type="dxa"/>
              <w:left w:w="69" w:type="dxa"/>
              <w:bottom w:w="0" w:type="dxa"/>
              <w:right w:w="69" w:type="dxa"/>
            </w:tcMar>
          </w:tcPr>
          <w:p w14:paraId="7DB79E09" w14:textId="7C49BA04" w:rsidR="00FA0111" w:rsidRPr="008A7A35" w:rsidRDefault="00F75EA0" w:rsidP="00FA0111">
            <w:pPr>
              <w:spacing w:after="120"/>
              <w:jc w:val="center"/>
              <w:rPr>
                <w:rFonts w:ascii="Arial" w:hAnsi="Arial" w:cs="Arial"/>
                <w:sz w:val="20"/>
                <w:szCs w:val="20"/>
              </w:rPr>
            </w:pPr>
            <w:r w:rsidRPr="008A7A35">
              <w:rPr>
                <w:rFonts w:ascii="Arial" w:hAnsi="Arial" w:cs="Arial"/>
                <w:bCs/>
                <w:sz w:val="20"/>
                <w:szCs w:val="20"/>
              </w:rPr>
              <w:t>0.65</w:t>
            </w:r>
            <w:r w:rsidR="00FA0111" w:rsidRPr="008A7A35">
              <w:rPr>
                <w:rFonts w:ascii="Arial" w:hAnsi="Arial" w:cs="Arial"/>
                <w:bCs/>
                <w:sz w:val="20"/>
                <w:szCs w:val="20"/>
              </w:rPr>
              <w:t>x</w:t>
            </w:r>
          </w:p>
        </w:tc>
        <w:tc>
          <w:tcPr>
            <w:tcW w:w="460" w:type="pct"/>
            <w:gridSpan w:val="2"/>
            <w:tcBorders>
              <w:left w:val="nil"/>
              <w:right w:val="nil"/>
            </w:tcBorders>
          </w:tcPr>
          <w:p w14:paraId="0836BB81" w14:textId="7176AE32" w:rsidR="00FA0111" w:rsidRPr="008A7A35" w:rsidRDefault="00FA0111" w:rsidP="00FA0111">
            <w:pPr>
              <w:spacing w:after="120"/>
              <w:jc w:val="center"/>
              <w:rPr>
                <w:rFonts w:ascii="Arial" w:hAnsi="Arial" w:cs="Arial"/>
                <w:sz w:val="20"/>
                <w:szCs w:val="20"/>
              </w:rPr>
            </w:pPr>
            <w:r w:rsidRPr="008A7A35">
              <w:rPr>
                <w:rFonts w:ascii="Arial" w:hAnsi="Arial" w:cs="Arial"/>
                <w:bCs/>
                <w:sz w:val="20"/>
                <w:szCs w:val="20"/>
              </w:rPr>
              <w:t>0.85x</w:t>
            </w:r>
          </w:p>
        </w:tc>
      </w:tr>
      <w:tr w:rsidR="00FA0111" w:rsidRPr="008A7A35" w14:paraId="373B07E7" w14:textId="77777777" w:rsidTr="2A6FF115">
        <w:trPr>
          <w:trHeight w:val="507"/>
        </w:trPr>
        <w:tc>
          <w:tcPr>
            <w:tcW w:w="921" w:type="pct"/>
            <w:tcBorders>
              <w:left w:val="nil"/>
              <w:right w:val="nil"/>
            </w:tcBorders>
            <w:tcMar>
              <w:top w:w="15" w:type="dxa"/>
              <w:left w:w="137" w:type="dxa"/>
              <w:bottom w:w="0" w:type="dxa"/>
              <w:right w:w="15" w:type="dxa"/>
            </w:tcMar>
          </w:tcPr>
          <w:p w14:paraId="5DE81F68" w14:textId="77777777" w:rsidR="00FA0111" w:rsidRPr="008A7A35" w:rsidRDefault="00FA0111" w:rsidP="00FA0111">
            <w:pPr>
              <w:spacing w:after="120"/>
              <w:rPr>
                <w:rFonts w:ascii="Arial" w:hAnsi="Arial" w:cs="Arial"/>
                <w:b/>
                <w:sz w:val="20"/>
                <w:szCs w:val="20"/>
                <w:lang w:val="en-US"/>
              </w:rPr>
            </w:pPr>
            <w:r w:rsidRPr="008A7A35">
              <w:rPr>
                <w:rFonts w:ascii="Arial" w:hAnsi="Arial" w:cs="Arial"/>
                <w:b/>
                <w:sz w:val="20"/>
                <w:szCs w:val="20"/>
                <w:lang w:val="en-US"/>
              </w:rPr>
              <w:t xml:space="preserve">Solid </w:t>
            </w:r>
            <w:proofErr w:type="gramStart"/>
            <w:r w:rsidRPr="008A7A35">
              <w:rPr>
                <w:rFonts w:ascii="Arial" w:hAnsi="Arial" w:cs="Arial"/>
                <w:b/>
                <w:sz w:val="20"/>
                <w:szCs w:val="20"/>
                <w:lang w:val="en-US"/>
              </w:rPr>
              <w:t>Power</w:t>
            </w:r>
            <w:r w:rsidRPr="008A7A35">
              <w:rPr>
                <w:rFonts w:ascii="Arial" w:hAnsi="Arial" w:cs="Arial"/>
                <w:b/>
                <w:iCs/>
                <w:sz w:val="20"/>
                <w:szCs w:val="20"/>
                <w:vertAlign w:val="superscript"/>
              </w:rPr>
              <w:t>(</w:t>
            </w:r>
            <w:proofErr w:type="gramEnd"/>
            <w:r w:rsidRPr="008A7A35">
              <w:rPr>
                <w:rFonts w:ascii="Arial" w:hAnsi="Arial" w:cs="Arial"/>
                <w:b/>
                <w:iCs/>
                <w:sz w:val="20"/>
                <w:szCs w:val="20"/>
                <w:vertAlign w:val="superscript"/>
              </w:rPr>
              <w:t>4</w:t>
            </w:r>
            <w:proofErr w:type="gramStart"/>
            <w:r w:rsidRPr="008A7A35">
              <w:rPr>
                <w:rFonts w:ascii="Arial" w:hAnsi="Arial" w:cs="Arial"/>
                <w:b/>
                <w:iCs/>
                <w:sz w:val="20"/>
                <w:szCs w:val="20"/>
                <w:vertAlign w:val="superscript"/>
              </w:rPr>
              <w:t>)</w:t>
            </w:r>
            <w:r w:rsidRPr="008A7A35">
              <w:rPr>
                <w:rFonts w:ascii="Arial" w:hAnsi="Arial" w:cs="Arial"/>
                <w:b/>
                <w:sz w:val="20"/>
                <w:szCs w:val="20"/>
                <w:lang w:val="en-US"/>
              </w:rPr>
              <w:t xml:space="preserve">  </w:t>
            </w:r>
            <w:r w:rsidRPr="008A7A35">
              <w:rPr>
                <w:rFonts w:ascii="Arial" w:hAnsi="Arial" w:cs="Arial"/>
                <w:bCs/>
                <w:i/>
                <w:iCs/>
                <w:sz w:val="20"/>
                <w:szCs w:val="20"/>
                <w:lang w:val="en-US"/>
              </w:rPr>
              <w:t>(</w:t>
            </w:r>
            <w:proofErr w:type="gramEnd"/>
            <w:r w:rsidRPr="008A7A35">
              <w:rPr>
                <w:rFonts w:ascii="Arial" w:hAnsi="Arial" w:cs="Arial"/>
                <w:bCs/>
                <w:i/>
                <w:iCs/>
                <w:sz w:val="20"/>
                <w:szCs w:val="20"/>
                <w:lang w:val="en-US"/>
              </w:rPr>
              <w:t>Public)</w:t>
            </w:r>
          </w:p>
        </w:tc>
        <w:tc>
          <w:tcPr>
            <w:tcW w:w="724" w:type="pct"/>
            <w:tcBorders>
              <w:left w:val="nil"/>
              <w:right w:val="nil"/>
            </w:tcBorders>
          </w:tcPr>
          <w:p w14:paraId="2D09C8F3" w14:textId="3D0D48D9" w:rsidR="00FA0111" w:rsidRPr="008A7A35" w:rsidDel="007D01FD" w:rsidRDefault="00F75EA0" w:rsidP="00FA0111">
            <w:pPr>
              <w:spacing w:after="120"/>
              <w:jc w:val="center"/>
              <w:rPr>
                <w:rFonts w:ascii="Arial" w:hAnsi="Arial" w:cs="Arial"/>
                <w:bCs/>
                <w:sz w:val="20"/>
                <w:szCs w:val="20"/>
              </w:rPr>
            </w:pPr>
            <w:r w:rsidRPr="008A7A35">
              <w:rPr>
                <w:rFonts w:ascii="Arial" w:hAnsi="Arial" w:cs="Arial"/>
                <w:bCs/>
                <w:sz w:val="20"/>
                <w:szCs w:val="20"/>
              </w:rPr>
              <w:t>48</w:t>
            </w:r>
          </w:p>
        </w:tc>
        <w:tc>
          <w:tcPr>
            <w:tcW w:w="526" w:type="pct"/>
            <w:tcBorders>
              <w:left w:val="nil"/>
              <w:right w:val="nil"/>
            </w:tcBorders>
            <w:tcMar>
              <w:top w:w="15" w:type="dxa"/>
              <w:left w:w="69" w:type="dxa"/>
              <w:bottom w:w="0" w:type="dxa"/>
              <w:right w:w="69" w:type="dxa"/>
            </w:tcMar>
          </w:tcPr>
          <w:p w14:paraId="6B6EE8E4" w14:textId="2931886E"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48</w:t>
            </w:r>
          </w:p>
        </w:tc>
        <w:tc>
          <w:tcPr>
            <w:tcW w:w="527" w:type="pct"/>
            <w:tcBorders>
              <w:left w:val="nil"/>
              <w:right w:val="nil"/>
            </w:tcBorders>
            <w:tcMar>
              <w:top w:w="15" w:type="dxa"/>
              <w:left w:w="69" w:type="dxa"/>
              <w:bottom w:w="0" w:type="dxa"/>
              <w:right w:w="69" w:type="dxa"/>
            </w:tcMar>
          </w:tcPr>
          <w:p w14:paraId="18E97222" w14:textId="2D9B373A"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w:t>
            </w:r>
          </w:p>
        </w:tc>
        <w:tc>
          <w:tcPr>
            <w:tcW w:w="525" w:type="pct"/>
            <w:tcBorders>
              <w:left w:val="nil"/>
              <w:right w:val="nil"/>
            </w:tcBorders>
          </w:tcPr>
          <w:p w14:paraId="4ECC4D34" w14:textId="13BE8FE8"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16</w:t>
            </w:r>
          </w:p>
        </w:tc>
        <w:tc>
          <w:tcPr>
            <w:tcW w:w="790" w:type="pct"/>
            <w:tcBorders>
              <w:left w:val="nil"/>
              <w:right w:val="nil"/>
            </w:tcBorders>
          </w:tcPr>
          <w:p w14:paraId="0EBAAF57" w14:textId="690C9D18"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16</w:t>
            </w:r>
          </w:p>
        </w:tc>
        <w:tc>
          <w:tcPr>
            <w:tcW w:w="526" w:type="pct"/>
            <w:tcBorders>
              <w:left w:val="nil"/>
              <w:right w:val="nil"/>
            </w:tcBorders>
            <w:tcMar>
              <w:top w:w="15" w:type="dxa"/>
              <w:left w:w="69" w:type="dxa"/>
              <w:bottom w:w="0" w:type="dxa"/>
              <w:right w:w="69" w:type="dxa"/>
            </w:tcMar>
          </w:tcPr>
          <w:p w14:paraId="2AE56237" w14:textId="2EED68E9" w:rsidR="00FA0111" w:rsidRPr="008A7A35" w:rsidRDefault="00F75EA0" w:rsidP="00FA0111">
            <w:pPr>
              <w:spacing w:after="120"/>
              <w:jc w:val="center"/>
              <w:rPr>
                <w:rFonts w:ascii="Arial" w:hAnsi="Arial" w:cs="Arial"/>
                <w:sz w:val="20"/>
                <w:szCs w:val="20"/>
              </w:rPr>
            </w:pPr>
            <w:r w:rsidRPr="008A7A35">
              <w:rPr>
                <w:rFonts w:ascii="Arial" w:hAnsi="Arial" w:cs="Arial"/>
                <w:bCs/>
                <w:sz w:val="20"/>
                <w:szCs w:val="20"/>
              </w:rPr>
              <w:t>0.33</w:t>
            </w:r>
            <w:r w:rsidR="00FA0111" w:rsidRPr="008A7A35">
              <w:rPr>
                <w:rFonts w:ascii="Arial" w:hAnsi="Arial" w:cs="Arial"/>
                <w:bCs/>
                <w:sz w:val="20"/>
                <w:szCs w:val="20"/>
              </w:rPr>
              <w:t>x</w:t>
            </w:r>
          </w:p>
        </w:tc>
        <w:tc>
          <w:tcPr>
            <w:tcW w:w="460" w:type="pct"/>
            <w:gridSpan w:val="2"/>
            <w:tcBorders>
              <w:left w:val="nil"/>
              <w:right w:val="nil"/>
            </w:tcBorders>
          </w:tcPr>
          <w:p w14:paraId="3CF5A801" w14:textId="64DE8E0E" w:rsidR="00FA0111" w:rsidRPr="008A7A35" w:rsidRDefault="00FA0111" w:rsidP="00FA0111">
            <w:pPr>
              <w:spacing w:after="120"/>
              <w:jc w:val="center"/>
              <w:rPr>
                <w:rFonts w:ascii="Arial" w:hAnsi="Arial" w:cs="Arial"/>
                <w:bCs/>
                <w:sz w:val="20"/>
                <w:szCs w:val="20"/>
              </w:rPr>
            </w:pPr>
            <w:r w:rsidRPr="008A7A35">
              <w:rPr>
                <w:rFonts w:ascii="Arial" w:hAnsi="Arial" w:cs="Arial"/>
                <w:bCs/>
                <w:sz w:val="20"/>
                <w:szCs w:val="20"/>
              </w:rPr>
              <w:t>0.29x</w:t>
            </w:r>
          </w:p>
        </w:tc>
      </w:tr>
      <w:tr w:rsidR="00FA0111" w:rsidRPr="008A7A35" w14:paraId="53F976F9" w14:textId="77777777" w:rsidTr="2A6FF115">
        <w:trPr>
          <w:trHeight w:val="507"/>
        </w:trPr>
        <w:tc>
          <w:tcPr>
            <w:tcW w:w="921" w:type="pct"/>
            <w:tcBorders>
              <w:left w:val="nil"/>
              <w:right w:val="nil"/>
            </w:tcBorders>
            <w:tcMar>
              <w:top w:w="15" w:type="dxa"/>
              <w:left w:w="137" w:type="dxa"/>
              <w:bottom w:w="0" w:type="dxa"/>
              <w:right w:w="15" w:type="dxa"/>
            </w:tcMar>
          </w:tcPr>
          <w:p w14:paraId="4A6BEE22" w14:textId="77777777" w:rsidR="00FA0111" w:rsidRPr="008A7A35" w:rsidRDefault="00FA0111" w:rsidP="00FA0111">
            <w:pPr>
              <w:rPr>
                <w:rFonts w:ascii="Arial" w:hAnsi="Arial" w:cs="Arial"/>
                <w:b/>
                <w:sz w:val="20"/>
                <w:szCs w:val="20"/>
                <w:lang w:val="en-US"/>
              </w:rPr>
            </w:pPr>
            <w:r w:rsidRPr="008A7A35">
              <w:rPr>
                <w:rFonts w:ascii="Arial" w:hAnsi="Arial" w:cs="Arial"/>
                <w:b/>
                <w:sz w:val="20"/>
                <w:szCs w:val="20"/>
                <w:lang w:val="en-US"/>
              </w:rPr>
              <w:t>Group14</w:t>
            </w:r>
          </w:p>
          <w:p w14:paraId="299B6A84" w14:textId="77777777" w:rsidR="00FA0111" w:rsidRPr="008A7A35" w:rsidRDefault="00FA0111" w:rsidP="00FA0111">
            <w:pPr>
              <w:spacing w:after="120"/>
              <w:rPr>
                <w:rFonts w:ascii="Arial" w:hAnsi="Arial" w:cs="Arial"/>
                <w:b/>
                <w:sz w:val="20"/>
                <w:szCs w:val="20"/>
                <w:lang w:val="en-US"/>
              </w:rPr>
            </w:pPr>
            <w:r w:rsidRPr="008A7A35">
              <w:rPr>
                <w:rFonts w:ascii="Arial" w:hAnsi="Arial" w:cs="Arial"/>
                <w:bCs/>
                <w:i/>
                <w:iCs/>
                <w:sz w:val="20"/>
                <w:szCs w:val="20"/>
                <w:lang w:val="en-US"/>
              </w:rPr>
              <w:t>(Private)</w:t>
            </w:r>
          </w:p>
        </w:tc>
        <w:tc>
          <w:tcPr>
            <w:tcW w:w="724" w:type="pct"/>
            <w:tcBorders>
              <w:left w:val="nil"/>
              <w:right w:val="nil"/>
            </w:tcBorders>
          </w:tcPr>
          <w:p w14:paraId="4A520D77" w14:textId="1E9315F1" w:rsidR="00FA0111" w:rsidRPr="008A7A35" w:rsidDel="007D01FD" w:rsidRDefault="00F75EA0" w:rsidP="00FA0111">
            <w:pPr>
              <w:spacing w:after="120"/>
              <w:jc w:val="center"/>
              <w:rPr>
                <w:rFonts w:ascii="Arial" w:hAnsi="Arial" w:cs="Arial"/>
                <w:bCs/>
                <w:sz w:val="20"/>
                <w:szCs w:val="20"/>
              </w:rPr>
            </w:pPr>
            <w:r w:rsidRPr="008A7A35">
              <w:rPr>
                <w:rFonts w:ascii="Arial" w:hAnsi="Arial" w:cs="Arial"/>
                <w:bCs/>
                <w:sz w:val="20"/>
                <w:szCs w:val="20"/>
              </w:rPr>
              <w:t>4</w:t>
            </w:r>
          </w:p>
        </w:tc>
        <w:tc>
          <w:tcPr>
            <w:tcW w:w="526" w:type="pct"/>
            <w:tcBorders>
              <w:left w:val="nil"/>
              <w:right w:val="nil"/>
            </w:tcBorders>
            <w:tcMar>
              <w:top w:w="15" w:type="dxa"/>
              <w:left w:w="69" w:type="dxa"/>
              <w:bottom w:w="0" w:type="dxa"/>
              <w:right w:w="69" w:type="dxa"/>
            </w:tcMar>
          </w:tcPr>
          <w:p w14:paraId="48DB5AF5" w14:textId="7D3C8EAD"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4</w:t>
            </w:r>
          </w:p>
        </w:tc>
        <w:tc>
          <w:tcPr>
            <w:tcW w:w="527" w:type="pct"/>
            <w:tcBorders>
              <w:left w:val="nil"/>
              <w:right w:val="nil"/>
            </w:tcBorders>
            <w:tcMar>
              <w:top w:w="15" w:type="dxa"/>
              <w:left w:w="69" w:type="dxa"/>
              <w:bottom w:w="0" w:type="dxa"/>
              <w:right w:w="69" w:type="dxa"/>
            </w:tcMar>
          </w:tcPr>
          <w:p w14:paraId="223D42D8" w14:textId="3CD343AD" w:rsidR="00FA0111" w:rsidRPr="008A7A35" w:rsidRDefault="00F75EA0" w:rsidP="00FA0111">
            <w:pPr>
              <w:spacing w:after="120"/>
              <w:jc w:val="center"/>
              <w:rPr>
                <w:rFonts w:ascii="Arial" w:hAnsi="Arial" w:cs="Arial"/>
                <w:bCs/>
                <w:sz w:val="20"/>
                <w:szCs w:val="20"/>
              </w:rPr>
            </w:pPr>
            <w:r w:rsidRPr="008A7A35">
              <w:rPr>
                <w:rFonts w:ascii="Arial" w:hAnsi="Arial" w:cs="Arial"/>
                <w:bCs/>
                <w:sz w:val="20"/>
                <w:szCs w:val="20"/>
              </w:rPr>
              <w:t>-</w:t>
            </w:r>
          </w:p>
        </w:tc>
        <w:tc>
          <w:tcPr>
            <w:tcW w:w="525" w:type="pct"/>
            <w:tcBorders>
              <w:left w:val="nil"/>
              <w:right w:val="nil"/>
            </w:tcBorders>
          </w:tcPr>
          <w:p w14:paraId="233A2A25" w14:textId="6B88CA17" w:rsidR="00FA0111" w:rsidRPr="008A7A35" w:rsidRDefault="00A81373" w:rsidP="00FA0111">
            <w:pPr>
              <w:spacing w:after="120"/>
              <w:jc w:val="center"/>
              <w:rPr>
                <w:rFonts w:ascii="Arial" w:hAnsi="Arial" w:cs="Arial"/>
                <w:bCs/>
                <w:sz w:val="20"/>
                <w:szCs w:val="20"/>
              </w:rPr>
            </w:pPr>
            <w:r>
              <w:rPr>
                <w:rFonts w:ascii="Arial" w:hAnsi="Arial" w:cs="Arial"/>
                <w:bCs/>
                <w:sz w:val="20"/>
                <w:szCs w:val="20"/>
              </w:rPr>
              <w:t>1</w:t>
            </w:r>
          </w:p>
        </w:tc>
        <w:tc>
          <w:tcPr>
            <w:tcW w:w="790" w:type="pct"/>
            <w:tcBorders>
              <w:left w:val="nil"/>
              <w:right w:val="nil"/>
            </w:tcBorders>
          </w:tcPr>
          <w:p w14:paraId="096F8079" w14:textId="79BDB2FD" w:rsidR="00FA0111" w:rsidRPr="008A7A35" w:rsidRDefault="00A81373" w:rsidP="00FA0111">
            <w:pPr>
              <w:spacing w:after="120"/>
              <w:jc w:val="center"/>
              <w:rPr>
                <w:rFonts w:ascii="Arial" w:hAnsi="Arial" w:cs="Arial"/>
                <w:bCs/>
                <w:sz w:val="20"/>
                <w:szCs w:val="20"/>
              </w:rPr>
            </w:pPr>
            <w:r>
              <w:rPr>
                <w:rFonts w:ascii="Arial" w:hAnsi="Arial" w:cs="Arial"/>
                <w:bCs/>
                <w:sz w:val="20"/>
                <w:szCs w:val="20"/>
              </w:rPr>
              <w:t>1</w:t>
            </w:r>
          </w:p>
        </w:tc>
        <w:tc>
          <w:tcPr>
            <w:tcW w:w="526" w:type="pct"/>
            <w:tcBorders>
              <w:left w:val="nil"/>
              <w:right w:val="nil"/>
            </w:tcBorders>
            <w:tcMar>
              <w:top w:w="15" w:type="dxa"/>
              <w:left w:w="69" w:type="dxa"/>
              <w:bottom w:w="0" w:type="dxa"/>
              <w:right w:w="69" w:type="dxa"/>
            </w:tcMar>
          </w:tcPr>
          <w:p w14:paraId="15A049D2" w14:textId="6A4A1C96" w:rsidR="00FA0111" w:rsidRPr="008A7A35" w:rsidRDefault="00F75EA0" w:rsidP="00FA0111">
            <w:pPr>
              <w:spacing w:after="120"/>
              <w:jc w:val="center"/>
              <w:rPr>
                <w:rFonts w:ascii="Arial" w:hAnsi="Arial" w:cs="Arial"/>
                <w:sz w:val="20"/>
                <w:szCs w:val="20"/>
              </w:rPr>
            </w:pPr>
            <w:r w:rsidRPr="008A7A35">
              <w:rPr>
                <w:rFonts w:ascii="Arial" w:hAnsi="Arial" w:cs="Arial"/>
                <w:bCs/>
                <w:sz w:val="20"/>
                <w:szCs w:val="20"/>
              </w:rPr>
              <w:t>0.</w:t>
            </w:r>
            <w:r w:rsidR="00A42F44">
              <w:rPr>
                <w:rFonts w:ascii="Arial" w:hAnsi="Arial" w:cs="Arial"/>
                <w:bCs/>
                <w:sz w:val="20"/>
                <w:szCs w:val="20"/>
              </w:rPr>
              <w:t>2</w:t>
            </w:r>
            <w:r w:rsidRPr="008A7A35">
              <w:rPr>
                <w:rFonts w:ascii="Arial" w:hAnsi="Arial" w:cs="Arial"/>
                <w:bCs/>
                <w:sz w:val="20"/>
                <w:szCs w:val="20"/>
              </w:rPr>
              <w:t>5</w:t>
            </w:r>
            <w:r w:rsidR="00FA0111" w:rsidRPr="008A7A35">
              <w:rPr>
                <w:rFonts w:ascii="Arial" w:hAnsi="Arial" w:cs="Arial"/>
                <w:bCs/>
                <w:sz w:val="20"/>
                <w:szCs w:val="20"/>
              </w:rPr>
              <w:t>x</w:t>
            </w:r>
          </w:p>
        </w:tc>
        <w:tc>
          <w:tcPr>
            <w:tcW w:w="460" w:type="pct"/>
            <w:gridSpan w:val="2"/>
            <w:tcBorders>
              <w:left w:val="nil"/>
              <w:right w:val="nil"/>
            </w:tcBorders>
          </w:tcPr>
          <w:p w14:paraId="413CC90B" w14:textId="58C3FF53" w:rsidR="00FA0111" w:rsidRPr="008A7A35" w:rsidRDefault="00FA0111" w:rsidP="00FA0111">
            <w:pPr>
              <w:spacing w:after="120"/>
              <w:jc w:val="center"/>
              <w:rPr>
                <w:rFonts w:ascii="Arial" w:hAnsi="Arial" w:cs="Arial"/>
                <w:bCs/>
                <w:sz w:val="20"/>
                <w:szCs w:val="20"/>
              </w:rPr>
            </w:pPr>
            <w:r w:rsidRPr="008A7A35">
              <w:rPr>
                <w:rFonts w:ascii="Arial" w:hAnsi="Arial" w:cs="Arial"/>
                <w:bCs/>
                <w:sz w:val="20"/>
                <w:szCs w:val="20"/>
              </w:rPr>
              <w:t>0.75x</w:t>
            </w:r>
          </w:p>
        </w:tc>
      </w:tr>
      <w:tr w:rsidR="00FA0111" w:rsidRPr="008A7A35" w14:paraId="4D053BAC" w14:textId="77777777" w:rsidTr="2A6FF115">
        <w:trPr>
          <w:trHeight w:val="507"/>
        </w:trPr>
        <w:tc>
          <w:tcPr>
            <w:tcW w:w="921" w:type="pct"/>
            <w:tcBorders>
              <w:top w:val="single" w:sz="4" w:space="0" w:color="auto"/>
              <w:left w:val="nil"/>
              <w:bottom w:val="single" w:sz="4" w:space="0" w:color="auto"/>
              <w:right w:val="nil"/>
            </w:tcBorders>
            <w:tcMar>
              <w:top w:w="15" w:type="dxa"/>
              <w:left w:w="137" w:type="dxa"/>
              <w:bottom w:w="0" w:type="dxa"/>
              <w:right w:w="15" w:type="dxa"/>
            </w:tcMar>
          </w:tcPr>
          <w:p w14:paraId="3ABF660B" w14:textId="77777777" w:rsidR="00FA0111" w:rsidRPr="008A7A35" w:rsidRDefault="00FA0111" w:rsidP="00FA0111">
            <w:pPr>
              <w:spacing w:after="120"/>
              <w:rPr>
                <w:rFonts w:ascii="Arial" w:hAnsi="Arial" w:cs="Arial"/>
                <w:b/>
                <w:i/>
                <w:sz w:val="20"/>
                <w:szCs w:val="20"/>
                <w:vertAlign w:val="superscript"/>
              </w:rPr>
            </w:pPr>
            <w:r w:rsidRPr="008A7A35">
              <w:rPr>
                <w:rFonts w:ascii="Arial" w:hAnsi="Arial" w:cs="Arial"/>
                <w:b/>
                <w:sz w:val="20"/>
                <w:szCs w:val="20"/>
              </w:rPr>
              <w:t xml:space="preserve">Total Current Portfolio - Decarbonisation – </w:t>
            </w:r>
            <w:proofErr w:type="gramStart"/>
            <w:r w:rsidRPr="008A7A35">
              <w:rPr>
                <w:rFonts w:ascii="Arial" w:hAnsi="Arial" w:cs="Arial"/>
                <w:b/>
                <w:sz w:val="20"/>
                <w:szCs w:val="20"/>
              </w:rPr>
              <w:t>Public</w:t>
            </w:r>
            <w:r w:rsidRPr="008A7A35">
              <w:rPr>
                <w:rFonts w:ascii="Arial" w:hAnsi="Arial" w:cs="Arial"/>
                <w:b/>
                <w:sz w:val="20"/>
                <w:szCs w:val="20"/>
                <w:vertAlign w:val="superscript"/>
              </w:rPr>
              <w:t>(</w:t>
            </w:r>
            <w:proofErr w:type="gramEnd"/>
            <w:r w:rsidRPr="008A7A35">
              <w:rPr>
                <w:rFonts w:ascii="Arial" w:hAnsi="Arial" w:cs="Arial"/>
                <w:b/>
                <w:sz w:val="20"/>
                <w:szCs w:val="20"/>
                <w:vertAlign w:val="superscript"/>
              </w:rPr>
              <w:t>3)</w:t>
            </w:r>
          </w:p>
        </w:tc>
        <w:tc>
          <w:tcPr>
            <w:tcW w:w="724" w:type="pct"/>
            <w:tcBorders>
              <w:top w:val="single" w:sz="4" w:space="0" w:color="auto"/>
              <w:left w:val="nil"/>
              <w:bottom w:val="single" w:sz="4" w:space="0" w:color="auto"/>
              <w:right w:val="nil"/>
            </w:tcBorders>
          </w:tcPr>
          <w:p w14:paraId="5BBA7B7A" w14:textId="4CEAD4E3"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48</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1C1FDC1A" w14:textId="5CE993AC"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4</w:t>
            </w:r>
            <w:r w:rsidR="00F75EA0" w:rsidRPr="008A7A35">
              <w:rPr>
                <w:rFonts w:ascii="Arial" w:hAnsi="Arial" w:cs="Arial"/>
                <w:b/>
                <w:sz w:val="20"/>
                <w:szCs w:val="20"/>
              </w:rPr>
              <w:t>8</w:t>
            </w:r>
          </w:p>
        </w:tc>
        <w:tc>
          <w:tcPr>
            <w:tcW w:w="527" w:type="pct"/>
            <w:tcBorders>
              <w:top w:val="single" w:sz="4" w:space="0" w:color="auto"/>
              <w:left w:val="nil"/>
              <w:bottom w:val="single" w:sz="4" w:space="0" w:color="auto"/>
              <w:right w:val="nil"/>
            </w:tcBorders>
            <w:tcMar>
              <w:top w:w="15" w:type="dxa"/>
              <w:left w:w="69" w:type="dxa"/>
              <w:bottom w:w="0" w:type="dxa"/>
              <w:right w:w="69" w:type="dxa"/>
            </w:tcMar>
          </w:tcPr>
          <w:p w14:paraId="0D4B90B0" w14:textId="49844204" w:rsidR="00FA0111" w:rsidRPr="008A7A35" w:rsidRDefault="00FA0111" w:rsidP="00FA0111">
            <w:pPr>
              <w:spacing w:after="120"/>
              <w:jc w:val="center"/>
              <w:rPr>
                <w:rFonts w:ascii="Arial" w:hAnsi="Arial" w:cs="Arial"/>
                <w:b/>
                <w:bCs/>
                <w:color w:val="000000"/>
                <w:sz w:val="20"/>
                <w:szCs w:val="20"/>
              </w:rPr>
            </w:pPr>
            <w:r w:rsidRPr="008A7A35">
              <w:rPr>
                <w:rFonts w:ascii="Arial" w:hAnsi="Arial" w:cs="Arial"/>
                <w:b/>
                <w:bCs/>
                <w:sz w:val="20"/>
                <w:szCs w:val="20"/>
              </w:rPr>
              <w:t>$</w:t>
            </w:r>
            <w:r w:rsidR="00F75EA0" w:rsidRPr="008A7A35">
              <w:rPr>
                <w:rFonts w:ascii="Arial" w:hAnsi="Arial" w:cs="Arial"/>
                <w:b/>
                <w:sz w:val="20"/>
                <w:szCs w:val="20"/>
              </w:rPr>
              <w:t>-</w:t>
            </w:r>
          </w:p>
        </w:tc>
        <w:tc>
          <w:tcPr>
            <w:tcW w:w="525" w:type="pct"/>
            <w:tcBorders>
              <w:top w:val="single" w:sz="4" w:space="0" w:color="auto"/>
              <w:left w:val="nil"/>
              <w:bottom w:val="single" w:sz="4" w:space="0" w:color="auto"/>
              <w:right w:val="nil"/>
            </w:tcBorders>
          </w:tcPr>
          <w:p w14:paraId="26FA6F1B" w14:textId="3EC012BF"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sz w:val="20"/>
                <w:szCs w:val="20"/>
              </w:rPr>
              <w:t>16</w:t>
            </w:r>
          </w:p>
        </w:tc>
        <w:tc>
          <w:tcPr>
            <w:tcW w:w="790" w:type="pct"/>
            <w:tcBorders>
              <w:top w:val="single" w:sz="4" w:space="0" w:color="auto"/>
              <w:left w:val="nil"/>
              <w:bottom w:val="single" w:sz="4" w:space="0" w:color="auto"/>
              <w:right w:val="nil"/>
            </w:tcBorders>
          </w:tcPr>
          <w:p w14:paraId="70851701" w14:textId="07895E14"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F75EA0" w:rsidRPr="008A7A35">
              <w:rPr>
                <w:rFonts w:ascii="Arial" w:hAnsi="Arial" w:cs="Arial"/>
                <w:b/>
                <w:sz w:val="20"/>
                <w:szCs w:val="20"/>
              </w:rPr>
              <w:t>16</w:t>
            </w:r>
          </w:p>
        </w:tc>
        <w:tc>
          <w:tcPr>
            <w:tcW w:w="526" w:type="pct"/>
            <w:tcBorders>
              <w:top w:val="single" w:sz="4" w:space="0" w:color="auto"/>
              <w:left w:val="nil"/>
              <w:bottom w:val="single" w:sz="4" w:space="0" w:color="auto"/>
              <w:right w:val="nil"/>
            </w:tcBorders>
            <w:tcMar>
              <w:top w:w="15" w:type="dxa"/>
              <w:left w:w="69" w:type="dxa"/>
              <w:bottom w:w="0" w:type="dxa"/>
              <w:right w:w="69" w:type="dxa"/>
            </w:tcMar>
          </w:tcPr>
          <w:p w14:paraId="3CD0640B" w14:textId="21516C4A" w:rsidR="00FA0111" w:rsidRPr="008A7A35" w:rsidRDefault="00F75EA0" w:rsidP="00FA0111">
            <w:pPr>
              <w:spacing w:after="120"/>
              <w:jc w:val="center"/>
              <w:rPr>
                <w:rFonts w:ascii="Arial" w:hAnsi="Arial" w:cs="Arial"/>
                <w:b/>
                <w:sz w:val="20"/>
                <w:szCs w:val="20"/>
              </w:rPr>
            </w:pPr>
            <w:r w:rsidRPr="008A7A35">
              <w:rPr>
                <w:rFonts w:ascii="Arial" w:hAnsi="Arial" w:cs="Arial"/>
                <w:b/>
                <w:sz w:val="20"/>
                <w:szCs w:val="20"/>
              </w:rPr>
              <w:t>0.</w:t>
            </w:r>
            <w:r w:rsidR="00E660D7" w:rsidRPr="008A7A35">
              <w:rPr>
                <w:rFonts w:ascii="Arial" w:hAnsi="Arial" w:cs="Arial"/>
                <w:b/>
                <w:sz w:val="20"/>
                <w:szCs w:val="20"/>
              </w:rPr>
              <w:t>33</w:t>
            </w:r>
            <w:r w:rsidR="00FA0111" w:rsidRPr="008A7A35">
              <w:rPr>
                <w:rFonts w:ascii="Arial" w:hAnsi="Arial" w:cs="Arial"/>
                <w:b/>
                <w:sz w:val="20"/>
                <w:szCs w:val="20"/>
              </w:rPr>
              <w:t>x</w:t>
            </w:r>
          </w:p>
        </w:tc>
        <w:tc>
          <w:tcPr>
            <w:tcW w:w="460" w:type="pct"/>
            <w:gridSpan w:val="2"/>
            <w:tcBorders>
              <w:top w:val="single" w:sz="4" w:space="0" w:color="auto"/>
              <w:left w:val="nil"/>
              <w:bottom w:val="single" w:sz="4" w:space="0" w:color="auto"/>
              <w:right w:val="nil"/>
            </w:tcBorders>
          </w:tcPr>
          <w:p w14:paraId="219ADC61" w14:textId="3D513F3D"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0.2</w:t>
            </w:r>
            <w:r w:rsidR="00E660D7" w:rsidRPr="008A7A35">
              <w:rPr>
                <w:rFonts w:ascii="Arial" w:hAnsi="Arial" w:cs="Arial"/>
                <w:b/>
                <w:bCs/>
                <w:sz w:val="20"/>
                <w:szCs w:val="20"/>
              </w:rPr>
              <w:t>9</w:t>
            </w:r>
            <w:r w:rsidRPr="008A7A35">
              <w:rPr>
                <w:rFonts w:ascii="Arial" w:hAnsi="Arial" w:cs="Arial"/>
                <w:b/>
                <w:sz w:val="20"/>
                <w:szCs w:val="20"/>
              </w:rPr>
              <w:t>x</w:t>
            </w:r>
          </w:p>
        </w:tc>
      </w:tr>
      <w:tr w:rsidR="00FA0111" w:rsidRPr="008A7A35" w14:paraId="5225FDD0" w14:textId="77777777" w:rsidTr="2A6FF115">
        <w:trPr>
          <w:trHeight w:val="507"/>
        </w:trPr>
        <w:tc>
          <w:tcPr>
            <w:tcW w:w="921" w:type="pct"/>
            <w:tcBorders>
              <w:top w:val="single" w:sz="4" w:space="0" w:color="auto"/>
              <w:left w:val="nil"/>
              <w:bottom w:val="single" w:sz="6" w:space="0" w:color="auto"/>
              <w:right w:val="nil"/>
            </w:tcBorders>
            <w:tcMar>
              <w:top w:w="15" w:type="dxa"/>
              <w:left w:w="137" w:type="dxa"/>
              <w:bottom w:w="0" w:type="dxa"/>
              <w:right w:w="15" w:type="dxa"/>
            </w:tcMar>
          </w:tcPr>
          <w:p w14:paraId="5CCF056E" w14:textId="77777777" w:rsidR="00FA0111" w:rsidRPr="008A7A35" w:rsidRDefault="00FA0111" w:rsidP="00FA0111">
            <w:pPr>
              <w:spacing w:after="120"/>
              <w:rPr>
                <w:rFonts w:ascii="Arial" w:hAnsi="Arial" w:cs="Arial"/>
                <w:b/>
                <w:sz w:val="20"/>
                <w:szCs w:val="20"/>
              </w:rPr>
            </w:pPr>
            <w:r w:rsidRPr="008A7A35">
              <w:rPr>
                <w:rFonts w:ascii="Arial" w:hAnsi="Arial" w:cs="Arial"/>
                <w:b/>
                <w:sz w:val="20"/>
                <w:szCs w:val="20"/>
              </w:rPr>
              <w:t xml:space="preserve">Total Current Portfolio - Decarbonisation – </w:t>
            </w:r>
            <w:proofErr w:type="gramStart"/>
            <w:r w:rsidRPr="008A7A35">
              <w:rPr>
                <w:rFonts w:ascii="Arial" w:hAnsi="Arial" w:cs="Arial"/>
                <w:b/>
                <w:sz w:val="20"/>
                <w:szCs w:val="20"/>
              </w:rPr>
              <w:t>Private</w:t>
            </w:r>
            <w:r w:rsidRPr="008A7A35">
              <w:rPr>
                <w:rFonts w:ascii="Arial" w:hAnsi="Arial" w:cs="Arial"/>
                <w:b/>
                <w:sz w:val="20"/>
                <w:szCs w:val="20"/>
                <w:vertAlign w:val="superscript"/>
              </w:rPr>
              <w:t>(</w:t>
            </w:r>
            <w:proofErr w:type="gramEnd"/>
            <w:r w:rsidRPr="008A7A35">
              <w:rPr>
                <w:rFonts w:ascii="Arial" w:hAnsi="Arial" w:cs="Arial"/>
                <w:b/>
                <w:sz w:val="20"/>
                <w:szCs w:val="20"/>
                <w:vertAlign w:val="superscript"/>
              </w:rPr>
              <w:t>3)</w:t>
            </w:r>
          </w:p>
        </w:tc>
        <w:tc>
          <w:tcPr>
            <w:tcW w:w="724" w:type="pct"/>
            <w:tcBorders>
              <w:top w:val="single" w:sz="4" w:space="0" w:color="auto"/>
              <w:left w:val="nil"/>
              <w:bottom w:val="single" w:sz="6" w:space="0" w:color="auto"/>
              <w:right w:val="nil"/>
            </w:tcBorders>
          </w:tcPr>
          <w:p w14:paraId="0D1045E6" w14:textId="32FC3984"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56</w:t>
            </w:r>
          </w:p>
        </w:tc>
        <w:tc>
          <w:tcPr>
            <w:tcW w:w="526" w:type="pct"/>
            <w:tcBorders>
              <w:top w:val="single" w:sz="4" w:space="0" w:color="auto"/>
              <w:left w:val="nil"/>
              <w:bottom w:val="single" w:sz="6" w:space="0" w:color="auto"/>
              <w:right w:val="nil"/>
            </w:tcBorders>
            <w:tcMar>
              <w:top w:w="15" w:type="dxa"/>
              <w:left w:w="69" w:type="dxa"/>
              <w:bottom w:w="0" w:type="dxa"/>
              <w:right w:w="69" w:type="dxa"/>
            </w:tcMar>
          </w:tcPr>
          <w:p w14:paraId="44564279" w14:textId="125A234F"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sz w:val="20"/>
                <w:szCs w:val="20"/>
              </w:rPr>
              <w:t>56</w:t>
            </w:r>
          </w:p>
        </w:tc>
        <w:tc>
          <w:tcPr>
            <w:tcW w:w="527" w:type="pct"/>
            <w:tcBorders>
              <w:top w:val="single" w:sz="4" w:space="0" w:color="auto"/>
              <w:left w:val="nil"/>
              <w:bottom w:val="single" w:sz="6" w:space="0" w:color="auto"/>
              <w:right w:val="nil"/>
            </w:tcBorders>
            <w:tcMar>
              <w:top w:w="15" w:type="dxa"/>
              <w:left w:w="69" w:type="dxa"/>
              <w:bottom w:w="0" w:type="dxa"/>
              <w:right w:w="69" w:type="dxa"/>
            </w:tcMar>
          </w:tcPr>
          <w:p w14:paraId="3C410575" w14:textId="2C326933" w:rsidR="00FA0111" w:rsidRPr="008A7A35" w:rsidRDefault="00FA0111" w:rsidP="00FA0111">
            <w:pPr>
              <w:spacing w:after="120"/>
              <w:jc w:val="center"/>
              <w:rPr>
                <w:rFonts w:ascii="Arial" w:hAnsi="Arial" w:cs="Arial"/>
                <w:b/>
                <w:bCs/>
                <w:color w:val="000000"/>
                <w:sz w:val="20"/>
                <w:szCs w:val="20"/>
              </w:rPr>
            </w:pPr>
            <w:r w:rsidRPr="008A7A35">
              <w:rPr>
                <w:rFonts w:ascii="Arial" w:hAnsi="Arial" w:cs="Arial"/>
                <w:b/>
                <w:bCs/>
                <w:sz w:val="20"/>
                <w:szCs w:val="20"/>
              </w:rPr>
              <w:t>$</w:t>
            </w:r>
            <w:r w:rsidR="00E660D7" w:rsidRPr="008A7A35">
              <w:rPr>
                <w:rFonts w:ascii="Arial" w:hAnsi="Arial" w:cs="Arial"/>
                <w:b/>
                <w:sz w:val="20"/>
                <w:szCs w:val="20"/>
              </w:rPr>
              <w:t>2</w:t>
            </w:r>
          </w:p>
        </w:tc>
        <w:tc>
          <w:tcPr>
            <w:tcW w:w="525" w:type="pct"/>
            <w:tcBorders>
              <w:top w:val="single" w:sz="4" w:space="0" w:color="auto"/>
              <w:left w:val="nil"/>
              <w:bottom w:val="single" w:sz="6" w:space="0" w:color="auto"/>
              <w:right w:val="nil"/>
            </w:tcBorders>
          </w:tcPr>
          <w:p w14:paraId="257B29C1" w14:textId="78489514"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sz w:val="20"/>
                <w:szCs w:val="20"/>
              </w:rPr>
              <w:t>4</w:t>
            </w:r>
            <w:r w:rsidR="00A81373">
              <w:rPr>
                <w:rFonts w:ascii="Arial" w:hAnsi="Arial" w:cs="Arial"/>
                <w:b/>
                <w:sz w:val="20"/>
                <w:szCs w:val="20"/>
              </w:rPr>
              <w:t>2</w:t>
            </w:r>
          </w:p>
        </w:tc>
        <w:tc>
          <w:tcPr>
            <w:tcW w:w="790" w:type="pct"/>
            <w:tcBorders>
              <w:top w:val="single" w:sz="4" w:space="0" w:color="auto"/>
              <w:left w:val="nil"/>
              <w:bottom w:val="single" w:sz="6" w:space="0" w:color="auto"/>
              <w:right w:val="nil"/>
            </w:tcBorders>
          </w:tcPr>
          <w:p w14:paraId="00FD9933" w14:textId="138C0965"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sz w:val="20"/>
                <w:szCs w:val="20"/>
              </w:rPr>
              <w:t>4</w:t>
            </w:r>
            <w:r w:rsidR="00A81373">
              <w:rPr>
                <w:rFonts w:ascii="Arial" w:hAnsi="Arial" w:cs="Arial"/>
                <w:b/>
                <w:sz w:val="20"/>
                <w:szCs w:val="20"/>
              </w:rPr>
              <w:t>4</w:t>
            </w:r>
          </w:p>
        </w:tc>
        <w:tc>
          <w:tcPr>
            <w:tcW w:w="526" w:type="pct"/>
            <w:tcBorders>
              <w:top w:val="single" w:sz="4" w:space="0" w:color="auto"/>
              <w:left w:val="nil"/>
              <w:bottom w:val="single" w:sz="6" w:space="0" w:color="auto"/>
              <w:right w:val="nil"/>
            </w:tcBorders>
            <w:tcMar>
              <w:top w:w="15" w:type="dxa"/>
              <w:left w:w="69" w:type="dxa"/>
              <w:bottom w:w="0" w:type="dxa"/>
              <w:right w:w="69" w:type="dxa"/>
            </w:tcMar>
          </w:tcPr>
          <w:p w14:paraId="1BEAE2F7" w14:textId="7E51152B" w:rsidR="00FA0111" w:rsidRPr="008A7A35" w:rsidRDefault="00E660D7" w:rsidP="00FA0111">
            <w:pPr>
              <w:spacing w:after="120"/>
              <w:jc w:val="center"/>
              <w:rPr>
                <w:rFonts w:ascii="Arial" w:hAnsi="Arial" w:cs="Arial"/>
                <w:b/>
                <w:sz w:val="20"/>
                <w:szCs w:val="20"/>
              </w:rPr>
            </w:pPr>
            <w:r w:rsidRPr="008A7A35">
              <w:rPr>
                <w:rFonts w:ascii="Arial" w:hAnsi="Arial" w:cs="Arial"/>
                <w:b/>
                <w:sz w:val="20"/>
                <w:szCs w:val="20"/>
              </w:rPr>
              <w:t>0.</w:t>
            </w:r>
            <w:r w:rsidR="00A81373">
              <w:rPr>
                <w:rFonts w:ascii="Arial" w:hAnsi="Arial" w:cs="Arial"/>
                <w:b/>
                <w:sz w:val="20"/>
                <w:szCs w:val="20"/>
              </w:rPr>
              <w:t>78</w:t>
            </w:r>
            <w:r w:rsidR="00FA0111" w:rsidRPr="008A7A35">
              <w:rPr>
                <w:rFonts w:ascii="Arial" w:hAnsi="Arial" w:cs="Arial"/>
                <w:b/>
                <w:sz w:val="20"/>
                <w:szCs w:val="20"/>
              </w:rPr>
              <w:t>x</w:t>
            </w:r>
          </w:p>
        </w:tc>
        <w:tc>
          <w:tcPr>
            <w:tcW w:w="460" w:type="pct"/>
            <w:gridSpan w:val="2"/>
            <w:tcBorders>
              <w:top w:val="single" w:sz="4" w:space="0" w:color="auto"/>
              <w:left w:val="nil"/>
              <w:bottom w:val="single" w:sz="6" w:space="0" w:color="auto"/>
              <w:right w:val="nil"/>
            </w:tcBorders>
          </w:tcPr>
          <w:p w14:paraId="1D11E25E" w14:textId="17F43DD3"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0.</w:t>
            </w:r>
            <w:r w:rsidR="00E80B4A">
              <w:rPr>
                <w:rFonts w:ascii="Arial" w:hAnsi="Arial" w:cs="Arial"/>
                <w:b/>
                <w:bCs/>
                <w:sz w:val="20"/>
                <w:szCs w:val="20"/>
              </w:rPr>
              <w:t>91</w:t>
            </w:r>
            <w:r w:rsidRPr="008A7A35">
              <w:rPr>
                <w:rFonts w:ascii="Arial" w:hAnsi="Arial" w:cs="Arial"/>
                <w:b/>
                <w:sz w:val="20"/>
                <w:szCs w:val="20"/>
              </w:rPr>
              <w:t>x</w:t>
            </w:r>
          </w:p>
        </w:tc>
      </w:tr>
      <w:tr w:rsidR="00FA0111" w:rsidRPr="008A7A35" w14:paraId="38B14B7F" w14:textId="77777777" w:rsidTr="2A6FF115">
        <w:trPr>
          <w:trHeight w:val="507"/>
        </w:trPr>
        <w:tc>
          <w:tcPr>
            <w:tcW w:w="921" w:type="pct"/>
            <w:tcBorders>
              <w:top w:val="single" w:sz="6" w:space="0" w:color="auto"/>
              <w:left w:val="nil"/>
              <w:bottom w:val="single" w:sz="6" w:space="0" w:color="auto"/>
              <w:right w:val="nil"/>
            </w:tcBorders>
            <w:tcMar>
              <w:top w:w="15" w:type="dxa"/>
              <w:left w:w="137" w:type="dxa"/>
              <w:bottom w:w="0" w:type="dxa"/>
              <w:right w:w="15" w:type="dxa"/>
            </w:tcMar>
          </w:tcPr>
          <w:p w14:paraId="1686E59A" w14:textId="77777777" w:rsidR="00FA0111" w:rsidRPr="008A7A35" w:rsidRDefault="00FA0111" w:rsidP="00FA0111">
            <w:pPr>
              <w:spacing w:after="120"/>
              <w:rPr>
                <w:rFonts w:ascii="Arial" w:hAnsi="Arial" w:cs="Arial"/>
                <w:b/>
                <w:sz w:val="20"/>
                <w:szCs w:val="20"/>
              </w:rPr>
            </w:pPr>
            <w:r w:rsidRPr="008A7A35">
              <w:rPr>
                <w:rFonts w:ascii="Arial" w:hAnsi="Arial" w:cs="Arial"/>
                <w:b/>
                <w:sz w:val="20"/>
                <w:szCs w:val="20"/>
              </w:rPr>
              <w:t xml:space="preserve">Total Current Portfolio - Decarbonisation – Public &amp; </w:t>
            </w:r>
            <w:proofErr w:type="gramStart"/>
            <w:r w:rsidRPr="008A7A35">
              <w:rPr>
                <w:rFonts w:ascii="Arial" w:hAnsi="Arial" w:cs="Arial"/>
                <w:b/>
                <w:sz w:val="20"/>
                <w:szCs w:val="20"/>
              </w:rPr>
              <w:t>Private</w:t>
            </w:r>
            <w:r w:rsidRPr="008A7A35">
              <w:rPr>
                <w:rFonts w:ascii="Arial" w:hAnsi="Arial" w:cs="Arial"/>
                <w:b/>
                <w:sz w:val="20"/>
                <w:szCs w:val="20"/>
                <w:vertAlign w:val="superscript"/>
              </w:rPr>
              <w:t>(</w:t>
            </w:r>
            <w:proofErr w:type="gramEnd"/>
            <w:r w:rsidRPr="008A7A35">
              <w:rPr>
                <w:rFonts w:ascii="Arial" w:hAnsi="Arial" w:cs="Arial"/>
                <w:b/>
                <w:sz w:val="20"/>
                <w:szCs w:val="20"/>
                <w:vertAlign w:val="superscript"/>
              </w:rPr>
              <w:t>3)</w:t>
            </w:r>
          </w:p>
        </w:tc>
        <w:tc>
          <w:tcPr>
            <w:tcW w:w="724" w:type="pct"/>
            <w:tcBorders>
              <w:top w:val="single" w:sz="6" w:space="0" w:color="auto"/>
              <w:left w:val="nil"/>
              <w:bottom w:val="single" w:sz="6" w:space="0" w:color="auto"/>
              <w:right w:val="nil"/>
            </w:tcBorders>
          </w:tcPr>
          <w:p w14:paraId="5022F63F" w14:textId="42D95432"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sz w:val="20"/>
                <w:szCs w:val="20"/>
              </w:rPr>
              <w:t>104</w:t>
            </w:r>
          </w:p>
        </w:tc>
        <w:tc>
          <w:tcPr>
            <w:tcW w:w="526" w:type="pct"/>
            <w:tcBorders>
              <w:top w:val="single" w:sz="6" w:space="0" w:color="auto"/>
              <w:left w:val="nil"/>
              <w:bottom w:val="single" w:sz="6" w:space="0" w:color="auto"/>
              <w:right w:val="nil"/>
            </w:tcBorders>
            <w:tcMar>
              <w:top w:w="15" w:type="dxa"/>
              <w:left w:w="69" w:type="dxa"/>
              <w:bottom w:w="0" w:type="dxa"/>
              <w:right w:w="69" w:type="dxa"/>
            </w:tcMar>
          </w:tcPr>
          <w:p w14:paraId="684DBCA8" w14:textId="12CE9C8A"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104</w:t>
            </w:r>
          </w:p>
        </w:tc>
        <w:tc>
          <w:tcPr>
            <w:tcW w:w="527" w:type="pct"/>
            <w:tcBorders>
              <w:top w:val="single" w:sz="6" w:space="0" w:color="auto"/>
              <w:left w:val="nil"/>
              <w:bottom w:val="single" w:sz="6" w:space="0" w:color="auto"/>
              <w:right w:val="nil"/>
            </w:tcBorders>
            <w:tcMar>
              <w:top w:w="15" w:type="dxa"/>
              <w:left w:w="69" w:type="dxa"/>
              <w:bottom w:w="0" w:type="dxa"/>
              <w:right w:w="69" w:type="dxa"/>
            </w:tcMar>
          </w:tcPr>
          <w:p w14:paraId="094B56D8" w14:textId="1AAA7B62"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sz w:val="20"/>
                <w:szCs w:val="20"/>
              </w:rPr>
              <w:t>2</w:t>
            </w:r>
          </w:p>
        </w:tc>
        <w:tc>
          <w:tcPr>
            <w:tcW w:w="525" w:type="pct"/>
            <w:tcBorders>
              <w:top w:val="single" w:sz="6" w:space="0" w:color="auto"/>
              <w:left w:val="nil"/>
              <w:bottom w:val="single" w:sz="6" w:space="0" w:color="auto"/>
              <w:right w:val="nil"/>
            </w:tcBorders>
          </w:tcPr>
          <w:p w14:paraId="2A4F5FD5" w14:textId="07A61CA5"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A81373">
              <w:rPr>
                <w:rFonts w:ascii="Arial" w:hAnsi="Arial" w:cs="Arial"/>
                <w:b/>
                <w:sz w:val="20"/>
                <w:szCs w:val="20"/>
              </w:rPr>
              <w:t>58</w:t>
            </w:r>
          </w:p>
        </w:tc>
        <w:tc>
          <w:tcPr>
            <w:tcW w:w="790" w:type="pct"/>
            <w:tcBorders>
              <w:top w:val="single" w:sz="6" w:space="0" w:color="auto"/>
              <w:left w:val="nil"/>
              <w:bottom w:val="single" w:sz="6" w:space="0" w:color="auto"/>
              <w:right w:val="nil"/>
            </w:tcBorders>
          </w:tcPr>
          <w:p w14:paraId="421C2D2B" w14:textId="0AA58989" w:rsidR="00FA0111" w:rsidRPr="008A7A35" w:rsidRDefault="00FA0111" w:rsidP="00FA0111">
            <w:pPr>
              <w:spacing w:after="120"/>
              <w:jc w:val="center"/>
              <w:rPr>
                <w:rFonts w:ascii="Arial" w:hAnsi="Arial" w:cs="Arial"/>
                <w:b/>
                <w:bCs/>
                <w:sz w:val="20"/>
                <w:szCs w:val="20"/>
              </w:rPr>
            </w:pPr>
            <w:r w:rsidRPr="008A7A35">
              <w:rPr>
                <w:rFonts w:ascii="Arial" w:hAnsi="Arial" w:cs="Arial"/>
                <w:b/>
                <w:bCs/>
                <w:sz w:val="20"/>
                <w:szCs w:val="20"/>
              </w:rPr>
              <w:t>$</w:t>
            </w:r>
            <w:r w:rsidR="00E660D7" w:rsidRPr="008A7A35">
              <w:rPr>
                <w:rFonts w:ascii="Arial" w:hAnsi="Arial" w:cs="Arial"/>
                <w:b/>
                <w:sz w:val="20"/>
                <w:szCs w:val="20"/>
              </w:rPr>
              <w:t>6</w:t>
            </w:r>
            <w:r w:rsidR="00A81373">
              <w:rPr>
                <w:rFonts w:ascii="Arial" w:hAnsi="Arial" w:cs="Arial"/>
                <w:b/>
                <w:sz w:val="20"/>
                <w:szCs w:val="20"/>
              </w:rPr>
              <w:t>0</w:t>
            </w:r>
          </w:p>
        </w:tc>
        <w:tc>
          <w:tcPr>
            <w:tcW w:w="526" w:type="pct"/>
            <w:tcBorders>
              <w:top w:val="single" w:sz="6" w:space="0" w:color="auto"/>
              <w:left w:val="nil"/>
              <w:bottom w:val="single" w:sz="6" w:space="0" w:color="auto"/>
              <w:right w:val="nil"/>
            </w:tcBorders>
            <w:tcMar>
              <w:top w:w="15" w:type="dxa"/>
              <w:left w:w="69" w:type="dxa"/>
              <w:bottom w:w="0" w:type="dxa"/>
              <w:right w:w="69" w:type="dxa"/>
            </w:tcMar>
          </w:tcPr>
          <w:p w14:paraId="4DFDACB4" w14:textId="2DC2A454" w:rsidR="00FA0111" w:rsidRPr="008A7A35" w:rsidRDefault="00E660D7" w:rsidP="00FA0111">
            <w:pPr>
              <w:spacing w:after="120"/>
              <w:jc w:val="center"/>
              <w:rPr>
                <w:rFonts w:ascii="Arial" w:hAnsi="Arial" w:cs="Arial"/>
                <w:b/>
                <w:sz w:val="20"/>
                <w:szCs w:val="20"/>
              </w:rPr>
            </w:pPr>
            <w:r w:rsidRPr="008A7A35">
              <w:rPr>
                <w:rFonts w:ascii="Arial" w:hAnsi="Arial" w:cs="Arial"/>
                <w:b/>
                <w:sz w:val="20"/>
                <w:szCs w:val="20"/>
              </w:rPr>
              <w:t>0.5</w:t>
            </w:r>
            <w:r w:rsidR="00A42F44">
              <w:rPr>
                <w:rFonts w:ascii="Arial" w:hAnsi="Arial" w:cs="Arial"/>
                <w:b/>
                <w:sz w:val="20"/>
                <w:szCs w:val="20"/>
              </w:rPr>
              <w:t>7</w:t>
            </w:r>
            <w:r w:rsidR="00FA0111" w:rsidRPr="008A7A35">
              <w:rPr>
                <w:rFonts w:ascii="Arial" w:hAnsi="Arial" w:cs="Arial"/>
                <w:b/>
                <w:sz w:val="20"/>
                <w:szCs w:val="20"/>
              </w:rPr>
              <w:t>x</w:t>
            </w:r>
          </w:p>
        </w:tc>
        <w:tc>
          <w:tcPr>
            <w:tcW w:w="460" w:type="pct"/>
            <w:gridSpan w:val="2"/>
            <w:tcBorders>
              <w:top w:val="single" w:sz="6" w:space="0" w:color="auto"/>
              <w:left w:val="nil"/>
              <w:bottom w:val="single" w:sz="6" w:space="0" w:color="auto"/>
              <w:right w:val="nil"/>
            </w:tcBorders>
          </w:tcPr>
          <w:p w14:paraId="17D74651" w14:textId="0FF4737D"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0.</w:t>
            </w:r>
            <w:r w:rsidR="00E80B4A">
              <w:rPr>
                <w:rFonts w:ascii="Arial" w:hAnsi="Arial" w:cs="Arial"/>
                <w:b/>
                <w:bCs/>
                <w:sz w:val="20"/>
                <w:szCs w:val="20"/>
              </w:rPr>
              <w:t>63</w:t>
            </w:r>
            <w:r w:rsidRPr="008A7A35">
              <w:rPr>
                <w:rFonts w:ascii="Arial" w:hAnsi="Arial" w:cs="Arial"/>
                <w:b/>
                <w:sz w:val="20"/>
                <w:szCs w:val="20"/>
              </w:rPr>
              <w:t>x</w:t>
            </w:r>
          </w:p>
        </w:tc>
      </w:tr>
      <w:tr w:rsidR="00FA0111" w:rsidRPr="008A7A35" w14:paraId="03516B62" w14:textId="77777777" w:rsidTr="2A6FF115">
        <w:trPr>
          <w:trHeight w:val="507"/>
        </w:trPr>
        <w:tc>
          <w:tcPr>
            <w:tcW w:w="921" w:type="pct"/>
            <w:tcBorders>
              <w:top w:val="single" w:sz="6" w:space="0" w:color="auto"/>
              <w:left w:val="nil"/>
              <w:bottom w:val="single" w:sz="4" w:space="0" w:color="auto"/>
              <w:right w:val="nil"/>
            </w:tcBorders>
            <w:tcMar>
              <w:top w:w="15" w:type="dxa"/>
              <w:left w:w="137" w:type="dxa"/>
              <w:bottom w:w="0" w:type="dxa"/>
              <w:right w:w="15" w:type="dxa"/>
            </w:tcMar>
          </w:tcPr>
          <w:p w14:paraId="04AA1837" w14:textId="77777777" w:rsidR="00FA0111" w:rsidRPr="008A7A35" w:rsidRDefault="00FA0111" w:rsidP="00FA0111">
            <w:pPr>
              <w:spacing w:after="120"/>
              <w:rPr>
                <w:rFonts w:ascii="Arial" w:hAnsi="Arial" w:cs="Arial"/>
                <w:b/>
                <w:sz w:val="20"/>
                <w:szCs w:val="20"/>
              </w:rPr>
            </w:pPr>
            <w:r w:rsidRPr="008A7A35">
              <w:rPr>
                <w:rFonts w:ascii="Arial" w:hAnsi="Arial" w:cs="Arial"/>
                <w:b/>
                <w:sz w:val="20"/>
                <w:szCs w:val="20"/>
              </w:rPr>
              <w:t xml:space="preserve">Total Current Portfolio – Conventional &amp; Decarbonisation – Public &amp; </w:t>
            </w:r>
            <w:proofErr w:type="gramStart"/>
            <w:r w:rsidRPr="008A7A35">
              <w:rPr>
                <w:rFonts w:ascii="Arial" w:hAnsi="Arial" w:cs="Arial"/>
                <w:b/>
                <w:sz w:val="20"/>
                <w:szCs w:val="20"/>
              </w:rPr>
              <w:t>Private</w:t>
            </w:r>
            <w:r w:rsidRPr="008A7A35">
              <w:rPr>
                <w:rFonts w:ascii="Arial" w:hAnsi="Arial" w:cs="Arial"/>
                <w:b/>
                <w:sz w:val="20"/>
                <w:szCs w:val="20"/>
                <w:vertAlign w:val="superscript"/>
              </w:rPr>
              <w:t>(</w:t>
            </w:r>
            <w:proofErr w:type="gramEnd"/>
            <w:r w:rsidRPr="008A7A35">
              <w:rPr>
                <w:rFonts w:ascii="Arial" w:hAnsi="Arial" w:cs="Arial"/>
                <w:b/>
                <w:sz w:val="20"/>
                <w:szCs w:val="20"/>
                <w:vertAlign w:val="superscript"/>
              </w:rPr>
              <w:t>3)</w:t>
            </w:r>
          </w:p>
        </w:tc>
        <w:tc>
          <w:tcPr>
            <w:tcW w:w="724" w:type="pct"/>
            <w:tcBorders>
              <w:top w:val="single" w:sz="6" w:space="0" w:color="auto"/>
              <w:left w:val="nil"/>
              <w:bottom w:val="single" w:sz="4" w:space="0" w:color="auto"/>
              <w:right w:val="nil"/>
            </w:tcBorders>
          </w:tcPr>
          <w:p w14:paraId="0C6F97A0" w14:textId="43CBC4EB"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w:t>
            </w:r>
            <w:r w:rsidR="00E660D7" w:rsidRPr="008A7A35">
              <w:rPr>
                <w:rFonts w:ascii="Arial" w:hAnsi="Arial" w:cs="Arial"/>
                <w:b/>
                <w:sz w:val="20"/>
                <w:szCs w:val="20"/>
              </w:rPr>
              <w:t>734</w:t>
            </w:r>
          </w:p>
        </w:tc>
        <w:tc>
          <w:tcPr>
            <w:tcW w:w="526" w:type="pct"/>
            <w:tcBorders>
              <w:top w:val="single" w:sz="6" w:space="0" w:color="auto"/>
              <w:left w:val="nil"/>
              <w:bottom w:val="single" w:sz="4" w:space="0" w:color="auto"/>
              <w:right w:val="nil"/>
            </w:tcBorders>
            <w:tcMar>
              <w:top w:w="15" w:type="dxa"/>
              <w:left w:w="69" w:type="dxa"/>
              <w:bottom w:w="0" w:type="dxa"/>
              <w:right w:w="69" w:type="dxa"/>
            </w:tcMar>
          </w:tcPr>
          <w:p w14:paraId="30189DF5" w14:textId="02AB5259"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w:t>
            </w:r>
            <w:r w:rsidR="00E660D7" w:rsidRPr="008A7A35">
              <w:rPr>
                <w:rFonts w:ascii="Arial" w:hAnsi="Arial" w:cs="Arial"/>
                <w:b/>
                <w:sz w:val="20"/>
                <w:szCs w:val="20"/>
              </w:rPr>
              <w:t>728</w:t>
            </w:r>
          </w:p>
        </w:tc>
        <w:tc>
          <w:tcPr>
            <w:tcW w:w="527" w:type="pct"/>
            <w:tcBorders>
              <w:top w:val="single" w:sz="6" w:space="0" w:color="auto"/>
              <w:left w:val="nil"/>
              <w:bottom w:val="single" w:sz="4" w:space="0" w:color="auto"/>
              <w:right w:val="nil"/>
            </w:tcBorders>
            <w:tcMar>
              <w:top w:w="15" w:type="dxa"/>
              <w:left w:w="69" w:type="dxa"/>
              <w:bottom w:w="0" w:type="dxa"/>
              <w:right w:w="69" w:type="dxa"/>
            </w:tcMar>
          </w:tcPr>
          <w:p w14:paraId="3B7088C3" w14:textId="2FFF4B5B"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w:t>
            </w:r>
            <w:r w:rsidR="00F94C09" w:rsidRPr="008A7A35">
              <w:rPr>
                <w:rFonts w:ascii="Arial" w:hAnsi="Arial" w:cs="Arial"/>
                <w:b/>
                <w:bCs/>
                <w:sz w:val="20"/>
                <w:szCs w:val="20"/>
              </w:rPr>
              <w:t>55</w:t>
            </w:r>
            <w:r w:rsidR="00A013EC">
              <w:rPr>
                <w:rFonts w:ascii="Arial" w:hAnsi="Arial" w:cs="Arial"/>
                <w:b/>
                <w:bCs/>
                <w:sz w:val="20"/>
                <w:szCs w:val="20"/>
              </w:rPr>
              <w:t>8</w:t>
            </w:r>
          </w:p>
        </w:tc>
        <w:tc>
          <w:tcPr>
            <w:tcW w:w="525" w:type="pct"/>
            <w:tcBorders>
              <w:top w:val="single" w:sz="6" w:space="0" w:color="auto"/>
              <w:left w:val="nil"/>
              <w:bottom w:val="single" w:sz="4" w:space="0" w:color="auto"/>
              <w:right w:val="nil"/>
            </w:tcBorders>
          </w:tcPr>
          <w:p w14:paraId="673B62A0" w14:textId="2FA35011"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w:t>
            </w:r>
            <w:r w:rsidR="00F94C09" w:rsidRPr="008A7A35">
              <w:rPr>
                <w:rFonts w:ascii="Arial" w:hAnsi="Arial" w:cs="Arial"/>
                <w:b/>
                <w:bCs/>
                <w:sz w:val="20"/>
                <w:szCs w:val="20"/>
              </w:rPr>
              <w:t>30</w:t>
            </w:r>
            <w:r w:rsidR="00A81373">
              <w:rPr>
                <w:rFonts w:ascii="Arial" w:hAnsi="Arial" w:cs="Arial"/>
                <w:b/>
                <w:bCs/>
                <w:sz w:val="20"/>
                <w:szCs w:val="20"/>
              </w:rPr>
              <w:t>0</w:t>
            </w:r>
          </w:p>
        </w:tc>
        <w:tc>
          <w:tcPr>
            <w:tcW w:w="790" w:type="pct"/>
            <w:tcBorders>
              <w:top w:val="single" w:sz="6" w:space="0" w:color="auto"/>
              <w:left w:val="nil"/>
              <w:bottom w:val="single" w:sz="4" w:space="0" w:color="auto"/>
              <w:right w:val="nil"/>
            </w:tcBorders>
          </w:tcPr>
          <w:p w14:paraId="6C438065" w14:textId="274367B5"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w:t>
            </w:r>
            <w:r w:rsidR="00E660D7" w:rsidRPr="008A7A35">
              <w:rPr>
                <w:rFonts w:ascii="Arial" w:hAnsi="Arial" w:cs="Arial"/>
                <w:b/>
                <w:sz w:val="20"/>
                <w:szCs w:val="20"/>
              </w:rPr>
              <w:t>8</w:t>
            </w:r>
            <w:r w:rsidR="00A81373">
              <w:rPr>
                <w:rFonts w:ascii="Arial" w:hAnsi="Arial" w:cs="Arial"/>
                <w:b/>
                <w:sz w:val="20"/>
                <w:szCs w:val="20"/>
              </w:rPr>
              <w:t>58</w:t>
            </w:r>
          </w:p>
        </w:tc>
        <w:tc>
          <w:tcPr>
            <w:tcW w:w="526" w:type="pct"/>
            <w:tcBorders>
              <w:top w:val="single" w:sz="6" w:space="0" w:color="auto"/>
              <w:left w:val="nil"/>
              <w:bottom w:val="single" w:sz="4" w:space="0" w:color="auto"/>
              <w:right w:val="nil"/>
            </w:tcBorders>
            <w:tcMar>
              <w:top w:w="15" w:type="dxa"/>
              <w:left w:w="69" w:type="dxa"/>
              <w:bottom w:w="0" w:type="dxa"/>
              <w:right w:w="69" w:type="dxa"/>
            </w:tcMar>
          </w:tcPr>
          <w:p w14:paraId="74A18E96" w14:textId="60C44240" w:rsidR="00FA0111" w:rsidRPr="008A7A35" w:rsidRDefault="00E660D7" w:rsidP="00FA0111">
            <w:pPr>
              <w:spacing w:after="120"/>
              <w:jc w:val="center"/>
              <w:rPr>
                <w:rFonts w:ascii="Arial" w:hAnsi="Arial" w:cs="Arial"/>
                <w:b/>
                <w:sz w:val="20"/>
                <w:szCs w:val="20"/>
              </w:rPr>
            </w:pPr>
            <w:r w:rsidRPr="008A7A35">
              <w:rPr>
                <w:rFonts w:ascii="Arial" w:hAnsi="Arial" w:cs="Arial"/>
                <w:b/>
                <w:sz w:val="20"/>
                <w:szCs w:val="20"/>
              </w:rPr>
              <w:t>1.18</w:t>
            </w:r>
            <w:r w:rsidR="00FA0111" w:rsidRPr="008A7A35">
              <w:rPr>
                <w:rFonts w:ascii="Arial" w:hAnsi="Arial" w:cs="Arial"/>
                <w:b/>
                <w:sz w:val="20"/>
                <w:szCs w:val="20"/>
              </w:rPr>
              <w:t>x</w:t>
            </w:r>
          </w:p>
        </w:tc>
        <w:tc>
          <w:tcPr>
            <w:tcW w:w="460" w:type="pct"/>
            <w:gridSpan w:val="2"/>
            <w:tcBorders>
              <w:top w:val="single" w:sz="6" w:space="0" w:color="auto"/>
              <w:left w:val="nil"/>
              <w:bottom w:val="single" w:sz="4" w:space="0" w:color="auto"/>
              <w:right w:val="nil"/>
            </w:tcBorders>
          </w:tcPr>
          <w:p w14:paraId="74E7FFE8" w14:textId="2743632A" w:rsidR="00FA0111" w:rsidRPr="008A7A35" w:rsidRDefault="00FA0111" w:rsidP="00FA0111">
            <w:pPr>
              <w:spacing w:after="120"/>
              <w:jc w:val="center"/>
              <w:rPr>
                <w:rFonts w:ascii="Arial" w:hAnsi="Arial" w:cs="Arial"/>
                <w:b/>
                <w:sz w:val="20"/>
                <w:szCs w:val="20"/>
              </w:rPr>
            </w:pPr>
            <w:r w:rsidRPr="008A7A35">
              <w:rPr>
                <w:rFonts w:ascii="Arial" w:hAnsi="Arial" w:cs="Arial"/>
                <w:b/>
                <w:bCs/>
                <w:sz w:val="20"/>
                <w:szCs w:val="20"/>
              </w:rPr>
              <w:t>1.</w:t>
            </w:r>
            <w:r w:rsidR="00E80B4A">
              <w:rPr>
                <w:rFonts w:ascii="Arial" w:hAnsi="Arial" w:cs="Arial"/>
                <w:b/>
                <w:bCs/>
                <w:sz w:val="20"/>
                <w:szCs w:val="20"/>
              </w:rPr>
              <w:t>17</w:t>
            </w:r>
            <w:r w:rsidRPr="008A7A35">
              <w:rPr>
                <w:rFonts w:ascii="Arial" w:hAnsi="Arial" w:cs="Arial"/>
                <w:b/>
                <w:sz w:val="20"/>
                <w:szCs w:val="20"/>
              </w:rPr>
              <w:t>x</w:t>
            </w:r>
          </w:p>
        </w:tc>
      </w:tr>
      <w:tr w:rsidR="00FA0111" w:rsidRPr="008A7A35" w14:paraId="48885A29" w14:textId="77777777" w:rsidTr="2A6FF115">
        <w:tblPrEx>
          <w:shd w:val="clear" w:color="auto" w:fill="FFFFFF"/>
        </w:tblPrEx>
        <w:tc>
          <w:tcPr>
            <w:tcW w:w="921" w:type="pct"/>
            <w:tcBorders>
              <w:top w:val="single" w:sz="4" w:space="0" w:color="auto"/>
              <w:left w:val="nil"/>
              <w:bottom w:val="single" w:sz="4" w:space="0" w:color="auto"/>
              <w:right w:val="nil"/>
            </w:tcBorders>
            <w:tcMar>
              <w:top w:w="45" w:type="dxa"/>
              <w:left w:w="0" w:type="dxa"/>
              <w:bottom w:w="45" w:type="dxa"/>
              <w:right w:w="0" w:type="dxa"/>
            </w:tcMar>
            <w:hideMark/>
          </w:tcPr>
          <w:p w14:paraId="65914B11" w14:textId="77777777" w:rsidR="00FA0111" w:rsidRPr="008A7A35" w:rsidRDefault="00FA0111" w:rsidP="00FA0111">
            <w:pPr>
              <w:spacing w:after="200" w:line="276" w:lineRule="auto"/>
              <w:ind w:left="170"/>
              <w:rPr>
                <w:rFonts w:ascii="Arial" w:hAnsi="Arial" w:cs="Arial"/>
                <w:b/>
                <w:bCs/>
                <w:sz w:val="20"/>
                <w:szCs w:val="20"/>
                <w:vertAlign w:val="superscript"/>
                <w:lang w:val="en-US"/>
              </w:rPr>
            </w:pPr>
            <w:r w:rsidRPr="008A7A35">
              <w:rPr>
                <w:rFonts w:ascii="Arial" w:eastAsia="Calibri" w:hAnsi="Arial" w:cs="Arial"/>
                <w:b/>
                <w:bCs/>
                <w:color w:val="000000"/>
                <w:sz w:val="20"/>
                <w:szCs w:val="20"/>
                <w:lang w:val="en-US"/>
              </w:rPr>
              <w:t xml:space="preserve">Cash and Cash </w:t>
            </w:r>
            <w:proofErr w:type="gramStart"/>
            <w:r w:rsidRPr="008A7A35">
              <w:rPr>
                <w:rFonts w:ascii="Arial" w:eastAsia="Calibri" w:hAnsi="Arial" w:cs="Arial"/>
                <w:b/>
                <w:bCs/>
                <w:color w:val="000000"/>
                <w:sz w:val="20"/>
                <w:szCs w:val="20"/>
                <w:lang w:val="en-US"/>
              </w:rPr>
              <w:t>Equivalents</w:t>
            </w:r>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9)</w:t>
            </w:r>
          </w:p>
        </w:tc>
        <w:tc>
          <w:tcPr>
            <w:tcW w:w="724"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11F9BB6D" w14:textId="77777777" w:rsidR="00FA0111" w:rsidRPr="008A7A35" w:rsidRDefault="00FA0111" w:rsidP="00FA0111">
            <w:pPr>
              <w:spacing w:after="200" w:line="276" w:lineRule="auto"/>
              <w:ind w:left="189"/>
              <w:jc w:val="center"/>
              <w:rPr>
                <w:rFonts w:ascii="Arial" w:eastAsia="Calibri" w:hAnsi="Arial" w:cs="Arial"/>
                <w:sz w:val="20"/>
                <w:szCs w:val="20"/>
              </w:rPr>
            </w:pPr>
          </w:p>
        </w:tc>
        <w:tc>
          <w:tcPr>
            <w:tcW w:w="526"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3497EC76" w14:textId="77777777" w:rsidR="00FA0111" w:rsidRPr="008A7A35" w:rsidRDefault="00FA0111" w:rsidP="00FA0111">
            <w:pPr>
              <w:spacing w:after="200" w:line="276" w:lineRule="auto"/>
              <w:jc w:val="center"/>
              <w:rPr>
                <w:rFonts w:ascii="Arial" w:eastAsia="Calibri" w:hAnsi="Arial" w:cs="Arial"/>
                <w:sz w:val="20"/>
                <w:szCs w:val="20"/>
              </w:rPr>
            </w:pPr>
          </w:p>
        </w:tc>
        <w:tc>
          <w:tcPr>
            <w:tcW w:w="527"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4357369F" w14:textId="33A4B6DE" w:rsidR="00FA0111" w:rsidRPr="008A7A35" w:rsidRDefault="00FA0111" w:rsidP="00FA0111">
            <w:pPr>
              <w:spacing w:after="200" w:line="276" w:lineRule="auto"/>
              <w:jc w:val="center"/>
              <w:rPr>
                <w:rFonts w:ascii="Arial" w:eastAsia="Calibri" w:hAnsi="Arial" w:cs="Arial"/>
                <w:b/>
                <w:bCs/>
                <w:sz w:val="20"/>
                <w:szCs w:val="20"/>
              </w:rPr>
            </w:pPr>
            <w:r w:rsidRPr="008A7A35">
              <w:rPr>
                <w:rFonts w:ascii="Arial" w:hAnsi="Arial" w:cs="Arial"/>
                <w:b/>
                <w:sz w:val="20"/>
                <w:szCs w:val="20"/>
              </w:rPr>
              <w:t>$</w:t>
            </w:r>
            <w:r w:rsidR="00E660D7" w:rsidRPr="008A7A35">
              <w:rPr>
                <w:rFonts w:ascii="Arial" w:hAnsi="Arial" w:cs="Arial"/>
                <w:b/>
                <w:sz w:val="20"/>
                <w:szCs w:val="20"/>
              </w:rPr>
              <w:t>73</w:t>
            </w:r>
          </w:p>
        </w:tc>
        <w:tc>
          <w:tcPr>
            <w:tcW w:w="525"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03D73DBE" w14:textId="77777777" w:rsidR="00FA0111" w:rsidRPr="008A7A35" w:rsidRDefault="00FA0111" w:rsidP="00FA0111">
            <w:pPr>
              <w:spacing w:after="200" w:line="276" w:lineRule="auto"/>
              <w:jc w:val="center"/>
              <w:rPr>
                <w:rFonts w:ascii="Arial" w:eastAsia="Calibri" w:hAnsi="Arial" w:cs="Arial"/>
                <w:sz w:val="20"/>
                <w:szCs w:val="20"/>
              </w:rPr>
            </w:pPr>
          </w:p>
        </w:tc>
        <w:tc>
          <w:tcPr>
            <w:tcW w:w="790"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73685C8A" w14:textId="77777777" w:rsidR="00FA0111" w:rsidRPr="008A7A35" w:rsidRDefault="00FA0111" w:rsidP="00FA0111">
            <w:pPr>
              <w:spacing w:after="200" w:line="276" w:lineRule="auto"/>
              <w:jc w:val="center"/>
              <w:rPr>
                <w:rFonts w:ascii="Arial" w:eastAsia="Calibri" w:hAnsi="Arial" w:cs="Arial"/>
                <w:sz w:val="20"/>
                <w:szCs w:val="20"/>
              </w:rPr>
            </w:pPr>
          </w:p>
        </w:tc>
        <w:tc>
          <w:tcPr>
            <w:tcW w:w="530" w:type="pct"/>
            <w:gridSpan w:val="2"/>
            <w:tcBorders>
              <w:top w:val="single" w:sz="4" w:space="0" w:color="auto"/>
              <w:left w:val="nil"/>
              <w:bottom w:val="single" w:sz="4" w:space="0" w:color="auto"/>
              <w:right w:val="nil"/>
            </w:tcBorders>
            <w:tcMar>
              <w:top w:w="45" w:type="dxa"/>
              <w:left w:w="0" w:type="dxa"/>
              <w:bottom w:w="45" w:type="dxa"/>
              <w:right w:w="0" w:type="dxa"/>
            </w:tcMar>
            <w:vAlign w:val="bottom"/>
            <w:hideMark/>
          </w:tcPr>
          <w:p w14:paraId="05B31505" w14:textId="77777777" w:rsidR="00FA0111" w:rsidRPr="008A7A35" w:rsidRDefault="00FA0111" w:rsidP="00FA0111">
            <w:pPr>
              <w:spacing w:after="200" w:line="276" w:lineRule="auto"/>
              <w:jc w:val="center"/>
              <w:rPr>
                <w:rFonts w:ascii="Arial" w:eastAsia="Calibri" w:hAnsi="Arial" w:cs="Arial"/>
                <w:sz w:val="20"/>
                <w:szCs w:val="20"/>
              </w:rPr>
            </w:pPr>
          </w:p>
        </w:tc>
        <w:tc>
          <w:tcPr>
            <w:tcW w:w="456"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423A1019" w14:textId="77777777" w:rsidR="00FA0111" w:rsidRPr="008A7A35" w:rsidRDefault="00FA0111" w:rsidP="00FA0111">
            <w:pPr>
              <w:spacing w:after="200" w:line="276" w:lineRule="auto"/>
              <w:jc w:val="center"/>
              <w:rPr>
                <w:rFonts w:ascii="Arial" w:eastAsia="Calibri" w:hAnsi="Arial" w:cs="Arial"/>
                <w:sz w:val="20"/>
                <w:szCs w:val="20"/>
              </w:rPr>
            </w:pPr>
          </w:p>
        </w:tc>
      </w:tr>
      <w:tr w:rsidR="00FA0111" w:rsidRPr="008A7A35" w14:paraId="3E083620" w14:textId="77777777" w:rsidTr="2A6FF115">
        <w:tblPrEx>
          <w:shd w:val="clear" w:color="auto" w:fill="FFFFFF"/>
        </w:tblPrEx>
        <w:tc>
          <w:tcPr>
            <w:tcW w:w="921" w:type="pct"/>
            <w:tcBorders>
              <w:top w:val="single" w:sz="4" w:space="0" w:color="auto"/>
              <w:left w:val="nil"/>
              <w:right w:val="nil"/>
            </w:tcBorders>
            <w:tcMar>
              <w:top w:w="45" w:type="dxa"/>
              <w:left w:w="0" w:type="dxa"/>
              <w:bottom w:w="45" w:type="dxa"/>
              <w:right w:w="0" w:type="dxa"/>
            </w:tcMar>
          </w:tcPr>
          <w:p w14:paraId="31F7B0E2" w14:textId="51082B54" w:rsidR="00FA0111" w:rsidRPr="008A7A35" w:rsidRDefault="00FA0111" w:rsidP="00FA0111">
            <w:pPr>
              <w:spacing w:after="200" w:line="276" w:lineRule="auto"/>
              <w:ind w:left="170" w:right="-375"/>
              <w:jc w:val="both"/>
              <w:rPr>
                <w:rFonts w:ascii="Arial" w:eastAsia="Calibri" w:hAnsi="Arial" w:cs="Arial"/>
                <w:b/>
                <w:bCs/>
                <w:color w:val="000000"/>
                <w:sz w:val="20"/>
                <w:szCs w:val="20"/>
                <w:lang w:val="en-US"/>
              </w:rPr>
            </w:pPr>
            <w:r w:rsidRPr="008A7A35">
              <w:rPr>
                <w:rFonts w:ascii="Arial" w:eastAsia="Calibri" w:hAnsi="Arial" w:cs="Arial"/>
                <w:b/>
                <w:bCs/>
                <w:color w:val="000000"/>
                <w:sz w:val="20"/>
                <w:szCs w:val="20"/>
                <w:lang w:val="en-US"/>
              </w:rPr>
              <w:t xml:space="preserve">Total </w:t>
            </w:r>
            <w:proofErr w:type="gramStart"/>
            <w:r w:rsidRPr="008A7A35">
              <w:rPr>
                <w:rFonts w:ascii="Arial" w:eastAsia="Calibri" w:hAnsi="Arial" w:cs="Arial"/>
                <w:b/>
                <w:bCs/>
                <w:color w:val="000000"/>
                <w:sz w:val="20"/>
                <w:szCs w:val="20"/>
                <w:lang w:val="en-US"/>
              </w:rPr>
              <w:t>Liquidity</w:t>
            </w:r>
            <w:r w:rsidRPr="008A7A35">
              <w:rPr>
                <w:rFonts w:ascii="Arial" w:eastAsia="Calibri" w:hAnsi="Arial" w:cs="Arial"/>
                <w:b/>
                <w:bCs/>
                <w:color w:val="000000"/>
                <w:sz w:val="20"/>
                <w:szCs w:val="20"/>
                <w:vertAlign w:val="superscript"/>
                <w:lang w:val="en-US"/>
              </w:rPr>
              <w:t>(</w:t>
            </w:r>
            <w:proofErr w:type="gramEnd"/>
            <w:r w:rsidRPr="008A7A35">
              <w:rPr>
                <w:rFonts w:ascii="Arial" w:eastAsia="Calibri" w:hAnsi="Arial" w:cs="Arial"/>
                <w:b/>
                <w:bCs/>
                <w:color w:val="000000"/>
                <w:sz w:val="20"/>
                <w:szCs w:val="20"/>
                <w:vertAlign w:val="superscript"/>
                <w:lang w:val="en-US"/>
              </w:rPr>
              <w:t>1</w:t>
            </w:r>
            <w:r w:rsidR="00EA15CD" w:rsidRPr="008A7A35">
              <w:rPr>
                <w:rFonts w:ascii="Arial" w:eastAsia="Calibri" w:hAnsi="Arial" w:cs="Arial"/>
                <w:b/>
                <w:bCs/>
                <w:color w:val="000000"/>
                <w:sz w:val="20"/>
                <w:szCs w:val="20"/>
                <w:vertAlign w:val="superscript"/>
                <w:lang w:val="en-US"/>
              </w:rPr>
              <w:t>1</w:t>
            </w:r>
            <w:r w:rsidRPr="008A7A35">
              <w:rPr>
                <w:rFonts w:ascii="Arial" w:eastAsia="Calibri" w:hAnsi="Arial" w:cs="Arial"/>
                <w:b/>
                <w:bCs/>
                <w:color w:val="000000"/>
                <w:sz w:val="20"/>
                <w:szCs w:val="20"/>
                <w:vertAlign w:val="superscript"/>
                <w:lang w:val="en-US"/>
              </w:rPr>
              <w:t>)</w:t>
            </w:r>
            <w:r w:rsidRPr="008A7A35">
              <w:rPr>
                <w:rFonts w:ascii="Arial" w:eastAsia="Calibri" w:hAnsi="Arial" w:cs="Arial"/>
                <w:b/>
                <w:bCs/>
                <w:color w:val="000000"/>
                <w:sz w:val="20"/>
                <w:szCs w:val="20"/>
                <w:lang w:val="en-US"/>
              </w:rPr>
              <w:t xml:space="preserve"> </w:t>
            </w:r>
          </w:p>
        </w:tc>
        <w:tc>
          <w:tcPr>
            <w:tcW w:w="724" w:type="pct"/>
            <w:tcBorders>
              <w:top w:val="single" w:sz="4" w:space="0" w:color="auto"/>
              <w:left w:val="nil"/>
              <w:right w:val="nil"/>
            </w:tcBorders>
            <w:tcMar>
              <w:top w:w="45" w:type="dxa"/>
              <w:left w:w="0" w:type="dxa"/>
              <w:bottom w:w="45" w:type="dxa"/>
              <w:right w:w="0" w:type="dxa"/>
            </w:tcMar>
            <w:vAlign w:val="bottom"/>
          </w:tcPr>
          <w:p w14:paraId="0649ADB7" w14:textId="77777777" w:rsidR="00FA0111" w:rsidRPr="008A7A35" w:rsidRDefault="00FA0111" w:rsidP="00FA0111">
            <w:pPr>
              <w:spacing w:after="200" w:line="276" w:lineRule="auto"/>
              <w:ind w:left="189"/>
              <w:jc w:val="center"/>
              <w:rPr>
                <w:rFonts w:ascii="Arial" w:eastAsia="Calibri" w:hAnsi="Arial" w:cs="Arial"/>
                <w:sz w:val="20"/>
                <w:szCs w:val="20"/>
              </w:rPr>
            </w:pPr>
          </w:p>
        </w:tc>
        <w:tc>
          <w:tcPr>
            <w:tcW w:w="526" w:type="pct"/>
            <w:tcBorders>
              <w:top w:val="single" w:sz="4" w:space="0" w:color="auto"/>
              <w:left w:val="nil"/>
              <w:right w:val="nil"/>
            </w:tcBorders>
            <w:tcMar>
              <w:top w:w="45" w:type="dxa"/>
              <w:left w:w="0" w:type="dxa"/>
              <w:bottom w:w="45" w:type="dxa"/>
              <w:right w:w="0" w:type="dxa"/>
            </w:tcMar>
            <w:vAlign w:val="bottom"/>
          </w:tcPr>
          <w:p w14:paraId="5399F043" w14:textId="77777777" w:rsidR="00FA0111" w:rsidRPr="008A7A35" w:rsidRDefault="00FA0111" w:rsidP="00FA0111">
            <w:pPr>
              <w:spacing w:after="200" w:line="276" w:lineRule="auto"/>
              <w:jc w:val="center"/>
              <w:rPr>
                <w:rFonts w:ascii="Arial" w:eastAsia="Calibri" w:hAnsi="Arial" w:cs="Arial"/>
                <w:sz w:val="20"/>
                <w:szCs w:val="20"/>
              </w:rPr>
            </w:pPr>
          </w:p>
        </w:tc>
        <w:tc>
          <w:tcPr>
            <w:tcW w:w="527" w:type="pct"/>
            <w:tcBorders>
              <w:top w:val="single" w:sz="4" w:space="0" w:color="auto"/>
              <w:left w:val="nil"/>
              <w:right w:val="nil"/>
            </w:tcBorders>
            <w:tcMar>
              <w:top w:w="45" w:type="dxa"/>
              <w:left w:w="0" w:type="dxa"/>
              <w:bottom w:w="45" w:type="dxa"/>
              <w:right w:w="0" w:type="dxa"/>
            </w:tcMar>
            <w:vAlign w:val="bottom"/>
          </w:tcPr>
          <w:p w14:paraId="53A32FAD" w14:textId="5F40193F" w:rsidR="00FA0111" w:rsidRPr="008A7A35" w:rsidRDefault="00FA0111" w:rsidP="00FA0111">
            <w:pPr>
              <w:spacing w:after="200" w:line="276" w:lineRule="auto"/>
              <w:jc w:val="center"/>
              <w:rPr>
                <w:rFonts w:ascii="Arial" w:eastAsia="Calibri" w:hAnsi="Arial" w:cs="Arial"/>
                <w:bCs/>
                <w:sz w:val="20"/>
                <w:szCs w:val="20"/>
              </w:rPr>
            </w:pPr>
            <w:r w:rsidRPr="008A7A35">
              <w:rPr>
                <w:rFonts w:ascii="Arial" w:hAnsi="Arial" w:cs="Arial"/>
                <w:bCs/>
                <w:sz w:val="20"/>
                <w:szCs w:val="20"/>
              </w:rPr>
              <w:t>$</w:t>
            </w:r>
            <w:r w:rsidR="00E80B4A">
              <w:rPr>
                <w:rFonts w:ascii="Arial" w:hAnsi="Arial" w:cs="Arial"/>
                <w:bCs/>
                <w:sz w:val="20"/>
                <w:szCs w:val="20"/>
              </w:rPr>
              <w:t>285</w:t>
            </w:r>
          </w:p>
        </w:tc>
        <w:tc>
          <w:tcPr>
            <w:tcW w:w="525" w:type="pct"/>
            <w:tcBorders>
              <w:top w:val="single" w:sz="4" w:space="0" w:color="auto"/>
              <w:left w:val="nil"/>
              <w:right w:val="nil"/>
            </w:tcBorders>
            <w:tcMar>
              <w:top w:w="45" w:type="dxa"/>
              <w:left w:w="0" w:type="dxa"/>
              <w:bottom w:w="45" w:type="dxa"/>
              <w:right w:w="0" w:type="dxa"/>
            </w:tcMar>
            <w:vAlign w:val="bottom"/>
          </w:tcPr>
          <w:p w14:paraId="3668EAEC" w14:textId="77777777" w:rsidR="00FA0111" w:rsidRPr="008A7A35" w:rsidRDefault="00FA0111" w:rsidP="00FA0111">
            <w:pPr>
              <w:spacing w:after="200" w:line="276" w:lineRule="auto"/>
              <w:jc w:val="center"/>
              <w:rPr>
                <w:rFonts w:ascii="Arial" w:eastAsia="Calibri" w:hAnsi="Arial" w:cs="Arial"/>
                <w:sz w:val="20"/>
                <w:szCs w:val="20"/>
              </w:rPr>
            </w:pPr>
          </w:p>
        </w:tc>
        <w:tc>
          <w:tcPr>
            <w:tcW w:w="790" w:type="pct"/>
            <w:tcBorders>
              <w:top w:val="single" w:sz="4" w:space="0" w:color="auto"/>
              <w:left w:val="nil"/>
              <w:right w:val="nil"/>
            </w:tcBorders>
            <w:tcMar>
              <w:top w:w="45" w:type="dxa"/>
              <w:left w:w="0" w:type="dxa"/>
              <w:bottom w:w="45" w:type="dxa"/>
              <w:right w:w="0" w:type="dxa"/>
            </w:tcMar>
            <w:vAlign w:val="bottom"/>
          </w:tcPr>
          <w:p w14:paraId="720928DD" w14:textId="77777777" w:rsidR="00FA0111" w:rsidRPr="008A7A35" w:rsidRDefault="00FA0111" w:rsidP="00FA0111">
            <w:pPr>
              <w:spacing w:after="200" w:line="276" w:lineRule="auto"/>
              <w:jc w:val="center"/>
              <w:rPr>
                <w:rFonts w:ascii="Arial" w:eastAsia="Calibri" w:hAnsi="Arial" w:cs="Arial"/>
                <w:sz w:val="20"/>
                <w:szCs w:val="20"/>
              </w:rPr>
            </w:pPr>
          </w:p>
        </w:tc>
        <w:tc>
          <w:tcPr>
            <w:tcW w:w="530" w:type="pct"/>
            <w:gridSpan w:val="2"/>
            <w:tcBorders>
              <w:top w:val="single" w:sz="4" w:space="0" w:color="auto"/>
              <w:left w:val="nil"/>
              <w:right w:val="nil"/>
            </w:tcBorders>
            <w:tcMar>
              <w:top w:w="45" w:type="dxa"/>
              <w:left w:w="0" w:type="dxa"/>
              <w:bottom w:w="45" w:type="dxa"/>
              <w:right w:w="0" w:type="dxa"/>
            </w:tcMar>
            <w:vAlign w:val="bottom"/>
          </w:tcPr>
          <w:p w14:paraId="64718AE9" w14:textId="77777777" w:rsidR="00FA0111" w:rsidRPr="008A7A35" w:rsidRDefault="00FA0111" w:rsidP="00FA0111">
            <w:pPr>
              <w:spacing w:after="200" w:line="276" w:lineRule="auto"/>
              <w:jc w:val="center"/>
              <w:rPr>
                <w:rFonts w:ascii="Arial" w:eastAsia="Calibri" w:hAnsi="Arial" w:cs="Arial"/>
                <w:sz w:val="20"/>
                <w:szCs w:val="20"/>
              </w:rPr>
            </w:pPr>
          </w:p>
        </w:tc>
        <w:tc>
          <w:tcPr>
            <w:tcW w:w="456" w:type="pct"/>
            <w:tcBorders>
              <w:top w:val="single" w:sz="4" w:space="0" w:color="auto"/>
              <w:left w:val="nil"/>
              <w:right w:val="nil"/>
            </w:tcBorders>
            <w:tcMar>
              <w:top w:w="45" w:type="dxa"/>
              <w:left w:w="0" w:type="dxa"/>
              <w:bottom w:w="45" w:type="dxa"/>
              <w:right w:w="0" w:type="dxa"/>
            </w:tcMar>
            <w:vAlign w:val="bottom"/>
          </w:tcPr>
          <w:p w14:paraId="72EB0ABF" w14:textId="77777777" w:rsidR="00FA0111" w:rsidRPr="008A7A35" w:rsidRDefault="00FA0111" w:rsidP="00FA0111">
            <w:pPr>
              <w:spacing w:after="200" w:line="276" w:lineRule="auto"/>
              <w:jc w:val="center"/>
              <w:rPr>
                <w:rFonts w:ascii="Arial" w:eastAsia="Calibri" w:hAnsi="Arial" w:cs="Arial"/>
                <w:sz w:val="20"/>
                <w:szCs w:val="20"/>
              </w:rPr>
            </w:pPr>
          </w:p>
        </w:tc>
      </w:tr>
      <w:tr w:rsidR="00FA0111" w:rsidRPr="008A7A35" w14:paraId="43319A44" w14:textId="77777777" w:rsidTr="2A6FF115">
        <w:tblPrEx>
          <w:shd w:val="clear" w:color="auto" w:fill="FFFFFF"/>
        </w:tblPrEx>
        <w:tc>
          <w:tcPr>
            <w:tcW w:w="921" w:type="pct"/>
            <w:tcBorders>
              <w:top w:val="single" w:sz="4" w:space="0" w:color="auto"/>
              <w:left w:val="nil"/>
              <w:right w:val="nil"/>
            </w:tcBorders>
            <w:tcMar>
              <w:top w:w="45" w:type="dxa"/>
              <w:left w:w="0" w:type="dxa"/>
              <w:bottom w:w="45" w:type="dxa"/>
              <w:right w:w="0" w:type="dxa"/>
            </w:tcMar>
          </w:tcPr>
          <w:p w14:paraId="5C114376" w14:textId="77777777" w:rsidR="00FA0111" w:rsidRPr="008A7A35" w:rsidRDefault="00FA0111" w:rsidP="00FA0111">
            <w:pPr>
              <w:spacing w:after="120"/>
              <w:ind w:left="170"/>
              <w:rPr>
                <w:rFonts w:ascii="Arial" w:eastAsia="Calibri" w:hAnsi="Arial" w:cs="Arial"/>
                <w:b/>
                <w:bCs/>
                <w:color w:val="000000"/>
                <w:sz w:val="20"/>
                <w:szCs w:val="20"/>
                <w:lang w:val="en-US"/>
              </w:rPr>
            </w:pPr>
            <w:r w:rsidRPr="008A7A35">
              <w:rPr>
                <w:rFonts w:ascii="Arial" w:eastAsia="Calibri" w:hAnsi="Arial" w:cs="Arial"/>
                <w:b/>
                <w:bCs/>
                <w:color w:val="000000"/>
                <w:sz w:val="20"/>
                <w:szCs w:val="20"/>
                <w:lang w:val="en-US"/>
              </w:rPr>
              <w:t xml:space="preserve">Total Market </w:t>
            </w:r>
            <w:proofErr w:type="spellStart"/>
            <w:r w:rsidRPr="008A7A35">
              <w:rPr>
                <w:rFonts w:ascii="Arial" w:eastAsia="Calibri" w:hAnsi="Arial" w:cs="Arial"/>
                <w:b/>
                <w:bCs/>
                <w:color w:val="000000"/>
                <w:sz w:val="20"/>
                <w:szCs w:val="20"/>
                <w:lang w:val="en-US"/>
              </w:rPr>
              <w:t>Capitalisation</w:t>
            </w:r>
            <w:proofErr w:type="spellEnd"/>
          </w:p>
        </w:tc>
        <w:tc>
          <w:tcPr>
            <w:tcW w:w="724" w:type="pct"/>
            <w:tcBorders>
              <w:top w:val="single" w:sz="4" w:space="0" w:color="auto"/>
              <w:left w:val="nil"/>
              <w:right w:val="nil"/>
            </w:tcBorders>
            <w:tcMar>
              <w:top w:w="45" w:type="dxa"/>
              <w:left w:w="0" w:type="dxa"/>
              <w:bottom w:w="45" w:type="dxa"/>
              <w:right w:w="0" w:type="dxa"/>
            </w:tcMar>
            <w:vAlign w:val="bottom"/>
          </w:tcPr>
          <w:p w14:paraId="1D55FDE8" w14:textId="77777777" w:rsidR="00FA0111" w:rsidRPr="008A7A35" w:rsidRDefault="00FA0111" w:rsidP="00FA0111">
            <w:pPr>
              <w:spacing w:after="200" w:line="276" w:lineRule="auto"/>
              <w:ind w:left="189"/>
              <w:jc w:val="center"/>
              <w:rPr>
                <w:rFonts w:ascii="Arial" w:eastAsia="Calibri" w:hAnsi="Arial" w:cs="Arial"/>
                <w:sz w:val="20"/>
                <w:szCs w:val="20"/>
              </w:rPr>
            </w:pPr>
          </w:p>
        </w:tc>
        <w:tc>
          <w:tcPr>
            <w:tcW w:w="526" w:type="pct"/>
            <w:tcBorders>
              <w:top w:val="single" w:sz="4" w:space="0" w:color="auto"/>
              <w:left w:val="nil"/>
              <w:right w:val="nil"/>
            </w:tcBorders>
            <w:tcMar>
              <w:top w:w="45" w:type="dxa"/>
              <w:left w:w="0" w:type="dxa"/>
              <w:bottom w:w="45" w:type="dxa"/>
              <w:right w:w="0" w:type="dxa"/>
            </w:tcMar>
            <w:vAlign w:val="bottom"/>
          </w:tcPr>
          <w:p w14:paraId="06FA6050" w14:textId="77777777" w:rsidR="00FA0111" w:rsidRPr="008A7A35" w:rsidRDefault="00FA0111" w:rsidP="00FA0111">
            <w:pPr>
              <w:spacing w:after="200" w:line="276" w:lineRule="auto"/>
              <w:jc w:val="center"/>
              <w:rPr>
                <w:rFonts w:ascii="Arial" w:eastAsia="Calibri" w:hAnsi="Arial" w:cs="Arial"/>
                <w:sz w:val="20"/>
                <w:szCs w:val="20"/>
              </w:rPr>
            </w:pPr>
          </w:p>
        </w:tc>
        <w:tc>
          <w:tcPr>
            <w:tcW w:w="527" w:type="pct"/>
            <w:tcBorders>
              <w:top w:val="single" w:sz="4" w:space="0" w:color="auto"/>
              <w:left w:val="nil"/>
              <w:right w:val="nil"/>
            </w:tcBorders>
            <w:tcMar>
              <w:top w:w="45" w:type="dxa"/>
              <w:left w:w="0" w:type="dxa"/>
              <w:bottom w:w="45" w:type="dxa"/>
              <w:right w:w="0" w:type="dxa"/>
            </w:tcMar>
            <w:vAlign w:val="bottom"/>
          </w:tcPr>
          <w:p w14:paraId="4E4D84EC" w14:textId="04E6C707" w:rsidR="00FA0111" w:rsidRPr="008A7A35" w:rsidRDefault="00FA0111" w:rsidP="00FA0111">
            <w:pPr>
              <w:spacing w:after="200" w:line="276" w:lineRule="auto"/>
              <w:jc w:val="center"/>
              <w:rPr>
                <w:rFonts w:ascii="Arial" w:hAnsi="Arial" w:cs="Arial"/>
                <w:bCs/>
                <w:sz w:val="20"/>
                <w:szCs w:val="20"/>
              </w:rPr>
            </w:pPr>
            <w:r w:rsidRPr="008A7A35">
              <w:rPr>
                <w:rFonts w:ascii="Arial" w:hAnsi="Arial" w:cs="Arial"/>
                <w:bCs/>
                <w:sz w:val="20"/>
                <w:szCs w:val="20"/>
              </w:rPr>
              <w:t>$</w:t>
            </w:r>
            <w:r w:rsidR="00E660D7" w:rsidRPr="008A7A35">
              <w:rPr>
                <w:rFonts w:ascii="Arial" w:hAnsi="Arial" w:cs="Arial"/>
                <w:bCs/>
                <w:sz w:val="20"/>
                <w:szCs w:val="20"/>
              </w:rPr>
              <w:t>270</w:t>
            </w:r>
          </w:p>
        </w:tc>
        <w:tc>
          <w:tcPr>
            <w:tcW w:w="525" w:type="pct"/>
            <w:tcBorders>
              <w:top w:val="single" w:sz="4" w:space="0" w:color="auto"/>
              <w:left w:val="nil"/>
              <w:right w:val="nil"/>
            </w:tcBorders>
            <w:tcMar>
              <w:top w:w="45" w:type="dxa"/>
              <w:left w:w="0" w:type="dxa"/>
              <w:bottom w:w="45" w:type="dxa"/>
              <w:right w:w="0" w:type="dxa"/>
            </w:tcMar>
            <w:vAlign w:val="bottom"/>
          </w:tcPr>
          <w:p w14:paraId="0EF143DA" w14:textId="77777777" w:rsidR="00FA0111" w:rsidRPr="008A7A35" w:rsidRDefault="00FA0111" w:rsidP="00FA0111">
            <w:pPr>
              <w:spacing w:after="200" w:line="276" w:lineRule="auto"/>
              <w:jc w:val="center"/>
              <w:rPr>
                <w:rFonts w:ascii="Arial" w:eastAsia="Calibri" w:hAnsi="Arial" w:cs="Arial"/>
                <w:sz w:val="20"/>
                <w:szCs w:val="20"/>
              </w:rPr>
            </w:pPr>
          </w:p>
        </w:tc>
        <w:tc>
          <w:tcPr>
            <w:tcW w:w="790" w:type="pct"/>
            <w:tcBorders>
              <w:top w:val="single" w:sz="4" w:space="0" w:color="auto"/>
              <w:left w:val="nil"/>
              <w:right w:val="nil"/>
            </w:tcBorders>
            <w:tcMar>
              <w:top w:w="45" w:type="dxa"/>
              <w:left w:w="0" w:type="dxa"/>
              <w:bottom w:w="45" w:type="dxa"/>
              <w:right w:w="0" w:type="dxa"/>
            </w:tcMar>
            <w:vAlign w:val="bottom"/>
          </w:tcPr>
          <w:p w14:paraId="58C4CE2C" w14:textId="77777777" w:rsidR="00FA0111" w:rsidRPr="008A7A35" w:rsidRDefault="00FA0111" w:rsidP="00FA0111">
            <w:pPr>
              <w:spacing w:after="200" w:line="276" w:lineRule="auto"/>
              <w:jc w:val="center"/>
              <w:rPr>
                <w:rFonts w:ascii="Arial" w:eastAsia="Calibri" w:hAnsi="Arial" w:cs="Arial"/>
                <w:sz w:val="20"/>
                <w:szCs w:val="20"/>
              </w:rPr>
            </w:pPr>
          </w:p>
        </w:tc>
        <w:tc>
          <w:tcPr>
            <w:tcW w:w="530" w:type="pct"/>
            <w:gridSpan w:val="2"/>
            <w:tcBorders>
              <w:top w:val="single" w:sz="4" w:space="0" w:color="auto"/>
              <w:left w:val="nil"/>
              <w:right w:val="nil"/>
            </w:tcBorders>
            <w:tcMar>
              <w:top w:w="45" w:type="dxa"/>
              <w:left w:w="0" w:type="dxa"/>
              <w:bottom w:w="45" w:type="dxa"/>
              <w:right w:w="0" w:type="dxa"/>
            </w:tcMar>
            <w:vAlign w:val="bottom"/>
          </w:tcPr>
          <w:p w14:paraId="11264EDF" w14:textId="77777777" w:rsidR="00FA0111" w:rsidRPr="008A7A35" w:rsidRDefault="00FA0111" w:rsidP="00FA0111">
            <w:pPr>
              <w:spacing w:after="200" w:line="276" w:lineRule="auto"/>
              <w:jc w:val="center"/>
              <w:rPr>
                <w:rFonts w:ascii="Arial" w:eastAsia="Calibri" w:hAnsi="Arial" w:cs="Arial"/>
                <w:sz w:val="20"/>
                <w:szCs w:val="20"/>
              </w:rPr>
            </w:pPr>
          </w:p>
        </w:tc>
        <w:tc>
          <w:tcPr>
            <w:tcW w:w="456" w:type="pct"/>
            <w:tcBorders>
              <w:top w:val="single" w:sz="4" w:space="0" w:color="auto"/>
              <w:left w:val="nil"/>
              <w:right w:val="nil"/>
            </w:tcBorders>
            <w:tcMar>
              <w:top w:w="45" w:type="dxa"/>
              <w:left w:w="0" w:type="dxa"/>
              <w:bottom w:w="45" w:type="dxa"/>
              <w:right w:w="0" w:type="dxa"/>
            </w:tcMar>
            <w:vAlign w:val="bottom"/>
          </w:tcPr>
          <w:p w14:paraId="05AC6F2C" w14:textId="77777777" w:rsidR="00FA0111" w:rsidRPr="008A7A35" w:rsidRDefault="00FA0111" w:rsidP="00FA0111">
            <w:pPr>
              <w:spacing w:after="200" w:line="276" w:lineRule="auto"/>
              <w:jc w:val="center"/>
              <w:rPr>
                <w:rFonts w:ascii="Arial" w:eastAsia="Calibri" w:hAnsi="Arial" w:cs="Arial"/>
                <w:sz w:val="20"/>
                <w:szCs w:val="20"/>
              </w:rPr>
            </w:pPr>
          </w:p>
        </w:tc>
      </w:tr>
    </w:tbl>
    <w:p w14:paraId="5D32EB3E" w14:textId="77777777" w:rsidR="00512D58" w:rsidRDefault="00512D58" w:rsidP="006F2696">
      <w:pPr>
        <w:jc w:val="both"/>
        <w:rPr>
          <w:rFonts w:ascii="Arial" w:eastAsia="Calibri" w:hAnsi="Arial" w:cs="Arial"/>
          <w:sz w:val="20"/>
          <w:szCs w:val="20"/>
        </w:rPr>
      </w:pPr>
    </w:p>
    <w:p w14:paraId="75B9DE37" w14:textId="4086EBDB" w:rsidR="00512D58" w:rsidRPr="00830133" w:rsidRDefault="00512D58" w:rsidP="006F2696">
      <w:pPr>
        <w:jc w:val="both"/>
        <w:rPr>
          <w:rFonts w:ascii="Arial" w:eastAsia="Calibri" w:hAnsi="Arial" w:cs="Arial"/>
          <w:b/>
          <w:bCs/>
          <w:sz w:val="20"/>
          <w:szCs w:val="20"/>
        </w:rPr>
      </w:pPr>
      <w:r w:rsidRPr="00830133">
        <w:rPr>
          <w:rFonts w:ascii="Arial" w:eastAsia="Calibri" w:hAnsi="Arial" w:cs="Arial"/>
          <w:b/>
          <w:bCs/>
          <w:sz w:val="20"/>
          <w:szCs w:val="20"/>
        </w:rPr>
        <w:t>Realisations</w:t>
      </w:r>
    </w:p>
    <w:tbl>
      <w:tblPr>
        <w:tblpPr w:leftFromText="180" w:rightFromText="180" w:vertAnchor="text" w:horzAnchor="margin" w:tblpX="-567" w:tblpY="302"/>
        <w:tblW w:w="5507" w:type="pct"/>
        <w:shd w:val="clear" w:color="auto" w:fill="FFFFFF"/>
        <w:tblCellMar>
          <w:left w:w="0" w:type="dxa"/>
          <w:right w:w="0" w:type="dxa"/>
        </w:tblCellMar>
        <w:tblLook w:val="04A0" w:firstRow="1" w:lastRow="0" w:firstColumn="1" w:lastColumn="0" w:noHBand="0" w:noVBand="1"/>
      </w:tblPr>
      <w:tblGrid>
        <w:gridCol w:w="2131"/>
        <w:gridCol w:w="1418"/>
        <w:gridCol w:w="1135"/>
        <w:gridCol w:w="1082"/>
        <w:gridCol w:w="1185"/>
        <w:gridCol w:w="1702"/>
        <w:gridCol w:w="1131"/>
        <w:gridCol w:w="989"/>
      </w:tblGrid>
      <w:tr w:rsidR="00E660D7" w:rsidRPr="008A7A35" w14:paraId="1F1A372A" w14:textId="77777777" w:rsidTr="00E660D7">
        <w:trPr>
          <w:trHeight w:val="1114"/>
        </w:trPr>
        <w:tc>
          <w:tcPr>
            <w:tcW w:w="989" w:type="pct"/>
            <w:tcBorders>
              <w:top w:val="nil"/>
              <w:left w:val="nil"/>
              <w:bottom w:val="nil"/>
              <w:right w:val="nil"/>
            </w:tcBorders>
            <w:tcMar>
              <w:top w:w="45" w:type="dxa"/>
              <w:left w:w="0" w:type="dxa"/>
              <w:bottom w:w="45" w:type="dxa"/>
              <w:right w:w="0" w:type="dxa"/>
            </w:tcMar>
            <w:vAlign w:val="bottom"/>
            <w:hideMark/>
          </w:tcPr>
          <w:p w14:paraId="6E7DBB8E" w14:textId="6C9A83AF" w:rsidR="0083027F" w:rsidRPr="008A7A35" w:rsidRDefault="0083027F" w:rsidP="00391CE4">
            <w:pPr>
              <w:pStyle w:val="NormalWeb"/>
              <w:spacing w:before="0" w:beforeAutospacing="0" w:after="0" w:afterAutospacing="0"/>
              <w:ind w:left="-1"/>
              <w:jc w:val="center"/>
              <w:textAlignment w:val="baseline"/>
              <w:rPr>
                <w:rFonts w:ascii="Arial" w:hAnsi="Arial" w:cs="Arial"/>
                <w:color w:val="333333"/>
                <w:sz w:val="20"/>
                <w:szCs w:val="20"/>
                <w:bdr w:val="none" w:sz="0" w:space="0" w:color="auto" w:frame="1"/>
              </w:rPr>
            </w:pPr>
            <w:r w:rsidRPr="008A7A35">
              <w:rPr>
                <w:rFonts w:ascii="Arial" w:eastAsia="Calibri" w:hAnsi="Arial" w:cs="Arial"/>
                <w:b/>
                <w:sz w:val="20"/>
                <w:szCs w:val="20"/>
              </w:rPr>
              <w:t>Investment</w:t>
            </w:r>
          </w:p>
          <w:p w14:paraId="689117B1" w14:textId="77777777" w:rsidR="0083027F" w:rsidRPr="008A7A35" w:rsidRDefault="0083027F" w:rsidP="00391CE4">
            <w:pPr>
              <w:pStyle w:val="NormalWeb"/>
              <w:spacing w:before="0" w:beforeAutospacing="0" w:after="0" w:afterAutospacing="0"/>
              <w:ind w:left="-1"/>
              <w:jc w:val="center"/>
              <w:textAlignment w:val="baseline"/>
              <w:rPr>
                <w:rFonts w:ascii="Arial" w:hAnsi="Arial" w:cs="Arial"/>
                <w:color w:val="333333"/>
                <w:sz w:val="20"/>
                <w:szCs w:val="20"/>
              </w:rPr>
            </w:pPr>
            <w:r w:rsidRPr="008A7A35">
              <w:rPr>
                <w:rFonts w:ascii="Arial" w:eastAsia="Calibri" w:hAnsi="Arial" w:cs="Arial"/>
                <w:i/>
                <w:sz w:val="20"/>
                <w:szCs w:val="20"/>
              </w:rPr>
              <w:t>(Initial Investment Date)</w:t>
            </w:r>
          </w:p>
        </w:tc>
        <w:tc>
          <w:tcPr>
            <w:tcW w:w="658" w:type="pct"/>
            <w:tcBorders>
              <w:top w:val="nil"/>
              <w:left w:val="nil"/>
              <w:right w:val="nil"/>
            </w:tcBorders>
            <w:tcMar>
              <w:top w:w="45" w:type="dxa"/>
              <w:left w:w="0" w:type="dxa"/>
              <w:bottom w:w="45" w:type="dxa"/>
              <w:right w:w="0" w:type="dxa"/>
            </w:tcMar>
            <w:vAlign w:val="bottom"/>
            <w:hideMark/>
          </w:tcPr>
          <w:p w14:paraId="2146CABA"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Gross Committed Capital</w:t>
            </w:r>
          </w:p>
          <w:p w14:paraId="33DC0ADA"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($mm)</w:t>
            </w:r>
          </w:p>
        </w:tc>
        <w:tc>
          <w:tcPr>
            <w:tcW w:w="527" w:type="pct"/>
            <w:tcBorders>
              <w:top w:val="nil"/>
              <w:left w:val="nil"/>
              <w:right w:val="nil"/>
            </w:tcBorders>
            <w:tcMar>
              <w:top w:w="45" w:type="dxa"/>
              <w:left w:w="0" w:type="dxa"/>
              <w:bottom w:w="45" w:type="dxa"/>
              <w:right w:w="0" w:type="dxa"/>
            </w:tcMar>
            <w:vAlign w:val="bottom"/>
            <w:hideMark/>
          </w:tcPr>
          <w:p w14:paraId="1B991966"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Invested</w:t>
            </w:r>
          </w:p>
          <w:p w14:paraId="5B702D7A"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Capital ($mm)</w:t>
            </w:r>
          </w:p>
        </w:tc>
        <w:tc>
          <w:tcPr>
            <w:tcW w:w="502" w:type="pct"/>
            <w:tcBorders>
              <w:top w:val="nil"/>
              <w:left w:val="nil"/>
              <w:right w:val="nil"/>
            </w:tcBorders>
            <w:tcMar>
              <w:top w:w="45" w:type="dxa"/>
              <w:left w:w="0" w:type="dxa"/>
              <w:bottom w:w="45" w:type="dxa"/>
              <w:right w:w="0" w:type="dxa"/>
            </w:tcMar>
            <w:vAlign w:val="bottom"/>
            <w:hideMark/>
          </w:tcPr>
          <w:p w14:paraId="798D8FD6" w14:textId="77777777" w:rsidR="0083027F" w:rsidRPr="008A7A35" w:rsidRDefault="0083027F" w:rsidP="00734264">
            <w:pPr>
              <w:spacing w:line="280" w:lineRule="exact"/>
              <w:ind w:left="-36"/>
              <w:jc w:val="center"/>
              <w:rPr>
                <w:rFonts w:ascii="Arial" w:hAnsi="Arial" w:cs="Arial"/>
                <w:b/>
                <w:bCs/>
                <w:sz w:val="20"/>
                <w:szCs w:val="20"/>
                <w:lang w:val="en-US"/>
              </w:rPr>
            </w:pPr>
            <w:r w:rsidRPr="008A7A35">
              <w:rPr>
                <w:rFonts w:ascii="Arial" w:hAnsi="Arial" w:cs="Arial"/>
                <w:b/>
                <w:bCs/>
                <w:sz w:val="20"/>
                <w:szCs w:val="20"/>
                <w:lang w:val="en-US"/>
              </w:rPr>
              <w:t xml:space="preserve">Gross </w:t>
            </w:r>
            <w:proofErr w:type="spellStart"/>
            <w:r w:rsidRPr="008A7A35">
              <w:rPr>
                <w:rFonts w:ascii="Arial" w:hAnsi="Arial" w:cs="Arial"/>
                <w:b/>
                <w:bCs/>
                <w:sz w:val="20"/>
                <w:szCs w:val="20"/>
                <w:lang w:val="en-US"/>
              </w:rPr>
              <w:t>Realised</w:t>
            </w:r>
            <w:proofErr w:type="spellEnd"/>
          </w:p>
          <w:p w14:paraId="46D401DF" w14:textId="77777777" w:rsidR="0083027F" w:rsidRPr="008A7A35" w:rsidRDefault="0083027F" w:rsidP="00734264">
            <w:pPr>
              <w:spacing w:line="280" w:lineRule="exact"/>
              <w:ind w:left="-36" w:right="138"/>
              <w:jc w:val="center"/>
              <w:rPr>
                <w:rFonts w:ascii="Arial" w:hAnsi="Arial" w:cs="Arial"/>
                <w:b/>
                <w:bCs/>
                <w:sz w:val="20"/>
                <w:szCs w:val="20"/>
                <w:lang w:val="en-US"/>
              </w:rPr>
            </w:pPr>
            <w:r w:rsidRPr="008A7A35">
              <w:rPr>
                <w:rFonts w:ascii="Arial" w:hAnsi="Arial" w:cs="Arial"/>
                <w:b/>
                <w:bCs/>
                <w:sz w:val="20"/>
                <w:szCs w:val="20"/>
                <w:lang w:val="en-US"/>
              </w:rPr>
              <w:t>Capital ($</w:t>
            </w:r>
            <w:proofErr w:type="gramStart"/>
            <w:r w:rsidRPr="008A7A35">
              <w:rPr>
                <w:rFonts w:ascii="Arial" w:hAnsi="Arial" w:cs="Arial"/>
                <w:b/>
                <w:bCs/>
                <w:sz w:val="20"/>
                <w:szCs w:val="20"/>
                <w:lang w:val="en-US"/>
              </w:rPr>
              <w:t>mm)</w:t>
            </w:r>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1)</w:t>
            </w:r>
          </w:p>
        </w:tc>
        <w:tc>
          <w:tcPr>
            <w:tcW w:w="550" w:type="pct"/>
            <w:tcBorders>
              <w:top w:val="nil"/>
              <w:left w:val="nil"/>
              <w:right w:val="nil"/>
            </w:tcBorders>
            <w:tcMar>
              <w:top w:w="45" w:type="dxa"/>
              <w:left w:w="0" w:type="dxa"/>
              <w:bottom w:w="45" w:type="dxa"/>
              <w:right w:w="0" w:type="dxa"/>
            </w:tcMar>
            <w:vAlign w:val="bottom"/>
            <w:hideMark/>
          </w:tcPr>
          <w:p w14:paraId="4E58AF0A"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 xml:space="preserve">Gross </w:t>
            </w:r>
            <w:proofErr w:type="spellStart"/>
            <w:r w:rsidRPr="008A7A35">
              <w:rPr>
                <w:rFonts w:ascii="Arial" w:hAnsi="Arial" w:cs="Arial"/>
                <w:b/>
                <w:bCs/>
                <w:sz w:val="20"/>
                <w:szCs w:val="20"/>
                <w:lang w:val="en-US"/>
              </w:rPr>
              <w:t>Unrealised</w:t>
            </w:r>
            <w:proofErr w:type="spellEnd"/>
            <w:r w:rsidRPr="008A7A35">
              <w:rPr>
                <w:rFonts w:ascii="Arial" w:hAnsi="Arial" w:cs="Arial"/>
                <w:b/>
                <w:bCs/>
                <w:sz w:val="20"/>
                <w:szCs w:val="20"/>
                <w:lang w:val="en-US"/>
              </w:rPr>
              <w:t xml:space="preserve"> Value</w:t>
            </w:r>
          </w:p>
          <w:p w14:paraId="3B3FE31B"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w:t>
            </w:r>
            <w:proofErr w:type="gramStart"/>
            <w:r w:rsidRPr="008A7A35">
              <w:rPr>
                <w:rFonts w:ascii="Arial" w:hAnsi="Arial" w:cs="Arial"/>
                <w:b/>
                <w:bCs/>
                <w:sz w:val="20"/>
                <w:szCs w:val="20"/>
                <w:lang w:val="en-US"/>
              </w:rPr>
              <w:t>mm)</w:t>
            </w:r>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2)</w:t>
            </w:r>
          </w:p>
        </w:tc>
        <w:tc>
          <w:tcPr>
            <w:tcW w:w="790" w:type="pct"/>
            <w:tcBorders>
              <w:top w:val="nil"/>
              <w:left w:val="nil"/>
              <w:right w:val="nil"/>
            </w:tcBorders>
            <w:tcMar>
              <w:top w:w="45" w:type="dxa"/>
              <w:left w:w="0" w:type="dxa"/>
              <w:bottom w:w="45" w:type="dxa"/>
              <w:right w:w="0" w:type="dxa"/>
            </w:tcMar>
            <w:vAlign w:val="bottom"/>
            <w:hideMark/>
          </w:tcPr>
          <w:p w14:paraId="1CF85FCC" w14:textId="77777777" w:rsidR="0083027F" w:rsidRPr="008A7A35" w:rsidRDefault="0083027F" w:rsidP="00734264">
            <w:pPr>
              <w:spacing w:line="280" w:lineRule="exact"/>
              <w:jc w:val="center"/>
              <w:rPr>
                <w:rFonts w:ascii="Arial" w:hAnsi="Arial" w:cs="Arial"/>
                <w:b/>
                <w:bCs/>
                <w:sz w:val="20"/>
                <w:szCs w:val="20"/>
                <w:lang w:val="en-US"/>
              </w:rPr>
            </w:pPr>
            <w:r w:rsidRPr="008A7A35">
              <w:rPr>
                <w:rFonts w:ascii="Arial" w:hAnsi="Arial" w:cs="Arial"/>
                <w:b/>
                <w:bCs/>
                <w:sz w:val="20"/>
                <w:szCs w:val="20"/>
                <w:lang w:val="en-US"/>
              </w:rPr>
              <w:t xml:space="preserve">Gross </w:t>
            </w:r>
            <w:proofErr w:type="spellStart"/>
            <w:r w:rsidRPr="008A7A35">
              <w:rPr>
                <w:rFonts w:ascii="Arial" w:hAnsi="Arial" w:cs="Arial"/>
                <w:b/>
                <w:bCs/>
                <w:sz w:val="20"/>
                <w:szCs w:val="20"/>
                <w:lang w:val="en-US"/>
              </w:rPr>
              <w:t>Realised</w:t>
            </w:r>
            <w:proofErr w:type="spellEnd"/>
            <w:r w:rsidRPr="008A7A35">
              <w:rPr>
                <w:rFonts w:ascii="Arial" w:hAnsi="Arial" w:cs="Arial"/>
                <w:b/>
                <w:bCs/>
                <w:sz w:val="20"/>
                <w:szCs w:val="20"/>
                <w:lang w:val="en-US"/>
              </w:rPr>
              <w:t xml:space="preserve"> Capital &amp; </w:t>
            </w:r>
            <w:proofErr w:type="spellStart"/>
            <w:r w:rsidRPr="008A7A35">
              <w:rPr>
                <w:rFonts w:ascii="Arial" w:hAnsi="Arial" w:cs="Arial"/>
                <w:b/>
                <w:bCs/>
                <w:sz w:val="20"/>
                <w:szCs w:val="20"/>
                <w:lang w:val="en-US"/>
              </w:rPr>
              <w:t>Unrealised</w:t>
            </w:r>
            <w:proofErr w:type="spellEnd"/>
            <w:r w:rsidRPr="008A7A35">
              <w:rPr>
                <w:rFonts w:ascii="Arial" w:hAnsi="Arial" w:cs="Arial"/>
                <w:b/>
                <w:bCs/>
                <w:sz w:val="20"/>
                <w:szCs w:val="20"/>
                <w:lang w:val="en-US"/>
              </w:rPr>
              <w:t xml:space="preserve"> Value ($mm)</w:t>
            </w:r>
          </w:p>
        </w:tc>
        <w:tc>
          <w:tcPr>
            <w:tcW w:w="525" w:type="pct"/>
            <w:tcBorders>
              <w:top w:val="nil"/>
              <w:left w:val="nil"/>
              <w:right w:val="nil"/>
            </w:tcBorders>
            <w:tcMar>
              <w:top w:w="45" w:type="dxa"/>
              <w:left w:w="0" w:type="dxa"/>
              <w:bottom w:w="45" w:type="dxa"/>
              <w:right w:w="0" w:type="dxa"/>
            </w:tcMar>
            <w:vAlign w:val="bottom"/>
            <w:hideMark/>
          </w:tcPr>
          <w:p w14:paraId="7F7FD88B" w14:textId="3D3E8EB4"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30 Jun 202</w:t>
            </w:r>
            <w:r w:rsidR="004B4589" w:rsidRPr="008A7A35">
              <w:rPr>
                <w:rFonts w:ascii="Arial" w:hAnsi="Arial" w:cs="Arial"/>
                <w:b/>
                <w:bCs/>
                <w:sz w:val="20"/>
                <w:szCs w:val="20"/>
                <w:lang w:val="en-US"/>
              </w:rPr>
              <w:t>5</w:t>
            </w:r>
          </w:p>
          <w:p w14:paraId="66A3389E"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Gross</w:t>
            </w:r>
          </w:p>
          <w:p w14:paraId="1EBFE370" w14:textId="77777777" w:rsidR="0083027F" w:rsidRPr="008A7A35" w:rsidRDefault="0083027F" w:rsidP="00734264">
            <w:pPr>
              <w:spacing w:line="280" w:lineRule="exact"/>
              <w:ind w:left="-89"/>
              <w:jc w:val="center"/>
              <w:rPr>
                <w:rFonts w:ascii="Arial" w:hAnsi="Arial" w:cs="Arial"/>
                <w:b/>
                <w:bCs/>
                <w:sz w:val="20"/>
                <w:szCs w:val="20"/>
                <w:lang w:val="en-US"/>
              </w:rPr>
            </w:pPr>
            <w:proofErr w:type="gramStart"/>
            <w:r w:rsidRPr="008A7A35">
              <w:rPr>
                <w:rFonts w:ascii="Arial" w:hAnsi="Arial" w:cs="Arial"/>
                <w:b/>
                <w:bCs/>
                <w:sz w:val="20"/>
                <w:szCs w:val="20"/>
                <w:lang w:val="en-US"/>
              </w:rPr>
              <w:t>MOIC</w:t>
            </w:r>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2)</w:t>
            </w:r>
          </w:p>
        </w:tc>
        <w:tc>
          <w:tcPr>
            <w:tcW w:w="460" w:type="pct"/>
            <w:tcBorders>
              <w:top w:val="nil"/>
              <w:left w:val="nil"/>
              <w:right w:val="nil"/>
            </w:tcBorders>
            <w:tcMar>
              <w:top w:w="45" w:type="dxa"/>
              <w:left w:w="0" w:type="dxa"/>
              <w:bottom w:w="45" w:type="dxa"/>
              <w:right w:w="0" w:type="dxa"/>
            </w:tcMar>
            <w:vAlign w:val="bottom"/>
            <w:hideMark/>
          </w:tcPr>
          <w:p w14:paraId="4284F197" w14:textId="23F56FC0"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31 Dec 202</w:t>
            </w:r>
            <w:r w:rsidR="004B4589" w:rsidRPr="008A7A35">
              <w:rPr>
                <w:rFonts w:ascii="Arial" w:hAnsi="Arial" w:cs="Arial"/>
                <w:b/>
                <w:bCs/>
                <w:sz w:val="20"/>
                <w:szCs w:val="20"/>
                <w:lang w:val="en-US"/>
              </w:rPr>
              <w:t>4</w:t>
            </w:r>
          </w:p>
          <w:p w14:paraId="013506A6" w14:textId="77777777" w:rsidR="0083027F" w:rsidRPr="008A7A35" w:rsidRDefault="0083027F" w:rsidP="00734264">
            <w:pPr>
              <w:spacing w:line="280" w:lineRule="exact"/>
              <w:ind w:left="-89"/>
              <w:jc w:val="center"/>
              <w:rPr>
                <w:rFonts w:ascii="Arial" w:hAnsi="Arial" w:cs="Arial"/>
                <w:b/>
                <w:bCs/>
                <w:sz w:val="20"/>
                <w:szCs w:val="20"/>
                <w:lang w:val="en-US"/>
              </w:rPr>
            </w:pPr>
            <w:r w:rsidRPr="008A7A35">
              <w:rPr>
                <w:rFonts w:ascii="Arial" w:hAnsi="Arial" w:cs="Arial"/>
                <w:b/>
                <w:bCs/>
                <w:sz w:val="20"/>
                <w:szCs w:val="20"/>
                <w:lang w:val="en-US"/>
              </w:rPr>
              <w:t>Gross</w:t>
            </w:r>
          </w:p>
          <w:p w14:paraId="6A4CCB25" w14:textId="77777777" w:rsidR="0083027F" w:rsidRPr="008A7A35" w:rsidRDefault="0083027F" w:rsidP="00734264">
            <w:pPr>
              <w:spacing w:line="280" w:lineRule="exact"/>
              <w:ind w:left="-89"/>
              <w:jc w:val="center"/>
              <w:rPr>
                <w:rFonts w:ascii="Arial" w:hAnsi="Arial" w:cs="Arial"/>
                <w:b/>
                <w:bCs/>
                <w:sz w:val="20"/>
                <w:szCs w:val="20"/>
                <w:lang w:val="en-US"/>
              </w:rPr>
            </w:pPr>
            <w:proofErr w:type="gramStart"/>
            <w:r w:rsidRPr="008A7A35">
              <w:rPr>
                <w:rFonts w:ascii="Arial" w:hAnsi="Arial" w:cs="Arial"/>
                <w:b/>
                <w:bCs/>
                <w:sz w:val="20"/>
                <w:szCs w:val="20"/>
                <w:lang w:val="en-US"/>
              </w:rPr>
              <w:t>MOIC</w:t>
            </w:r>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2)</w:t>
            </w:r>
          </w:p>
        </w:tc>
      </w:tr>
      <w:tr w:rsidR="00E660D7" w:rsidRPr="008A7A35" w14:paraId="7D162E05" w14:textId="77777777" w:rsidTr="00E660D7">
        <w:trPr>
          <w:trHeight w:val="451"/>
        </w:trPr>
        <w:tc>
          <w:tcPr>
            <w:tcW w:w="989" w:type="pct"/>
            <w:tcBorders>
              <w:top w:val="nil"/>
              <w:left w:val="nil"/>
              <w:bottom w:val="nil"/>
              <w:right w:val="nil"/>
            </w:tcBorders>
            <w:tcMar>
              <w:top w:w="45" w:type="dxa"/>
              <w:left w:w="0" w:type="dxa"/>
              <w:bottom w:w="45" w:type="dxa"/>
              <w:right w:w="0" w:type="dxa"/>
            </w:tcMar>
            <w:hideMark/>
          </w:tcPr>
          <w:p w14:paraId="4BC31AB4"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r w:rsidRPr="008A7A35">
              <w:rPr>
                <w:rFonts w:ascii="Arial" w:eastAsia="Calibri" w:hAnsi="Arial" w:cs="Arial"/>
                <w:b/>
                <w:sz w:val="20"/>
                <w:szCs w:val="20"/>
              </w:rPr>
              <w:t xml:space="preserve">Rock </w:t>
            </w:r>
            <w:proofErr w:type="gramStart"/>
            <w:r w:rsidRPr="008A7A35">
              <w:rPr>
                <w:rFonts w:ascii="Arial" w:eastAsia="Calibri" w:hAnsi="Arial" w:cs="Arial"/>
                <w:b/>
                <w:sz w:val="20"/>
                <w:szCs w:val="20"/>
              </w:rPr>
              <w:t>Oil</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5)</w:t>
            </w:r>
          </w:p>
          <w:p w14:paraId="16E43A11" w14:textId="77777777" w:rsidR="00E660D7" w:rsidRPr="008A7A35" w:rsidRDefault="00E660D7" w:rsidP="00E660D7">
            <w:pPr>
              <w:pStyle w:val="NormalWeb"/>
              <w:spacing w:before="0" w:beforeAutospacing="0" w:after="0" w:afterAutospacing="0"/>
              <w:ind w:left="-1"/>
              <w:jc w:val="both"/>
              <w:textAlignment w:val="baseline"/>
              <w:rPr>
                <w:rFonts w:ascii="Arial" w:hAnsi="Arial" w:cs="Arial"/>
                <w:color w:val="333333"/>
                <w:sz w:val="20"/>
                <w:szCs w:val="20"/>
              </w:rPr>
            </w:pPr>
            <w:r w:rsidRPr="008A7A35">
              <w:rPr>
                <w:rFonts w:ascii="Arial" w:eastAsia="Calibri" w:hAnsi="Arial" w:cs="Arial"/>
                <w:i/>
                <w:sz w:val="20"/>
                <w:szCs w:val="20"/>
              </w:rPr>
              <w:t>(12 Mar 2014)</w:t>
            </w:r>
          </w:p>
        </w:tc>
        <w:tc>
          <w:tcPr>
            <w:tcW w:w="658" w:type="pct"/>
            <w:tcBorders>
              <w:top w:val="nil"/>
              <w:left w:val="nil"/>
              <w:bottom w:val="nil"/>
              <w:right w:val="nil"/>
            </w:tcBorders>
            <w:tcMar>
              <w:top w:w="45" w:type="dxa"/>
              <w:left w:w="0" w:type="dxa"/>
              <w:bottom w:w="45" w:type="dxa"/>
              <w:right w:w="0" w:type="dxa"/>
            </w:tcMar>
          </w:tcPr>
          <w:p w14:paraId="4C946D60" w14:textId="6427B7AF"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114</w:t>
            </w:r>
          </w:p>
        </w:tc>
        <w:tc>
          <w:tcPr>
            <w:tcW w:w="527" w:type="pct"/>
            <w:tcBorders>
              <w:top w:val="nil"/>
              <w:left w:val="nil"/>
              <w:bottom w:val="nil"/>
              <w:right w:val="nil"/>
            </w:tcBorders>
            <w:tcMar>
              <w:top w:w="45" w:type="dxa"/>
              <w:left w:w="0" w:type="dxa"/>
              <w:bottom w:w="45" w:type="dxa"/>
              <w:right w:w="0" w:type="dxa"/>
            </w:tcMar>
          </w:tcPr>
          <w:p w14:paraId="7534D57C" w14:textId="468F25F8"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114</w:t>
            </w:r>
          </w:p>
        </w:tc>
        <w:tc>
          <w:tcPr>
            <w:tcW w:w="502" w:type="pct"/>
            <w:tcBorders>
              <w:top w:val="nil"/>
              <w:left w:val="nil"/>
              <w:bottom w:val="nil"/>
              <w:right w:val="nil"/>
            </w:tcBorders>
            <w:tcMar>
              <w:top w:w="45" w:type="dxa"/>
              <w:left w:w="0" w:type="dxa"/>
              <w:bottom w:w="45" w:type="dxa"/>
              <w:right w:w="0" w:type="dxa"/>
            </w:tcMar>
          </w:tcPr>
          <w:p w14:paraId="06EEFF8B" w14:textId="17FE8C73"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239</w:t>
            </w:r>
          </w:p>
        </w:tc>
        <w:tc>
          <w:tcPr>
            <w:tcW w:w="550" w:type="pct"/>
            <w:tcBorders>
              <w:top w:val="nil"/>
              <w:left w:val="nil"/>
              <w:bottom w:val="nil"/>
              <w:right w:val="nil"/>
            </w:tcBorders>
            <w:tcMar>
              <w:top w:w="45" w:type="dxa"/>
              <w:left w:w="0" w:type="dxa"/>
              <w:bottom w:w="45" w:type="dxa"/>
              <w:right w:w="0" w:type="dxa"/>
            </w:tcMar>
          </w:tcPr>
          <w:p w14:paraId="19CE36F7" w14:textId="1E40D2F1"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0</w:t>
            </w:r>
          </w:p>
        </w:tc>
        <w:tc>
          <w:tcPr>
            <w:tcW w:w="790" w:type="pct"/>
            <w:tcBorders>
              <w:top w:val="nil"/>
              <w:left w:val="nil"/>
              <w:bottom w:val="nil"/>
              <w:right w:val="nil"/>
            </w:tcBorders>
            <w:tcMar>
              <w:top w:w="45" w:type="dxa"/>
              <w:left w:w="0" w:type="dxa"/>
              <w:bottom w:w="45" w:type="dxa"/>
              <w:right w:w="0" w:type="dxa"/>
            </w:tcMar>
          </w:tcPr>
          <w:p w14:paraId="171F4F71" w14:textId="09A9B493"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239</w:t>
            </w:r>
          </w:p>
        </w:tc>
        <w:tc>
          <w:tcPr>
            <w:tcW w:w="525" w:type="pct"/>
            <w:tcBorders>
              <w:top w:val="nil"/>
              <w:left w:val="nil"/>
              <w:bottom w:val="nil"/>
              <w:right w:val="nil"/>
            </w:tcBorders>
            <w:tcMar>
              <w:top w:w="45" w:type="dxa"/>
              <w:left w:w="0" w:type="dxa"/>
              <w:bottom w:w="45" w:type="dxa"/>
              <w:right w:w="0" w:type="dxa"/>
            </w:tcMar>
            <w:vAlign w:val="bottom"/>
          </w:tcPr>
          <w:p w14:paraId="27374DE3" w14:textId="7313AC08"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2.09</w:t>
            </w:r>
            <w:r w:rsidRPr="008A7A35">
              <w:rPr>
                <w:rFonts w:ascii="Arial" w:eastAsia="Calibri" w:hAnsi="Arial" w:cs="Arial"/>
                <w:sz w:val="20"/>
                <w:szCs w:val="20"/>
              </w:rPr>
              <w:t>x</w:t>
            </w:r>
          </w:p>
        </w:tc>
        <w:tc>
          <w:tcPr>
            <w:tcW w:w="460" w:type="pct"/>
            <w:tcBorders>
              <w:top w:val="nil"/>
              <w:left w:val="nil"/>
              <w:bottom w:val="nil"/>
              <w:right w:val="nil"/>
            </w:tcBorders>
            <w:tcMar>
              <w:top w:w="45" w:type="dxa"/>
              <w:left w:w="0" w:type="dxa"/>
              <w:bottom w:w="45" w:type="dxa"/>
              <w:right w:w="0" w:type="dxa"/>
            </w:tcMar>
            <w:vAlign w:val="bottom"/>
            <w:hideMark/>
          </w:tcPr>
          <w:p w14:paraId="0FB3BAE9" w14:textId="54BB9781"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2.09</w:t>
            </w:r>
            <w:r w:rsidRPr="008A7A35">
              <w:rPr>
                <w:rFonts w:ascii="Arial" w:eastAsia="Calibri" w:hAnsi="Arial" w:cs="Arial"/>
                <w:sz w:val="20"/>
                <w:szCs w:val="20"/>
              </w:rPr>
              <w:t>x</w:t>
            </w:r>
          </w:p>
        </w:tc>
      </w:tr>
      <w:tr w:rsidR="00E660D7" w:rsidRPr="008A7A35" w14:paraId="5CEE83F9" w14:textId="77777777" w:rsidTr="00E660D7">
        <w:trPr>
          <w:trHeight w:val="451"/>
        </w:trPr>
        <w:tc>
          <w:tcPr>
            <w:tcW w:w="989" w:type="pct"/>
            <w:tcBorders>
              <w:top w:val="nil"/>
              <w:left w:val="nil"/>
              <w:bottom w:val="nil"/>
              <w:right w:val="nil"/>
            </w:tcBorders>
            <w:tcMar>
              <w:top w:w="45" w:type="dxa"/>
              <w:left w:w="0" w:type="dxa"/>
              <w:bottom w:w="45" w:type="dxa"/>
              <w:right w:w="0" w:type="dxa"/>
            </w:tcMar>
            <w:hideMark/>
          </w:tcPr>
          <w:p w14:paraId="56F06A8E" w14:textId="77777777" w:rsidR="00E660D7" w:rsidRPr="008A7A35" w:rsidRDefault="00E660D7" w:rsidP="00E660D7">
            <w:pPr>
              <w:pStyle w:val="NormalWeb"/>
              <w:spacing w:before="0" w:beforeAutospacing="0" w:after="0" w:afterAutospacing="0"/>
              <w:ind w:left="-1" w:right="-173"/>
              <w:jc w:val="both"/>
              <w:textAlignment w:val="baseline"/>
              <w:rPr>
                <w:rFonts w:ascii="Arial" w:hAnsi="Arial" w:cs="Arial"/>
                <w:color w:val="333333"/>
                <w:sz w:val="20"/>
                <w:szCs w:val="20"/>
                <w:bdr w:val="none" w:sz="0" w:space="0" w:color="auto" w:frame="1"/>
              </w:rPr>
            </w:pPr>
            <w:r w:rsidRPr="008A7A35">
              <w:rPr>
                <w:rFonts w:ascii="Arial" w:eastAsia="Calibri" w:hAnsi="Arial" w:cs="Arial"/>
                <w:b/>
                <w:sz w:val="20"/>
                <w:szCs w:val="20"/>
              </w:rPr>
              <w:t>Three Rivers III</w:t>
            </w:r>
          </w:p>
          <w:p w14:paraId="6034A36C" w14:textId="77777777" w:rsidR="00E660D7" w:rsidRPr="008A7A35" w:rsidRDefault="00E660D7" w:rsidP="00E660D7">
            <w:pPr>
              <w:pStyle w:val="NormalWeb"/>
              <w:spacing w:before="0" w:beforeAutospacing="0" w:after="0" w:afterAutospacing="0"/>
              <w:ind w:left="-1"/>
              <w:jc w:val="both"/>
              <w:textAlignment w:val="baseline"/>
              <w:rPr>
                <w:rFonts w:ascii="Arial" w:hAnsi="Arial" w:cs="Arial"/>
                <w:color w:val="333333"/>
                <w:sz w:val="20"/>
                <w:szCs w:val="20"/>
              </w:rPr>
            </w:pPr>
            <w:r w:rsidRPr="008A7A35">
              <w:rPr>
                <w:rFonts w:ascii="Arial" w:eastAsia="Calibri" w:hAnsi="Arial" w:cs="Arial"/>
                <w:i/>
                <w:sz w:val="20"/>
                <w:szCs w:val="20"/>
              </w:rPr>
              <w:t>(7 Apr 2015)</w:t>
            </w:r>
          </w:p>
        </w:tc>
        <w:tc>
          <w:tcPr>
            <w:tcW w:w="658" w:type="pct"/>
            <w:tcBorders>
              <w:top w:val="nil"/>
              <w:left w:val="nil"/>
              <w:bottom w:val="nil"/>
              <w:right w:val="nil"/>
            </w:tcBorders>
            <w:tcMar>
              <w:top w:w="45" w:type="dxa"/>
              <w:left w:w="0" w:type="dxa"/>
              <w:bottom w:w="45" w:type="dxa"/>
              <w:right w:w="0" w:type="dxa"/>
            </w:tcMar>
          </w:tcPr>
          <w:p w14:paraId="5E6E5E45" w14:textId="6EB86A4C"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94</w:t>
            </w:r>
          </w:p>
        </w:tc>
        <w:tc>
          <w:tcPr>
            <w:tcW w:w="527" w:type="pct"/>
            <w:tcBorders>
              <w:top w:val="nil"/>
              <w:left w:val="nil"/>
              <w:bottom w:val="nil"/>
              <w:right w:val="nil"/>
            </w:tcBorders>
            <w:tcMar>
              <w:top w:w="45" w:type="dxa"/>
              <w:left w:w="0" w:type="dxa"/>
              <w:bottom w:w="45" w:type="dxa"/>
              <w:right w:w="0" w:type="dxa"/>
            </w:tcMar>
          </w:tcPr>
          <w:p w14:paraId="4B235675" w14:textId="3A998766"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94</w:t>
            </w:r>
          </w:p>
        </w:tc>
        <w:tc>
          <w:tcPr>
            <w:tcW w:w="502" w:type="pct"/>
            <w:tcBorders>
              <w:top w:val="nil"/>
              <w:left w:val="nil"/>
              <w:bottom w:val="nil"/>
              <w:right w:val="nil"/>
            </w:tcBorders>
            <w:tcMar>
              <w:top w:w="45" w:type="dxa"/>
              <w:left w:w="0" w:type="dxa"/>
              <w:bottom w:w="45" w:type="dxa"/>
              <w:right w:w="0" w:type="dxa"/>
            </w:tcMar>
          </w:tcPr>
          <w:p w14:paraId="25B894BB" w14:textId="35B7DB38"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204</w:t>
            </w:r>
          </w:p>
        </w:tc>
        <w:tc>
          <w:tcPr>
            <w:tcW w:w="550" w:type="pct"/>
            <w:tcBorders>
              <w:top w:val="nil"/>
              <w:left w:val="nil"/>
              <w:bottom w:val="nil"/>
              <w:right w:val="nil"/>
            </w:tcBorders>
            <w:tcMar>
              <w:top w:w="45" w:type="dxa"/>
              <w:left w:w="0" w:type="dxa"/>
              <w:bottom w:w="45" w:type="dxa"/>
              <w:right w:w="0" w:type="dxa"/>
            </w:tcMar>
          </w:tcPr>
          <w:p w14:paraId="352E95B0" w14:textId="64E19A16"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nil"/>
              <w:left w:val="nil"/>
              <w:bottom w:val="nil"/>
              <w:right w:val="nil"/>
            </w:tcBorders>
            <w:tcMar>
              <w:top w:w="45" w:type="dxa"/>
              <w:left w:w="0" w:type="dxa"/>
              <w:bottom w:w="45" w:type="dxa"/>
              <w:right w:w="0" w:type="dxa"/>
            </w:tcMar>
          </w:tcPr>
          <w:p w14:paraId="57314CEA" w14:textId="005BEC8C"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204</w:t>
            </w:r>
          </w:p>
        </w:tc>
        <w:tc>
          <w:tcPr>
            <w:tcW w:w="525" w:type="pct"/>
            <w:tcBorders>
              <w:top w:val="nil"/>
              <w:left w:val="nil"/>
              <w:bottom w:val="nil"/>
              <w:right w:val="nil"/>
            </w:tcBorders>
            <w:tcMar>
              <w:top w:w="45" w:type="dxa"/>
              <w:left w:w="0" w:type="dxa"/>
              <w:bottom w:w="45" w:type="dxa"/>
              <w:right w:w="0" w:type="dxa"/>
            </w:tcMar>
          </w:tcPr>
          <w:p w14:paraId="19608DE5" w14:textId="69BA9B09"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2.17</w:t>
            </w:r>
            <w:r w:rsidRPr="008A7A35">
              <w:rPr>
                <w:rFonts w:ascii="Arial" w:eastAsia="Calibri" w:hAnsi="Arial" w:cs="Arial"/>
                <w:sz w:val="20"/>
                <w:szCs w:val="20"/>
              </w:rPr>
              <w:t>x</w:t>
            </w:r>
          </w:p>
        </w:tc>
        <w:tc>
          <w:tcPr>
            <w:tcW w:w="460" w:type="pct"/>
            <w:tcBorders>
              <w:top w:val="nil"/>
              <w:left w:val="nil"/>
              <w:bottom w:val="nil"/>
              <w:right w:val="nil"/>
            </w:tcBorders>
            <w:tcMar>
              <w:top w:w="45" w:type="dxa"/>
              <w:left w:w="0" w:type="dxa"/>
              <w:bottom w:w="45" w:type="dxa"/>
              <w:right w:w="0" w:type="dxa"/>
            </w:tcMar>
            <w:hideMark/>
          </w:tcPr>
          <w:p w14:paraId="28303859"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2.17</w:t>
            </w:r>
            <w:r w:rsidRPr="008A7A35">
              <w:rPr>
                <w:rFonts w:ascii="Arial" w:eastAsia="Calibri" w:hAnsi="Arial" w:cs="Arial"/>
                <w:sz w:val="20"/>
                <w:szCs w:val="20"/>
              </w:rPr>
              <w:t>x</w:t>
            </w:r>
          </w:p>
        </w:tc>
      </w:tr>
      <w:tr w:rsidR="00E660D7" w:rsidRPr="008A7A35" w14:paraId="12322AA3" w14:textId="77777777" w:rsidTr="00E660D7">
        <w:trPr>
          <w:trHeight w:val="451"/>
        </w:trPr>
        <w:tc>
          <w:tcPr>
            <w:tcW w:w="989" w:type="pct"/>
            <w:tcBorders>
              <w:top w:val="nil"/>
              <w:left w:val="nil"/>
              <w:bottom w:val="nil"/>
              <w:right w:val="nil"/>
            </w:tcBorders>
            <w:tcMar>
              <w:top w:w="45" w:type="dxa"/>
              <w:left w:w="0" w:type="dxa"/>
              <w:bottom w:w="45" w:type="dxa"/>
              <w:right w:w="0" w:type="dxa"/>
            </w:tcMar>
          </w:tcPr>
          <w:p w14:paraId="4549D8E6"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r w:rsidRPr="008A7A35">
              <w:rPr>
                <w:rFonts w:ascii="Arial" w:eastAsia="Calibri" w:hAnsi="Arial" w:cs="Arial"/>
                <w:b/>
                <w:sz w:val="20"/>
                <w:szCs w:val="20"/>
              </w:rPr>
              <w:t>ILX III</w:t>
            </w:r>
          </w:p>
          <w:p w14:paraId="3D12C98B"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Cs/>
                <w:i/>
                <w:iCs/>
                <w:sz w:val="20"/>
                <w:szCs w:val="20"/>
              </w:rPr>
            </w:pPr>
            <w:r w:rsidRPr="008A7A35">
              <w:rPr>
                <w:rFonts w:ascii="Arial" w:eastAsia="Calibri" w:hAnsi="Arial" w:cs="Arial"/>
                <w:bCs/>
                <w:i/>
                <w:iCs/>
                <w:sz w:val="20"/>
                <w:szCs w:val="20"/>
              </w:rPr>
              <w:t>(8 Oct 2015) </w:t>
            </w:r>
          </w:p>
        </w:tc>
        <w:tc>
          <w:tcPr>
            <w:tcW w:w="658" w:type="pct"/>
            <w:tcBorders>
              <w:top w:val="nil"/>
              <w:left w:val="nil"/>
              <w:bottom w:val="nil"/>
              <w:right w:val="nil"/>
            </w:tcBorders>
            <w:tcMar>
              <w:top w:w="45" w:type="dxa"/>
              <w:left w:w="0" w:type="dxa"/>
              <w:bottom w:w="45" w:type="dxa"/>
              <w:right w:w="0" w:type="dxa"/>
            </w:tcMar>
          </w:tcPr>
          <w:p w14:paraId="14CAB91C" w14:textId="7CF121F6"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179</w:t>
            </w:r>
          </w:p>
        </w:tc>
        <w:tc>
          <w:tcPr>
            <w:tcW w:w="527" w:type="pct"/>
            <w:tcBorders>
              <w:top w:val="nil"/>
              <w:left w:val="nil"/>
              <w:bottom w:val="nil"/>
              <w:right w:val="nil"/>
            </w:tcBorders>
            <w:tcMar>
              <w:top w:w="45" w:type="dxa"/>
              <w:left w:w="0" w:type="dxa"/>
              <w:bottom w:w="45" w:type="dxa"/>
              <w:right w:w="0" w:type="dxa"/>
            </w:tcMar>
          </w:tcPr>
          <w:p w14:paraId="402C11F5" w14:textId="2230B408"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179</w:t>
            </w:r>
          </w:p>
        </w:tc>
        <w:tc>
          <w:tcPr>
            <w:tcW w:w="502" w:type="pct"/>
            <w:tcBorders>
              <w:top w:val="nil"/>
              <w:left w:val="nil"/>
              <w:bottom w:val="nil"/>
              <w:right w:val="nil"/>
            </w:tcBorders>
            <w:tcMar>
              <w:top w:w="45" w:type="dxa"/>
              <w:left w:w="0" w:type="dxa"/>
              <w:bottom w:w="45" w:type="dxa"/>
              <w:right w:w="0" w:type="dxa"/>
            </w:tcMar>
          </w:tcPr>
          <w:p w14:paraId="75B9B2FA" w14:textId="192DFA9C"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172</w:t>
            </w:r>
          </w:p>
        </w:tc>
        <w:tc>
          <w:tcPr>
            <w:tcW w:w="550" w:type="pct"/>
            <w:tcBorders>
              <w:top w:val="nil"/>
              <w:left w:val="nil"/>
              <w:bottom w:val="nil"/>
              <w:right w:val="nil"/>
            </w:tcBorders>
            <w:tcMar>
              <w:top w:w="45" w:type="dxa"/>
              <w:left w:w="0" w:type="dxa"/>
              <w:bottom w:w="45" w:type="dxa"/>
              <w:right w:w="0" w:type="dxa"/>
            </w:tcMar>
          </w:tcPr>
          <w:p w14:paraId="70140BE4" w14:textId="135D3D1A"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nil"/>
              <w:left w:val="nil"/>
              <w:bottom w:val="nil"/>
              <w:right w:val="nil"/>
            </w:tcBorders>
            <w:tcMar>
              <w:top w:w="45" w:type="dxa"/>
              <w:left w:w="0" w:type="dxa"/>
              <w:bottom w:w="45" w:type="dxa"/>
              <w:right w:w="0" w:type="dxa"/>
            </w:tcMar>
          </w:tcPr>
          <w:p w14:paraId="4C191965" w14:textId="76CB4C76" w:rsidR="00E660D7" w:rsidRPr="008A7A35" w:rsidRDefault="00E660D7" w:rsidP="00E660D7">
            <w:pPr>
              <w:tabs>
                <w:tab w:val="center" w:pos="578"/>
                <w:tab w:val="right" w:pos="1246"/>
              </w:tabs>
              <w:spacing w:after="200" w:line="276" w:lineRule="auto"/>
              <w:ind w:left="-89"/>
              <w:jc w:val="center"/>
              <w:rPr>
                <w:rFonts w:ascii="Arial" w:eastAsia="Calibri" w:hAnsi="Arial" w:cs="Arial"/>
                <w:bCs/>
                <w:sz w:val="20"/>
                <w:szCs w:val="20"/>
              </w:rPr>
            </w:pPr>
            <w:r w:rsidRPr="008A7A35">
              <w:rPr>
                <w:rFonts w:ascii="Arial" w:hAnsi="Arial" w:cs="Arial"/>
                <w:bCs/>
                <w:sz w:val="20"/>
                <w:szCs w:val="20"/>
              </w:rPr>
              <w:t>172</w:t>
            </w:r>
          </w:p>
        </w:tc>
        <w:tc>
          <w:tcPr>
            <w:tcW w:w="525" w:type="pct"/>
            <w:tcBorders>
              <w:top w:val="nil"/>
              <w:left w:val="nil"/>
              <w:bottom w:val="nil"/>
              <w:right w:val="nil"/>
            </w:tcBorders>
            <w:tcMar>
              <w:top w:w="45" w:type="dxa"/>
              <w:left w:w="0" w:type="dxa"/>
              <w:bottom w:w="45" w:type="dxa"/>
              <w:right w:w="0" w:type="dxa"/>
            </w:tcMar>
          </w:tcPr>
          <w:p w14:paraId="79F0235C" w14:textId="497EAA59"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0.96x</w:t>
            </w:r>
          </w:p>
        </w:tc>
        <w:tc>
          <w:tcPr>
            <w:tcW w:w="460" w:type="pct"/>
            <w:tcBorders>
              <w:top w:val="nil"/>
              <w:left w:val="nil"/>
              <w:bottom w:val="nil"/>
              <w:right w:val="nil"/>
            </w:tcBorders>
            <w:tcMar>
              <w:top w:w="45" w:type="dxa"/>
              <w:left w:w="0" w:type="dxa"/>
              <w:bottom w:w="45" w:type="dxa"/>
              <w:right w:w="0" w:type="dxa"/>
            </w:tcMar>
          </w:tcPr>
          <w:p w14:paraId="0C89814D"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0.96x</w:t>
            </w:r>
          </w:p>
        </w:tc>
      </w:tr>
      <w:tr w:rsidR="00E660D7" w:rsidRPr="008A7A35" w14:paraId="5EE66654" w14:textId="77777777" w:rsidTr="00E660D7">
        <w:trPr>
          <w:trHeight w:val="463"/>
        </w:trPr>
        <w:tc>
          <w:tcPr>
            <w:tcW w:w="989" w:type="pct"/>
            <w:tcBorders>
              <w:top w:val="nil"/>
              <w:left w:val="nil"/>
              <w:bottom w:val="nil"/>
              <w:right w:val="nil"/>
            </w:tcBorders>
            <w:tcMar>
              <w:top w:w="45" w:type="dxa"/>
              <w:left w:w="0" w:type="dxa"/>
              <w:bottom w:w="45" w:type="dxa"/>
              <w:right w:w="0" w:type="dxa"/>
            </w:tcMar>
            <w:hideMark/>
          </w:tcPr>
          <w:p w14:paraId="299A6384"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i/>
                <w:sz w:val="20"/>
                <w:szCs w:val="20"/>
              </w:rPr>
            </w:pPr>
            <w:r w:rsidRPr="008A7A35">
              <w:rPr>
                <w:rFonts w:ascii="Arial" w:eastAsia="Calibri" w:hAnsi="Arial" w:cs="Arial"/>
                <w:b/>
                <w:sz w:val="20"/>
                <w:szCs w:val="20"/>
              </w:rPr>
              <w:t xml:space="preserve">Meritage </w:t>
            </w:r>
            <w:proofErr w:type="gramStart"/>
            <w:r w:rsidRPr="008A7A35">
              <w:rPr>
                <w:rFonts w:ascii="Arial" w:eastAsia="Calibri" w:hAnsi="Arial" w:cs="Arial"/>
                <w:b/>
                <w:sz w:val="20"/>
                <w:szCs w:val="20"/>
              </w:rPr>
              <w:t>III</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6)</w:t>
            </w:r>
            <w:r w:rsidRPr="008A7A35">
              <w:rPr>
                <w:rFonts w:ascii="Arial" w:eastAsia="Calibri" w:hAnsi="Arial" w:cs="Arial"/>
                <w:i/>
                <w:sz w:val="20"/>
                <w:szCs w:val="20"/>
              </w:rPr>
              <w:t xml:space="preserve"> </w:t>
            </w:r>
          </w:p>
          <w:p w14:paraId="22E8908D" w14:textId="77777777" w:rsidR="00E660D7" w:rsidRPr="008A7A35" w:rsidRDefault="00E660D7" w:rsidP="00E660D7">
            <w:pPr>
              <w:pStyle w:val="NormalWeb"/>
              <w:spacing w:before="0" w:beforeAutospacing="0" w:after="0" w:afterAutospacing="0"/>
              <w:ind w:left="-1"/>
              <w:jc w:val="both"/>
              <w:textAlignment w:val="baseline"/>
              <w:rPr>
                <w:rFonts w:ascii="Arial" w:hAnsi="Arial" w:cs="Arial"/>
                <w:color w:val="333333"/>
                <w:sz w:val="20"/>
                <w:szCs w:val="20"/>
              </w:rPr>
            </w:pPr>
            <w:r w:rsidRPr="008A7A35">
              <w:rPr>
                <w:rFonts w:ascii="Arial" w:eastAsia="Calibri" w:hAnsi="Arial" w:cs="Arial"/>
                <w:i/>
                <w:sz w:val="20"/>
                <w:szCs w:val="20"/>
              </w:rPr>
              <w:t>(17 Apr 2015)</w:t>
            </w:r>
          </w:p>
        </w:tc>
        <w:tc>
          <w:tcPr>
            <w:tcW w:w="658" w:type="pct"/>
            <w:tcBorders>
              <w:top w:val="nil"/>
              <w:left w:val="nil"/>
              <w:bottom w:val="nil"/>
              <w:right w:val="nil"/>
            </w:tcBorders>
            <w:tcMar>
              <w:top w:w="45" w:type="dxa"/>
              <w:left w:w="0" w:type="dxa"/>
              <w:bottom w:w="45" w:type="dxa"/>
              <w:right w:w="0" w:type="dxa"/>
            </w:tcMar>
          </w:tcPr>
          <w:p w14:paraId="4EFE43A5" w14:textId="64FFAFE7"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40</w:t>
            </w:r>
          </w:p>
        </w:tc>
        <w:tc>
          <w:tcPr>
            <w:tcW w:w="527" w:type="pct"/>
            <w:tcBorders>
              <w:top w:val="nil"/>
              <w:left w:val="nil"/>
              <w:bottom w:val="nil"/>
              <w:right w:val="nil"/>
            </w:tcBorders>
            <w:tcMar>
              <w:top w:w="45" w:type="dxa"/>
              <w:left w:w="0" w:type="dxa"/>
              <w:bottom w:w="45" w:type="dxa"/>
              <w:right w:w="0" w:type="dxa"/>
            </w:tcMar>
          </w:tcPr>
          <w:p w14:paraId="0B75E34B" w14:textId="2E0A6C57"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40</w:t>
            </w:r>
          </w:p>
        </w:tc>
        <w:tc>
          <w:tcPr>
            <w:tcW w:w="502" w:type="pct"/>
            <w:tcBorders>
              <w:top w:val="nil"/>
              <w:left w:val="nil"/>
              <w:bottom w:val="nil"/>
              <w:right w:val="nil"/>
            </w:tcBorders>
            <w:tcMar>
              <w:top w:w="45" w:type="dxa"/>
              <w:left w:w="0" w:type="dxa"/>
              <w:bottom w:w="45" w:type="dxa"/>
              <w:right w:w="0" w:type="dxa"/>
            </w:tcMar>
          </w:tcPr>
          <w:p w14:paraId="449D5943" w14:textId="36F70C07"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88</w:t>
            </w:r>
          </w:p>
        </w:tc>
        <w:tc>
          <w:tcPr>
            <w:tcW w:w="550" w:type="pct"/>
            <w:tcBorders>
              <w:top w:val="nil"/>
              <w:left w:val="nil"/>
              <w:bottom w:val="nil"/>
              <w:right w:val="nil"/>
            </w:tcBorders>
            <w:tcMar>
              <w:top w:w="45" w:type="dxa"/>
              <w:left w:w="0" w:type="dxa"/>
              <w:bottom w:w="45" w:type="dxa"/>
              <w:right w:w="0" w:type="dxa"/>
            </w:tcMar>
          </w:tcPr>
          <w:p w14:paraId="63762ED6" w14:textId="7CD335C8"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nil"/>
              <w:left w:val="nil"/>
              <w:bottom w:val="nil"/>
              <w:right w:val="nil"/>
            </w:tcBorders>
            <w:tcMar>
              <w:top w:w="45" w:type="dxa"/>
              <w:left w:w="0" w:type="dxa"/>
              <w:bottom w:w="45" w:type="dxa"/>
              <w:right w:w="0" w:type="dxa"/>
            </w:tcMar>
          </w:tcPr>
          <w:p w14:paraId="47EFBD3B" w14:textId="559DDDF2"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88</w:t>
            </w:r>
          </w:p>
        </w:tc>
        <w:tc>
          <w:tcPr>
            <w:tcW w:w="525" w:type="pct"/>
            <w:tcBorders>
              <w:top w:val="nil"/>
              <w:left w:val="nil"/>
              <w:bottom w:val="nil"/>
              <w:right w:val="nil"/>
            </w:tcBorders>
            <w:tcMar>
              <w:top w:w="45" w:type="dxa"/>
              <w:left w:w="0" w:type="dxa"/>
              <w:bottom w:w="45" w:type="dxa"/>
              <w:right w:w="0" w:type="dxa"/>
            </w:tcMar>
          </w:tcPr>
          <w:p w14:paraId="533B5314" w14:textId="531D6435"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2.20</w:t>
            </w:r>
            <w:r w:rsidRPr="008A7A35">
              <w:rPr>
                <w:rFonts w:ascii="Arial" w:eastAsia="Calibri" w:hAnsi="Arial" w:cs="Arial"/>
                <w:sz w:val="20"/>
                <w:szCs w:val="20"/>
              </w:rPr>
              <w:t>x</w:t>
            </w:r>
          </w:p>
        </w:tc>
        <w:tc>
          <w:tcPr>
            <w:tcW w:w="460" w:type="pct"/>
            <w:tcBorders>
              <w:top w:val="nil"/>
              <w:left w:val="nil"/>
              <w:bottom w:val="nil"/>
              <w:right w:val="nil"/>
            </w:tcBorders>
            <w:tcMar>
              <w:top w:w="45" w:type="dxa"/>
              <w:left w:w="0" w:type="dxa"/>
              <w:bottom w:w="45" w:type="dxa"/>
              <w:right w:w="0" w:type="dxa"/>
            </w:tcMar>
            <w:hideMark/>
          </w:tcPr>
          <w:p w14:paraId="25EF0D85"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2.20</w:t>
            </w:r>
            <w:r w:rsidRPr="008A7A35">
              <w:rPr>
                <w:rFonts w:ascii="Arial" w:eastAsia="Calibri" w:hAnsi="Arial" w:cs="Arial"/>
                <w:sz w:val="20"/>
                <w:szCs w:val="20"/>
              </w:rPr>
              <w:t>x</w:t>
            </w:r>
          </w:p>
        </w:tc>
      </w:tr>
      <w:tr w:rsidR="00E660D7" w:rsidRPr="008A7A35" w14:paraId="388EF127" w14:textId="77777777" w:rsidTr="00E660D7">
        <w:trPr>
          <w:trHeight w:val="451"/>
        </w:trPr>
        <w:tc>
          <w:tcPr>
            <w:tcW w:w="989" w:type="pct"/>
            <w:tcBorders>
              <w:top w:val="nil"/>
              <w:left w:val="nil"/>
              <w:bottom w:val="nil"/>
              <w:right w:val="nil"/>
            </w:tcBorders>
            <w:tcMar>
              <w:top w:w="45" w:type="dxa"/>
              <w:left w:w="0" w:type="dxa"/>
              <w:bottom w:w="45" w:type="dxa"/>
              <w:right w:w="0" w:type="dxa"/>
            </w:tcMar>
            <w:hideMark/>
          </w:tcPr>
          <w:p w14:paraId="47F09B80"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proofErr w:type="gramStart"/>
            <w:r w:rsidRPr="008A7A35">
              <w:rPr>
                <w:rFonts w:ascii="Arial" w:eastAsia="Calibri" w:hAnsi="Arial" w:cs="Arial"/>
                <w:b/>
                <w:sz w:val="20"/>
                <w:szCs w:val="20"/>
              </w:rPr>
              <w:lastRenderedPageBreak/>
              <w:t>RCO</w:t>
            </w:r>
            <w:r w:rsidRPr="008A7A35">
              <w:rPr>
                <w:rFonts w:ascii="Arial" w:hAnsi="Arial" w:cs="Arial"/>
                <w:b/>
                <w:bCs/>
                <w:sz w:val="20"/>
                <w:szCs w:val="20"/>
                <w:vertAlign w:val="superscript"/>
              </w:rPr>
              <w:t>(</w:t>
            </w:r>
            <w:proofErr w:type="gramEnd"/>
            <w:r w:rsidRPr="008A7A35">
              <w:rPr>
                <w:rFonts w:ascii="Arial" w:hAnsi="Arial" w:cs="Arial"/>
                <w:b/>
                <w:bCs/>
                <w:sz w:val="20"/>
                <w:szCs w:val="20"/>
                <w:vertAlign w:val="superscript"/>
              </w:rPr>
              <w:t>7)</w:t>
            </w:r>
          </w:p>
          <w:p w14:paraId="748A686B" w14:textId="77777777" w:rsidR="00E660D7" w:rsidRPr="008A7A35" w:rsidRDefault="00E660D7" w:rsidP="00E660D7">
            <w:pPr>
              <w:pStyle w:val="NormalWeb"/>
              <w:spacing w:before="0" w:beforeAutospacing="0" w:after="0" w:afterAutospacing="0"/>
              <w:ind w:left="-1"/>
              <w:jc w:val="both"/>
              <w:textAlignment w:val="baseline"/>
              <w:rPr>
                <w:rFonts w:ascii="Arial" w:hAnsi="Arial" w:cs="Arial"/>
                <w:color w:val="333333"/>
                <w:sz w:val="20"/>
                <w:szCs w:val="20"/>
              </w:rPr>
            </w:pPr>
            <w:r w:rsidRPr="008A7A35">
              <w:rPr>
                <w:rFonts w:ascii="Arial" w:eastAsia="Calibri" w:hAnsi="Arial" w:cs="Arial"/>
                <w:i/>
                <w:sz w:val="20"/>
                <w:szCs w:val="20"/>
              </w:rPr>
              <w:t>(2 Feb 2015)</w:t>
            </w:r>
          </w:p>
        </w:tc>
        <w:tc>
          <w:tcPr>
            <w:tcW w:w="658" w:type="pct"/>
            <w:tcBorders>
              <w:top w:val="nil"/>
              <w:left w:val="nil"/>
              <w:bottom w:val="nil"/>
              <w:right w:val="nil"/>
            </w:tcBorders>
            <w:tcMar>
              <w:top w:w="45" w:type="dxa"/>
              <w:left w:w="0" w:type="dxa"/>
              <w:bottom w:w="45" w:type="dxa"/>
              <w:right w:w="0" w:type="dxa"/>
            </w:tcMar>
          </w:tcPr>
          <w:p w14:paraId="7CD4D8CA" w14:textId="1B1D3112"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80</w:t>
            </w:r>
          </w:p>
        </w:tc>
        <w:tc>
          <w:tcPr>
            <w:tcW w:w="527" w:type="pct"/>
            <w:tcBorders>
              <w:top w:val="nil"/>
              <w:left w:val="nil"/>
              <w:bottom w:val="nil"/>
              <w:right w:val="nil"/>
            </w:tcBorders>
            <w:tcMar>
              <w:top w:w="45" w:type="dxa"/>
              <w:left w:w="0" w:type="dxa"/>
              <w:bottom w:w="45" w:type="dxa"/>
              <w:right w:w="0" w:type="dxa"/>
            </w:tcMar>
          </w:tcPr>
          <w:p w14:paraId="0C8DAA68" w14:textId="218B337A"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80</w:t>
            </w:r>
          </w:p>
        </w:tc>
        <w:tc>
          <w:tcPr>
            <w:tcW w:w="502" w:type="pct"/>
            <w:tcBorders>
              <w:top w:val="nil"/>
              <w:left w:val="nil"/>
              <w:bottom w:val="nil"/>
              <w:right w:val="nil"/>
            </w:tcBorders>
            <w:tcMar>
              <w:top w:w="45" w:type="dxa"/>
              <w:left w:w="0" w:type="dxa"/>
              <w:bottom w:w="45" w:type="dxa"/>
              <w:right w:w="0" w:type="dxa"/>
            </w:tcMar>
          </w:tcPr>
          <w:p w14:paraId="31CF1659" w14:textId="39AB9ABC"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80</w:t>
            </w:r>
          </w:p>
        </w:tc>
        <w:tc>
          <w:tcPr>
            <w:tcW w:w="550" w:type="pct"/>
            <w:tcBorders>
              <w:top w:val="nil"/>
              <w:left w:val="nil"/>
              <w:bottom w:val="nil"/>
              <w:right w:val="nil"/>
            </w:tcBorders>
            <w:tcMar>
              <w:top w:w="45" w:type="dxa"/>
              <w:left w:w="0" w:type="dxa"/>
              <w:bottom w:w="45" w:type="dxa"/>
              <w:right w:w="0" w:type="dxa"/>
            </w:tcMar>
          </w:tcPr>
          <w:p w14:paraId="70992181" w14:textId="6D98F067"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nil"/>
              <w:left w:val="nil"/>
              <w:bottom w:val="nil"/>
              <w:right w:val="nil"/>
            </w:tcBorders>
            <w:tcMar>
              <w:top w:w="45" w:type="dxa"/>
              <w:left w:w="0" w:type="dxa"/>
              <w:bottom w:w="45" w:type="dxa"/>
              <w:right w:w="0" w:type="dxa"/>
            </w:tcMar>
          </w:tcPr>
          <w:p w14:paraId="3DA75583" w14:textId="3131FFCA"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80</w:t>
            </w:r>
          </w:p>
        </w:tc>
        <w:tc>
          <w:tcPr>
            <w:tcW w:w="525" w:type="pct"/>
            <w:tcBorders>
              <w:top w:val="nil"/>
              <w:left w:val="nil"/>
              <w:bottom w:val="nil"/>
              <w:right w:val="nil"/>
            </w:tcBorders>
            <w:tcMar>
              <w:top w:w="45" w:type="dxa"/>
              <w:left w:w="0" w:type="dxa"/>
              <w:bottom w:w="45" w:type="dxa"/>
              <w:right w:w="0" w:type="dxa"/>
            </w:tcMar>
          </w:tcPr>
          <w:p w14:paraId="578861F9" w14:textId="5B634B6A"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0.99</w:t>
            </w:r>
            <w:r w:rsidRPr="008A7A35">
              <w:rPr>
                <w:rFonts w:ascii="Arial" w:eastAsia="Calibri" w:hAnsi="Arial" w:cs="Arial"/>
                <w:sz w:val="20"/>
                <w:szCs w:val="20"/>
              </w:rPr>
              <w:t>x</w:t>
            </w:r>
          </w:p>
        </w:tc>
        <w:tc>
          <w:tcPr>
            <w:tcW w:w="460" w:type="pct"/>
            <w:tcBorders>
              <w:top w:val="nil"/>
              <w:left w:val="nil"/>
              <w:bottom w:val="nil"/>
              <w:right w:val="nil"/>
            </w:tcBorders>
            <w:tcMar>
              <w:top w:w="45" w:type="dxa"/>
              <w:left w:w="0" w:type="dxa"/>
              <w:bottom w:w="45" w:type="dxa"/>
              <w:right w:w="0" w:type="dxa"/>
            </w:tcMar>
            <w:hideMark/>
          </w:tcPr>
          <w:p w14:paraId="26237011"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0.99</w:t>
            </w:r>
            <w:r w:rsidRPr="008A7A35">
              <w:rPr>
                <w:rFonts w:ascii="Arial" w:eastAsia="Calibri" w:hAnsi="Arial" w:cs="Arial"/>
                <w:sz w:val="20"/>
                <w:szCs w:val="20"/>
              </w:rPr>
              <w:t>x</w:t>
            </w:r>
          </w:p>
        </w:tc>
      </w:tr>
      <w:tr w:rsidR="00E660D7" w:rsidRPr="008A7A35" w14:paraId="78EA0F74" w14:textId="77777777" w:rsidTr="00E660D7">
        <w:trPr>
          <w:trHeight w:val="451"/>
        </w:trPr>
        <w:tc>
          <w:tcPr>
            <w:tcW w:w="989" w:type="pct"/>
            <w:tcBorders>
              <w:top w:val="nil"/>
              <w:left w:val="nil"/>
              <w:bottom w:val="nil"/>
              <w:right w:val="nil"/>
            </w:tcBorders>
            <w:tcMar>
              <w:top w:w="45" w:type="dxa"/>
              <w:left w:w="0" w:type="dxa"/>
              <w:bottom w:w="45" w:type="dxa"/>
              <w:right w:w="0" w:type="dxa"/>
            </w:tcMar>
          </w:tcPr>
          <w:p w14:paraId="5EC628C0"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r w:rsidRPr="008A7A35">
              <w:rPr>
                <w:rFonts w:ascii="Arial" w:eastAsia="Calibri" w:hAnsi="Arial" w:cs="Arial"/>
                <w:b/>
                <w:sz w:val="20"/>
                <w:szCs w:val="20"/>
              </w:rPr>
              <w:t>Carrier II</w:t>
            </w:r>
          </w:p>
          <w:p w14:paraId="731647CE"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r w:rsidRPr="008A7A35">
              <w:rPr>
                <w:rFonts w:ascii="Arial" w:eastAsia="Calibri" w:hAnsi="Arial" w:cs="Arial"/>
                <w:bCs/>
                <w:i/>
                <w:iCs/>
                <w:sz w:val="20"/>
                <w:szCs w:val="20"/>
              </w:rPr>
              <w:t>(22 May 2015)</w:t>
            </w:r>
            <w:r w:rsidRPr="008A7A35">
              <w:rPr>
                <w:rFonts w:ascii="Arial" w:eastAsia="Calibri" w:hAnsi="Arial" w:cs="Arial"/>
                <w:b/>
                <w:sz w:val="20"/>
                <w:szCs w:val="20"/>
              </w:rPr>
              <w:t xml:space="preserve"> </w:t>
            </w:r>
          </w:p>
        </w:tc>
        <w:tc>
          <w:tcPr>
            <w:tcW w:w="658" w:type="pct"/>
            <w:tcBorders>
              <w:top w:val="nil"/>
              <w:left w:val="nil"/>
              <w:bottom w:val="nil"/>
              <w:right w:val="nil"/>
            </w:tcBorders>
            <w:tcMar>
              <w:top w:w="45" w:type="dxa"/>
              <w:left w:w="0" w:type="dxa"/>
              <w:bottom w:w="45" w:type="dxa"/>
              <w:right w:w="0" w:type="dxa"/>
            </w:tcMar>
          </w:tcPr>
          <w:p w14:paraId="38CDA5EB" w14:textId="3BF58072" w:rsidR="00E660D7" w:rsidRPr="008A7A35"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110</w:t>
            </w:r>
          </w:p>
        </w:tc>
        <w:tc>
          <w:tcPr>
            <w:tcW w:w="527" w:type="pct"/>
            <w:tcBorders>
              <w:top w:val="nil"/>
              <w:left w:val="nil"/>
              <w:bottom w:val="nil"/>
              <w:right w:val="nil"/>
            </w:tcBorders>
            <w:tcMar>
              <w:top w:w="45" w:type="dxa"/>
              <w:left w:w="0" w:type="dxa"/>
              <w:bottom w:w="45" w:type="dxa"/>
              <w:right w:w="0" w:type="dxa"/>
            </w:tcMar>
          </w:tcPr>
          <w:p w14:paraId="4462FA6B" w14:textId="38B7CD8A" w:rsidR="00E660D7" w:rsidRPr="008A7A35"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110</w:t>
            </w:r>
          </w:p>
        </w:tc>
        <w:tc>
          <w:tcPr>
            <w:tcW w:w="502" w:type="pct"/>
            <w:tcBorders>
              <w:top w:val="nil"/>
              <w:left w:val="nil"/>
              <w:bottom w:val="nil"/>
              <w:right w:val="nil"/>
            </w:tcBorders>
            <w:tcMar>
              <w:top w:w="45" w:type="dxa"/>
              <w:left w:w="0" w:type="dxa"/>
              <w:bottom w:w="45" w:type="dxa"/>
              <w:right w:w="0" w:type="dxa"/>
            </w:tcMar>
          </w:tcPr>
          <w:p w14:paraId="242DB0BE" w14:textId="1A3EEE3B" w:rsidR="00E660D7" w:rsidRPr="008A7A35"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67</w:t>
            </w:r>
          </w:p>
        </w:tc>
        <w:tc>
          <w:tcPr>
            <w:tcW w:w="550" w:type="pct"/>
            <w:tcBorders>
              <w:top w:val="nil"/>
              <w:left w:val="nil"/>
              <w:bottom w:val="nil"/>
              <w:right w:val="nil"/>
            </w:tcBorders>
            <w:tcMar>
              <w:top w:w="45" w:type="dxa"/>
              <w:left w:w="0" w:type="dxa"/>
              <w:bottom w:w="45" w:type="dxa"/>
              <w:right w:w="0" w:type="dxa"/>
            </w:tcMar>
          </w:tcPr>
          <w:p w14:paraId="07E222A6" w14:textId="4B2FD331" w:rsidR="00E660D7" w:rsidRPr="008A7A35"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w:t>
            </w:r>
          </w:p>
        </w:tc>
        <w:tc>
          <w:tcPr>
            <w:tcW w:w="790" w:type="pct"/>
            <w:tcBorders>
              <w:top w:val="nil"/>
              <w:left w:val="nil"/>
              <w:bottom w:val="nil"/>
              <w:right w:val="nil"/>
            </w:tcBorders>
            <w:tcMar>
              <w:top w:w="45" w:type="dxa"/>
              <w:left w:w="0" w:type="dxa"/>
              <w:bottom w:w="45" w:type="dxa"/>
              <w:right w:w="0" w:type="dxa"/>
            </w:tcMar>
          </w:tcPr>
          <w:p w14:paraId="0957E192" w14:textId="3417E8A2" w:rsidR="00E660D7" w:rsidRPr="008A7A35"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67</w:t>
            </w:r>
          </w:p>
        </w:tc>
        <w:tc>
          <w:tcPr>
            <w:tcW w:w="525" w:type="pct"/>
            <w:tcBorders>
              <w:top w:val="nil"/>
              <w:left w:val="nil"/>
              <w:bottom w:val="nil"/>
              <w:right w:val="nil"/>
            </w:tcBorders>
            <w:tcMar>
              <w:top w:w="45" w:type="dxa"/>
              <w:left w:w="0" w:type="dxa"/>
              <w:bottom w:w="45" w:type="dxa"/>
              <w:right w:w="0" w:type="dxa"/>
            </w:tcMar>
          </w:tcPr>
          <w:p w14:paraId="0B755869" w14:textId="13EEF512"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0.61</w:t>
            </w:r>
            <w:r w:rsidRPr="008A7A35">
              <w:rPr>
                <w:rFonts w:ascii="Arial" w:eastAsia="Calibri" w:hAnsi="Arial" w:cs="Arial"/>
                <w:sz w:val="20"/>
                <w:szCs w:val="20"/>
              </w:rPr>
              <w:t>x</w:t>
            </w:r>
          </w:p>
        </w:tc>
        <w:tc>
          <w:tcPr>
            <w:tcW w:w="460" w:type="pct"/>
            <w:tcBorders>
              <w:top w:val="nil"/>
              <w:left w:val="nil"/>
              <w:bottom w:val="nil"/>
              <w:right w:val="nil"/>
            </w:tcBorders>
            <w:tcMar>
              <w:top w:w="45" w:type="dxa"/>
              <w:left w:w="0" w:type="dxa"/>
              <w:bottom w:w="45" w:type="dxa"/>
              <w:right w:w="0" w:type="dxa"/>
            </w:tcMar>
          </w:tcPr>
          <w:p w14:paraId="2FCD7ABA"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0.61</w:t>
            </w:r>
            <w:r w:rsidRPr="008A7A35">
              <w:rPr>
                <w:rFonts w:ascii="Arial" w:eastAsia="Calibri" w:hAnsi="Arial" w:cs="Arial"/>
                <w:sz w:val="20"/>
                <w:szCs w:val="20"/>
              </w:rPr>
              <w:t>x</w:t>
            </w:r>
          </w:p>
        </w:tc>
      </w:tr>
      <w:tr w:rsidR="00E660D7" w:rsidRPr="008A7A35" w14:paraId="2CCC609E" w14:textId="77777777" w:rsidTr="00E660D7">
        <w:trPr>
          <w:trHeight w:val="463"/>
        </w:trPr>
        <w:tc>
          <w:tcPr>
            <w:tcW w:w="989" w:type="pct"/>
            <w:tcBorders>
              <w:top w:val="nil"/>
              <w:left w:val="nil"/>
              <w:bottom w:val="nil"/>
              <w:right w:val="nil"/>
            </w:tcBorders>
            <w:tcMar>
              <w:top w:w="45" w:type="dxa"/>
              <w:left w:w="0" w:type="dxa"/>
              <w:bottom w:w="45" w:type="dxa"/>
              <w:right w:w="0" w:type="dxa"/>
            </w:tcMar>
          </w:tcPr>
          <w:p w14:paraId="465FC5D5"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Cs/>
                <w:sz w:val="20"/>
                <w:szCs w:val="20"/>
              </w:rPr>
            </w:pPr>
            <w:r w:rsidRPr="008A7A35">
              <w:rPr>
                <w:rFonts w:ascii="Arial" w:eastAsia="Calibri" w:hAnsi="Arial" w:cs="Arial"/>
                <w:b/>
                <w:sz w:val="20"/>
                <w:szCs w:val="20"/>
              </w:rPr>
              <w:t>Pipestone Energy</w:t>
            </w:r>
            <w:r w:rsidRPr="008A7A35">
              <w:rPr>
                <w:rFonts w:ascii="Arial" w:eastAsia="Calibri" w:hAnsi="Arial" w:cs="Arial"/>
                <w:bCs/>
                <w:sz w:val="20"/>
                <w:szCs w:val="20"/>
              </w:rPr>
              <w:t xml:space="preserve"> (formerly CNOR)</w:t>
            </w:r>
          </w:p>
        </w:tc>
        <w:tc>
          <w:tcPr>
            <w:tcW w:w="658" w:type="pct"/>
            <w:tcBorders>
              <w:top w:val="nil"/>
              <w:left w:val="nil"/>
              <w:bottom w:val="nil"/>
              <w:right w:val="nil"/>
            </w:tcBorders>
            <w:tcMar>
              <w:top w:w="45" w:type="dxa"/>
              <w:left w:w="0" w:type="dxa"/>
              <w:bottom w:w="45" w:type="dxa"/>
              <w:right w:w="0" w:type="dxa"/>
            </w:tcMar>
          </w:tcPr>
          <w:p w14:paraId="63355D69" w14:textId="14A21DA1" w:rsidR="00E660D7" w:rsidRPr="008A7A35" w:rsidDel="00FE2CF6"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90</w:t>
            </w:r>
          </w:p>
        </w:tc>
        <w:tc>
          <w:tcPr>
            <w:tcW w:w="527" w:type="pct"/>
            <w:tcBorders>
              <w:top w:val="nil"/>
              <w:left w:val="nil"/>
              <w:bottom w:val="nil"/>
              <w:right w:val="nil"/>
            </w:tcBorders>
            <w:tcMar>
              <w:top w:w="45" w:type="dxa"/>
              <w:left w:w="0" w:type="dxa"/>
              <w:bottom w:w="45" w:type="dxa"/>
              <w:right w:w="0" w:type="dxa"/>
            </w:tcMar>
          </w:tcPr>
          <w:p w14:paraId="114D679A" w14:textId="75D832EA" w:rsidR="00E660D7" w:rsidRPr="008A7A35" w:rsidDel="00FE2CF6"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90</w:t>
            </w:r>
          </w:p>
        </w:tc>
        <w:tc>
          <w:tcPr>
            <w:tcW w:w="502" w:type="pct"/>
            <w:tcBorders>
              <w:top w:val="nil"/>
              <w:left w:val="nil"/>
              <w:bottom w:val="nil"/>
              <w:right w:val="nil"/>
            </w:tcBorders>
            <w:tcMar>
              <w:top w:w="45" w:type="dxa"/>
              <w:left w:w="0" w:type="dxa"/>
              <w:bottom w:w="45" w:type="dxa"/>
              <w:right w:w="0" w:type="dxa"/>
            </w:tcMar>
          </w:tcPr>
          <w:p w14:paraId="618C4C58" w14:textId="0F7B1B36" w:rsidR="00E660D7" w:rsidRPr="008A7A35" w:rsidDel="00FE2CF6"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58</w:t>
            </w:r>
          </w:p>
        </w:tc>
        <w:tc>
          <w:tcPr>
            <w:tcW w:w="550" w:type="pct"/>
            <w:tcBorders>
              <w:top w:val="nil"/>
              <w:left w:val="nil"/>
              <w:bottom w:val="nil"/>
              <w:right w:val="nil"/>
            </w:tcBorders>
            <w:tcMar>
              <w:top w:w="45" w:type="dxa"/>
              <w:left w:w="0" w:type="dxa"/>
              <w:bottom w:w="45" w:type="dxa"/>
              <w:right w:w="0" w:type="dxa"/>
            </w:tcMar>
          </w:tcPr>
          <w:p w14:paraId="5E59BE28" w14:textId="3A683017" w:rsidR="00E660D7" w:rsidRPr="008A7A35" w:rsidDel="00FE2CF6"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w:t>
            </w:r>
          </w:p>
        </w:tc>
        <w:tc>
          <w:tcPr>
            <w:tcW w:w="790" w:type="pct"/>
            <w:tcBorders>
              <w:top w:val="nil"/>
              <w:left w:val="nil"/>
              <w:bottom w:val="nil"/>
              <w:right w:val="nil"/>
            </w:tcBorders>
            <w:tcMar>
              <w:top w:w="45" w:type="dxa"/>
              <w:left w:w="0" w:type="dxa"/>
              <w:bottom w:w="45" w:type="dxa"/>
              <w:right w:w="0" w:type="dxa"/>
            </w:tcMar>
          </w:tcPr>
          <w:p w14:paraId="33E0FDD7" w14:textId="6F388D52" w:rsidR="00E660D7" w:rsidRPr="008A7A35" w:rsidDel="00FE2CF6" w:rsidRDefault="00E660D7" w:rsidP="00E660D7">
            <w:pPr>
              <w:spacing w:after="200" w:line="276" w:lineRule="auto"/>
              <w:ind w:left="-89"/>
              <w:jc w:val="center"/>
              <w:rPr>
                <w:rFonts w:ascii="Arial" w:hAnsi="Arial" w:cs="Arial"/>
                <w:bCs/>
                <w:sz w:val="20"/>
                <w:szCs w:val="20"/>
              </w:rPr>
            </w:pPr>
            <w:r w:rsidRPr="008A7A35">
              <w:rPr>
                <w:rFonts w:ascii="Arial" w:hAnsi="Arial" w:cs="Arial"/>
                <w:bCs/>
                <w:sz w:val="20"/>
                <w:szCs w:val="20"/>
              </w:rPr>
              <w:t>58</w:t>
            </w:r>
          </w:p>
        </w:tc>
        <w:tc>
          <w:tcPr>
            <w:tcW w:w="525" w:type="pct"/>
            <w:tcBorders>
              <w:top w:val="nil"/>
              <w:left w:val="nil"/>
              <w:bottom w:val="nil"/>
              <w:right w:val="nil"/>
            </w:tcBorders>
            <w:tcMar>
              <w:top w:w="45" w:type="dxa"/>
              <w:left w:w="0" w:type="dxa"/>
              <w:bottom w:w="45" w:type="dxa"/>
              <w:right w:w="0" w:type="dxa"/>
            </w:tcMar>
          </w:tcPr>
          <w:p w14:paraId="5976FDDE" w14:textId="7B3FC86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0.64</w:t>
            </w:r>
            <w:r w:rsidRPr="008A7A35">
              <w:rPr>
                <w:rFonts w:ascii="Arial" w:eastAsia="Calibri" w:hAnsi="Arial" w:cs="Arial"/>
                <w:sz w:val="20"/>
                <w:szCs w:val="20"/>
              </w:rPr>
              <w:t>x</w:t>
            </w:r>
          </w:p>
        </w:tc>
        <w:tc>
          <w:tcPr>
            <w:tcW w:w="460" w:type="pct"/>
            <w:tcBorders>
              <w:top w:val="nil"/>
              <w:left w:val="nil"/>
              <w:bottom w:val="nil"/>
              <w:right w:val="nil"/>
            </w:tcBorders>
            <w:tcMar>
              <w:top w:w="45" w:type="dxa"/>
              <w:left w:w="0" w:type="dxa"/>
              <w:bottom w:w="45" w:type="dxa"/>
              <w:right w:w="0" w:type="dxa"/>
            </w:tcMar>
          </w:tcPr>
          <w:p w14:paraId="44F6028B"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0.64</w:t>
            </w:r>
            <w:r w:rsidRPr="008A7A35">
              <w:rPr>
                <w:rFonts w:ascii="Arial" w:eastAsia="Calibri" w:hAnsi="Arial" w:cs="Arial"/>
                <w:sz w:val="20"/>
                <w:szCs w:val="20"/>
              </w:rPr>
              <w:t>x</w:t>
            </w:r>
          </w:p>
        </w:tc>
      </w:tr>
      <w:tr w:rsidR="00E660D7" w:rsidRPr="008A7A35" w14:paraId="6AEAE88D" w14:textId="77777777" w:rsidTr="00E660D7">
        <w:trPr>
          <w:trHeight w:val="451"/>
        </w:trPr>
        <w:tc>
          <w:tcPr>
            <w:tcW w:w="989" w:type="pct"/>
            <w:tcBorders>
              <w:top w:val="nil"/>
              <w:left w:val="nil"/>
              <w:bottom w:val="nil"/>
              <w:right w:val="nil"/>
            </w:tcBorders>
            <w:tcMar>
              <w:top w:w="45" w:type="dxa"/>
              <w:left w:w="0" w:type="dxa"/>
              <w:bottom w:w="45" w:type="dxa"/>
              <w:right w:w="0" w:type="dxa"/>
            </w:tcMar>
            <w:hideMark/>
          </w:tcPr>
          <w:p w14:paraId="37A36A3C"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i/>
                <w:sz w:val="20"/>
                <w:szCs w:val="20"/>
              </w:rPr>
            </w:pPr>
            <w:r w:rsidRPr="008A7A35">
              <w:rPr>
                <w:rFonts w:ascii="Arial" w:eastAsia="Calibri" w:hAnsi="Arial" w:cs="Arial"/>
                <w:b/>
                <w:sz w:val="20"/>
                <w:szCs w:val="20"/>
              </w:rPr>
              <w:t>Sierra</w:t>
            </w:r>
            <w:r w:rsidRPr="008A7A35">
              <w:rPr>
                <w:rFonts w:ascii="Arial" w:eastAsia="Calibri" w:hAnsi="Arial" w:cs="Arial"/>
                <w:i/>
                <w:sz w:val="20"/>
                <w:szCs w:val="20"/>
              </w:rPr>
              <w:t xml:space="preserve"> </w:t>
            </w:r>
          </w:p>
          <w:p w14:paraId="132F5BA9" w14:textId="77777777" w:rsidR="00E660D7" w:rsidRPr="008A7A35" w:rsidRDefault="00E660D7" w:rsidP="00E660D7">
            <w:pPr>
              <w:pStyle w:val="NormalWeb"/>
              <w:spacing w:before="0" w:beforeAutospacing="0" w:after="0" w:afterAutospacing="0"/>
              <w:ind w:left="-1"/>
              <w:jc w:val="both"/>
              <w:textAlignment w:val="baseline"/>
              <w:rPr>
                <w:rFonts w:ascii="Arial" w:hAnsi="Arial" w:cs="Arial"/>
                <w:color w:val="333333"/>
                <w:sz w:val="20"/>
                <w:szCs w:val="20"/>
              </w:rPr>
            </w:pPr>
            <w:r w:rsidRPr="008A7A35">
              <w:rPr>
                <w:rFonts w:ascii="Arial" w:eastAsia="Calibri" w:hAnsi="Arial" w:cs="Arial"/>
                <w:i/>
                <w:sz w:val="20"/>
                <w:szCs w:val="20"/>
              </w:rPr>
              <w:t>(24 Sept 2014)</w:t>
            </w:r>
          </w:p>
        </w:tc>
        <w:tc>
          <w:tcPr>
            <w:tcW w:w="658" w:type="pct"/>
            <w:tcBorders>
              <w:top w:val="nil"/>
              <w:left w:val="nil"/>
              <w:bottom w:val="nil"/>
              <w:right w:val="nil"/>
            </w:tcBorders>
            <w:tcMar>
              <w:top w:w="45" w:type="dxa"/>
              <w:left w:w="0" w:type="dxa"/>
              <w:bottom w:w="45" w:type="dxa"/>
              <w:right w:w="0" w:type="dxa"/>
            </w:tcMar>
          </w:tcPr>
          <w:p w14:paraId="1ADC3066" w14:textId="40C31FAE"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18</w:t>
            </w:r>
          </w:p>
        </w:tc>
        <w:tc>
          <w:tcPr>
            <w:tcW w:w="527" w:type="pct"/>
            <w:tcBorders>
              <w:top w:val="nil"/>
              <w:left w:val="nil"/>
              <w:bottom w:val="nil"/>
              <w:right w:val="nil"/>
            </w:tcBorders>
            <w:tcMar>
              <w:top w:w="45" w:type="dxa"/>
              <w:left w:w="0" w:type="dxa"/>
              <w:bottom w:w="45" w:type="dxa"/>
              <w:right w:w="0" w:type="dxa"/>
            </w:tcMar>
          </w:tcPr>
          <w:p w14:paraId="0C396FE8" w14:textId="4529EEE8"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18</w:t>
            </w:r>
          </w:p>
        </w:tc>
        <w:tc>
          <w:tcPr>
            <w:tcW w:w="502" w:type="pct"/>
            <w:tcBorders>
              <w:top w:val="nil"/>
              <w:left w:val="nil"/>
              <w:bottom w:val="nil"/>
              <w:right w:val="nil"/>
            </w:tcBorders>
            <w:tcMar>
              <w:top w:w="45" w:type="dxa"/>
              <w:left w:w="0" w:type="dxa"/>
              <w:bottom w:w="45" w:type="dxa"/>
              <w:right w:w="0" w:type="dxa"/>
            </w:tcMar>
          </w:tcPr>
          <w:p w14:paraId="1286C943" w14:textId="61821A49"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38</w:t>
            </w:r>
          </w:p>
        </w:tc>
        <w:tc>
          <w:tcPr>
            <w:tcW w:w="550" w:type="pct"/>
            <w:tcBorders>
              <w:top w:val="nil"/>
              <w:left w:val="nil"/>
              <w:bottom w:val="nil"/>
              <w:right w:val="nil"/>
            </w:tcBorders>
            <w:tcMar>
              <w:top w:w="45" w:type="dxa"/>
              <w:left w:w="0" w:type="dxa"/>
              <w:bottom w:w="45" w:type="dxa"/>
              <w:right w:w="0" w:type="dxa"/>
            </w:tcMar>
          </w:tcPr>
          <w:p w14:paraId="57E3C8BC" w14:textId="7FAE4916"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nil"/>
              <w:left w:val="nil"/>
              <w:bottom w:val="nil"/>
              <w:right w:val="nil"/>
            </w:tcBorders>
            <w:tcMar>
              <w:top w:w="45" w:type="dxa"/>
              <w:left w:w="0" w:type="dxa"/>
              <w:bottom w:w="45" w:type="dxa"/>
              <w:right w:w="0" w:type="dxa"/>
            </w:tcMar>
          </w:tcPr>
          <w:p w14:paraId="5898B361" w14:textId="3E65F884"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38</w:t>
            </w:r>
          </w:p>
        </w:tc>
        <w:tc>
          <w:tcPr>
            <w:tcW w:w="525" w:type="pct"/>
            <w:tcBorders>
              <w:top w:val="nil"/>
              <w:left w:val="nil"/>
              <w:bottom w:val="nil"/>
              <w:right w:val="nil"/>
            </w:tcBorders>
            <w:tcMar>
              <w:top w:w="45" w:type="dxa"/>
              <w:left w:w="0" w:type="dxa"/>
              <w:bottom w:w="45" w:type="dxa"/>
              <w:right w:w="0" w:type="dxa"/>
            </w:tcMar>
          </w:tcPr>
          <w:p w14:paraId="75267D55" w14:textId="03EE127C"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2.06</w:t>
            </w:r>
            <w:r w:rsidRPr="008A7A35">
              <w:rPr>
                <w:rFonts w:ascii="Arial" w:eastAsia="Calibri" w:hAnsi="Arial" w:cs="Arial"/>
                <w:sz w:val="20"/>
                <w:szCs w:val="20"/>
              </w:rPr>
              <w:t>x</w:t>
            </w:r>
          </w:p>
        </w:tc>
        <w:tc>
          <w:tcPr>
            <w:tcW w:w="460" w:type="pct"/>
            <w:tcBorders>
              <w:top w:val="nil"/>
              <w:left w:val="nil"/>
              <w:bottom w:val="nil"/>
              <w:right w:val="nil"/>
            </w:tcBorders>
            <w:tcMar>
              <w:top w:w="45" w:type="dxa"/>
              <w:left w:w="0" w:type="dxa"/>
              <w:bottom w:w="45" w:type="dxa"/>
              <w:right w:w="0" w:type="dxa"/>
            </w:tcMar>
            <w:hideMark/>
          </w:tcPr>
          <w:p w14:paraId="60A311B3"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2.06</w:t>
            </w:r>
            <w:r w:rsidRPr="008A7A35">
              <w:rPr>
                <w:rFonts w:ascii="Arial" w:eastAsia="Calibri" w:hAnsi="Arial" w:cs="Arial"/>
                <w:sz w:val="20"/>
                <w:szCs w:val="20"/>
              </w:rPr>
              <w:t>x</w:t>
            </w:r>
          </w:p>
        </w:tc>
      </w:tr>
      <w:tr w:rsidR="00E660D7" w:rsidRPr="008A7A35" w14:paraId="5BC7D200" w14:textId="77777777" w:rsidTr="00E660D7">
        <w:trPr>
          <w:trHeight w:val="451"/>
        </w:trPr>
        <w:tc>
          <w:tcPr>
            <w:tcW w:w="989" w:type="pct"/>
            <w:tcBorders>
              <w:top w:val="nil"/>
              <w:left w:val="nil"/>
              <w:right w:val="nil"/>
            </w:tcBorders>
            <w:tcMar>
              <w:top w:w="45" w:type="dxa"/>
              <w:left w:w="0" w:type="dxa"/>
              <w:bottom w:w="45" w:type="dxa"/>
              <w:right w:w="0" w:type="dxa"/>
            </w:tcMar>
            <w:hideMark/>
          </w:tcPr>
          <w:p w14:paraId="50E851F9"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r w:rsidRPr="008A7A35">
              <w:rPr>
                <w:rFonts w:ascii="Arial" w:eastAsia="Calibri" w:hAnsi="Arial" w:cs="Arial"/>
                <w:b/>
                <w:sz w:val="20"/>
                <w:szCs w:val="20"/>
              </w:rPr>
              <w:t>Aleph Midstream</w:t>
            </w:r>
          </w:p>
          <w:p w14:paraId="7B9D94E5" w14:textId="77777777" w:rsidR="00E660D7" w:rsidRPr="008A7A35" w:rsidRDefault="00E660D7" w:rsidP="00E660D7">
            <w:pPr>
              <w:pStyle w:val="NormalWeb"/>
              <w:spacing w:before="0" w:beforeAutospacing="0" w:after="0" w:afterAutospacing="0"/>
              <w:ind w:left="-1"/>
              <w:jc w:val="both"/>
              <w:textAlignment w:val="baseline"/>
              <w:rPr>
                <w:rFonts w:ascii="Arial" w:hAnsi="Arial" w:cs="Arial"/>
                <w:color w:val="333333"/>
                <w:sz w:val="20"/>
                <w:szCs w:val="20"/>
              </w:rPr>
            </w:pPr>
            <w:r w:rsidRPr="008A7A35">
              <w:rPr>
                <w:rFonts w:ascii="Arial" w:eastAsia="Calibri" w:hAnsi="Arial" w:cs="Arial"/>
                <w:i/>
                <w:sz w:val="20"/>
                <w:szCs w:val="20"/>
              </w:rPr>
              <w:t>(9 Jul 2019)</w:t>
            </w:r>
          </w:p>
        </w:tc>
        <w:tc>
          <w:tcPr>
            <w:tcW w:w="658" w:type="pct"/>
            <w:tcBorders>
              <w:top w:val="nil"/>
              <w:left w:val="nil"/>
              <w:right w:val="nil"/>
            </w:tcBorders>
            <w:tcMar>
              <w:top w:w="45" w:type="dxa"/>
              <w:left w:w="0" w:type="dxa"/>
              <w:bottom w:w="45" w:type="dxa"/>
              <w:right w:w="0" w:type="dxa"/>
            </w:tcMar>
          </w:tcPr>
          <w:p w14:paraId="6766146B" w14:textId="63277C0C"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23</w:t>
            </w:r>
          </w:p>
        </w:tc>
        <w:tc>
          <w:tcPr>
            <w:tcW w:w="527" w:type="pct"/>
            <w:tcBorders>
              <w:top w:val="nil"/>
              <w:left w:val="nil"/>
              <w:right w:val="nil"/>
            </w:tcBorders>
            <w:tcMar>
              <w:top w:w="45" w:type="dxa"/>
              <w:left w:w="0" w:type="dxa"/>
              <w:bottom w:w="45" w:type="dxa"/>
              <w:right w:w="0" w:type="dxa"/>
            </w:tcMar>
          </w:tcPr>
          <w:p w14:paraId="522A3732" w14:textId="214C380E"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23</w:t>
            </w:r>
          </w:p>
        </w:tc>
        <w:tc>
          <w:tcPr>
            <w:tcW w:w="502" w:type="pct"/>
            <w:tcBorders>
              <w:top w:val="nil"/>
              <w:left w:val="nil"/>
              <w:right w:val="nil"/>
            </w:tcBorders>
            <w:tcMar>
              <w:top w:w="45" w:type="dxa"/>
              <w:left w:w="0" w:type="dxa"/>
              <w:bottom w:w="45" w:type="dxa"/>
              <w:right w:w="0" w:type="dxa"/>
            </w:tcMar>
          </w:tcPr>
          <w:p w14:paraId="38944957" w14:textId="55422B3D"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23</w:t>
            </w:r>
          </w:p>
        </w:tc>
        <w:tc>
          <w:tcPr>
            <w:tcW w:w="550" w:type="pct"/>
            <w:tcBorders>
              <w:top w:val="nil"/>
              <w:left w:val="nil"/>
              <w:right w:val="nil"/>
            </w:tcBorders>
            <w:tcMar>
              <w:top w:w="45" w:type="dxa"/>
              <w:left w:w="0" w:type="dxa"/>
              <w:bottom w:w="45" w:type="dxa"/>
              <w:right w:w="0" w:type="dxa"/>
            </w:tcMar>
          </w:tcPr>
          <w:p w14:paraId="2BCE4FB8" w14:textId="19B52988"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nil"/>
              <w:left w:val="nil"/>
              <w:right w:val="nil"/>
            </w:tcBorders>
            <w:tcMar>
              <w:top w:w="45" w:type="dxa"/>
              <w:left w:w="0" w:type="dxa"/>
              <w:bottom w:w="45" w:type="dxa"/>
              <w:right w:w="0" w:type="dxa"/>
            </w:tcMar>
          </w:tcPr>
          <w:p w14:paraId="24D519C4" w14:textId="65A459A6"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23</w:t>
            </w:r>
          </w:p>
        </w:tc>
        <w:tc>
          <w:tcPr>
            <w:tcW w:w="525" w:type="pct"/>
            <w:tcBorders>
              <w:top w:val="nil"/>
              <w:left w:val="nil"/>
              <w:right w:val="nil"/>
            </w:tcBorders>
            <w:tcMar>
              <w:top w:w="45" w:type="dxa"/>
              <w:left w:w="0" w:type="dxa"/>
              <w:bottom w:w="45" w:type="dxa"/>
              <w:right w:w="0" w:type="dxa"/>
            </w:tcMar>
          </w:tcPr>
          <w:p w14:paraId="1E4A3877" w14:textId="2D4F7CEE"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1.00</w:t>
            </w:r>
            <w:r w:rsidRPr="008A7A35">
              <w:rPr>
                <w:rFonts w:ascii="Arial" w:eastAsia="Calibri" w:hAnsi="Arial" w:cs="Arial"/>
                <w:sz w:val="20"/>
                <w:szCs w:val="20"/>
              </w:rPr>
              <w:t>x</w:t>
            </w:r>
          </w:p>
        </w:tc>
        <w:tc>
          <w:tcPr>
            <w:tcW w:w="460" w:type="pct"/>
            <w:tcBorders>
              <w:top w:val="nil"/>
              <w:left w:val="nil"/>
              <w:right w:val="nil"/>
            </w:tcBorders>
            <w:tcMar>
              <w:top w:w="45" w:type="dxa"/>
              <w:left w:w="0" w:type="dxa"/>
              <w:bottom w:w="45" w:type="dxa"/>
              <w:right w:w="0" w:type="dxa"/>
            </w:tcMar>
            <w:hideMark/>
          </w:tcPr>
          <w:p w14:paraId="2064F2EB"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1.00</w:t>
            </w:r>
            <w:r w:rsidRPr="008A7A35">
              <w:rPr>
                <w:rFonts w:ascii="Arial" w:eastAsia="Calibri" w:hAnsi="Arial" w:cs="Arial"/>
                <w:sz w:val="20"/>
                <w:szCs w:val="20"/>
              </w:rPr>
              <w:t>x</w:t>
            </w:r>
          </w:p>
        </w:tc>
      </w:tr>
      <w:tr w:rsidR="00E660D7" w:rsidRPr="008A7A35" w14:paraId="5EDC5C9B" w14:textId="77777777" w:rsidTr="00E660D7">
        <w:trPr>
          <w:trHeight w:val="463"/>
        </w:trPr>
        <w:tc>
          <w:tcPr>
            <w:tcW w:w="989" w:type="pct"/>
            <w:tcBorders>
              <w:top w:val="nil"/>
              <w:left w:val="nil"/>
              <w:right w:val="nil"/>
            </w:tcBorders>
            <w:tcMar>
              <w:top w:w="45" w:type="dxa"/>
              <w:left w:w="0" w:type="dxa"/>
              <w:bottom w:w="45" w:type="dxa"/>
              <w:right w:w="0" w:type="dxa"/>
            </w:tcMar>
            <w:hideMark/>
          </w:tcPr>
          <w:p w14:paraId="1BD01F6C"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r w:rsidRPr="008A7A35">
              <w:rPr>
                <w:rFonts w:ascii="Arial" w:eastAsia="Calibri" w:hAnsi="Arial" w:cs="Arial"/>
                <w:b/>
                <w:sz w:val="20"/>
                <w:szCs w:val="20"/>
              </w:rPr>
              <w:t>Ridgebury H3</w:t>
            </w:r>
          </w:p>
          <w:p w14:paraId="1A522869" w14:textId="77777777" w:rsidR="00E660D7" w:rsidRPr="008A7A35" w:rsidRDefault="00E660D7" w:rsidP="00E660D7">
            <w:pPr>
              <w:pStyle w:val="NormalWeb"/>
              <w:spacing w:before="0" w:beforeAutospacing="0" w:after="0" w:afterAutospacing="0"/>
              <w:ind w:left="-1"/>
              <w:jc w:val="both"/>
              <w:textAlignment w:val="baseline"/>
              <w:rPr>
                <w:rFonts w:ascii="Arial" w:hAnsi="Arial" w:cs="Arial"/>
                <w:color w:val="333333"/>
                <w:sz w:val="20"/>
                <w:szCs w:val="20"/>
              </w:rPr>
            </w:pPr>
            <w:r w:rsidRPr="008A7A35">
              <w:rPr>
                <w:rFonts w:ascii="Arial" w:eastAsia="Calibri" w:hAnsi="Arial" w:cs="Arial"/>
                <w:i/>
                <w:sz w:val="20"/>
                <w:szCs w:val="20"/>
              </w:rPr>
              <w:t>(19 Feb 2019)</w:t>
            </w:r>
          </w:p>
        </w:tc>
        <w:tc>
          <w:tcPr>
            <w:tcW w:w="658" w:type="pct"/>
            <w:tcBorders>
              <w:top w:val="nil"/>
              <w:left w:val="nil"/>
              <w:right w:val="nil"/>
            </w:tcBorders>
            <w:tcMar>
              <w:top w:w="45" w:type="dxa"/>
              <w:left w:w="0" w:type="dxa"/>
              <w:bottom w:w="45" w:type="dxa"/>
              <w:right w:w="0" w:type="dxa"/>
            </w:tcMar>
          </w:tcPr>
          <w:p w14:paraId="5CE50422" w14:textId="707C22BC"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18</w:t>
            </w:r>
          </w:p>
        </w:tc>
        <w:tc>
          <w:tcPr>
            <w:tcW w:w="527" w:type="pct"/>
            <w:tcBorders>
              <w:top w:val="nil"/>
              <w:left w:val="nil"/>
              <w:right w:val="nil"/>
            </w:tcBorders>
            <w:tcMar>
              <w:top w:w="45" w:type="dxa"/>
              <w:left w:w="0" w:type="dxa"/>
              <w:bottom w:w="45" w:type="dxa"/>
              <w:right w:w="0" w:type="dxa"/>
            </w:tcMar>
          </w:tcPr>
          <w:p w14:paraId="58DC6AD6" w14:textId="68BDBECC"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18</w:t>
            </w:r>
          </w:p>
        </w:tc>
        <w:tc>
          <w:tcPr>
            <w:tcW w:w="502" w:type="pct"/>
            <w:tcBorders>
              <w:top w:val="nil"/>
              <w:left w:val="nil"/>
              <w:right w:val="nil"/>
            </w:tcBorders>
            <w:tcMar>
              <w:top w:w="45" w:type="dxa"/>
              <w:left w:w="0" w:type="dxa"/>
              <w:bottom w:w="45" w:type="dxa"/>
              <w:right w:w="0" w:type="dxa"/>
            </w:tcMar>
          </w:tcPr>
          <w:p w14:paraId="1AFB6F75" w14:textId="05632C0A"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22</w:t>
            </w:r>
          </w:p>
        </w:tc>
        <w:tc>
          <w:tcPr>
            <w:tcW w:w="550" w:type="pct"/>
            <w:tcBorders>
              <w:top w:val="nil"/>
              <w:left w:val="nil"/>
              <w:right w:val="nil"/>
            </w:tcBorders>
            <w:tcMar>
              <w:top w:w="45" w:type="dxa"/>
              <w:left w:w="0" w:type="dxa"/>
              <w:bottom w:w="45" w:type="dxa"/>
              <w:right w:w="0" w:type="dxa"/>
            </w:tcMar>
          </w:tcPr>
          <w:p w14:paraId="3AEF9B91" w14:textId="5366DCD9"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nil"/>
              <w:left w:val="nil"/>
              <w:right w:val="nil"/>
            </w:tcBorders>
            <w:tcMar>
              <w:top w:w="45" w:type="dxa"/>
              <w:left w:w="0" w:type="dxa"/>
              <w:bottom w:w="45" w:type="dxa"/>
              <w:right w:w="0" w:type="dxa"/>
            </w:tcMar>
          </w:tcPr>
          <w:p w14:paraId="152FEF22" w14:textId="490BFFE7"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22</w:t>
            </w:r>
          </w:p>
        </w:tc>
        <w:tc>
          <w:tcPr>
            <w:tcW w:w="525" w:type="pct"/>
            <w:tcBorders>
              <w:top w:val="nil"/>
              <w:left w:val="nil"/>
              <w:right w:val="nil"/>
            </w:tcBorders>
            <w:tcMar>
              <w:top w:w="45" w:type="dxa"/>
              <w:left w:w="0" w:type="dxa"/>
              <w:bottom w:w="45" w:type="dxa"/>
              <w:right w:w="0" w:type="dxa"/>
            </w:tcMar>
          </w:tcPr>
          <w:p w14:paraId="6AF59C94" w14:textId="49B05431"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1.22</w:t>
            </w:r>
            <w:r w:rsidRPr="008A7A35">
              <w:rPr>
                <w:rFonts w:ascii="Arial" w:eastAsia="Calibri" w:hAnsi="Arial" w:cs="Arial"/>
                <w:sz w:val="20"/>
                <w:szCs w:val="20"/>
              </w:rPr>
              <w:t>x</w:t>
            </w:r>
          </w:p>
        </w:tc>
        <w:tc>
          <w:tcPr>
            <w:tcW w:w="460" w:type="pct"/>
            <w:tcBorders>
              <w:top w:val="nil"/>
              <w:left w:val="nil"/>
              <w:right w:val="nil"/>
            </w:tcBorders>
            <w:tcMar>
              <w:top w:w="45" w:type="dxa"/>
              <w:left w:w="0" w:type="dxa"/>
              <w:bottom w:w="45" w:type="dxa"/>
              <w:right w:w="0" w:type="dxa"/>
            </w:tcMar>
            <w:hideMark/>
          </w:tcPr>
          <w:p w14:paraId="6B84C091"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1.22</w:t>
            </w:r>
            <w:r w:rsidRPr="008A7A35">
              <w:rPr>
                <w:rFonts w:ascii="Arial" w:eastAsia="Calibri" w:hAnsi="Arial" w:cs="Arial"/>
                <w:sz w:val="20"/>
                <w:szCs w:val="20"/>
              </w:rPr>
              <w:t>x</w:t>
            </w:r>
          </w:p>
        </w:tc>
      </w:tr>
      <w:tr w:rsidR="00E660D7" w:rsidRPr="008A7A35" w14:paraId="21209A31" w14:textId="77777777" w:rsidTr="00E660D7">
        <w:trPr>
          <w:trHeight w:val="451"/>
        </w:trPr>
        <w:tc>
          <w:tcPr>
            <w:tcW w:w="989" w:type="pct"/>
            <w:tcBorders>
              <w:left w:val="nil"/>
              <w:right w:val="nil"/>
            </w:tcBorders>
            <w:tcMar>
              <w:top w:w="45" w:type="dxa"/>
              <w:left w:w="0" w:type="dxa"/>
              <w:bottom w:w="45" w:type="dxa"/>
              <w:right w:w="0" w:type="dxa"/>
            </w:tcMar>
          </w:tcPr>
          <w:p w14:paraId="46D98FBC"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
                <w:sz w:val="20"/>
                <w:szCs w:val="20"/>
              </w:rPr>
            </w:pPr>
            <w:r w:rsidRPr="008A7A35">
              <w:rPr>
                <w:rFonts w:ascii="Arial" w:eastAsia="Calibri" w:hAnsi="Arial" w:cs="Arial"/>
                <w:b/>
                <w:sz w:val="20"/>
                <w:szCs w:val="20"/>
              </w:rPr>
              <w:t>Castex 2014</w:t>
            </w:r>
          </w:p>
          <w:p w14:paraId="236BE894" w14:textId="77777777" w:rsidR="00E660D7" w:rsidRPr="008A7A35" w:rsidRDefault="00E660D7" w:rsidP="00E660D7">
            <w:pPr>
              <w:pStyle w:val="NormalWeb"/>
              <w:spacing w:before="0" w:beforeAutospacing="0" w:after="0" w:afterAutospacing="0"/>
              <w:ind w:left="-1"/>
              <w:jc w:val="both"/>
              <w:textAlignment w:val="baseline"/>
              <w:rPr>
                <w:rFonts w:ascii="Arial" w:eastAsia="Calibri" w:hAnsi="Arial" w:cs="Arial"/>
                <w:bCs/>
                <w:i/>
                <w:iCs/>
                <w:sz w:val="20"/>
                <w:szCs w:val="20"/>
              </w:rPr>
            </w:pPr>
            <w:r w:rsidRPr="008A7A35">
              <w:rPr>
                <w:rFonts w:ascii="Arial" w:eastAsia="Calibri" w:hAnsi="Arial" w:cs="Arial"/>
                <w:bCs/>
                <w:i/>
                <w:iCs/>
                <w:sz w:val="20"/>
                <w:szCs w:val="20"/>
              </w:rPr>
              <w:t>(3 Sep 2014)</w:t>
            </w:r>
          </w:p>
        </w:tc>
        <w:tc>
          <w:tcPr>
            <w:tcW w:w="658" w:type="pct"/>
            <w:tcBorders>
              <w:left w:val="nil"/>
              <w:right w:val="nil"/>
            </w:tcBorders>
            <w:tcMar>
              <w:top w:w="45" w:type="dxa"/>
              <w:left w:w="0" w:type="dxa"/>
              <w:bottom w:w="45" w:type="dxa"/>
              <w:right w:w="0" w:type="dxa"/>
            </w:tcMar>
          </w:tcPr>
          <w:p w14:paraId="7DC641F7" w14:textId="27313B00"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52</w:t>
            </w:r>
          </w:p>
        </w:tc>
        <w:tc>
          <w:tcPr>
            <w:tcW w:w="527" w:type="pct"/>
            <w:tcBorders>
              <w:left w:val="nil"/>
              <w:right w:val="nil"/>
            </w:tcBorders>
            <w:tcMar>
              <w:top w:w="45" w:type="dxa"/>
              <w:left w:w="0" w:type="dxa"/>
              <w:bottom w:w="45" w:type="dxa"/>
              <w:right w:w="0" w:type="dxa"/>
            </w:tcMar>
          </w:tcPr>
          <w:p w14:paraId="39DD9685" w14:textId="78362971"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52</w:t>
            </w:r>
          </w:p>
        </w:tc>
        <w:tc>
          <w:tcPr>
            <w:tcW w:w="502" w:type="pct"/>
            <w:tcBorders>
              <w:left w:val="nil"/>
              <w:right w:val="nil"/>
            </w:tcBorders>
            <w:tcMar>
              <w:top w:w="45" w:type="dxa"/>
              <w:left w:w="0" w:type="dxa"/>
              <w:bottom w:w="45" w:type="dxa"/>
              <w:right w:w="0" w:type="dxa"/>
            </w:tcMar>
          </w:tcPr>
          <w:p w14:paraId="04E4347A" w14:textId="5A334AD7"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14</w:t>
            </w:r>
          </w:p>
        </w:tc>
        <w:tc>
          <w:tcPr>
            <w:tcW w:w="550" w:type="pct"/>
            <w:tcBorders>
              <w:left w:val="nil"/>
              <w:right w:val="nil"/>
            </w:tcBorders>
            <w:tcMar>
              <w:top w:w="45" w:type="dxa"/>
              <w:left w:w="0" w:type="dxa"/>
              <w:bottom w:w="45" w:type="dxa"/>
              <w:right w:w="0" w:type="dxa"/>
            </w:tcMar>
          </w:tcPr>
          <w:p w14:paraId="41BDDCB9" w14:textId="158F47F4"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left w:val="nil"/>
              <w:right w:val="nil"/>
            </w:tcBorders>
            <w:tcMar>
              <w:top w:w="45" w:type="dxa"/>
              <w:left w:w="0" w:type="dxa"/>
              <w:bottom w:w="45" w:type="dxa"/>
              <w:right w:w="0" w:type="dxa"/>
            </w:tcMar>
          </w:tcPr>
          <w:p w14:paraId="2BC98C16" w14:textId="7B8571B8" w:rsidR="00E660D7" w:rsidRPr="008A7A35" w:rsidRDefault="00E660D7" w:rsidP="00E660D7">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14</w:t>
            </w:r>
          </w:p>
        </w:tc>
        <w:tc>
          <w:tcPr>
            <w:tcW w:w="525" w:type="pct"/>
            <w:tcBorders>
              <w:left w:val="nil"/>
              <w:right w:val="nil"/>
            </w:tcBorders>
            <w:tcMar>
              <w:top w:w="45" w:type="dxa"/>
              <w:left w:w="0" w:type="dxa"/>
              <w:bottom w:w="45" w:type="dxa"/>
              <w:right w:w="0" w:type="dxa"/>
            </w:tcMar>
          </w:tcPr>
          <w:p w14:paraId="6E0FEA87" w14:textId="7F7676C1"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0.27</w:t>
            </w:r>
            <w:r w:rsidRPr="008A7A35">
              <w:rPr>
                <w:rFonts w:ascii="Arial" w:eastAsia="Calibri" w:hAnsi="Arial" w:cs="Arial"/>
                <w:sz w:val="20"/>
                <w:szCs w:val="20"/>
              </w:rPr>
              <w:t>x</w:t>
            </w:r>
          </w:p>
        </w:tc>
        <w:tc>
          <w:tcPr>
            <w:tcW w:w="460" w:type="pct"/>
            <w:tcBorders>
              <w:left w:val="nil"/>
              <w:right w:val="nil"/>
            </w:tcBorders>
            <w:tcMar>
              <w:top w:w="45" w:type="dxa"/>
              <w:left w:w="0" w:type="dxa"/>
              <w:bottom w:w="45" w:type="dxa"/>
              <w:right w:w="0" w:type="dxa"/>
            </w:tcMar>
          </w:tcPr>
          <w:p w14:paraId="73A52245" w14:textId="77777777" w:rsidR="00E660D7" w:rsidRPr="008A7A35" w:rsidRDefault="00E660D7" w:rsidP="00E660D7">
            <w:pPr>
              <w:spacing w:after="200" w:line="276" w:lineRule="auto"/>
              <w:ind w:left="-89"/>
              <w:jc w:val="center"/>
              <w:rPr>
                <w:rFonts w:ascii="Arial" w:eastAsia="Calibri" w:hAnsi="Arial" w:cs="Arial"/>
                <w:sz w:val="20"/>
                <w:szCs w:val="20"/>
              </w:rPr>
            </w:pPr>
            <w:r w:rsidRPr="008A7A35">
              <w:rPr>
                <w:rFonts w:ascii="Arial" w:hAnsi="Arial" w:cs="Arial"/>
                <w:bCs/>
                <w:sz w:val="20"/>
                <w:szCs w:val="20"/>
              </w:rPr>
              <w:t>0.27</w:t>
            </w:r>
            <w:r w:rsidRPr="008A7A35">
              <w:rPr>
                <w:rFonts w:ascii="Arial" w:eastAsia="Calibri" w:hAnsi="Arial" w:cs="Arial"/>
                <w:sz w:val="20"/>
                <w:szCs w:val="20"/>
              </w:rPr>
              <w:t>x</w:t>
            </w:r>
          </w:p>
        </w:tc>
      </w:tr>
      <w:tr w:rsidR="00E660D7" w:rsidRPr="008A7A35" w14:paraId="1D213F0D" w14:textId="77777777" w:rsidTr="00E660D7">
        <w:trPr>
          <w:trHeight w:val="463"/>
        </w:trPr>
        <w:tc>
          <w:tcPr>
            <w:tcW w:w="989" w:type="pct"/>
            <w:tcBorders>
              <w:top w:val="single" w:sz="4" w:space="0" w:color="auto"/>
              <w:left w:val="nil"/>
              <w:bottom w:val="single" w:sz="4" w:space="0" w:color="auto"/>
              <w:right w:val="nil"/>
            </w:tcBorders>
            <w:tcMar>
              <w:top w:w="45" w:type="dxa"/>
              <w:left w:w="0" w:type="dxa"/>
              <w:bottom w:w="45" w:type="dxa"/>
              <w:right w:w="0" w:type="dxa"/>
            </w:tcMar>
            <w:hideMark/>
          </w:tcPr>
          <w:p w14:paraId="7AC81DA4" w14:textId="77777777" w:rsidR="00E660D7" w:rsidRPr="008A7A35" w:rsidRDefault="00E660D7" w:rsidP="00E660D7">
            <w:pPr>
              <w:spacing w:after="200" w:line="276" w:lineRule="auto"/>
              <w:ind w:left="-1"/>
              <w:jc w:val="both"/>
              <w:rPr>
                <w:rFonts w:ascii="Arial" w:eastAsia="Calibri" w:hAnsi="Arial" w:cs="Arial"/>
                <w:b/>
                <w:bCs/>
                <w:color w:val="000000"/>
                <w:sz w:val="20"/>
                <w:szCs w:val="20"/>
                <w:lang w:val="en-US"/>
              </w:rPr>
            </w:pPr>
            <w:r w:rsidRPr="008A7A35">
              <w:rPr>
                <w:rFonts w:ascii="Arial" w:eastAsia="Calibri" w:hAnsi="Arial" w:cs="Arial"/>
                <w:b/>
                <w:bCs/>
                <w:color w:val="000000"/>
                <w:sz w:val="20"/>
                <w:szCs w:val="20"/>
                <w:lang w:val="en-US"/>
              </w:rPr>
              <w:t xml:space="preserve">Total </w:t>
            </w:r>
            <w:proofErr w:type="spellStart"/>
            <w:proofErr w:type="gramStart"/>
            <w:r w:rsidRPr="008A7A35">
              <w:rPr>
                <w:rFonts w:ascii="Arial" w:eastAsia="Calibri" w:hAnsi="Arial" w:cs="Arial"/>
                <w:b/>
                <w:bCs/>
                <w:color w:val="000000"/>
                <w:sz w:val="20"/>
                <w:szCs w:val="20"/>
                <w:lang w:val="en-US"/>
              </w:rPr>
              <w:t>Realisations</w:t>
            </w:r>
            <w:proofErr w:type="spellEnd"/>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3)</w:t>
            </w:r>
          </w:p>
        </w:tc>
        <w:tc>
          <w:tcPr>
            <w:tcW w:w="658" w:type="pct"/>
            <w:tcBorders>
              <w:top w:val="single" w:sz="4" w:space="0" w:color="auto"/>
              <w:left w:val="nil"/>
              <w:bottom w:val="single" w:sz="4" w:space="0" w:color="auto"/>
              <w:right w:val="nil"/>
            </w:tcBorders>
            <w:tcMar>
              <w:top w:w="45" w:type="dxa"/>
              <w:left w:w="0" w:type="dxa"/>
              <w:bottom w:w="45" w:type="dxa"/>
              <w:right w:w="0" w:type="dxa"/>
            </w:tcMar>
            <w:hideMark/>
          </w:tcPr>
          <w:p w14:paraId="6A262698" w14:textId="391581AB" w:rsidR="00E660D7" w:rsidRPr="008A7A35" w:rsidRDefault="00E660D7" w:rsidP="00E660D7">
            <w:pPr>
              <w:spacing w:after="200" w:line="276" w:lineRule="auto"/>
              <w:ind w:left="-89"/>
              <w:jc w:val="center"/>
              <w:rPr>
                <w:rFonts w:ascii="Arial" w:hAnsi="Arial" w:cs="Arial"/>
                <w:b/>
                <w:bCs/>
                <w:sz w:val="20"/>
                <w:szCs w:val="20"/>
              </w:rPr>
            </w:pPr>
            <w:r w:rsidRPr="008A7A35">
              <w:rPr>
                <w:rFonts w:ascii="Arial" w:hAnsi="Arial" w:cs="Arial"/>
                <w:b/>
                <w:bCs/>
                <w:sz w:val="20"/>
                <w:szCs w:val="20"/>
              </w:rPr>
              <w:t>$81</w:t>
            </w:r>
            <w:r w:rsidR="00512D58">
              <w:rPr>
                <w:rFonts w:ascii="Arial" w:hAnsi="Arial" w:cs="Arial"/>
                <w:b/>
                <w:bCs/>
                <w:sz w:val="20"/>
                <w:szCs w:val="20"/>
              </w:rPr>
              <w:t>8</w:t>
            </w:r>
          </w:p>
        </w:tc>
        <w:tc>
          <w:tcPr>
            <w:tcW w:w="527" w:type="pct"/>
            <w:tcBorders>
              <w:top w:val="single" w:sz="4" w:space="0" w:color="auto"/>
              <w:left w:val="nil"/>
              <w:bottom w:val="single" w:sz="4" w:space="0" w:color="auto"/>
              <w:right w:val="nil"/>
            </w:tcBorders>
            <w:tcMar>
              <w:top w:w="45" w:type="dxa"/>
              <w:left w:w="0" w:type="dxa"/>
              <w:bottom w:w="45" w:type="dxa"/>
              <w:right w:w="0" w:type="dxa"/>
            </w:tcMar>
            <w:hideMark/>
          </w:tcPr>
          <w:p w14:paraId="54A38589" w14:textId="091C59A9" w:rsidR="00E660D7" w:rsidRPr="008A7A35" w:rsidRDefault="00E660D7" w:rsidP="00E660D7">
            <w:pPr>
              <w:spacing w:after="200" w:line="276" w:lineRule="auto"/>
              <w:ind w:left="-89"/>
              <w:jc w:val="center"/>
              <w:rPr>
                <w:rFonts w:ascii="Arial" w:hAnsi="Arial" w:cs="Arial"/>
                <w:b/>
                <w:bCs/>
                <w:sz w:val="20"/>
                <w:szCs w:val="20"/>
              </w:rPr>
            </w:pPr>
            <w:r w:rsidRPr="008A7A35">
              <w:rPr>
                <w:rFonts w:ascii="Arial" w:hAnsi="Arial" w:cs="Arial"/>
                <w:b/>
                <w:bCs/>
                <w:sz w:val="20"/>
                <w:szCs w:val="20"/>
              </w:rPr>
              <w:t>$81</w:t>
            </w:r>
            <w:r w:rsidR="00512D58">
              <w:rPr>
                <w:rFonts w:ascii="Arial" w:hAnsi="Arial" w:cs="Arial"/>
                <w:b/>
                <w:bCs/>
                <w:sz w:val="20"/>
                <w:szCs w:val="20"/>
              </w:rPr>
              <w:t>8</w:t>
            </w:r>
          </w:p>
        </w:tc>
        <w:tc>
          <w:tcPr>
            <w:tcW w:w="502" w:type="pct"/>
            <w:tcBorders>
              <w:top w:val="single" w:sz="4" w:space="0" w:color="auto"/>
              <w:left w:val="nil"/>
              <w:bottom w:val="single" w:sz="4" w:space="0" w:color="auto"/>
              <w:right w:val="nil"/>
            </w:tcBorders>
            <w:tcMar>
              <w:top w:w="45" w:type="dxa"/>
              <w:left w:w="0" w:type="dxa"/>
              <w:bottom w:w="45" w:type="dxa"/>
              <w:right w:w="0" w:type="dxa"/>
            </w:tcMar>
            <w:hideMark/>
          </w:tcPr>
          <w:p w14:paraId="2046BD53" w14:textId="1FA86863" w:rsidR="00E660D7" w:rsidRPr="008A7A35" w:rsidRDefault="00E660D7" w:rsidP="00E660D7">
            <w:pPr>
              <w:spacing w:after="200" w:line="276" w:lineRule="auto"/>
              <w:ind w:left="-89"/>
              <w:jc w:val="center"/>
              <w:rPr>
                <w:rFonts w:ascii="Arial" w:hAnsi="Arial" w:cs="Arial"/>
                <w:b/>
                <w:bCs/>
                <w:sz w:val="20"/>
                <w:szCs w:val="20"/>
              </w:rPr>
            </w:pPr>
            <w:r w:rsidRPr="008A7A35">
              <w:rPr>
                <w:rFonts w:ascii="Arial" w:hAnsi="Arial" w:cs="Arial"/>
                <w:b/>
                <w:bCs/>
                <w:sz w:val="20"/>
                <w:szCs w:val="20"/>
              </w:rPr>
              <w:t>$1,00</w:t>
            </w:r>
            <w:r w:rsidR="00512D58">
              <w:rPr>
                <w:rFonts w:ascii="Arial" w:hAnsi="Arial" w:cs="Arial"/>
                <w:b/>
                <w:bCs/>
                <w:sz w:val="20"/>
                <w:szCs w:val="20"/>
              </w:rPr>
              <w:t>5</w:t>
            </w:r>
          </w:p>
        </w:tc>
        <w:tc>
          <w:tcPr>
            <w:tcW w:w="550" w:type="pct"/>
            <w:tcBorders>
              <w:top w:val="single" w:sz="4" w:space="0" w:color="auto"/>
              <w:left w:val="nil"/>
              <w:bottom w:val="single" w:sz="4" w:space="0" w:color="auto"/>
              <w:right w:val="nil"/>
            </w:tcBorders>
            <w:tcMar>
              <w:top w:w="45" w:type="dxa"/>
              <w:left w:w="0" w:type="dxa"/>
              <w:bottom w:w="45" w:type="dxa"/>
              <w:right w:w="0" w:type="dxa"/>
            </w:tcMar>
            <w:hideMark/>
          </w:tcPr>
          <w:p w14:paraId="54D9E9D9" w14:textId="4E1F63A6" w:rsidR="00E660D7" w:rsidRPr="008A7A35" w:rsidRDefault="00E660D7" w:rsidP="00E660D7">
            <w:pPr>
              <w:spacing w:after="200" w:line="276" w:lineRule="auto"/>
              <w:ind w:left="-89"/>
              <w:jc w:val="center"/>
              <w:rPr>
                <w:rFonts w:ascii="Arial" w:hAnsi="Arial" w:cs="Arial"/>
                <w:b/>
                <w:bCs/>
                <w:sz w:val="20"/>
                <w:szCs w:val="20"/>
              </w:rPr>
            </w:pPr>
            <w:r w:rsidRPr="008A7A35">
              <w:rPr>
                <w:rFonts w:ascii="Arial" w:hAnsi="Arial" w:cs="Arial"/>
                <w:b/>
                <w:bCs/>
                <w:sz w:val="20"/>
                <w:szCs w:val="20"/>
              </w:rPr>
              <w:t>$0</w:t>
            </w:r>
          </w:p>
        </w:tc>
        <w:tc>
          <w:tcPr>
            <w:tcW w:w="790" w:type="pct"/>
            <w:tcBorders>
              <w:top w:val="single" w:sz="4" w:space="0" w:color="auto"/>
              <w:left w:val="nil"/>
              <w:bottom w:val="single" w:sz="4" w:space="0" w:color="auto"/>
              <w:right w:val="nil"/>
            </w:tcBorders>
            <w:tcMar>
              <w:top w:w="45" w:type="dxa"/>
              <w:left w:w="0" w:type="dxa"/>
              <w:bottom w:w="45" w:type="dxa"/>
              <w:right w:w="0" w:type="dxa"/>
            </w:tcMar>
            <w:hideMark/>
          </w:tcPr>
          <w:p w14:paraId="46ED1BB9" w14:textId="1AB95617" w:rsidR="00E660D7" w:rsidRPr="008A7A35" w:rsidRDefault="00E660D7" w:rsidP="00E660D7">
            <w:pPr>
              <w:spacing w:after="200" w:line="276" w:lineRule="auto"/>
              <w:ind w:left="-89"/>
              <w:jc w:val="center"/>
              <w:rPr>
                <w:rFonts w:ascii="Arial" w:hAnsi="Arial" w:cs="Arial"/>
                <w:b/>
                <w:bCs/>
                <w:sz w:val="20"/>
                <w:szCs w:val="20"/>
              </w:rPr>
            </w:pPr>
            <w:r w:rsidRPr="008A7A35">
              <w:rPr>
                <w:rFonts w:ascii="Arial" w:hAnsi="Arial" w:cs="Arial"/>
                <w:b/>
                <w:bCs/>
                <w:sz w:val="20"/>
                <w:szCs w:val="20"/>
              </w:rPr>
              <w:t>$1,00</w:t>
            </w:r>
            <w:r w:rsidR="00512D58">
              <w:rPr>
                <w:rFonts w:ascii="Arial" w:hAnsi="Arial" w:cs="Arial"/>
                <w:b/>
                <w:bCs/>
                <w:sz w:val="20"/>
                <w:szCs w:val="20"/>
              </w:rPr>
              <w:t>5</w:t>
            </w:r>
          </w:p>
        </w:tc>
        <w:tc>
          <w:tcPr>
            <w:tcW w:w="525" w:type="pct"/>
            <w:tcBorders>
              <w:top w:val="single" w:sz="4" w:space="0" w:color="auto"/>
              <w:left w:val="nil"/>
              <w:bottom w:val="single" w:sz="4" w:space="0" w:color="auto"/>
              <w:right w:val="nil"/>
            </w:tcBorders>
            <w:tcMar>
              <w:top w:w="45" w:type="dxa"/>
              <w:left w:w="0" w:type="dxa"/>
              <w:bottom w:w="45" w:type="dxa"/>
              <w:right w:w="0" w:type="dxa"/>
            </w:tcMar>
          </w:tcPr>
          <w:p w14:paraId="114D65A5" w14:textId="10240D04" w:rsidR="00E660D7" w:rsidRPr="008A7A35" w:rsidRDefault="00E660D7" w:rsidP="00E660D7">
            <w:pPr>
              <w:spacing w:after="200" w:line="276" w:lineRule="auto"/>
              <w:ind w:left="-89"/>
              <w:jc w:val="center"/>
              <w:rPr>
                <w:rFonts w:ascii="Arial" w:hAnsi="Arial" w:cs="Arial"/>
                <w:b/>
                <w:bCs/>
                <w:sz w:val="20"/>
                <w:szCs w:val="20"/>
              </w:rPr>
            </w:pPr>
            <w:r w:rsidRPr="008A7A35">
              <w:rPr>
                <w:rFonts w:ascii="Arial" w:hAnsi="Arial" w:cs="Arial"/>
                <w:b/>
                <w:bCs/>
                <w:sz w:val="20"/>
                <w:szCs w:val="20"/>
              </w:rPr>
              <w:t>1.23</w:t>
            </w:r>
            <w:r w:rsidRPr="008A7A35">
              <w:rPr>
                <w:rFonts w:ascii="Arial" w:eastAsia="Calibri" w:hAnsi="Arial" w:cs="Arial"/>
                <w:b/>
                <w:bCs/>
                <w:sz w:val="20"/>
                <w:szCs w:val="20"/>
              </w:rPr>
              <w:t>x</w:t>
            </w:r>
          </w:p>
        </w:tc>
        <w:tc>
          <w:tcPr>
            <w:tcW w:w="460" w:type="pct"/>
            <w:tcBorders>
              <w:top w:val="single" w:sz="4" w:space="0" w:color="auto"/>
              <w:left w:val="nil"/>
              <w:bottom w:val="single" w:sz="4" w:space="0" w:color="auto"/>
              <w:right w:val="nil"/>
            </w:tcBorders>
            <w:tcMar>
              <w:top w:w="45" w:type="dxa"/>
              <w:left w:w="0" w:type="dxa"/>
              <w:bottom w:w="45" w:type="dxa"/>
              <w:right w:w="0" w:type="dxa"/>
            </w:tcMar>
            <w:hideMark/>
          </w:tcPr>
          <w:p w14:paraId="614131D2" w14:textId="77777777" w:rsidR="00E660D7" w:rsidRPr="008A7A35" w:rsidRDefault="00E660D7" w:rsidP="00E660D7">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1.23</w:t>
            </w:r>
            <w:r w:rsidRPr="008A7A35">
              <w:rPr>
                <w:rFonts w:ascii="Arial" w:eastAsia="Calibri" w:hAnsi="Arial" w:cs="Arial"/>
                <w:b/>
                <w:bCs/>
                <w:sz w:val="20"/>
                <w:szCs w:val="20"/>
              </w:rPr>
              <w:t>x</w:t>
            </w:r>
          </w:p>
        </w:tc>
      </w:tr>
      <w:tr w:rsidR="00E660D7" w:rsidRPr="008A7A35" w14:paraId="4C5439AF" w14:textId="77777777" w:rsidTr="00E660D7">
        <w:trPr>
          <w:trHeight w:val="726"/>
        </w:trPr>
        <w:tc>
          <w:tcPr>
            <w:tcW w:w="989" w:type="pct"/>
            <w:tcBorders>
              <w:top w:val="single" w:sz="4" w:space="0" w:color="auto"/>
              <w:left w:val="nil"/>
              <w:bottom w:val="single" w:sz="4" w:space="0" w:color="auto"/>
              <w:right w:val="nil"/>
            </w:tcBorders>
            <w:tcMar>
              <w:top w:w="45" w:type="dxa"/>
              <w:left w:w="0" w:type="dxa"/>
              <w:bottom w:w="45" w:type="dxa"/>
              <w:right w:w="0" w:type="dxa"/>
            </w:tcMar>
            <w:hideMark/>
          </w:tcPr>
          <w:p w14:paraId="1F7C8F92" w14:textId="31204648" w:rsidR="00042B4C" w:rsidRPr="008A7A35" w:rsidRDefault="00042B4C" w:rsidP="00042B4C">
            <w:pPr>
              <w:spacing w:after="200" w:line="276" w:lineRule="auto"/>
              <w:ind w:left="-1"/>
              <w:rPr>
                <w:rFonts w:ascii="Arial" w:eastAsia="Calibri" w:hAnsi="Arial" w:cs="Arial"/>
                <w:bCs/>
                <w:color w:val="000000"/>
                <w:sz w:val="20"/>
                <w:szCs w:val="20"/>
                <w:lang w:val="en-US"/>
              </w:rPr>
            </w:pPr>
            <w:r w:rsidRPr="008A7A35">
              <w:rPr>
                <w:rFonts w:ascii="Arial" w:eastAsia="Calibri" w:hAnsi="Arial" w:cs="Arial"/>
                <w:bCs/>
                <w:color w:val="000000"/>
                <w:sz w:val="20"/>
                <w:szCs w:val="20"/>
                <w:lang w:val="en-US"/>
              </w:rPr>
              <w:t>Withdrawn Commitments and Investment Write-</w:t>
            </w:r>
            <w:proofErr w:type="gramStart"/>
            <w:r w:rsidRPr="008A7A35">
              <w:rPr>
                <w:rFonts w:ascii="Arial" w:eastAsia="Calibri" w:hAnsi="Arial" w:cs="Arial"/>
                <w:bCs/>
                <w:color w:val="000000"/>
                <w:sz w:val="20"/>
                <w:szCs w:val="20"/>
                <w:lang w:val="en-US"/>
              </w:rPr>
              <w:t>Offs</w:t>
            </w:r>
            <w:r w:rsidRPr="008A7A35">
              <w:rPr>
                <w:rFonts w:ascii="Arial" w:hAnsi="Arial" w:cs="Arial"/>
                <w:bCs/>
                <w:sz w:val="20"/>
                <w:szCs w:val="20"/>
                <w:vertAlign w:val="superscript"/>
                <w:lang w:val="en-US"/>
              </w:rPr>
              <w:t>(</w:t>
            </w:r>
            <w:proofErr w:type="gramEnd"/>
            <w:r w:rsidRPr="008A7A35">
              <w:rPr>
                <w:rFonts w:ascii="Arial" w:hAnsi="Arial" w:cs="Arial"/>
                <w:bCs/>
                <w:sz w:val="20"/>
                <w:szCs w:val="20"/>
                <w:vertAlign w:val="superscript"/>
                <w:lang w:val="en-US"/>
              </w:rPr>
              <w:t>8)</w:t>
            </w:r>
          </w:p>
        </w:tc>
        <w:tc>
          <w:tcPr>
            <w:tcW w:w="658" w:type="pct"/>
            <w:tcBorders>
              <w:top w:val="single" w:sz="4" w:space="0" w:color="auto"/>
              <w:left w:val="nil"/>
              <w:bottom w:val="single" w:sz="4" w:space="0" w:color="auto"/>
              <w:right w:val="nil"/>
            </w:tcBorders>
            <w:tcMar>
              <w:top w:w="45" w:type="dxa"/>
              <w:left w:w="0" w:type="dxa"/>
              <w:bottom w:w="45" w:type="dxa"/>
              <w:right w:w="0" w:type="dxa"/>
            </w:tcMar>
          </w:tcPr>
          <w:p w14:paraId="089C9036" w14:textId="6836AA79" w:rsidR="00042B4C" w:rsidRPr="008A7A35" w:rsidRDefault="00E660D7" w:rsidP="00042B4C">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477</w:t>
            </w:r>
          </w:p>
        </w:tc>
        <w:tc>
          <w:tcPr>
            <w:tcW w:w="527" w:type="pct"/>
            <w:tcBorders>
              <w:top w:val="single" w:sz="4" w:space="0" w:color="auto"/>
              <w:left w:val="nil"/>
              <w:bottom w:val="single" w:sz="4" w:space="0" w:color="auto"/>
              <w:right w:val="nil"/>
            </w:tcBorders>
            <w:tcMar>
              <w:top w:w="45" w:type="dxa"/>
              <w:left w:w="0" w:type="dxa"/>
              <w:bottom w:w="45" w:type="dxa"/>
              <w:right w:w="0" w:type="dxa"/>
            </w:tcMar>
          </w:tcPr>
          <w:p w14:paraId="7955159F" w14:textId="14413F98" w:rsidR="00042B4C" w:rsidRPr="008A7A35" w:rsidRDefault="00E660D7" w:rsidP="00042B4C">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477</w:t>
            </w:r>
          </w:p>
        </w:tc>
        <w:tc>
          <w:tcPr>
            <w:tcW w:w="502" w:type="pct"/>
            <w:tcBorders>
              <w:top w:val="single" w:sz="4" w:space="0" w:color="auto"/>
              <w:left w:val="nil"/>
              <w:bottom w:val="single" w:sz="4" w:space="0" w:color="auto"/>
              <w:right w:val="nil"/>
            </w:tcBorders>
            <w:tcMar>
              <w:top w:w="45" w:type="dxa"/>
              <w:left w:w="0" w:type="dxa"/>
              <w:bottom w:w="45" w:type="dxa"/>
              <w:right w:w="0" w:type="dxa"/>
            </w:tcMar>
          </w:tcPr>
          <w:p w14:paraId="502B62D5" w14:textId="4F124544" w:rsidR="00042B4C" w:rsidRPr="008A7A35" w:rsidRDefault="00E660D7" w:rsidP="00042B4C">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10</w:t>
            </w:r>
          </w:p>
        </w:tc>
        <w:tc>
          <w:tcPr>
            <w:tcW w:w="550" w:type="pct"/>
            <w:tcBorders>
              <w:top w:val="single" w:sz="4" w:space="0" w:color="auto"/>
              <w:left w:val="nil"/>
              <w:bottom w:val="single" w:sz="4" w:space="0" w:color="auto"/>
              <w:right w:val="nil"/>
            </w:tcBorders>
            <w:tcMar>
              <w:top w:w="45" w:type="dxa"/>
              <w:left w:w="0" w:type="dxa"/>
              <w:bottom w:w="45" w:type="dxa"/>
              <w:right w:w="0" w:type="dxa"/>
            </w:tcMar>
          </w:tcPr>
          <w:p w14:paraId="2B7B58C7" w14:textId="6CD22352" w:rsidR="00042B4C" w:rsidRPr="008A7A35" w:rsidRDefault="00E660D7" w:rsidP="00042B4C">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w:t>
            </w:r>
          </w:p>
        </w:tc>
        <w:tc>
          <w:tcPr>
            <w:tcW w:w="790" w:type="pct"/>
            <w:tcBorders>
              <w:top w:val="single" w:sz="4" w:space="0" w:color="auto"/>
              <w:left w:val="nil"/>
              <w:bottom w:val="single" w:sz="4" w:space="0" w:color="auto"/>
              <w:right w:val="nil"/>
            </w:tcBorders>
            <w:tcMar>
              <w:top w:w="45" w:type="dxa"/>
              <w:left w:w="0" w:type="dxa"/>
              <w:bottom w:w="45" w:type="dxa"/>
              <w:right w:w="0" w:type="dxa"/>
            </w:tcMar>
          </w:tcPr>
          <w:p w14:paraId="36098423" w14:textId="613E995F" w:rsidR="00042B4C" w:rsidRPr="008A7A35" w:rsidRDefault="00E660D7" w:rsidP="00042B4C">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10</w:t>
            </w:r>
          </w:p>
        </w:tc>
        <w:tc>
          <w:tcPr>
            <w:tcW w:w="525" w:type="pct"/>
            <w:tcBorders>
              <w:top w:val="single" w:sz="4" w:space="0" w:color="auto"/>
              <w:left w:val="nil"/>
              <w:bottom w:val="single" w:sz="4" w:space="0" w:color="auto"/>
              <w:right w:val="nil"/>
            </w:tcBorders>
            <w:tcMar>
              <w:top w:w="45" w:type="dxa"/>
              <w:left w:w="0" w:type="dxa"/>
              <w:bottom w:w="45" w:type="dxa"/>
              <w:right w:w="0" w:type="dxa"/>
            </w:tcMar>
          </w:tcPr>
          <w:p w14:paraId="261F153F" w14:textId="322803AB" w:rsidR="00042B4C" w:rsidRPr="008A7A35" w:rsidRDefault="00E660D7" w:rsidP="00042B4C">
            <w:pPr>
              <w:spacing w:after="200" w:line="276" w:lineRule="auto"/>
              <w:ind w:left="-89"/>
              <w:jc w:val="center"/>
              <w:rPr>
                <w:rFonts w:ascii="Arial" w:eastAsia="Calibri" w:hAnsi="Arial" w:cs="Arial"/>
                <w:bCs/>
                <w:sz w:val="20"/>
                <w:szCs w:val="20"/>
              </w:rPr>
            </w:pPr>
            <w:r w:rsidRPr="008A7A35">
              <w:rPr>
                <w:rFonts w:ascii="Arial" w:hAnsi="Arial" w:cs="Arial"/>
                <w:bCs/>
                <w:sz w:val="20"/>
                <w:szCs w:val="20"/>
              </w:rPr>
              <w:t>0.02</w:t>
            </w:r>
            <w:r w:rsidR="00042B4C" w:rsidRPr="008A7A35">
              <w:rPr>
                <w:rFonts w:ascii="Arial" w:eastAsia="Calibri" w:hAnsi="Arial" w:cs="Arial"/>
                <w:bCs/>
                <w:sz w:val="20"/>
                <w:szCs w:val="20"/>
              </w:rPr>
              <w:t>x</w:t>
            </w:r>
          </w:p>
        </w:tc>
        <w:tc>
          <w:tcPr>
            <w:tcW w:w="460" w:type="pct"/>
            <w:tcBorders>
              <w:top w:val="single" w:sz="4" w:space="0" w:color="auto"/>
              <w:left w:val="nil"/>
              <w:bottom w:val="single" w:sz="4" w:space="0" w:color="auto"/>
              <w:right w:val="nil"/>
            </w:tcBorders>
            <w:tcMar>
              <w:top w:w="45" w:type="dxa"/>
              <w:left w:w="0" w:type="dxa"/>
              <w:bottom w:w="45" w:type="dxa"/>
              <w:right w:w="0" w:type="dxa"/>
            </w:tcMar>
            <w:hideMark/>
          </w:tcPr>
          <w:p w14:paraId="117EE642" w14:textId="77777777" w:rsidR="00042B4C" w:rsidRPr="008A7A35" w:rsidRDefault="00042B4C" w:rsidP="00042B4C">
            <w:pPr>
              <w:spacing w:after="200" w:line="276" w:lineRule="auto"/>
              <w:ind w:left="-89"/>
              <w:jc w:val="center"/>
              <w:rPr>
                <w:rFonts w:ascii="Arial" w:eastAsia="Calibri" w:hAnsi="Arial" w:cs="Arial"/>
                <w:sz w:val="20"/>
                <w:szCs w:val="20"/>
              </w:rPr>
            </w:pPr>
            <w:r w:rsidRPr="008A7A35">
              <w:rPr>
                <w:rFonts w:ascii="Arial" w:hAnsi="Arial" w:cs="Arial"/>
                <w:bCs/>
                <w:sz w:val="20"/>
                <w:szCs w:val="20"/>
              </w:rPr>
              <w:t>0.02</w:t>
            </w:r>
            <w:r w:rsidRPr="008A7A35">
              <w:rPr>
                <w:rFonts w:ascii="Arial" w:eastAsia="Calibri" w:hAnsi="Arial" w:cs="Arial"/>
                <w:bCs/>
                <w:sz w:val="20"/>
                <w:szCs w:val="20"/>
              </w:rPr>
              <w:t>x</w:t>
            </w:r>
          </w:p>
        </w:tc>
      </w:tr>
      <w:tr w:rsidR="00E660D7" w:rsidRPr="008A7A35" w14:paraId="423F26AD" w14:textId="77777777" w:rsidTr="00E660D7">
        <w:trPr>
          <w:trHeight w:val="463"/>
        </w:trPr>
        <w:tc>
          <w:tcPr>
            <w:tcW w:w="989" w:type="pct"/>
            <w:tcBorders>
              <w:top w:val="single" w:sz="4" w:space="0" w:color="auto"/>
              <w:left w:val="nil"/>
              <w:bottom w:val="single" w:sz="4" w:space="0" w:color="auto"/>
              <w:right w:val="nil"/>
            </w:tcBorders>
            <w:tcMar>
              <w:top w:w="45" w:type="dxa"/>
              <w:left w:w="0" w:type="dxa"/>
              <w:bottom w:w="45" w:type="dxa"/>
              <w:right w:w="0" w:type="dxa"/>
            </w:tcMar>
            <w:hideMark/>
          </w:tcPr>
          <w:p w14:paraId="5635C1E5" w14:textId="77777777" w:rsidR="00042B4C" w:rsidRPr="008A7A35" w:rsidRDefault="00042B4C" w:rsidP="00042B4C">
            <w:pPr>
              <w:spacing w:after="200" w:line="276" w:lineRule="auto"/>
              <w:ind w:left="-1"/>
              <w:jc w:val="both"/>
              <w:rPr>
                <w:rFonts w:ascii="Arial" w:eastAsia="Calibri" w:hAnsi="Arial" w:cs="Arial"/>
                <w:b/>
                <w:bCs/>
                <w:color w:val="000000"/>
                <w:sz w:val="20"/>
                <w:szCs w:val="20"/>
                <w:lang w:val="en-US"/>
              </w:rPr>
            </w:pPr>
            <w:r w:rsidRPr="008A7A35">
              <w:rPr>
                <w:rFonts w:ascii="Arial" w:eastAsia="Calibri" w:hAnsi="Arial" w:cs="Arial"/>
                <w:b/>
                <w:bCs/>
                <w:color w:val="000000"/>
                <w:sz w:val="20"/>
                <w:szCs w:val="20"/>
                <w:lang w:val="en-US"/>
              </w:rPr>
              <w:t xml:space="preserve">Total </w:t>
            </w:r>
            <w:proofErr w:type="gramStart"/>
            <w:r w:rsidRPr="008A7A35">
              <w:rPr>
                <w:rFonts w:ascii="Arial" w:eastAsia="Calibri" w:hAnsi="Arial" w:cs="Arial"/>
                <w:b/>
                <w:bCs/>
                <w:color w:val="000000"/>
                <w:sz w:val="20"/>
                <w:szCs w:val="20"/>
                <w:lang w:val="en-US"/>
              </w:rPr>
              <w:t>Investments</w:t>
            </w:r>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 xml:space="preserve">3) </w:t>
            </w:r>
          </w:p>
        </w:tc>
        <w:tc>
          <w:tcPr>
            <w:tcW w:w="658" w:type="pct"/>
            <w:tcBorders>
              <w:top w:val="single" w:sz="4" w:space="0" w:color="auto"/>
              <w:left w:val="nil"/>
              <w:bottom w:val="single" w:sz="4" w:space="0" w:color="auto"/>
              <w:right w:val="nil"/>
            </w:tcBorders>
            <w:tcMar>
              <w:top w:w="45" w:type="dxa"/>
              <w:left w:w="0" w:type="dxa"/>
              <w:bottom w:w="45" w:type="dxa"/>
              <w:right w:w="0" w:type="dxa"/>
            </w:tcMar>
          </w:tcPr>
          <w:p w14:paraId="675C476E" w14:textId="532865B4" w:rsidR="00042B4C" w:rsidRPr="008A7A35" w:rsidRDefault="00042B4C" w:rsidP="00042B4C">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2,0</w:t>
            </w:r>
            <w:r w:rsidR="001D4205">
              <w:rPr>
                <w:rFonts w:ascii="Arial" w:hAnsi="Arial" w:cs="Arial"/>
                <w:b/>
                <w:bCs/>
                <w:sz w:val="20"/>
                <w:szCs w:val="20"/>
              </w:rPr>
              <w:t>29</w:t>
            </w:r>
          </w:p>
        </w:tc>
        <w:tc>
          <w:tcPr>
            <w:tcW w:w="527" w:type="pct"/>
            <w:tcBorders>
              <w:top w:val="single" w:sz="4" w:space="0" w:color="auto"/>
              <w:left w:val="nil"/>
              <w:bottom w:val="single" w:sz="4" w:space="0" w:color="auto"/>
              <w:right w:val="nil"/>
            </w:tcBorders>
            <w:tcMar>
              <w:top w:w="45" w:type="dxa"/>
              <w:left w:w="0" w:type="dxa"/>
              <w:bottom w:w="45" w:type="dxa"/>
              <w:right w:w="0" w:type="dxa"/>
            </w:tcMar>
          </w:tcPr>
          <w:p w14:paraId="5A2D2D9D" w14:textId="4FD290D1" w:rsidR="00042B4C" w:rsidRPr="008A7A35" w:rsidRDefault="00042B4C" w:rsidP="00042B4C">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2,02</w:t>
            </w:r>
            <w:r w:rsidR="00822836">
              <w:rPr>
                <w:rFonts w:ascii="Arial" w:hAnsi="Arial" w:cs="Arial"/>
                <w:b/>
                <w:bCs/>
                <w:sz w:val="20"/>
                <w:szCs w:val="20"/>
              </w:rPr>
              <w:t>3</w:t>
            </w:r>
          </w:p>
        </w:tc>
        <w:tc>
          <w:tcPr>
            <w:tcW w:w="502" w:type="pct"/>
            <w:tcBorders>
              <w:top w:val="single" w:sz="4" w:space="0" w:color="auto"/>
              <w:left w:val="nil"/>
              <w:bottom w:val="single" w:sz="4" w:space="0" w:color="auto"/>
              <w:right w:val="nil"/>
            </w:tcBorders>
            <w:tcMar>
              <w:top w:w="45" w:type="dxa"/>
              <w:left w:w="0" w:type="dxa"/>
              <w:bottom w:w="45" w:type="dxa"/>
              <w:right w:w="0" w:type="dxa"/>
            </w:tcMar>
          </w:tcPr>
          <w:p w14:paraId="123BB408" w14:textId="67E58F97" w:rsidR="00042B4C" w:rsidRPr="008A7A35" w:rsidRDefault="00042B4C" w:rsidP="00042B4C">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1,57</w:t>
            </w:r>
            <w:r w:rsidR="00B001AC">
              <w:rPr>
                <w:rFonts w:ascii="Arial" w:hAnsi="Arial" w:cs="Arial"/>
                <w:b/>
                <w:bCs/>
                <w:sz w:val="20"/>
                <w:szCs w:val="20"/>
              </w:rPr>
              <w:t>3</w:t>
            </w:r>
          </w:p>
        </w:tc>
        <w:tc>
          <w:tcPr>
            <w:tcW w:w="550" w:type="pct"/>
            <w:tcBorders>
              <w:top w:val="single" w:sz="4" w:space="0" w:color="auto"/>
              <w:left w:val="nil"/>
              <w:bottom w:val="single" w:sz="4" w:space="0" w:color="auto"/>
              <w:right w:val="nil"/>
            </w:tcBorders>
            <w:tcMar>
              <w:top w:w="45" w:type="dxa"/>
              <w:left w:w="0" w:type="dxa"/>
              <w:bottom w:w="45" w:type="dxa"/>
              <w:right w:w="0" w:type="dxa"/>
            </w:tcMar>
          </w:tcPr>
          <w:p w14:paraId="17766223" w14:textId="5FEE41D3" w:rsidR="00042B4C" w:rsidRPr="008A7A35" w:rsidRDefault="00042B4C" w:rsidP="00042B4C">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30</w:t>
            </w:r>
            <w:r w:rsidR="00A81373">
              <w:rPr>
                <w:rFonts w:ascii="Arial" w:hAnsi="Arial" w:cs="Arial"/>
                <w:b/>
                <w:bCs/>
                <w:sz w:val="20"/>
                <w:szCs w:val="20"/>
              </w:rPr>
              <w:t>0</w:t>
            </w:r>
          </w:p>
        </w:tc>
        <w:tc>
          <w:tcPr>
            <w:tcW w:w="790" w:type="pct"/>
            <w:tcBorders>
              <w:top w:val="single" w:sz="4" w:space="0" w:color="auto"/>
              <w:left w:val="nil"/>
              <w:bottom w:val="single" w:sz="4" w:space="0" w:color="auto"/>
              <w:right w:val="nil"/>
            </w:tcBorders>
            <w:tcMar>
              <w:top w:w="45" w:type="dxa"/>
              <w:left w:w="0" w:type="dxa"/>
              <w:bottom w:w="45" w:type="dxa"/>
              <w:right w:w="0" w:type="dxa"/>
            </w:tcMar>
          </w:tcPr>
          <w:p w14:paraId="339F9A47" w14:textId="526028E6" w:rsidR="00042B4C" w:rsidRPr="008A7A35" w:rsidRDefault="00042B4C" w:rsidP="00042B4C">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1,87</w:t>
            </w:r>
            <w:r w:rsidR="00A81373">
              <w:rPr>
                <w:rFonts w:ascii="Arial" w:hAnsi="Arial" w:cs="Arial"/>
                <w:b/>
                <w:bCs/>
                <w:sz w:val="20"/>
                <w:szCs w:val="20"/>
              </w:rPr>
              <w:t>3</w:t>
            </w:r>
          </w:p>
        </w:tc>
        <w:tc>
          <w:tcPr>
            <w:tcW w:w="525" w:type="pct"/>
            <w:tcBorders>
              <w:top w:val="single" w:sz="4" w:space="0" w:color="auto"/>
              <w:left w:val="nil"/>
              <w:bottom w:val="single" w:sz="4" w:space="0" w:color="auto"/>
              <w:right w:val="nil"/>
            </w:tcBorders>
            <w:tcMar>
              <w:top w:w="45" w:type="dxa"/>
              <w:left w:w="0" w:type="dxa"/>
              <w:bottom w:w="45" w:type="dxa"/>
              <w:right w:w="0" w:type="dxa"/>
            </w:tcMar>
          </w:tcPr>
          <w:p w14:paraId="0CEE6D2A" w14:textId="1DD1DC26" w:rsidR="00042B4C" w:rsidRPr="008A7A35" w:rsidRDefault="00E660D7" w:rsidP="00042B4C">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0.93</w:t>
            </w:r>
            <w:r w:rsidR="00042B4C" w:rsidRPr="008A7A35">
              <w:rPr>
                <w:rFonts w:ascii="Arial" w:hAnsi="Arial" w:cs="Arial"/>
                <w:b/>
                <w:bCs/>
                <w:sz w:val="20"/>
                <w:szCs w:val="20"/>
              </w:rPr>
              <w:t>x</w:t>
            </w:r>
          </w:p>
        </w:tc>
        <w:tc>
          <w:tcPr>
            <w:tcW w:w="460" w:type="pct"/>
            <w:tcBorders>
              <w:top w:val="single" w:sz="4" w:space="0" w:color="auto"/>
              <w:left w:val="nil"/>
              <w:bottom w:val="single" w:sz="4" w:space="0" w:color="auto"/>
              <w:right w:val="nil"/>
            </w:tcBorders>
            <w:tcMar>
              <w:top w:w="45" w:type="dxa"/>
              <w:left w:w="0" w:type="dxa"/>
              <w:bottom w:w="45" w:type="dxa"/>
              <w:right w:w="0" w:type="dxa"/>
            </w:tcMar>
            <w:hideMark/>
          </w:tcPr>
          <w:p w14:paraId="31DE8FCB" w14:textId="16F77074" w:rsidR="00042B4C" w:rsidRPr="008A7A35" w:rsidRDefault="00042B4C" w:rsidP="00042B4C">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0.92</w:t>
            </w:r>
            <w:r w:rsidRPr="008A7A35">
              <w:rPr>
                <w:rFonts w:ascii="Arial" w:eastAsia="Calibri" w:hAnsi="Arial" w:cs="Arial"/>
                <w:b/>
                <w:bCs/>
                <w:sz w:val="20"/>
                <w:szCs w:val="20"/>
              </w:rPr>
              <w:t>x</w:t>
            </w:r>
          </w:p>
        </w:tc>
      </w:tr>
      <w:tr w:rsidR="00E660D7" w:rsidRPr="008A7A35" w14:paraId="5B54204B" w14:textId="77777777" w:rsidTr="00E660D7">
        <w:trPr>
          <w:trHeight w:val="739"/>
        </w:trPr>
        <w:tc>
          <w:tcPr>
            <w:tcW w:w="989" w:type="pct"/>
            <w:tcBorders>
              <w:top w:val="single" w:sz="4" w:space="0" w:color="auto"/>
              <w:left w:val="nil"/>
              <w:bottom w:val="single" w:sz="4" w:space="0" w:color="auto"/>
              <w:right w:val="nil"/>
            </w:tcBorders>
            <w:tcMar>
              <w:top w:w="45" w:type="dxa"/>
              <w:left w:w="0" w:type="dxa"/>
              <w:bottom w:w="45" w:type="dxa"/>
              <w:right w:w="0" w:type="dxa"/>
            </w:tcMar>
            <w:hideMark/>
          </w:tcPr>
          <w:p w14:paraId="0BBBA314" w14:textId="77777777" w:rsidR="00FA0111" w:rsidRPr="008A7A35" w:rsidRDefault="00FA0111" w:rsidP="00FA0111">
            <w:pPr>
              <w:spacing w:after="200" w:line="276" w:lineRule="auto"/>
              <w:ind w:left="-1"/>
              <w:rPr>
                <w:rFonts w:ascii="Arial" w:eastAsia="Calibri" w:hAnsi="Arial" w:cs="Arial"/>
                <w:b/>
                <w:bCs/>
                <w:color w:val="000000"/>
                <w:sz w:val="20"/>
                <w:szCs w:val="20"/>
                <w:lang w:val="en-US"/>
              </w:rPr>
            </w:pPr>
            <w:r w:rsidRPr="008A7A35">
              <w:rPr>
                <w:rFonts w:ascii="Arial" w:eastAsia="Calibri" w:hAnsi="Arial" w:cs="Arial"/>
                <w:b/>
                <w:bCs/>
                <w:color w:val="000000"/>
                <w:sz w:val="20"/>
                <w:szCs w:val="20"/>
                <w:lang w:val="en-US"/>
              </w:rPr>
              <w:t xml:space="preserve">Total Investments &amp; Cash and Cash </w:t>
            </w:r>
            <w:proofErr w:type="gramStart"/>
            <w:r w:rsidRPr="008A7A35">
              <w:rPr>
                <w:rFonts w:ascii="Arial" w:eastAsia="Calibri" w:hAnsi="Arial" w:cs="Arial"/>
                <w:b/>
                <w:bCs/>
                <w:color w:val="000000"/>
                <w:sz w:val="20"/>
                <w:szCs w:val="20"/>
                <w:lang w:val="en-US"/>
              </w:rPr>
              <w:t>Equivalents</w:t>
            </w:r>
            <w:r w:rsidRPr="008A7A35">
              <w:rPr>
                <w:rFonts w:ascii="Arial" w:hAnsi="Arial" w:cs="Arial"/>
                <w:b/>
                <w:bCs/>
                <w:sz w:val="20"/>
                <w:szCs w:val="20"/>
                <w:vertAlign w:val="superscript"/>
                <w:lang w:val="en-US"/>
              </w:rPr>
              <w:t>(</w:t>
            </w:r>
            <w:proofErr w:type="gramEnd"/>
            <w:r w:rsidRPr="008A7A35">
              <w:rPr>
                <w:rFonts w:ascii="Arial" w:hAnsi="Arial" w:cs="Arial"/>
                <w:b/>
                <w:bCs/>
                <w:sz w:val="20"/>
                <w:szCs w:val="20"/>
                <w:vertAlign w:val="superscript"/>
                <w:lang w:val="en-US"/>
              </w:rPr>
              <w:t>3), (9)</w:t>
            </w:r>
          </w:p>
        </w:tc>
        <w:tc>
          <w:tcPr>
            <w:tcW w:w="658" w:type="pct"/>
            <w:tcBorders>
              <w:top w:val="single" w:sz="4" w:space="0" w:color="auto"/>
              <w:left w:val="nil"/>
              <w:bottom w:val="single" w:sz="4" w:space="0" w:color="auto"/>
              <w:right w:val="nil"/>
            </w:tcBorders>
            <w:tcMar>
              <w:top w:w="45" w:type="dxa"/>
              <w:left w:w="0" w:type="dxa"/>
              <w:bottom w:w="45" w:type="dxa"/>
              <w:right w:w="0" w:type="dxa"/>
            </w:tcMar>
            <w:hideMark/>
          </w:tcPr>
          <w:p w14:paraId="386BDCC8" w14:textId="77777777" w:rsidR="00FA0111" w:rsidRPr="008A7A35" w:rsidRDefault="00FA0111" w:rsidP="00FA0111">
            <w:pPr>
              <w:spacing w:after="200" w:line="276" w:lineRule="auto"/>
              <w:ind w:left="-89"/>
              <w:jc w:val="center"/>
              <w:rPr>
                <w:rFonts w:ascii="Arial" w:eastAsia="Calibri" w:hAnsi="Arial" w:cs="Arial"/>
                <w:sz w:val="20"/>
                <w:szCs w:val="20"/>
              </w:rPr>
            </w:pPr>
          </w:p>
        </w:tc>
        <w:tc>
          <w:tcPr>
            <w:tcW w:w="527" w:type="pct"/>
            <w:tcBorders>
              <w:top w:val="single" w:sz="4" w:space="0" w:color="auto"/>
              <w:left w:val="nil"/>
              <w:bottom w:val="single" w:sz="4" w:space="0" w:color="auto"/>
              <w:right w:val="nil"/>
            </w:tcBorders>
            <w:tcMar>
              <w:top w:w="45" w:type="dxa"/>
              <w:left w:w="0" w:type="dxa"/>
              <w:bottom w:w="45" w:type="dxa"/>
              <w:right w:w="0" w:type="dxa"/>
            </w:tcMar>
            <w:hideMark/>
          </w:tcPr>
          <w:p w14:paraId="1D01A612" w14:textId="77777777" w:rsidR="00FA0111" w:rsidRPr="008A7A35" w:rsidRDefault="00FA0111" w:rsidP="00FA0111">
            <w:pPr>
              <w:spacing w:after="200" w:line="276" w:lineRule="auto"/>
              <w:ind w:left="-89"/>
              <w:jc w:val="center"/>
              <w:rPr>
                <w:rFonts w:ascii="Arial" w:eastAsia="Calibri" w:hAnsi="Arial" w:cs="Arial"/>
                <w:sz w:val="20"/>
                <w:szCs w:val="20"/>
              </w:rPr>
            </w:pPr>
          </w:p>
        </w:tc>
        <w:tc>
          <w:tcPr>
            <w:tcW w:w="502" w:type="pct"/>
            <w:tcBorders>
              <w:top w:val="single" w:sz="4" w:space="0" w:color="auto"/>
              <w:left w:val="nil"/>
              <w:bottom w:val="single" w:sz="4" w:space="0" w:color="auto"/>
              <w:right w:val="nil"/>
            </w:tcBorders>
            <w:tcMar>
              <w:top w:w="45" w:type="dxa"/>
              <w:left w:w="0" w:type="dxa"/>
              <w:bottom w:w="45" w:type="dxa"/>
              <w:right w:w="0" w:type="dxa"/>
            </w:tcMar>
            <w:hideMark/>
          </w:tcPr>
          <w:p w14:paraId="634CC9F8" w14:textId="77777777" w:rsidR="00FA0111" w:rsidRPr="008A7A35" w:rsidRDefault="00FA0111" w:rsidP="00FA0111">
            <w:pPr>
              <w:spacing w:after="200" w:line="276" w:lineRule="auto"/>
              <w:ind w:left="-89"/>
              <w:jc w:val="center"/>
              <w:rPr>
                <w:rFonts w:ascii="Arial" w:eastAsia="Calibri" w:hAnsi="Arial" w:cs="Arial"/>
                <w:sz w:val="20"/>
                <w:szCs w:val="20"/>
              </w:rPr>
            </w:pPr>
          </w:p>
        </w:tc>
        <w:tc>
          <w:tcPr>
            <w:tcW w:w="550" w:type="pct"/>
            <w:tcBorders>
              <w:top w:val="single" w:sz="4" w:space="0" w:color="auto"/>
              <w:left w:val="nil"/>
              <w:bottom w:val="single" w:sz="4" w:space="0" w:color="auto"/>
              <w:right w:val="nil"/>
            </w:tcBorders>
            <w:tcMar>
              <w:top w:w="45" w:type="dxa"/>
              <w:left w:w="0" w:type="dxa"/>
              <w:bottom w:w="45" w:type="dxa"/>
              <w:right w:w="0" w:type="dxa"/>
            </w:tcMar>
            <w:hideMark/>
          </w:tcPr>
          <w:p w14:paraId="13ED093C" w14:textId="4E0DD2F3" w:rsidR="00FA0111" w:rsidRPr="008A7A35" w:rsidRDefault="00FA0111" w:rsidP="00FA0111">
            <w:pPr>
              <w:spacing w:after="200" w:line="276" w:lineRule="auto"/>
              <w:ind w:left="-89"/>
              <w:jc w:val="center"/>
              <w:rPr>
                <w:rFonts w:ascii="Arial" w:eastAsia="Calibri" w:hAnsi="Arial" w:cs="Arial"/>
                <w:b/>
                <w:bCs/>
                <w:sz w:val="20"/>
                <w:szCs w:val="20"/>
              </w:rPr>
            </w:pPr>
            <w:r w:rsidRPr="008A7A35">
              <w:rPr>
                <w:rFonts w:ascii="Arial" w:hAnsi="Arial" w:cs="Arial"/>
                <w:b/>
                <w:bCs/>
                <w:sz w:val="20"/>
                <w:szCs w:val="20"/>
              </w:rPr>
              <w:t>$</w:t>
            </w:r>
            <w:r w:rsidR="00E660D7" w:rsidRPr="008A7A35">
              <w:rPr>
                <w:rFonts w:ascii="Arial" w:hAnsi="Arial" w:cs="Arial"/>
                <w:b/>
                <w:bCs/>
                <w:sz w:val="20"/>
                <w:szCs w:val="20"/>
              </w:rPr>
              <w:t>37</w:t>
            </w:r>
            <w:r w:rsidR="00A81373">
              <w:rPr>
                <w:rFonts w:ascii="Arial" w:hAnsi="Arial" w:cs="Arial"/>
                <w:b/>
                <w:bCs/>
                <w:sz w:val="20"/>
                <w:szCs w:val="20"/>
              </w:rPr>
              <w:t>3</w:t>
            </w:r>
          </w:p>
        </w:tc>
        <w:tc>
          <w:tcPr>
            <w:tcW w:w="790" w:type="pct"/>
            <w:tcBorders>
              <w:top w:val="single" w:sz="4" w:space="0" w:color="auto"/>
              <w:left w:val="nil"/>
              <w:bottom w:val="single" w:sz="4" w:space="0" w:color="auto"/>
              <w:right w:val="nil"/>
            </w:tcBorders>
            <w:tcMar>
              <w:top w:w="45" w:type="dxa"/>
              <w:left w:w="0" w:type="dxa"/>
              <w:bottom w:w="45" w:type="dxa"/>
              <w:right w:w="0" w:type="dxa"/>
            </w:tcMar>
            <w:hideMark/>
          </w:tcPr>
          <w:p w14:paraId="078809FC" w14:textId="77777777" w:rsidR="00FA0111" w:rsidRPr="008A7A35" w:rsidRDefault="00FA0111" w:rsidP="00FA0111">
            <w:pPr>
              <w:spacing w:after="200" w:line="276" w:lineRule="auto"/>
              <w:ind w:left="-89"/>
              <w:jc w:val="center"/>
              <w:rPr>
                <w:rFonts w:ascii="Arial" w:eastAsia="Calibri" w:hAnsi="Arial" w:cs="Arial"/>
                <w:sz w:val="20"/>
                <w:szCs w:val="20"/>
              </w:rPr>
            </w:pPr>
          </w:p>
        </w:tc>
        <w:tc>
          <w:tcPr>
            <w:tcW w:w="525"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08F3AB18" w14:textId="77777777" w:rsidR="00FA0111" w:rsidRPr="008A7A35" w:rsidRDefault="00FA0111" w:rsidP="00FA0111">
            <w:pPr>
              <w:spacing w:after="200" w:line="276" w:lineRule="auto"/>
              <w:ind w:left="-89"/>
              <w:jc w:val="center"/>
              <w:rPr>
                <w:rFonts w:ascii="Arial" w:eastAsia="Calibri" w:hAnsi="Arial" w:cs="Arial"/>
                <w:sz w:val="20"/>
                <w:szCs w:val="20"/>
              </w:rPr>
            </w:pPr>
          </w:p>
        </w:tc>
        <w:tc>
          <w:tcPr>
            <w:tcW w:w="460" w:type="pct"/>
            <w:tcBorders>
              <w:top w:val="single" w:sz="4" w:space="0" w:color="auto"/>
              <w:left w:val="nil"/>
              <w:bottom w:val="single" w:sz="4" w:space="0" w:color="auto"/>
              <w:right w:val="nil"/>
            </w:tcBorders>
            <w:tcMar>
              <w:top w:w="45" w:type="dxa"/>
              <w:left w:w="0" w:type="dxa"/>
              <w:bottom w:w="45" w:type="dxa"/>
              <w:right w:w="0" w:type="dxa"/>
            </w:tcMar>
            <w:vAlign w:val="bottom"/>
            <w:hideMark/>
          </w:tcPr>
          <w:p w14:paraId="06F76115" w14:textId="77777777" w:rsidR="00FA0111" w:rsidRPr="008A7A35" w:rsidRDefault="00FA0111" w:rsidP="00FA0111">
            <w:pPr>
              <w:spacing w:after="200" w:line="276" w:lineRule="auto"/>
              <w:ind w:left="-89"/>
              <w:jc w:val="center"/>
              <w:rPr>
                <w:rFonts w:ascii="Arial" w:eastAsia="Calibri" w:hAnsi="Arial" w:cs="Arial"/>
                <w:sz w:val="20"/>
                <w:szCs w:val="20"/>
              </w:rPr>
            </w:pPr>
          </w:p>
        </w:tc>
      </w:tr>
    </w:tbl>
    <w:p w14:paraId="74A20AE6" w14:textId="77777777" w:rsidR="00EE2006" w:rsidRPr="008A7A35" w:rsidRDefault="00EE2006" w:rsidP="006F2696">
      <w:pPr>
        <w:jc w:val="both"/>
        <w:rPr>
          <w:rFonts w:ascii="Arial" w:hAnsi="Arial" w:cs="Arial"/>
          <w:b/>
          <w:sz w:val="20"/>
          <w:szCs w:val="20"/>
        </w:rPr>
      </w:pPr>
    </w:p>
    <w:p w14:paraId="5423DB5D" w14:textId="77777777" w:rsidR="00B10266" w:rsidRPr="008A7A35" w:rsidRDefault="00B10266" w:rsidP="006F2696">
      <w:pPr>
        <w:jc w:val="both"/>
        <w:rPr>
          <w:rFonts w:ascii="Arial" w:hAnsi="Arial" w:cs="Arial"/>
          <w:sz w:val="20"/>
          <w:szCs w:val="20"/>
        </w:rPr>
      </w:pPr>
    </w:p>
    <w:p w14:paraId="667CE417" w14:textId="3A919BE9" w:rsidR="006F2696" w:rsidRPr="008A7A35" w:rsidRDefault="006F2696" w:rsidP="006F2696">
      <w:pPr>
        <w:jc w:val="both"/>
        <w:rPr>
          <w:rFonts w:ascii="Arial" w:hAnsi="Arial" w:cs="Arial"/>
          <w:sz w:val="16"/>
          <w:szCs w:val="16"/>
        </w:rPr>
      </w:pPr>
      <w:r w:rsidRPr="008A7A35">
        <w:rPr>
          <w:rFonts w:ascii="Arial" w:hAnsi="Arial" w:cs="Arial"/>
          <w:sz w:val="16"/>
          <w:szCs w:val="16"/>
          <w:vertAlign w:val="superscript"/>
        </w:rPr>
        <w:t>(1)</w:t>
      </w:r>
      <w:r w:rsidRPr="008A7A35">
        <w:rPr>
          <w:rFonts w:ascii="Arial" w:hAnsi="Arial" w:cs="Arial"/>
          <w:sz w:val="16"/>
          <w:szCs w:val="16"/>
        </w:rPr>
        <w:t xml:space="preserve"> Gross realised capital is total gross proceeds realised on invested capital. Of the $</w:t>
      </w:r>
      <w:r w:rsidR="006D2F85" w:rsidRPr="008A7A35">
        <w:rPr>
          <w:rFonts w:ascii="Arial" w:hAnsi="Arial" w:cs="Arial"/>
          <w:sz w:val="16"/>
          <w:szCs w:val="16"/>
        </w:rPr>
        <w:t>1,</w:t>
      </w:r>
      <w:r w:rsidR="00E80B4A">
        <w:rPr>
          <w:rFonts w:ascii="Arial" w:hAnsi="Arial" w:cs="Arial"/>
          <w:sz w:val="16"/>
          <w:szCs w:val="16"/>
        </w:rPr>
        <w:t>574</w:t>
      </w:r>
      <w:r w:rsidR="00042B4C" w:rsidRPr="008A7A35">
        <w:rPr>
          <w:rFonts w:ascii="Arial" w:hAnsi="Arial" w:cs="Arial"/>
          <w:bCs/>
          <w:sz w:val="20"/>
          <w:szCs w:val="20"/>
        </w:rPr>
        <w:t xml:space="preserve"> </w:t>
      </w:r>
      <w:r w:rsidRPr="008A7A35">
        <w:rPr>
          <w:rFonts w:ascii="Arial" w:hAnsi="Arial" w:cs="Arial"/>
          <w:sz w:val="16"/>
          <w:szCs w:val="16"/>
        </w:rPr>
        <w:t xml:space="preserve">million of capital realised to date, </w:t>
      </w:r>
      <w:r w:rsidR="00042B4C" w:rsidRPr="008A7A35">
        <w:rPr>
          <w:rFonts w:ascii="Arial" w:hAnsi="Arial" w:cs="Arial"/>
          <w:sz w:val="16"/>
          <w:szCs w:val="16"/>
        </w:rPr>
        <w:t>$</w:t>
      </w:r>
      <w:r w:rsidR="006D2F85" w:rsidRPr="008A7A35">
        <w:rPr>
          <w:rFonts w:ascii="Arial" w:hAnsi="Arial" w:cs="Arial"/>
          <w:sz w:val="16"/>
          <w:szCs w:val="16"/>
        </w:rPr>
        <w:t>1,</w:t>
      </w:r>
      <w:r w:rsidR="00E80B4A">
        <w:rPr>
          <w:rFonts w:ascii="Arial" w:hAnsi="Arial" w:cs="Arial"/>
          <w:sz w:val="16"/>
          <w:szCs w:val="16"/>
        </w:rPr>
        <w:t>206</w:t>
      </w:r>
      <w:r w:rsidR="00042B4C" w:rsidRPr="008A7A35">
        <w:rPr>
          <w:rFonts w:ascii="Arial" w:hAnsi="Arial" w:cs="Arial"/>
          <w:bCs/>
          <w:sz w:val="20"/>
          <w:szCs w:val="20"/>
        </w:rPr>
        <w:t xml:space="preserve"> </w:t>
      </w:r>
      <w:r w:rsidRPr="008A7A35">
        <w:rPr>
          <w:rFonts w:ascii="Arial" w:hAnsi="Arial" w:cs="Arial"/>
          <w:sz w:val="16"/>
          <w:szCs w:val="16"/>
        </w:rPr>
        <w:t>million is the return of the cost basis, and the remainder is profit.</w:t>
      </w:r>
    </w:p>
    <w:p w14:paraId="604741D6" w14:textId="77E73B93" w:rsidR="006F2696" w:rsidRPr="008A7A35" w:rsidRDefault="006F2696" w:rsidP="006F2696">
      <w:pPr>
        <w:jc w:val="both"/>
        <w:rPr>
          <w:rFonts w:ascii="Arial" w:hAnsi="Arial" w:cs="Arial"/>
          <w:sz w:val="16"/>
          <w:szCs w:val="16"/>
        </w:rPr>
      </w:pPr>
      <w:r w:rsidRPr="008A7A35">
        <w:rPr>
          <w:rFonts w:ascii="Arial" w:hAnsi="Arial" w:cs="Arial"/>
          <w:sz w:val="16"/>
          <w:szCs w:val="16"/>
          <w:vertAlign w:val="superscript"/>
        </w:rPr>
        <w:t>(2)</w:t>
      </w:r>
      <w:bookmarkStart w:id="4" w:name="_Hlk171606956"/>
      <w:r w:rsidRPr="008A7A35">
        <w:rPr>
          <w:rFonts w:ascii="Arial" w:eastAsiaTheme="minorHAnsi" w:hAnsi="Arial" w:cs="Arial"/>
          <w:sz w:val="16"/>
          <w:szCs w:val="16"/>
          <w:lang w:val="en-US"/>
        </w:rPr>
        <w:t xml:space="preserve"> </w:t>
      </w:r>
      <w:bookmarkStart w:id="5" w:name="_Hlk203136747"/>
      <w:r w:rsidRPr="008A7A35">
        <w:rPr>
          <w:rFonts w:ascii="Arial" w:hAnsi="Arial" w:cs="Arial"/>
          <w:sz w:val="16"/>
          <w:szCs w:val="16"/>
          <w:lang w:val="en-US"/>
        </w:rPr>
        <w:t xml:space="preserve">Gross </w:t>
      </w:r>
      <w:proofErr w:type="spellStart"/>
      <w:r w:rsidRPr="008A7A35">
        <w:rPr>
          <w:rFonts w:ascii="Arial" w:hAnsi="Arial" w:cs="Arial"/>
          <w:sz w:val="16"/>
          <w:szCs w:val="16"/>
          <w:lang w:val="en-US"/>
        </w:rPr>
        <w:t>Unrealised</w:t>
      </w:r>
      <w:proofErr w:type="spellEnd"/>
      <w:r w:rsidRPr="008A7A35">
        <w:rPr>
          <w:rFonts w:ascii="Arial" w:hAnsi="Arial" w:cs="Arial"/>
          <w:sz w:val="16"/>
          <w:szCs w:val="16"/>
          <w:lang w:val="en-US"/>
        </w:rPr>
        <w:t xml:space="preserve"> Value and Gross MOIC (Gross Multiple of Invested Capital) are before transaction costs, taxes (approximately 21 to 27.5 per cent. of U.S. sourced taxable income) and 20 per cent. </w:t>
      </w:r>
      <w:r w:rsidR="009D0581" w:rsidRPr="008A7A35">
        <w:rPr>
          <w:rFonts w:ascii="Arial" w:hAnsi="Arial" w:cs="Arial"/>
          <w:sz w:val="16"/>
          <w:szCs w:val="16"/>
          <w:lang w:val="en-US"/>
        </w:rPr>
        <w:t>performance fees</w:t>
      </w:r>
      <w:r w:rsidRPr="008A7A35">
        <w:rPr>
          <w:rFonts w:ascii="Arial" w:hAnsi="Arial" w:cs="Arial"/>
          <w:sz w:val="16"/>
          <w:szCs w:val="16"/>
          <w:lang w:val="en-US"/>
        </w:rPr>
        <w:t xml:space="preserve"> on applicable gross profits in accordance with the revised terms announced on 3 January 2020, but effective 30 June 2019. Since there was no netting of losses against gains before the </w:t>
      </w:r>
      <w:proofErr w:type="gramStart"/>
      <w:r w:rsidRPr="008A7A35">
        <w:rPr>
          <w:rFonts w:ascii="Arial" w:hAnsi="Arial" w:cs="Arial"/>
          <w:sz w:val="16"/>
          <w:szCs w:val="16"/>
          <w:lang w:val="en-US"/>
        </w:rPr>
        <w:t>aforementioned revised</w:t>
      </w:r>
      <w:proofErr w:type="gramEnd"/>
      <w:r w:rsidRPr="008A7A35">
        <w:rPr>
          <w:rFonts w:ascii="Arial" w:hAnsi="Arial" w:cs="Arial"/>
          <w:sz w:val="16"/>
          <w:szCs w:val="16"/>
          <w:lang w:val="en-US"/>
        </w:rPr>
        <w:t xml:space="preserve"> terms, the effective </w:t>
      </w:r>
      <w:proofErr w:type="gramStart"/>
      <w:r w:rsidR="009D0581" w:rsidRPr="008A7A35">
        <w:rPr>
          <w:rFonts w:ascii="Arial" w:hAnsi="Arial" w:cs="Arial"/>
          <w:sz w:val="16"/>
          <w:szCs w:val="16"/>
          <w:lang w:val="en-US"/>
        </w:rPr>
        <w:t>performance fees</w:t>
      </w:r>
      <w:proofErr w:type="gramEnd"/>
      <w:r w:rsidRPr="008A7A35">
        <w:rPr>
          <w:rFonts w:ascii="Arial" w:hAnsi="Arial" w:cs="Arial"/>
          <w:sz w:val="16"/>
          <w:szCs w:val="16"/>
          <w:lang w:val="en-US"/>
        </w:rPr>
        <w:t xml:space="preserve"> rate on the portfolio </w:t>
      </w:r>
      <w:proofErr w:type="gramStart"/>
      <w:r w:rsidRPr="008A7A35">
        <w:rPr>
          <w:rFonts w:ascii="Arial" w:hAnsi="Arial" w:cs="Arial"/>
          <w:sz w:val="16"/>
          <w:szCs w:val="16"/>
          <w:lang w:val="en-US"/>
        </w:rPr>
        <w:t>as a whole will</w:t>
      </w:r>
      <w:proofErr w:type="gramEnd"/>
      <w:r w:rsidRPr="008A7A35">
        <w:rPr>
          <w:rFonts w:ascii="Arial" w:hAnsi="Arial" w:cs="Arial"/>
          <w:sz w:val="16"/>
          <w:szCs w:val="16"/>
          <w:lang w:val="en-US"/>
        </w:rPr>
        <w:t xml:space="preserve"> be greater than 20 per cent. </w:t>
      </w:r>
      <w:r w:rsidR="00F87F81">
        <w:rPr>
          <w:rFonts w:ascii="Arial" w:hAnsi="Arial" w:cs="Arial"/>
          <w:sz w:val="16"/>
          <w:szCs w:val="16"/>
          <w:lang w:val="en-US"/>
        </w:rPr>
        <w:t xml:space="preserve">On 22 August 2025 amendments were made to the Investment Management Agreement to remove the performance fee mechanism. Under the previous arrangements with the Investment Manager, no </w:t>
      </w:r>
      <w:r w:rsidRPr="008A7A35">
        <w:rPr>
          <w:rFonts w:ascii="Arial" w:hAnsi="Arial" w:cs="Arial"/>
          <w:sz w:val="16"/>
          <w:szCs w:val="16"/>
          <w:lang w:val="en-US"/>
        </w:rPr>
        <w:t xml:space="preserve">further </w:t>
      </w:r>
      <w:r w:rsidR="009D0581" w:rsidRPr="008A7A35">
        <w:rPr>
          <w:rFonts w:ascii="Arial" w:hAnsi="Arial" w:cs="Arial"/>
          <w:sz w:val="16"/>
          <w:szCs w:val="16"/>
          <w:lang w:val="en-US"/>
        </w:rPr>
        <w:t>performance fees</w:t>
      </w:r>
      <w:r w:rsidRPr="008A7A35">
        <w:rPr>
          <w:rFonts w:ascii="Arial" w:hAnsi="Arial" w:cs="Arial"/>
          <w:sz w:val="16"/>
          <w:szCs w:val="16"/>
          <w:lang w:val="en-US"/>
        </w:rPr>
        <w:t xml:space="preserve"> </w:t>
      </w:r>
      <w:r w:rsidR="00F87F81">
        <w:rPr>
          <w:rFonts w:ascii="Arial" w:hAnsi="Arial" w:cs="Arial"/>
          <w:sz w:val="16"/>
          <w:szCs w:val="16"/>
          <w:lang w:val="en-US"/>
        </w:rPr>
        <w:t xml:space="preserve">were </w:t>
      </w:r>
      <w:r w:rsidRPr="008A7A35">
        <w:rPr>
          <w:rFonts w:ascii="Arial" w:hAnsi="Arial" w:cs="Arial"/>
          <w:sz w:val="16"/>
          <w:szCs w:val="16"/>
          <w:lang w:val="en-US"/>
        </w:rPr>
        <w:t xml:space="preserve">payable until the </w:t>
      </w:r>
      <w:r w:rsidR="003F2723" w:rsidRPr="008A7A35">
        <w:rPr>
          <w:rFonts w:ascii="Arial" w:hAnsi="Arial" w:cs="Arial"/>
          <w:sz w:val="16"/>
          <w:szCs w:val="16"/>
          <w:lang w:val="en-US"/>
        </w:rPr>
        <w:t>$</w:t>
      </w:r>
      <w:r w:rsidR="006D2F85" w:rsidRPr="008A7A35">
        <w:rPr>
          <w:rFonts w:ascii="Arial" w:hAnsi="Arial" w:cs="Arial"/>
          <w:sz w:val="16"/>
          <w:szCs w:val="16"/>
        </w:rPr>
        <w:t>14</w:t>
      </w:r>
      <w:r w:rsidR="00A81373">
        <w:rPr>
          <w:rFonts w:ascii="Arial" w:hAnsi="Arial" w:cs="Arial"/>
          <w:sz w:val="16"/>
          <w:szCs w:val="16"/>
        </w:rPr>
        <w:t>9</w:t>
      </w:r>
      <w:r w:rsidR="006D2F85" w:rsidRPr="008A7A35">
        <w:rPr>
          <w:rFonts w:ascii="Arial" w:hAnsi="Arial" w:cs="Arial"/>
          <w:sz w:val="16"/>
          <w:szCs w:val="16"/>
        </w:rPr>
        <w:t>.9</w:t>
      </w:r>
      <w:r w:rsidRPr="008A7A35">
        <w:rPr>
          <w:rFonts w:ascii="Arial" w:hAnsi="Arial" w:cs="Arial"/>
          <w:sz w:val="16"/>
          <w:szCs w:val="16"/>
          <w:lang w:val="en-US"/>
        </w:rPr>
        <w:t xml:space="preserve"> </w:t>
      </w:r>
      <w:proofErr w:type="spellStart"/>
      <w:r w:rsidRPr="008A7A35">
        <w:rPr>
          <w:rFonts w:ascii="Arial" w:hAnsi="Arial" w:cs="Arial"/>
          <w:sz w:val="16"/>
          <w:szCs w:val="16"/>
          <w:lang w:val="en-US"/>
        </w:rPr>
        <w:t>million</w:t>
      </w:r>
      <w:proofErr w:type="spellEnd"/>
      <w:r w:rsidRPr="008A7A35">
        <w:rPr>
          <w:rFonts w:ascii="Arial" w:hAnsi="Arial" w:cs="Arial"/>
          <w:sz w:val="16"/>
          <w:szCs w:val="16"/>
          <w:lang w:val="en-US"/>
        </w:rPr>
        <w:t xml:space="preserve"> of </w:t>
      </w:r>
      <w:proofErr w:type="spellStart"/>
      <w:r w:rsidRPr="008A7A35">
        <w:rPr>
          <w:rFonts w:ascii="Arial" w:hAnsi="Arial" w:cs="Arial"/>
          <w:sz w:val="16"/>
          <w:szCs w:val="16"/>
          <w:lang w:val="en-US"/>
        </w:rPr>
        <w:t>realised</w:t>
      </w:r>
      <w:proofErr w:type="spellEnd"/>
      <w:r w:rsidRPr="008A7A35">
        <w:rPr>
          <w:rFonts w:ascii="Arial" w:hAnsi="Arial" w:cs="Arial"/>
          <w:sz w:val="16"/>
          <w:szCs w:val="16"/>
          <w:lang w:val="en-US"/>
        </w:rPr>
        <w:t xml:space="preserve"> and </w:t>
      </w:r>
      <w:proofErr w:type="spellStart"/>
      <w:r w:rsidRPr="008A7A35">
        <w:rPr>
          <w:rFonts w:ascii="Arial" w:hAnsi="Arial" w:cs="Arial"/>
          <w:sz w:val="16"/>
          <w:szCs w:val="16"/>
          <w:lang w:val="en-US"/>
        </w:rPr>
        <w:t>unrealised</w:t>
      </w:r>
      <w:proofErr w:type="spellEnd"/>
      <w:r w:rsidRPr="008A7A35">
        <w:rPr>
          <w:rFonts w:ascii="Arial" w:hAnsi="Arial" w:cs="Arial"/>
          <w:sz w:val="16"/>
          <w:szCs w:val="16"/>
          <w:lang w:val="en-US"/>
        </w:rPr>
        <w:t xml:space="preserve"> losses to date </w:t>
      </w:r>
      <w:proofErr w:type="gramStart"/>
      <w:r w:rsidRPr="008A7A35">
        <w:rPr>
          <w:rFonts w:ascii="Arial" w:hAnsi="Arial" w:cs="Arial"/>
          <w:sz w:val="16"/>
          <w:szCs w:val="16"/>
          <w:lang w:val="en-US"/>
        </w:rPr>
        <w:t>at</w:t>
      </w:r>
      <w:proofErr w:type="gramEnd"/>
      <w:r w:rsidRPr="008A7A35">
        <w:rPr>
          <w:rFonts w:ascii="Arial" w:hAnsi="Arial" w:cs="Arial"/>
          <w:sz w:val="16"/>
          <w:szCs w:val="16"/>
          <w:lang w:val="en-US"/>
        </w:rPr>
        <w:t xml:space="preserve"> 30 June 202</w:t>
      </w:r>
      <w:r w:rsidR="00042B4C" w:rsidRPr="008A7A35">
        <w:rPr>
          <w:rFonts w:ascii="Arial" w:hAnsi="Arial" w:cs="Arial"/>
          <w:sz w:val="16"/>
          <w:szCs w:val="16"/>
          <w:lang w:val="en-US"/>
        </w:rPr>
        <w:t>5</w:t>
      </w:r>
      <w:r w:rsidRPr="008A7A35">
        <w:rPr>
          <w:rFonts w:ascii="Arial" w:hAnsi="Arial" w:cs="Arial"/>
          <w:sz w:val="16"/>
          <w:szCs w:val="16"/>
          <w:lang w:val="en-US"/>
        </w:rPr>
        <w:t xml:space="preserve"> </w:t>
      </w:r>
      <w:r w:rsidR="00F87F81">
        <w:rPr>
          <w:rFonts w:ascii="Arial" w:hAnsi="Arial" w:cs="Arial"/>
          <w:sz w:val="16"/>
          <w:szCs w:val="16"/>
          <w:lang w:val="en-US"/>
        </w:rPr>
        <w:t xml:space="preserve">were </w:t>
      </w:r>
      <w:r w:rsidRPr="008A7A35">
        <w:rPr>
          <w:rFonts w:ascii="Arial" w:hAnsi="Arial" w:cs="Arial"/>
          <w:sz w:val="16"/>
          <w:szCs w:val="16"/>
          <w:lang w:val="en-US"/>
        </w:rPr>
        <w:t xml:space="preserve">made whole with future gains. Since </w:t>
      </w:r>
      <w:r w:rsidR="00F87F81">
        <w:rPr>
          <w:rFonts w:ascii="Arial" w:hAnsi="Arial" w:cs="Arial"/>
          <w:sz w:val="16"/>
          <w:szCs w:val="16"/>
          <w:lang w:val="en-US"/>
        </w:rPr>
        <w:t xml:space="preserve">the Company had </w:t>
      </w:r>
      <w:r w:rsidRPr="008A7A35">
        <w:rPr>
          <w:rFonts w:ascii="Arial" w:hAnsi="Arial" w:cs="Arial"/>
          <w:sz w:val="16"/>
          <w:szCs w:val="16"/>
          <w:lang w:val="en-US"/>
        </w:rPr>
        <w:t xml:space="preserve">not yet met the appropriate Cost Benchmark </w:t>
      </w:r>
      <w:proofErr w:type="gramStart"/>
      <w:r w:rsidRPr="008A7A35">
        <w:rPr>
          <w:rFonts w:ascii="Arial" w:hAnsi="Arial" w:cs="Arial"/>
          <w:sz w:val="16"/>
          <w:szCs w:val="16"/>
          <w:lang w:val="en-US"/>
        </w:rPr>
        <w:t>at</w:t>
      </w:r>
      <w:proofErr w:type="gramEnd"/>
      <w:r w:rsidRPr="008A7A35">
        <w:rPr>
          <w:rFonts w:ascii="Arial" w:hAnsi="Arial" w:cs="Arial"/>
          <w:sz w:val="16"/>
          <w:szCs w:val="16"/>
          <w:lang w:val="en-US"/>
        </w:rPr>
        <w:t xml:space="preserve"> 30 June 202</w:t>
      </w:r>
      <w:r w:rsidR="00042B4C" w:rsidRPr="008A7A35">
        <w:rPr>
          <w:rFonts w:ascii="Arial" w:hAnsi="Arial" w:cs="Arial"/>
          <w:sz w:val="16"/>
          <w:szCs w:val="16"/>
          <w:lang w:val="en-US"/>
        </w:rPr>
        <w:t>5</w:t>
      </w:r>
      <w:r w:rsidRPr="008A7A35">
        <w:rPr>
          <w:rFonts w:ascii="Arial" w:hAnsi="Arial" w:cs="Arial"/>
          <w:sz w:val="16"/>
          <w:szCs w:val="16"/>
          <w:lang w:val="en-US"/>
        </w:rPr>
        <w:t>, $</w:t>
      </w:r>
      <w:r w:rsidR="006D2F85" w:rsidRPr="008A7A35">
        <w:rPr>
          <w:rFonts w:ascii="Arial" w:hAnsi="Arial" w:cs="Arial"/>
          <w:sz w:val="16"/>
          <w:szCs w:val="16"/>
        </w:rPr>
        <w:t>22.1</w:t>
      </w:r>
      <w:r w:rsidR="00042B4C" w:rsidRPr="008A7A35">
        <w:rPr>
          <w:rFonts w:ascii="Arial" w:hAnsi="Arial" w:cs="Arial"/>
          <w:bCs/>
          <w:sz w:val="20"/>
          <w:szCs w:val="20"/>
        </w:rPr>
        <w:t xml:space="preserve"> </w:t>
      </w:r>
      <w:r w:rsidRPr="008A7A35">
        <w:rPr>
          <w:rFonts w:ascii="Arial" w:hAnsi="Arial" w:cs="Arial"/>
          <w:sz w:val="16"/>
          <w:szCs w:val="16"/>
          <w:lang w:val="en-US"/>
        </w:rPr>
        <w:t xml:space="preserve">million in Performance Allocation </w:t>
      </w:r>
      <w:r w:rsidR="00235BE2" w:rsidRPr="008A7A35">
        <w:rPr>
          <w:rFonts w:ascii="Arial" w:hAnsi="Arial" w:cs="Arial"/>
          <w:sz w:val="16"/>
          <w:szCs w:val="16"/>
          <w:lang w:val="en-US"/>
        </w:rPr>
        <w:t>F</w:t>
      </w:r>
      <w:r w:rsidRPr="008A7A35">
        <w:rPr>
          <w:rFonts w:ascii="Arial" w:hAnsi="Arial" w:cs="Arial"/>
          <w:sz w:val="16"/>
          <w:szCs w:val="16"/>
          <w:lang w:val="en-US"/>
        </w:rPr>
        <w:t xml:space="preserve">ees that would have been due under the prior agreement were not accrued. In addition, </w:t>
      </w:r>
      <w:r w:rsidR="00F87F81">
        <w:rPr>
          <w:rFonts w:ascii="Arial" w:hAnsi="Arial" w:cs="Arial"/>
          <w:sz w:val="16"/>
          <w:szCs w:val="16"/>
          <w:lang w:val="en-US"/>
        </w:rPr>
        <w:t xml:space="preserve">and to 22 August 2025 there was </w:t>
      </w:r>
      <w:r w:rsidRPr="008A7A35">
        <w:rPr>
          <w:rFonts w:ascii="Arial" w:hAnsi="Arial" w:cs="Arial"/>
          <w:sz w:val="16"/>
          <w:szCs w:val="16"/>
          <w:lang w:val="en-US"/>
        </w:rPr>
        <w:t>a management fee of</w:t>
      </w:r>
      <w:r w:rsidR="005F5057" w:rsidRPr="008A7A35">
        <w:rPr>
          <w:rFonts w:ascii="Arial" w:hAnsi="Arial" w:cs="Arial"/>
          <w:sz w:val="16"/>
          <w:szCs w:val="16"/>
          <w:lang w:val="en-US"/>
        </w:rPr>
        <w:t xml:space="preserve"> </w:t>
      </w:r>
      <w:r w:rsidRPr="008A7A35">
        <w:rPr>
          <w:rFonts w:ascii="Arial" w:hAnsi="Arial" w:cs="Arial"/>
          <w:sz w:val="16"/>
          <w:szCs w:val="16"/>
          <w:lang w:val="en-US"/>
        </w:rPr>
        <w:t xml:space="preserve">1.5 per cent. of net assets (including cash) per annum and other expenses. Given these costs, fees and expenses are in aggregate expected to be considerable, Total Net Value and Net MOIC will be materially less than Gross </w:t>
      </w:r>
      <w:proofErr w:type="spellStart"/>
      <w:r w:rsidRPr="008A7A35">
        <w:rPr>
          <w:rFonts w:ascii="Arial" w:hAnsi="Arial" w:cs="Arial"/>
          <w:sz w:val="16"/>
          <w:szCs w:val="16"/>
          <w:lang w:val="en-US"/>
        </w:rPr>
        <w:t>Unrealised</w:t>
      </w:r>
      <w:proofErr w:type="spellEnd"/>
      <w:r w:rsidRPr="008A7A35">
        <w:rPr>
          <w:rFonts w:ascii="Arial" w:hAnsi="Arial" w:cs="Arial"/>
          <w:sz w:val="16"/>
          <w:szCs w:val="16"/>
          <w:lang w:val="en-US"/>
        </w:rPr>
        <w:t xml:space="preserve"> Value and Gross MOIC. Local taxes, primarily on U.S. assets, may apply at the jurisdictional level on profits arising in operating entity investments. Further withholding taxes may apply on distributions from such operating entity investments. In the normal course of business, </w:t>
      </w:r>
      <w:r w:rsidR="00F87F81">
        <w:rPr>
          <w:rFonts w:ascii="Arial" w:hAnsi="Arial" w:cs="Arial"/>
          <w:sz w:val="16"/>
          <w:szCs w:val="16"/>
          <w:lang w:val="en-US"/>
        </w:rPr>
        <w:t xml:space="preserve">the Company </w:t>
      </w:r>
      <w:r w:rsidRPr="008A7A35">
        <w:rPr>
          <w:rFonts w:ascii="Arial" w:hAnsi="Arial" w:cs="Arial"/>
          <w:sz w:val="16"/>
          <w:szCs w:val="16"/>
          <w:lang w:val="en-US"/>
        </w:rPr>
        <w:t xml:space="preserve">may form </w:t>
      </w:r>
      <w:proofErr w:type="gramStart"/>
      <w:r w:rsidRPr="008A7A35">
        <w:rPr>
          <w:rFonts w:ascii="Arial" w:hAnsi="Arial" w:cs="Arial"/>
          <w:sz w:val="16"/>
          <w:szCs w:val="16"/>
          <w:lang w:val="en-US"/>
        </w:rPr>
        <w:t>wholly-owned</w:t>
      </w:r>
      <w:proofErr w:type="gramEnd"/>
      <w:r w:rsidRPr="008A7A35">
        <w:rPr>
          <w:rFonts w:ascii="Arial" w:hAnsi="Arial" w:cs="Arial"/>
          <w:sz w:val="16"/>
          <w:szCs w:val="16"/>
          <w:lang w:val="en-US"/>
        </w:rPr>
        <w:t xml:space="preserve"> subsidiaries, to be treated as C Corporations for US tax purposes. The C Corporations serve to protect </w:t>
      </w:r>
      <w:r w:rsidR="00F87F81">
        <w:rPr>
          <w:rFonts w:ascii="Arial" w:hAnsi="Arial" w:cs="Arial"/>
          <w:sz w:val="16"/>
          <w:szCs w:val="16"/>
          <w:lang w:val="en-US"/>
        </w:rPr>
        <w:t xml:space="preserve">the Company’s </w:t>
      </w:r>
      <w:r w:rsidRPr="008A7A35">
        <w:rPr>
          <w:rFonts w:ascii="Arial" w:hAnsi="Arial" w:cs="Arial"/>
          <w:sz w:val="16"/>
          <w:szCs w:val="16"/>
          <w:lang w:val="en-US"/>
        </w:rPr>
        <w:t>public investors from incurring U.S. effectively connected income. The C Corporations file U.S. corporate tax returns with the U.S. Internal Revenue Service and pay U.S. corporate taxes on its taxable income.</w:t>
      </w:r>
      <w:bookmarkEnd w:id="4"/>
      <w:bookmarkEnd w:id="5"/>
    </w:p>
    <w:p w14:paraId="28B595C5" w14:textId="77777777" w:rsidR="006F2696" w:rsidRPr="008A7A35" w:rsidRDefault="006F2696" w:rsidP="006F2696">
      <w:pPr>
        <w:jc w:val="both"/>
        <w:rPr>
          <w:rFonts w:ascii="Arial" w:hAnsi="Arial" w:cs="Arial"/>
          <w:sz w:val="16"/>
          <w:szCs w:val="16"/>
        </w:rPr>
      </w:pPr>
      <w:r w:rsidRPr="008A7A35">
        <w:rPr>
          <w:rFonts w:ascii="Arial" w:hAnsi="Arial" w:cs="Arial"/>
          <w:sz w:val="16"/>
          <w:szCs w:val="16"/>
          <w:vertAlign w:val="superscript"/>
        </w:rPr>
        <w:t>(3)</w:t>
      </w:r>
      <w:r w:rsidRPr="008A7A35">
        <w:rPr>
          <w:rFonts w:ascii="Arial" w:hAnsi="Arial" w:cs="Arial"/>
          <w:sz w:val="16"/>
          <w:szCs w:val="16"/>
        </w:rPr>
        <w:t xml:space="preserve"> Amounts may vary due to rounding.</w:t>
      </w:r>
    </w:p>
    <w:p w14:paraId="593F770A" w14:textId="581DF0ED" w:rsidR="006F2696" w:rsidRPr="008A7A35" w:rsidRDefault="006F2696" w:rsidP="006F2696">
      <w:pPr>
        <w:jc w:val="both"/>
        <w:rPr>
          <w:rFonts w:ascii="Arial" w:hAnsi="Arial" w:cs="Arial"/>
          <w:sz w:val="16"/>
          <w:szCs w:val="16"/>
          <w:lang w:val="en-US"/>
        </w:rPr>
      </w:pPr>
      <w:r w:rsidRPr="008A7A35">
        <w:rPr>
          <w:rFonts w:ascii="Arial" w:hAnsi="Arial" w:cs="Arial"/>
          <w:sz w:val="16"/>
          <w:szCs w:val="16"/>
          <w:vertAlign w:val="superscript"/>
        </w:rPr>
        <w:t>(4)</w:t>
      </w:r>
      <w:r w:rsidRPr="008A7A35">
        <w:rPr>
          <w:rFonts w:ascii="Arial" w:hAnsi="Arial" w:cs="Arial"/>
          <w:sz w:val="16"/>
          <w:szCs w:val="16"/>
        </w:rPr>
        <w:t xml:space="preserve"> </w:t>
      </w:r>
      <w:bookmarkStart w:id="6" w:name="_Hlk171607028"/>
      <w:bookmarkStart w:id="7" w:name="_Hlk203121206"/>
      <w:r w:rsidRPr="008A7A35">
        <w:rPr>
          <w:rFonts w:ascii="Arial" w:hAnsi="Arial" w:cs="Arial"/>
          <w:sz w:val="16"/>
          <w:szCs w:val="16"/>
          <w:lang w:val="en-US"/>
        </w:rPr>
        <w:t>Represents closing price per share in USD for publicly traded shares Permian Resources Corporation</w:t>
      </w:r>
      <w:r w:rsidR="00042B4C" w:rsidRPr="008A7A35">
        <w:rPr>
          <w:rFonts w:ascii="Arial" w:hAnsi="Arial" w:cs="Arial"/>
          <w:sz w:val="16"/>
          <w:szCs w:val="16"/>
          <w:lang w:val="en-US"/>
        </w:rPr>
        <w:t xml:space="preserve"> </w:t>
      </w:r>
      <w:r w:rsidRPr="008A7A35">
        <w:rPr>
          <w:rFonts w:ascii="Arial" w:hAnsi="Arial" w:cs="Arial"/>
          <w:sz w:val="16"/>
          <w:szCs w:val="16"/>
          <w:lang w:val="en-US"/>
        </w:rPr>
        <w:t>(NASDAQ:PR – 30-06-202</w:t>
      </w:r>
      <w:r w:rsidR="00042B4C" w:rsidRPr="008A7A35">
        <w:rPr>
          <w:rFonts w:ascii="Arial" w:hAnsi="Arial" w:cs="Arial"/>
          <w:sz w:val="16"/>
          <w:szCs w:val="16"/>
          <w:lang w:val="en-US"/>
        </w:rPr>
        <w:t>5</w:t>
      </w:r>
      <w:r w:rsidRPr="008A7A35">
        <w:rPr>
          <w:rFonts w:ascii="Arial" w:hAnsi="Arial" w:cs="Arial"/>
          <w:sz w:val="16"/>
          <w:szCs w:val="16"/>
          <w:lang w:val="en-US"/>
        </w:rPr>
        <w:t>: $</w:t>
      </w:r>
      <w:r w:rsidR="006D2F85" w:rsidRPr="008A7A35">
        <w:rPr>
          <w:rFonts w:ascii="Arial" w:hAnsi="Arial" w:cs="Arial"/>
          <w:sz w:val="16"/>
          <w:szCs w:val="16"/>
        </w:rPr>
        <w:t>13.62</w:t>
      </w:r>
      <w:r w:rsidRPr="008A7A35">
        <w:rPr>
          <w:rFonts w:ascii="Arial" w:hAnsi="Arial" w:cs="Arial"/>
          <w:sz w:val="16"/>
          <w:szCs w:val="16"/>
          <w:lang w:val="en-US"/>
        </w:rPr>
        <w:t xml:space="preserve"> per share / </w:t>
      </w:r>
      <w:r w:rsidR="00DF5393">
        <w:rPr>
          <w:rFonts w:ascii="Arial" w:hAnsi="Arial" w:cs="Arial"/>
          <w:sz w:val="16"/>
          <w:szCs w:val="16"/>
          <w:lang w:val="en-US"/>
        </w:rPr>
        <w:t>31-12-2024: $14.38</w:t>
      </w:r>
      <w:r w:rsidRPr="008A7A35">
        <w:rPr>
          <w:rFonts w:ascii="Arial" w:hAnsi="Arial" w:cs="Arial"/>
          <w:sz w:val="16"/>
          <w:szCs w:val="16"/>
          <w:lang w:val="en-US"/>
        </w:rPr>
        <w:t xml:space="preserve"> price per share); Solid Power, Inc. (NASDAQ:SLDP – 30-06-202</w:t>
      </w:r>
      <w:r w:rsidR="00042B4C" w:rsidRPr="008A7A35">
        <w:rPr>
          <w:rFonts w:ascii="Arial" w:hAnsi="Arial" w:cs="Arial"/>
          <w:sz w:val="16"/>
          <w:szCs w:val="16"/>
          <w:lang w:val="en-US"/>
        </w:rPr>
        <w:t>5</w:t>
      </w:r>
      <w:r w:rsidRPr="008A7A35">
        <w:rPr>
          <w:rFonts w:ascii="Arial" w:hAnsi="Arial" w:cs="Arial"/>
          <w:sz w:val="16"/>
          <w:szCs w:val="16"/>
          <w:lang w:val="en-US"/>
        </w:rPr>
        <w:t>: $</w:t>
      </w:r>
      <w:r w:rsidR="006D2F85" w:rsidRPr="008A7A35">
        <w:rPr>
          <w:rFonts w:ascii="Arial" w:hAnsi="Arial" w:cs="Arial"/>
          <w:sz w:val="16"/>
          <w:szCs w:val="16"/>
        </w:rPr>
        <w:t>2.19</w:t>
      </w:r>
      <w:r w:rsidRPr="008A7A35">
        <w:rPr>
          <w:rFonts w:ascii="Arial" w:hAnsi="Arial" w:cs="Arial"/>
          <w:sz w:val="16"/>
          <w:szCs w:val="16"/>
          <w:lang w:val="en-US"/>
        </w:rPr>
        <w:t xml:space="preserve"> per share / 31-</w:t>
      </w:r>
      <w:r w:rsidR="00DF5393">
        <w:rPr>
          <w:rFonts w:ascii="Arial" w:hAnsi="Arial" w:cs="Arial"/>
          <w:sz w:val="16"/>
          <w:szCs w:val="16"/>
          <w:lang w:val="en-US"/>
        </w:rPr>
        <w:t>12</w:t>
      </w:r>
      <w:r w:rsidRPr="008A7A35">
        <w:rPr>
          <w:rFonts w:ascii="Arial" w:hAnsi="Arial" w:cs="Arial"/>
          <w:sz w:val="16"/>
          <w:szCs w:val="16"/>
          <w:lang w:val="en-US"/>
        </w:rPr>
        <w:t>-202</w:t>
      </w:r>
      <w:r w:rsidR="00DF5393">
        <w:rPr>
          <w:rFonts w:ascii="Arial" w:hAnsi="Arial" w:cs="Arial"/>
          <w:sz w:val="16"/>
          <w:szCs w:val="16"/>
          <w:lang w:val="en-US"/>
        </w:rPr>
        <w:t>4</w:t>
      </w:r>
      <w:r w:rsidRPr="008A7A35">
        <w:rPr>
          <w:rFonts w:ascii="Arial" w:hAnsi="Arial" w:cs="Arial"/>
          <w:sz w:val="16"/>
          <w:szCs w:val="16"/>
          <w:lang w:val="en-US"/>
        </w:rPr>
        <w:t>: $</w:t>
      </w:r>
      <w:r w:rsidR="00042B4C" w:rsidRPr="008A7A35">
        <w:rPr>
          <w:rFonts w:ascii="Arial" w:hAnsi="Arial" w:cs="Arial"/>
          <w:sz w:val="16"/>
          <w:szCs w:val="16"/>
          <w:lang w:val="en-US"/>
        </w:rPr>
        <w:t>1.</w:t>
      </w:r>
      <w:r w:rsidR="00DF5393">
        <w:rPr>
          <w:rFonts w:ascii="Arial" w:hAnsi="Arial" w:cs="Arial"/>
          <w:sz w:val="16"/>
          <w:szCs w:val="16"/>
          <w:lang w:val="en-US"/>
        </w:rPr>
        <w:t>89</w:t>
      </w:r>
      <w:r w:rsidRPr="008A7A35">
        <w:rPr>
          <w:rFonts w:ascii="Arial" w:hAnsi="Arial" w:cs="Arial"/>
          <w:sz w:val="16"/>
          <w:szCs w:val="16"/>
          <w:lang w:val="en-US"/>
        </w:rPr>
        <w:t xml:space="preserve"> price per share); and </w:t>
      </w:r>
      <w:r w:rsidR="00FA7C41" w:rsidRPr="008A7A35">
        <w:rPr>
          <w:rFonts w:ascii="Arial" w:hAnsi="Arial" w:cs="Arial"/>
          <w:sz w:val="16"/>
          <w:szCs w:val="16"/>
          <w:lang w:val="en-US"/>
        </w:rPr>
        <w:t>Whitecap Resources</w:t>
      </w:r>
      <w:r w:rsidR="00EA4055" w:rsidRPr="008A7A35">
        <w:rPr>
          <w:rFonts w:ascii="Arial" w:hAnsi="Arial" w:cs="Arial"/>
          <w:sz w:val="16"/>
          <w:szCs w:val="16"/>
          <w:lang w:val="en-US"/>
        </w:rPr>
        <w:t>, Inc</w:t>
      </w:r>
      <w:r w:rsidR="00A34004" w:rsidRPr="008A7A35">
        <w:rPr>
          <w:rFonts w:ascii="Arial" w:hAnsi="Arial" w:cs="Arial"/>
          <w:sz w:val="16"/>
          <w:szCs w:val="16"/>
          <w:lang w:val="en-US"/>
        </w:rPr>
        <w:t>.</w:t>
      </w:r>
      <w:r w:rsidRPr="008A7A35">
        <w:rPr>
          <w:rFonts w:ascii="Arial" w:hAnsi="Arial" w:cs="Arial"/>
          <w:sz w:val="16"/>
          <w:szCs w:val="16"/>
          <w:lang w:val="en-US"/>
        </w:rPr>
        <w:t xml:space="preserve"> (</w:t>
      </w:r>
      <w:r w:rsidR="009A4EB9" w:rsidRPr="008A7A35">
        <w:rPr>
          <w:rFonts w:ascii="Arial" w:hAnsi="Arial" w:cs="Arial"/>
          <w:sz w:val="16"/>
          <w:szCs w:val="16"/>
          <w:lang w:val="en-US"/>
        </w:rPr>
        <w:t>T</w:t>
      </w:r>
      <w:r w:rsidR="00122561" w:rsidRPr="008A7A35">
        <w:rPr>
          <w:rFonts w:ascii="Arial" w:hAnsi="Arial" w:cs="Arial"/>
          <w:sz w:val="16"/>
          <w:szCs w:val="16"/>
          <w:lang w:val="en-US"/>
        </w:rPr>
        <w:t>SX</w:t>
      </w:r>
      <w:r w:rsidRPr="008A7A35">
        <w:rPr>
          <w:rFonts w:ascii="Arial" w:hAnsi="Arial" w:cs="Arial"/>
          <w:sz w:val="16"/>
          <w:szCs w:val="16"/>
          <w:lang w:val="en-US"/>
        </w:rPr>
        <w:t xml:space="preserve">: </w:t>
      </w:r>
      <w:r w:rsidR="009A4EB9" w:rsidRPr="008A7A35">
        <w:rPr>
          <w:rFonts w:ascii="Arial" w:hAnsi="Arial" w:cs="Arial"/>
          <w:sz w:val="16"/>
          <w:szCs w:val="16"/>
          <w:lang w:val="en-US"/>
        </w:rPr>
        <w:t>WCP</w:t>
      </w:r>
      <w:r w:rsidRPr="008A7A35">
        <w:rPr>
          <w:rFonts w:ascii="Arial" w:hAnsi="Arial" w:cs="Arial"/>
          <w:sz w:val="16"/>
          <w:szCs w:val="16"/>
          <w:lang w:val="en-US"/>
        </w:rPr>
        <w:t xml:space="preserve"> – 30-06-202</w:t>
      </w:r>
      <w:r w:rsidR="00042B4C" w:rsidRPr="008A7A35">
        <w:rPr>
          <w:rFonts w:ascii="Arial" w:hAnsi="Arial" w:cs="Arial"/>
          <w:sz w:val="16"/>
          <w:szCs w:val="16"/>
          <w:lang w:val="en-US"/>
        </w:rPr>
        <w:t>5</w:t>
      </w:r>
      <w:r w:rsidRPr="008A7A35">
        <w:rPr>
          <w:rFonts w:ascii="Arial" w:hAnsi="Arial" w:cs="Arial"/>
          <w:sz w:val="16"/>
          <w:szCs w:val="16"/>
          <w:lang w:val="en-US"/>
        </w:rPr>
        <w:t xml:space="preserve">: CAD </w:t>
      </w:r>
      <w:r w:rsidR="006D2F85" w:rsidRPr="008A7A35">
        <w:rPr>
          <w:rFonts w:ascii="Arial" w:hAnsi="Arial" w:cs="Arial"/>
          <w:sz w:val="16"/>
          <w:szCs w:val="16"/>
        </w:rPr>
        <w:t>9.15</w:t>
      </w:r>
      <w:r w:rsidRPr="008A7A35">
        <w:rPr>
          <w:rFonts w:ascii="Arial" w:hAnsi="Arial" w:cs="Arial"/>
          <w:sz w:val="16"/>
          <w:szCs w:val="16"/>
          <w:lang w:val="en-US"/>
        </w:rPr>
        <w:t xml:space="preserve"> per share</w:t>
      </w:r>
      <w:r w:rsidR="007F3D87">
        <w:rPr>
          <w:rFonts w:ascii="Arial" w:hAnsi="Arial" w:cs="Arial"/>
          <w:sz w:val="16"/>
          <w:szCs w:val="16"/>
          <w:lang w:val="en-US"/>
        </w:rPr>
        <w:t>, which reflects merger consideration of 1.05:1 Whitecap shares for existing Veren shares</w:t>
      </w:r>
      <w:r w:rsidR="00132AC0">
        <w:rPr>
          <w:rFonts w:ascii="Arial" w:hAnsi="Arial" w:cs="Arial"/>
          <w:sz w:val="16"/>
          <w:szCs w:val="16"/>
          <w:lang w:val="en-US"/>
        </w:rPr>
        <w:t>)</w:t>
      </w:r>
      <w:r w:rsidRPr="008A7A35">
        <w:rPr>
          <w:rFonts w:ascii="Arial" w:hAnsi="Arial" w:cs="Arial"/>
          <w:sz w:val="16"/>
          <w:szCs w:val="16"/>
          <w:lang w:val="en-US"/>
        </w:rPr>
        <w:t xml:space="preserve"> / </w:t>
      </w:r>
      <w:r w:rsidR="00132AC0">
        <w:rPr>
          <w:rFonts w:ascii="Arial" w:hAnsi="Arial" w:cs="Arial"/>
          <w:sz w:val="16"/>
          <w:szCs w:val="16"/>
          <w:lang w:val="en-US"/>
        </w:rPr>
        <w:t xml:space="preserve">Veren Inc. </w:t>
      </w:r>
      <w:r w:rsidRPr="008A7A35">
        <w:rPr>
          <w:rFonts w:ascii="Arial" w:hAnsi="Arial" w:cs="Arial"/>
          <w:sz w:val="16"/>
          <w:szCs w:val="16"/>
          <w:lang w:val="en-US"/>
        </w:rPr>
        <w:t>31-</w:t>
      </w:r>
      <w:r w:rsidR="007F3D87">
        <w:rPr>
          <w:rFonts w:ascii="Arial" w:hAnsi="Arial" w:cs="Arial"/>
          <w:sz w:val="16"/>
          <w:szCs w:val="16"/>
          <w:lang w:val="en-US"/>
        </w:rPr>
        <w:t>12-2024</w:t>
      </w:r>
      <w:r w:rsidRPr="008A7A35">
        <w:rPr>
          <w:rFonts w:ascii="Arial" w:hAnsi="Arial" w:cs="Arial"/>
          <w:sz w:val="16"/>
          <w:szCs w:val="16"/>
          <w:lang w:val="en-US"/>
        </w:rPr>
        <w:t xml:space="preserve">: CAD </w:t>
      </w:r>
      <w:r w:rsidR="00DF5393">
        <w:rPr>
          <w:rFonts w:ascii="Arial" w:hAnsi="Arial" w:cs="Arial"/>
          <w:sz w:val="16"/>
          <w:szCs w:val="16"/>
          <w:lang w:val="en-US"/>
        </w:rPr>
        <w:t>7.39</w:t>
      </w:r>
      <w:r w:rsidRPr="008A7A35">
        <w:rPr>
          <w:rFonts w:ascii="Arial" w:hAnsi="Arial" w:cs="Arial"/>
          <w:sz w:val="16"/>
          <w:szCs w:val="16"/>
          <w:lang w:val="en-US"/>
        </w:rPr>
        <w:t xml:space="preserve"> per share).</w:t>
      </w:r>
      <w:bookmarkEnd w:id="6"/>
    </w:p>
    <w:bookmarkEnd w:id="7"/>
    <w:p w14:paraId="72C6979E" w14:textId="0446CB86" w:rsidR="006F2696" w:rsidRPr="008A7A35" w:rsidRDefault="006F2696" w:rsidP="006F2696">
      <w:pPr>
        <w:jc w:val="both"/>
        <w:rPr>
          <w:rFonts w:ascii="Arial" w:hAnsi="Arial" w:cs="Arial"/>
          <w:sz w:val="16"/>
          <w:szCs w:val="16"/>
        </w:rPr>
      </w:pPr>
      <w:r w:rsidRPr="008A7A35">
        <w:rPr>
          <w:rFonts w:ascii="Arial" w:hAnsi="Arial" w:cs="Arial"/>
          <w:sz w:val="16"/>
          <w:szCs w:val="16"/>
          <w:vertAlign w:val="superscript"/>
        </w:rPr>
        <w:t>(5)</w:t>
      </w:r>
      <w:r w:rsidRPr="008A7A35">
        <w:rPr>
          <w:rFonts w:ascii="Arial" w:hAnsi="Arial" w:cs="Arial"/>
          <w:sz w:val="16"/>
          <w:szCs w:val="16"/>
        </w:rPr>
        <w:t xml:space="preserve"> The unrealised value of the Rock Oil investment consists of</w:t>
      </w:r>
      <w:r w:rsidR="006129B0" w:rsidRPr="008A7A35">
        <w:rPr>
          <w:rFonts w:ascii="Arial" w:hAnsi="Arial" w:cs="Arial"/>
          <w:sz w:val="16"/>
          <w:szCs w:val="16"/>
        </w:rPr>
        <w:t xml:space="preserve"> sale proceeds from the sale of the</w:t>
      </w:r>
      <w:r w:rsidRPr="008A7A35">
        <w:rPr>
          <w:rFonts w:ascii="Arial" w:hAnsi="Arial" w:cs="Arial"/>
          <w:sz w:val="16"/>
          <w:szCs w:val="16"/>
        </w:rPr>
        <w:t xml:space="preserve"> rights to mineral acres</w:t>
      </w:r>
      <w:r w:rsidR="006D2F85" w:rsidRPr="008A7A35">
        <w:rPr>
          <w:rFonts w:ascii="Arial" w:hAnsi="Arial" w:cs="Arial"/>
          <w:sz w:val="16"/>
          <w:szCs w:val="16"/>
        </w:rPr>
        <w:t xml:space="preserve"> held in escrow</w:t>
      </w:r>
      <w:r w:rsidRPr="008A7A35">
        <w:rPr>
          <w:rFonts w:ascii="Arial" w:hAnsi="Arial" w:cs="Arial"/>
          <w:sz w:val="16"/>
          <w:szCs w:val="16"/>
        </w:rPr>
        <w:t>.</w:t>
      </w:r>
    </w:p>
    <w:p w14:paraId="47B37232" w14:textId="77777777" w:rsidR="006F2696" w:rsidRPr="008A7A35" w:rsidRDefault="006F2696" w:rsidP="006F2696">
      <w:pPr>
        <w:jc w:val="both"/>
        <w:rPr>
          <w:rFonts w:ascii="Arial" w:hAnsi="Arial" w:cs="Arial"/>
          <w:sz w:val="16"/>
          <w:szCs w:val="16"/>
        </w:rPr>
      </w:pPr>
      <w:r w:rsidRPr="008A7A35">
        <w:rPr>
          <w:rFonts w:ascii="Arial" w:hAnsi="Arial" w:cs="Arial"/>
          <w:sz w:val="16"/>
          <w:szCs w:val="16"/>
          <w:vertAlign w:val="superscript"/>
        </w:rPr>
        <w:t>(6)</w:t>
      </w:r>
      <w:r w:rsidRPr="008A7A35">
        <w:rPr>
          <w:rFonts w:ascii="Arial" w:hAnsi="Arial" w:cs="Arial"/>
          <w:sz w:val="16"/>
          <w:szCs w:val="16"/>
        </w:rPr>
        <w:t xml:space="preserve"> Midstream investment.</w:t>
      </w:r>
    </w:p>
    <w:p w14:paraId="4A30D449" w14:textId="77777777" w:rsidR="006F2696" w:rsidRPr="008A7A35" w:rsidRDefault="006F2696" w:rsidP="006F2696">
      <w:pPr>
        <w:jc w:val="both"/>
        <w:rPr>
          <w:rFonts w:ascii="Arial" w:hAnsi="Arial" w:cs="Arial"/>
          <w:sz w:val="16"/>
          <w:szCs w:val="16"/>
        </w:rPr>
      </w:pPr>
      <w:r w:rsidRPr="008A7A35">
        <w:rPr>
          <w:rFonts w:ascii="Arial" w:hAnsi="Arial" w:cs="Arial"/>
          <w:sz w:val="16"/>
          <w:szCs w:val="16"/>
          <w:vertAlign w:val="superscript"/>
        </w:rPr>
        <w:t>(7)</w:t>
      </w:r>
      <w:r w:rsidRPr="008A7A35">
        <w:rPr>
          <w:rFonts w:ascii="Arial" w:hAnsi="Arial" w:cs="Arial"/>
          <w:sz w:val="16"/>
          <w:szCs w:val="16"/>
        </w:rPr>
        <w:t xml:space="preserve"> Credit investment.</w:t>
      </w:r>
    </w:p>
    <w:p w14:paraId="4E4CD27B" w14:textId="2DC61ECF" w:rsidR="006F2696" w:rsidRPr="008A7A35" w:rsidRDefault="006F2696" w:rsidP="006F2696">
      <w:pPr>
        <w:jc w:val="both"/>
        <w:rPr>
          <w:rFonts w:ascii="Arial" w:hAnsi="Arial" w:cs="Arial"/>
          <w:sz w:val="16"/>
          <w:szCs w:val="16"/>
          <w:vertAlign w:val="superscript"/>
        </w:rPr>
      </w:pPr>
      <w:r w:rsidRPr="008A7A35">
        <w:rPr>
          <w:rFonts w:ascii="Arial" w:hAnsi="Arial" w:cs="Arial"/>
          <w:sz w:val="16"/>
          <w:szCs w:val="16"/>
          <w:vertAlign w:val="superscript"/>
        </w:rPr>
        <w:t>(8)</w:t>
      </w:r>
      <w:r w:rsidRPr="008A7A35">
        <w:rPr>
          <w:rFonts w:ascii="Arial" w:hAnsi="Arial" w:cs="Arial"/>
          <w:sz w:val="16"/>
          <w:szCs w:val="16"/>
        </w:rPr>
        <w:t xml:space="preserve"> </w:t>
      </w:r>
      <w:bookmarkStart w:id="8" w:name="_Hlk171607040"/>
      <w:r w:rsidRPr="008A7A35">
        <w:rPr>
          <w:rFonts w:ascii="Arial" w:hAnsi="Arial" w:cs="Arial"/>
          <w:sz w:val="16"/>
          <w:szCs w:val="16"/>
          <w:lang w:val="en-US"/>
        </w:rPr>
        <w:t xml:space="preserve">Withdrawn commitments consist of Origo ($9 million) and CanEra III ($1 million), and </w:t>
      </w:r>
      <w:r w:rsidR="00B82F19" w:rsidRPr="008A7A35">
        <w:rPr>
          <w:rFonts w:ascii="Arial" w:hAnsi="Arial" w:cs="Arial"/>
          <w:sz w:val="16"/>
          <w:szCs w:val="16"/>
          <w:lang w:val="en-US"/>
        </w:rPr>
        <w:t>investment write-offs</w:t>
      </w:r>
      <w:r w:rsidRPr="008A7A35">
        <w:rPr>
          <w:rFonts w:ascii="Arial" w:hAnsi="Arial" w:cs="Arial"/>
          <w:sz w:val="16"/>
          <w:szCs w:val="16"/>
          <w:lang w:val="en-US"/>
        </w:rPr>
        <w:t xml:space="preserve"> consist of Liberty II ($142 million), Fieldwood ($80 million), Eagle II ($62 million), Castex 2005 ($48 million)</w:t>
      </w:r>
      <w:r w:rsidR="00545C95" w:rsidRPr="008A7A35">
        <w:rPr>
          <w:rFonts w:ascii="Arial" w:hAnsi="Arial" w:cs="Arial"/>
          <w:sz w:val="16"/>
          <w:szCs w:val="16"/>
          <w:lang w:val="en-US"/>
        </w:rPr>
        <w:t>,</w:t>
      </w:r>
      <w:r w:rsidR="00042B4C" w:rsidRPr="008A7A35">
        <w:rPr>
          <w:rFonts w:ascii="Arial" w:hAnsi="Arial" w:cs="Arial"/>
          <w:sz w:val="16"/>
          <w:szCs w:val="16"/>
          <w:lang w:val="en-US"/>
        </w:rPr>
        <w:t xml:space="preserve"> Tritium ($25 million), T-Rex ($21 million), Enviva ($21 million), </w:t>
      </w:r>
      <w:r w:rsidRPr="008A7A35">
        <w:rPr>
          <w:rFonts w:ascii="Arial" w:hAnsi="Arial" w:cs="Arial"/>
          <w:sz w:val="16"/>
          <w:szCs w:val="16"/>
          <w:lang w:val="en-US"/>
        </w:rPr>
        <w:t>Anuvia Plant Nutrients ($20 million)</w:t>
      </w:r>
      <w:bookmarkEnd w:id="8"/>
      <w:r w:rsidR="00042B4C" w:rsidRPr="008A7A35">
        <w:rPr>
          <w:rFonts w:ascii="Arial" w:hAnsi="Arial" w:cs="Arial"/>
          <w:sz w:val="16"/>
          <w:szCs w:val="16"/>
          <w:lang w:val="en-US"/>
        </w:rPr>
        <w:t>,</w:t>
      </w:r>
      <w:r w:rsidR="00545C95" w:rsidRPr="008A7A35">
        <w:rPr>
          <w:rFonts w:ascii="Arial" w:hAnsi="Arial" w:cs="Arial"/>
          <w:sz w:val="16"/>
          <w:szCs w:val="16"/>
          <w:lang w:val="en-US"/>
        </w:rPr>
        <w:t xml:space="preserve"> FreeWire ($14 million)</w:t>
      </w:r>
      <w:r w:rsidR="00042B4C" w:rsidRPr="008A7A35">
        <w:rPr>
          <w:rFonts w:ascii="Arial" w:hAnsi="Arial" w:cs="Arial"/>
          <w:sz w:val="16"/>
          <w:szCs w:val="16"/>
          <w:lang w:val="en-US"/>
        </w:rPr>
        <w:t>, Our Next Energy ($12 million), Hyzon ($10 million) and Ionic I &amp; II ($3 million).</w:t>
      </w:r>
      <w:r w:rsidRPr="008A7A35">
        <w:rPr>
          <w:rFonts w:ascii="Arial" w:hAnsi="Arial" w:cs="Arial"/>
          <w:sz w:val="16"/>
          <w:szCs w:val="16"/>
          <w:vertAlign w:val="superscript"/>
        </w:rPr>
        <w:t xml:space="preserve"> </w:t>
      </w:r>
    </w:p>
    <w:p w14:paraId="743389FA" w14:textId="5FDECEFE" w:rsidR="006F2696" w:rsidRPr="008A7A35" w:rsidRDefault="006F2696" w:rsidP="006F2696">
      <w:pPr>
        <w:jc w:val="both"/>
        <w:rPr>
          <w:rFonts w:ascii="Arial" w:hAnsi="Arial" w:cs="Arial"/>
          <w:sz w:val="16"/>
          <w:szCs w:val="16"/>
        </w:rPr>
      </w:pPr>
      <w:r w:rsidRPr="008A7A35">
        <w:rPr>
          <w:rFonts w:ascii="Arial" w:hAnsi="Arial" w:cs="Arial"/>
          <w:sz w:val="16"/>
          <w:szCs w:val="16"/>
          <w:vertAlign w:val="superscript"/>
        </w:rPr>
        <w:t>(9)</w:t>
      </w:r>
      <w:r w:rsidRPr="008A7A35">
        <w:rPr>
          <w:rFonts w:ascii="Arial" w:hAnsi="Arial" w:cs="Arial"/>
          <w:sz w:val="16"/>
          <w:szCs w:val="16"/>
        </w:rPr>
        <w:t xml:space="preserve"> This figure is comprised of $</w:t>
      </w:r>
      <w:r w:rsidR="006D2F85" w:rsidRPr="008A7A35">
        <w:rPr>
          <w:rFonts w:ascii="Arial" w:hAnsi="Arial" w:cs="Arial"/>
          <w:sz w:val="16"/>
          <w:szCs w:val="16"/>
        </w:rPr>
        <w:t>1.3</w:t>
      </w:r>
      <w:r w:rsidR="00042B4C" w:rsidRPr="008A7A35">
        <w:rPr>
          <w:rFonts w:ascii="Arial" w:hAnsi="Arial" w:cs="Arial"/>
          <w:sz w:val="16"/>
          <w:szCs w:val="16"/>
        </w:rPr>
        <w:t xml:space="preserve"> </w:t>
      </w:r>
      <w:r w:rsidRPr="008A7A35">
        <w:rPr>
          <w:rFonts w:ascii="Arial" w:hAnsi="Arial" w:cs="Arial"/>
          <w:sz w:val="16"/>
          <w:szCs w:val="16"/>
        </w:rPr>
        <w:t>million held at the Company, $</w:t>
      </w:r>
      <w:r w:rsidR="006D2F85" w:rsidRPr="008A7A35">
        <w:rPr>
          <w:rFonts w:ascii="Arial" w:hAnsi="Arial" w:cs="Arial"/>
          <w:sz w:val="16"/>
          <w:szCs w:val="16"/>
        </w:rPr>
        <w:t>53.</w:t>
      </w:r>
      <w:r w:rsidR="001167C4">
        <w:rPr>
          <w:rFonts w:ascii="Arial" w:hAnsi="Arial" w:cs="Arial"/>
          <w:sz w:val="16"/>
          <w:szCs w:val="16"/>
        </w:rPr>
        <w:t>9</w:t>
      </w:r>
      <w:r w:rsidR="00042B4C" w:rsidRPr="008A7A35">
        <w:rPr>
          <w:rFonts w:ascii="Arial" w:hAnsi="Arial" w:cs="Arial"/>
          <w:sz w:val="16"/>
          <w:szCs w:val="16"/>
        </w:rPr>
        <w:t xml:space="preserve"> </w:t>
      </w:r>
      <w:r w:rsidRPr="008A7A35">
        <w:rPr>
          <w:rFonts w:ascii="Arial" w:hAnsi="Arial" w:cs="Arial"/>
          <w:sz w:val="16"/>
          <w:szCs w:val="16"/>
        </w:rPr>
        <w:t>million held at the Partnership</w:t>
      </w:r>
      <w:r w:rsidR="00560CA7">
        <w:rPr>
          <w:rFonts w:ascii="Arial" w:hAnsi="Arial" w:cs="Arial"/>
          <w:sz w:val="16"/>
          <w:szCs w:val="16"/>
        </w:rPr>
        <w:t xml:space="preserve">, </w:t>
      </w:r>
      <w:r w:rsidRPr="008A7A35">
        <w:rPr>
          <w:rFonts w:ascii="Arial" w:hAnsi="Arial" w:cs="Arial"/>
          <w:sz w:val="16"/>
          <w:szCs w:val="16"/>
        </w:rPr>
        <w:t>$</w:t>
      </w:r>
      <w:r w:rsidR="006D2F85" w:rsidRPr="008A7A35">
        <w:rPr>
          <w:rFonts w:ascii="Arial" w:hAnsi="Arial" w:cs="Arial"/>
          <w:sz w:val="16"/>
          <w:szCs w:val="16"/>
        </w:rPr>
        <w:t>17.7</w:t>
      </w:r>
      <w:r w:rsidRPr="008A7A35">
        <w:rPr>
          <w:rFonts w:ascii="Arial" w:hAnsi="Arial" w:cs="Arial"/>
          <w:sz w:val="16"/>
          <w:szCs w:val="16"/>
        </w:rPr>
        <w:t xml:space="preserve"> million</w:t>
      </w:r>
      <w:r w:rsidRPr="008A7A35">
        <w:rPr>
          <w:rFonts w:ascii="Arial" w:hAnsi="Arial" w:cs="Arial"/>
          <w:sz w:val="16"/>
          <w:szCs w:val="16"/>
          <w:lang w:val="en-US"/>
        </w:rPr>
        <w:t xml:space="preserve"> </w:t>
      </w:r>
      <w:r w:rsidRPr="008A7A35">
        <w:rPr>
          <w:rFonts w:ascii="Arial" w:hAnsi="Arial" w:cs="Arial"/>
          <w:sz w:val="16"/>
          <w:szCs w:val="16"/>
        </w:rPr>
        <w:t>held at REL US Corp</w:t>
      </w:r>
      <w:r w:rsidR="00560CA7">
        <w:rPr>
          <w:rFonts w:ascii="Arial" w:hAnsi="Arial" w:cs="Arial"/>
          <w:sz w:val="16"/>
          <w:szCs w:val="16"/>
        </w:rPr>
        <w:t xml:space="preserve"> and $0.</w:t>
      </w:r>
      <w:r w:rsidR="001167C4">
        <w:rPr>
          <w:rFonts w:ascii="Arial" w:hAnsi="Arial" w:cs="Arial"/>
          <w:sz w:val="16"/>
          <w:szCs w:val="16"/>
        </w:rPr>
        <w:t>1</w:t>
      </w:r>
      <w:r w:rsidR="00560CA7">
        <w:rPr>
          <w:rFonts w:ascii="Arial" w:hAnsi="Arial" w:cs="Arial"/>
          <w:sz w:val="16"/>
          <w:szCs w:val="16"/>
        </w:rPr>
        <w:t xml:space="preserve"> million held at REL Cayman Holdings</w:t>
      </w:r>
      <w:r w:rsidRPr="008A7A35">
        <w:rPr>
          <w:rFonts w:ascii="Arial" w:hAnsi="Arial" w:cs="Arial"/>
          <w:sz w:val="16"/>
          <w:szCs w:val="16"/>
        </w:rPr>
        <w:t>.</w:t>
      </w:r>
    </w:p>
    <w:p w14:paraId="7A1E5E8C" w14:textId="075D1BE2" w:rsidR="006F2696" w:rsidRPr="008A7A35" w:rsidRDefault="006F2696" w:rsidP="006F2696">
      <w:pPr>
        <w:spacing w:line="276" w:lineRule="auto"/>
        <w:jc w:val="both"/>
        <w:rPr>
          <w:rFonts w:ascii="Arial" w:hAnsi="Arial" w:cs="Arial"/>
          <w:sz w:val="16"/>
          <w:szCs w:val="16"/>
        </w:rPr>
      </w:pPr>
      <w:r w:rsidRPr="008A7A35">
        <w:rPr>
          <w:rFonts w:ascii="Arial" w:hAnsi="Arial" w:cs="Arial"/>
          <w:sz w:val="16"/>
          <w:szCs w:val="16"/>
          <w:vertAlign w:val="superscript"/>
        </w:rPr>
        <w:t xml:space="preserve">(10)  </w:t>
      </w:r>
      <w:r w:rsidR="00EA15CD" w:rsidRPr="008A7A35">
        <w:rPr>
          <w:rFonts w:ascii="Arial" w:hAnsi="Arial" w:cs="Arial"/>
          <w:sz w:val="16"/>
          <w:szCs w:val="16"/>
        </w:rPr>
        <w:t>White</w:t>
      </w:r>
      <w:r w:rsidR="009A4EB9" w:rsidRPr="008A7A35">
        <w:rPr>
          <w:rFonts w:ascii="Arial" w:hAnsi="Arial" w:cs="Arial"/>
          <w:sz w:val="16"/>
          <w:szCs w:val="16"/>
        </w:rPr>
        <w:t>c</w:t>
      </w:r>
      <w:r w:rsidR="00EA15CD" w:rsidRPr="008A7A35">
        <w:rPr>
          <w:rFonts w:ascii="Arial" w:hAnsi="Arial" w:cs="Arial"/>
          <w:sz w:val="16"/>
          <w:szCs w:val="16"/>
        </w:rPr>
        <w:t xml:space="preserve">ap Resources Inc. </w:t>
      </w:r>
      <w:r w:rsidRPr="008A7A35">
        <w:rPr>
          <w:rFonts w:ascii="Arial" w:hAnsi="Arial" w:cs="Arial"/>
          <w:sz w:val="16"/>
          <w:szCs w:val="16"/>
        </w:rPr>
        <w:t xml:space="preserve">shares were acquired via </w:t>
      </w:r>
      <w:r w:rsidR="00C053D0" w:rsidRPr="008A7A35">
        <w:rPr>
          <w:rFonts w:ascii="Arial" w:hAnsi="Arial" w:cs="Arial"/>
          <w:sz w:val="16"/>
          <w:szCs w:val="16"/>
        </w:rPr>
        <w:t>merger with</w:t>
      </w:r>
      <w:r w:rsidRPr="008A7A35">
        <w:rPr>
          <w:rFonts w:ascii="Arial" w:hAnsi="Arial" w:cs="Arial"/>
          <w:sz w:val="16"/>
          <w:szCs w:val="16"/>
        </w:rPr>
        <w:t xml:space="preserve"> </w:t>
      </w:r>
      <w:r w:rsidR="00EA15CD" w:rsidRPr="008A7A35">
        <w:rPr>
          <w:rFonts w:ascii="Arial" w:hAnsi="Arial" w:cs="Arial"/>
          <w:sz w:val="16"/>
          <w:szCs w:val="16"/>
        </w:rPr>
        <w:t>Veren Inc</w:t>
      </w:r>
      <w:r w:rsidRPr="008A7A35">
        <w:rPr>
          <w:rFonts w:ascii="Arial" w:hAnsi="Arial" w:cs="Arial"/>
          <w:sz w:val="16"/>
          <w:szCs w:val="16"/>
        </w:rPr>
        <w:t xml:space="preserve">. </w:t>
      </w:r>
    </w:p>
    <w:p w14:paraId="7A1E112C" w14:textId="1E28AC7D" w:rsidR="006F2696" w:rsidRPr="008A7A35" w:rsidRDefault="006F2696" w:rsidP="006F2696">
      <w:pPr>
        <w:spacing w:line="276" w:lineRule="auto"/>
        <w:jc w:val="both"/>
        <w:rPr>
          <w:rFonts w:ascii="Arial" w:hAnsi="Arial" w:cs="Arial"/>
          <w:sz w:val="16"/>
          <w:szCs w:val="16"/>
        </w:rPr>
      </w:pPr>
      <w:r w:rsidRPr="008A7A35">
        <w:rPr>
          <w:rFonts w:ascii="Arial" w:hAnsi="Arial" w:cs="Arial"/>
          <w:sz w:val="16"/>
          <w:szCs w:val="16"/>
          <w:vertAlign w:val="superscript"/>
        </w:rPr>
        <w:t>(1</w:t>
      </w:r>
      <w:r w:rsidR="00EA15CD" w:rsidRPr="008A7A35">
        <w:rPr>
          <w:rFonts w:ascii="Arial" w:hAnsi="Arial" w:cs="Arial"/>
          <w:sz w:val="16"/>
          <w:szCs w:val="16"/>
          <w:vertAlign w:val="superscript"/>
        </w:rPr>
        <w:t>1</w:t>
      </w:r>
      <w:r w:rsidRPr="008A7A35">
        <w:rPr>
          <w:rFonts w:ascii="Arial" w:hAnsi="Arial" w:cs="Arial"/>
          <w:sz w:val="16"/>
          <w:szCs w:val="16"/>
          <w:vertAlign w:val="superscript"/>
        </w:rPr>
        <w:t>)</w:t>
      </w:r>
      <w:r w:rsidRPr="008A7A35">
        <w:rPr>
          <w:rFonts w:ascii="Arial" w:hAnsi="Arial" w:cs="Arial"/>
          <w:sz w:val="16"/>
          <w:szCs w:val="16"/>
        </w:rPr>
        <w:t xml:space="preserve"> Total liquidity comprises remaining fair value of all public investments and all cash held </w:t>
      </w:r>
      <w:r w:rsidR="00F87F81">
        <w:rPr>
          <w:rFonts w:ascii="Arial" w:hAnsi="Arial" w:cs="Arial"/>
          <w:sz w:val="16"/>
          <w:szCs w:val="16"/>
        </w:rPr>
        <w:t>by the Company</w:t>
      </w:r>
      <w:r w:rsidRPr="008A7A35">
        <w:rPr>
          <w:rFonts w:ascii="Arial" w:hAnsi="Arial" w:cs="Arial"/>
          <w:sz w:val="16"/>
          <w:szCs w:val="16"/>
        </w:rPr>
        <w:t xml:space="preserve"> and within RELIP structure. </w:t>
      </w:r>
    </w:p>
    <w:p w14:paraId="1E888190" w14:textId="11268237" w:rsidR="006F2696" w:rsidRPr="008A7A35" w:rsidRDefault="006F2696" w:rsidP="006F2696">
      <w:pPr>
        <w:spacing w:line="276" w:lineRule="auto"/>
        <w:jc w:val="both"/>
        <w:rPr>
          <w:rFonts w:ascii="Arial" w:hAnsi="Arial" w:cs="Arial"/>
          <w:sz w:val="20"/>
          <w:szCs w:val="20"/>
        </w:rPr>
      </w:pPr>
      <w:r w:rsidRPr="008A7A35">
        <w:rPr>
          <w:rFonts w:ascii="Arial" w:hAnsi="Arial" w:cs="Arial"/>
          <w:sz w:val="16"/>
          <w:szCs w:val="16"/>
          <w:vertAlign w:val="superscript"/>
        </w:rPr>
        <w:t>(1</w:t>
      </w:r>
      <w:r w:rsidR="00EA15CD" w:rsidRPr="008A7A35">
        <w:rPr>
          <w:rFonts w:ascii="Arial" w:hAnsi="Arial" w:cs="Arial"/>
          <w:sz w:val="16"/>
          <w:szCs w:val="16"/>
          <w:vertAlign w:val="superscript"/>
        </w:rPr>
        <w:t>2</w:t>
      </w:r>
      <w:r w:rsidRPr="008A7A35">
        <w:rPr>
          <w:rFonts w:ascii="Arial" w:hAnsi="Arial" w:cs="Arial"/>
          <w:sz w:val="16"/>
          <w:szCs w:val="16"/>
          <w:vertAlign w:val="superscript"/>
        </w:rPr>
        <w:t>)</w:t>
      </w:r>
      <w:r w:rsidRPr="008A7A35">
        <w:rPr>
          <w:rFonts w:ascii="Arial" w:hAnsi="Arial" w:cs="Arial"/>
          <w:sz w:val="16"/>
          <w:szCs w:val="16"/>
        </w:rPr>
        <w:t xml:space="preserve"> The investments in the tables are held within the Partnership. </w:t>
      </w:r>
    </w:p>
    <w:p w14:paraId="75DF3FC2" w14:textId="77777777" w:rsidR="006F2696" w:rsidRPr="008A7A35" w:rsidRDefault="006F2696" w:rsidP="006F2696">
      <w:pPr>
        <w:spacing w:line="276" w:lineRule="auto"/>
        <w:jc w:val="both"/>
        <w:rPr>
          <w:rFonts w:ascii="Arial" w:hAnsi="Arial" w:cs="Arial"/>
          <w:b/>
          <w:sz w:val="20"/>
          <w:szCs w:val="20"/>
        </w:rPr>
      </w:pPr>
    </w:p>
    <w:p w14:paraId="109DFC80" w14:textId="77777777" w:rsidR="006F2696" w:rsidRPr="008A7A35" w:rsidRDefault="006F2696" w:rsidP="006F2696">
      <w:pPr>
        <w:tabs>
          <w:tab w:val="center" w:pos="4513"/>
        </w:tabs>
        <w:jc w:val="both"/>
        <w:outlineLvl w:val="1"/>
        <w:rPr>
          <w:rFonts w:ascii="Arial" w:hAnsi="Arial" w:cs="Arial"/>
          <w:b/>
          <w:sz w:val="20"/>
          <w:szCs w:val="20"/>
        </w:rPr>
      </w:pPr>
      <w:r w:rsidRPr="008A7A35">
        <w:rPr>
          <w:rFonts w:ascii="Arial" w:hAnsi="Arial" w:cs="Arial"/>
          <w:b/>
          <w:sz w:val="20"/>
          <w:szCs w:val="20"/>
        </w:rPr>
        <w:t>Investment Portfolio Summary</w:t>
      </w:r>
      <w:r w:rsidRPr="008A7A35">
        <w:rPr>
          <w:rFonts w:ascii="Arial" w:hAnsi="Arial" w:cs="Arial"/>
          <w:b/>
          <w:sz w:val="20"/>
          <w:szCs w:val="20"/>
        </w:rPr>
        <w:tab/>
      </w:r>
    </w:p>
    <w:p w14:paraId="17EC7A44" w14:textId="5388293A" w:rsidR="006F2696" w:rsidRPr="008A7A35" w:rsidRDefault="006F2696" w:rsidP="006F2696">
      <w:pPr>
        <w:jc w:val="both"/>
        <w:rPr>
          <w:rFonts w:ascii="Arial" w:eastAsia="Calibri" w:hAnsi="Arial" w:cs="Arial"/>
          <w:sz w:val="20"/>
          <w:szCs w:val="20"/>
        </w:rPr>
      </w:pPr>
      <w:r w:rsidRPr="008A7A35">
        <w:rPr>
          <w:rFonts w:ascii="Arial" w:eastAsia="Cambria" w:hAnsi="Arial" w:cs="Arial"/>
          <w:sz w:val="20"/>
          <w:szCs w:val="20"/>
        </w:rPr>
        <w:lastRenderedPageBreak/>
        <w:t>As of 30 June 202</w:t>
      </w:r>
      <w:r w:rsidR="005343BE" w:rsidRPr="008A7A35">
        <w:rPr>
          <w:rFonts w:ascii="Arial" w:eastAsia="Cambria" w:hAnsi="Arial" w:cs="Arial"/>
          <w:sz w:val="20"/>
          <w:szCs w:val="20"/>
        </w:rPr>
        <w:t>5</w:t>
      </w:r>
      <w:r w:rsidRPr="008A7A35">
        <w:rPr>
          <w:rFonts w:ascii="Arial" w:eastAsia="Cambria" w:hAnsi="Arial" w:cs="Arial"/>
          <w:sz w:val="20"/>
          <w:szCs w:val="20"/>
        </w:rPr>
        <w:t xml:space="preserve">, </w:t>
      </w:r>
      <w:r w:rsidR="00F87F81">
        <w:rPr>
          <w:rFonts w:ascii="Arial" w:eastAsia="Cambria" w:hAnsi="Arial" w:cs="Arial"/>
          <w:sz w:val="20"/>
          <w:szCs w:val="20"/>
        </w:rPr>
        <w:t xml:space="preserve">the Company’s investment </w:t>
      </w:r>
      <w:r w:rsidRPr="008A7A35">
        <w:rPr>
          <w:rFonts w:ascii="Arial" w:eastAsia="Calibri" w:hAnsi="Arial" w:cs="Arial"/>
          <w:sz w:val="20"/>
          <w:szCs w:val="20"/>
        </w:rPr>
        <w:t>portfolio</w:t>
      </w:r>
      <w:r w:rsidR="00A013EC">
        <w:rPr>
          <w:rFonts w:ascii="Arial" w:eastAsia="Calibri" w:hAnsi="Arial" w:cs="Arial"/>
          <w:sz w:val="20"/>
          <w:szCs w:val="20"/>
        </w:rPr>
        <w:t>, through the Partnership,</w:t>
      </w:r>
      <w:r w:rsidRPr="008A7A35">
        <w:rPr>
          <w:rFonts w:ascii="Arial" w:eastAsia="Calibri" w:hAnsi="Arial" w:cs="Arial"/>
          <w:sz w:val="20"/>
          <w:szCs w:val="20"/>
        </w:rPr>
        <w:t xml:space="preserve"> comprised </w:t>
      </w:r>
      <w:r w:rsidR="00F25FD3" w:rsidRPr="008A7A35">
        <w:rPr>
          <w:rFonts w:ascii="Arial" w:eastAsia="Calibri" w:hAnsi="Arial" w:cs="Arial"/>
          <w:sz w:val="20"/>
          <w:szCs w:val="20"/>
        </w:rPr>
        <w:t>s</w:t>
      </w:r>
      <w:r w:rsidR="001F1AB4" w:rsidRPr="008A7A35">
        <w:rPr>
          <w:rFonts w:ascii="Arial" w:eastAsia="Calibri" w:hAnsi="Arial" w:cs="Arial"/>
          <w:sz w:val="20"/>
          <w:szCs w:val="20"/>
        </w:rPr>
        <w:t>even</w:t>
      </w:r>
      <w:r w:rsidR="005343BE" w:rsidRPr="008A7A35">
        <w:rPr>
          <w:rFonts w:ascii="Arial" w:eastAsia="Calibri" w:hAnsi="Arial" w:cs="Arial"/>
          <w:sz w:val="20"/>
          <w:szCs w:val="20"/>
        </w:rPr>
        <w:t xml:space="preserve"> </w:t>
      </w:r>
      <w:r w:rsidRPr="008A7A35">
        <w:rPr>
          <w:rFonts w:ascii="Arial" w:eastAsia="Calibri" w:hAnsi="Arial" w:cs="Arial"/>
          <w:sz w:val="20"/>
          <w:szCs w:val="20"/>
        </w:rPr>
        <w:t>active investments</w:t>
      </w:r>
      <w:r w:rsidR="00F25FD3" w:rsidRPr="008A7A35">
        <w:rPr>
          <w:rFonts w:ascii="Arial" w:eastAsia="Calibri" w:hAnsi="Arial" w:cs="Arial"/>
          <w:sz w:val="20"/>
          <w:szCs w:val="20"/>
        </w:rPr>
        <w:t>.</w:t>
      </w:r>
      <w:r w:rsidR="00E1272B" w:rsidRPr="008A7A35">
        <w:rPr>
          <w:rFonts w:ascii="Arial" w:eastAsia="Calibri" w:hAnsi="Arial" w:cs="Arial"/>
          <w:sz w:val="20"/>
          <w:szCs w:val="20"/>
        </w:rPr>
        <w:t xml:space="preserve"> The</w:t>
      </w:r>
      <w:r w:rsidR="00F25FD3" w:rsidRPr="008A7A35">
        <w:rPr>
          <w:rFonts w:ascii="Arial" w:eastAsia="Calibri" w:hAnsi="Arial" w:cs="Arial"/>
          <w:sz w:val="20"/>
          <w:szCs w:val="20"/>
        </w:rPr>
        <w:t xml:space="preserve"> seven</w:t>
      </w:r>
      <w:r w:rsidR="005343BE" w:rsidRPr="008A7A35">
        <w:rPr>
          <w:rFonts w:ascii="Arial" w:eastAsia="Calibri" w:hAnsi="Arial" w:cs="Arial"/>
          <w:sz w:val="20"/>
          <w:szCs w:val="20"/>
        </w:rPr>
        <w:t xml:space="preserve"> </w:t>
      </w:r>
      <w:r w:rsidR="00E1272B" w:rsidRPr="008A7A35">
        <w:rPr>
          <w:rFonts w:ascii="Arial" w:eastAsia="Calibri" w:hAnsi="Arial" w:cs="Arial"/>
          <w:sz w:val="20"/>
          <w:szCs w:val="20"/>
        </w:rPr>
        <w:t>remaining investments</w:t>
      </w:r>
      <w:r w:rsidRPr="008A7A35">
        <w:rPr>
          <w:rFonts w:ascii="Arial" w:eastAsia="Calibri" w:hAnsi="Arial" w:cs="Arial"/>
          <w:sz w:val="20"/>
          <w:szCs w:val="20"/>
        </w:rPr>
        <w:t xml:space="preserve"> includ</w:t>
      </w:r>
      <w:r w:rsidR="00E1272B" w:rsidRPr="008A7A35">
        <w:rPr>
          <w:rFonts w:ascii="Arial" w:eastAsia="Calibri" w:hAnsi="Arial" w:cs="Arial"/>
          <w:sz w:val="20"/>
          <w:szCs w:val="20"/>
        </w:rPr>
        <w:t>e</w:t>
      </w:r>
      <w:r w:rsidRPr="008A7A35">
        <w:rPr>
          <w:rFonts w:ascii="Arial" w:eastAsia="Calibri" w:hAnsi="Arial" w:cs="Arial"/>
          <w:sz w:val="20"/>
          <w:szCs w:val="20"/>
        </w:rPr>
        <w:t xml:space="preserve"> </w:t>
      </w:r>
      <w:r w:rsidR="00F25FD3" w:rsidRPr="008A7A35">
        <w:rPr>
          <w:rFonts w:ascii="Arial" w:eastAsia="Calibri" w:hAnsi="Arial" w:cs="Arial"/>
          <w:sz w:val="20"/>
          <w:szCs w:val="20"/>
        </w:rPr>
        <w:t xml:space="preserve">two </w:t>
      </w:r>
      <w:r w:rsidRPr="008A7A35">
        <w:rPr>
          <w:rFonts w:ascii="Arial" w:eastAsia="Calibri" w:hAnsi="Arial" w:cs="Arial"/>
          <w:sz w:val="20"/>
          <w:szCs w:val="20"/>
        </w:rPr>
        <w:t>E&amp;P investments,</w:t>
      </w:r>
      <w:r w:rsidRPr="008A7A35">
        <w:rPr>
          <w:rFonts w:ascii="Arial" w:eastAsia="Calibri" w:hAnsi="Arial" w:cs="Arial"/>
          <w:color w:val="000000"/>
          <w:sz w:val="20"/>
          <w:szCs w:val="20"/>
        </w:rPr>
        <w:t xml:space="preserve"> </w:t>
      </w:r>
      <w:r w:rsidR="00F25FD3" w:rsidRPr="008A7A35">
        <w:rPr>
          <w:rFonts w:ascii="Arial" w:eastAsia="Calibri" w:hAnsi="Arial" w:cs="Arial"/>
          <w:sz w:val="20"/>
          <w:szCs w:val="20"/>
        </w:rPr>
        <w:t>four</w:t>
      </w:r>
      <w:r w:rsidR="005343BE" w:rsidRPr="008A7A35">
        <w:rPr>
          <w:rFonts w:ascii="Arial" w:eastAsia="Calibri" w:hAnsi="Arial" w:cs="Arial"/>
          <w:sz w:val="20"/>
          <w:szCs w:val="20"/>
        </w:rPr>
        <w:t xml:space="preserve"> </w:t>
      </w:r>
      <w:r w:rsidRPr="008A7A35">
        <w:rPr>
          <w:rFonts w:ascii="Arial" w:eastAsia="Calibri" w:hAnsi="Arial" w:cs="Arial"/>
          <w:sz w:val="20"/>
          <w:szCs w:val="20"/>
        </w:rPr>
        <w:t>decarbonisation investments</w:t>
      </w:r>
      <w:r w:rsidRPr="008A7A35">
        <w:rPr>
          <w:rFonts w:ascii="Arial" w:eastAsia="Cambria" w:hAnsi="Arial" w:cs="Arial"/>
          <w:sz w:val="20"/>
          <w:szCs w:val="20"/>
        </w:rPr>
        <w:t xml:space="preserve"> and </w:t>
      </w:r>
      <w:r w:rsidR="00F25FD3" w:rsidRPr="008A7A35">
        <w:rPr>
          <w:rFonts w:ascii="Arial" w:eastAsia="Calibri" w:hAnsi="Arial" w:cs="Arial"/>
          <w:sz w:val="20"/>
          <w:szCs w:val="20"/>
        </w:rPr>
        <w:t>one</w:t>
      </w:r>
      <w:r w:rsidR="005343BE" w:rsidRPr="008A7A35">
        <w:rPr>
          <w:rFonts w:ascii="Arial" w:eastAsia="Calibri" w:hAnsi="Arial" w:cs="Arial"/>
          <w:sz w:val="20"/>
          <w:szCs w:val="20"/>
        </w:rPr>
        <w:t xml:space="preserve"> </w:t>
      </w:r>
      <w:r w:rsidRPr="008A7A35">
        <w:rPr>
          <w:rFonts w:ascii="Arial" w:eastAsia="Calibri" w:hAnsi="Arial" w:cs="Arial"/>
          <w:sz w:val="20"/>
          <w:szCs w:val="20"/>
        </w:rPr>
        <w:t>power investment.</w:t>
      </w:r>
    </w:p>
    <w:p w14:paraId="661B4C48" w14:textId="77777777" w:rsidR="006F2696" w:rsidRPr="008A7A35" w:rsidRDefault="006F2696" w:rsidP="006F2696">
      <w:pPr>
        <w:jc w:val="both"/>
        <w:rPr>
          <w:rFonts w:ascii="Arial" w:eastAsia="Cambria" w:hAnsi="Arial" w:cs="Arial"/>
          <w:sz w:val="20"/>
          <w:szCs w:val="20"/>
        </w:rPr>
      </w:pPr>
    </w:p>
    <w:p w14:paraId="404A4E3B" w14:textId="77777777" w:rsidR="006F2696" w:rsidRPr="008A7A35" w:rsidRDefault="006F2696" w:rsidP="006F2696">
      <w:pPr>
        <w:jc w:val="both"/>
        <w:rPr>
          <w:rFonts w:ascii="Arial" w:hAnsi="Arial" w:cs="Arial"/>
          <w:b/>
          <w:sz w:val="20"/>
          <w:szCs w:val="20"/>
        </w:rPr>
      </w:pPr>
      <w:bookmarkStart w:id="9" w:name="_Hlk204692792"/>
      <w:r w:rsidRPr="008A7A35">
        <w:rPr>
          <w:rFonts w:ascii="Arial" w:hAnsi="Arial" w:cs="Arial"/>
          <w:b/>
          <w:sz w:val="20"/>
          <w:szCs w:val="20"/>
        </w:rPr>
        <w:t>Permian Resources (formerly Centennial)</w:t>
      </w:r>
    </w:p>
    <w:p w14:paraId="5C1C818A" w14:textId="64E1FE2D" w:rsidR="00373774" w:rsidRPr="008A7A35" w:rsidRDefault="00373774" w:rsidP="00373774">
      <w:pPr>
        <w:jc w:val="both"/>
        <w:rPr>
          <w:rFonts w:ascii="Arial" w:eastAsia="Calibri" w:hAnsi="Arial" w:cs="Arial"/>
          <w:sz w:val="20"/>
          <w:szCs w:val="20"/>
          <w:lang w:val="en-US"/>
        </w:rPr>
      </w:pPr>
      <w:r w:rsidRPr="008A7A35">
        <w:rPr>
          <w:rFonts w:ascii="Arial" w:eastAsia="Calibri" w:hAnsi="Arial" w:cs="Arial"/>
          <w:sz w:val="20"/>
          <w:szCs w:val="20"/>
          <w:lang w:val="en-US"/>
        </w:rPr>
        <w:t>As of 30 June 202</w:t>
      </w:r>
      <w:r w:rsidR="00E10413" w:rsidRPr="008A7A35">
        <w:rPr>
          <w:rFonts w:ascii="Arial" w:eastAsia="Calibri" w:hAnsi="Arial" w:cs="Arial"/>
          <w:sz w:val="20"/>
          <w:szCs w:val="20"/>
          <w:lang w:val="en-US"/>
        </w:rPr>
        <w:t>5</w:t>
      </w:r>
      <w:r w:rsidRPr="008A7A35">
        <w:rPr>
          <w:rFonts w:ascii="Arial" w:eastAsia="Calibri" w:hAnsi="Arial" w:cs="Arial"/>
          <w:sz w:val="20"/>
          <w:szCs w:val="20"/>
          <w:lang w:val="en-US"/>
        </w:rPr>
        <w:t xml:space="preserve">, </w:t>
      </w:r>
      <w:r w:rsidR="00F87F81">
        <w:rPr>
          <w:rFonts w:ascii="Arial" w:eastAsia="Calibri" w:hAnsi="Arial" w:cs="Arial"/>
          <w:sz w:val="20"/>
          <w:szCs w:val="20"/>
          <w:lang w:val="en-US"/>
        </w:rPr>
        <w:t>the Company</w:t>
      </w:r>
      <w:r w:rsidRPr="008A7A35">
        <w:rPr>
          <w:rFonts w:ascii="Arial" w:eastAsia="Calibri" w:hAnsi="Arial" w:cs="Arial"/>
          <w:sz w:val="20"/>
          <w:szCs w:val="20"/>
          <w:lang w:val="en-US"/>
        </w:rPr>
        <w:t xml:space="preserve">, through the Partnership, </w:t>
      </w:r>
      <w:r w:rsidR="00AF2753">
        <w:rPr>
          <w:rFonts w:ascii="Arial" w:eastAsia="Calibri" w:hAnsi="Arial" w:cs="Arial"/>
          <w:sz w:val="20"/>
          <w:szCs w:val="20"/>
          <w:lang w:val="en-US"/>
        </w:rPr>
        <w:t xml:space="preserve">had </w:t>
      </w:r>
      <w:r w:rsidRPr="008A7A35">
        <w:rPr>
          <w:rFonts w:ascii="Arial" w:eastAsia="Calibri" w:hAnsi="Arial" w:cs="Arial"/>
          <w:sz w:val="20"/>
          <w:szCs w:val="20"/>
          <w:lang w:val="en-US"/>
        </w:rPr>
        <w:t>invested in full its $268 million commitment to Permian Resources. Headquartered in Midland, Texas, Permian Resources is a large pure-play E&amp;P company in the Delaware Basin.</w:t>
      </w:r>
    </w:p>
    <w:p w14:paraId="21CDC661" w14:textId="0CD58EB9" w:rsidR="00373774" w:rsidRPr="008A7A35" w:rsidRDefault="00373774" w:rsidP="00373774">
      <w:pPr>
        <w:jc w:val="both"/>
        <w:rPr>
          <w:rFonts w:ascii="Arial" w:eastAsia="Calibri" w:hAnsi="Arial" w:cs="Arial"/>
          <w:sz w:val="20"/>
          <w:szCs w:val="20"/>
          <w:lang w:val="en-US"/>
        </w:rPr>
      </w:pPr>
    </w:p>
    <w:p w14:paraId="721CC9DC" w14:textId="77777777" w:rsidR="000B2B4B" w:rsidRPr="008A7A35" w:rsidRDefault="000B2B4B" w:rsidP="000B2B4B">
      <w:pPr>
        <w:jc w:val="both"/>
        <w:rPr>
          <w:rFonts w:ascii="Arial" w:hAnsi="Arial" w:cs="Arial"/>
          <w:bCs/>
          <w:sz w:val="20"/>
          <w:szCs w:val="20"/>
          <w:lang w:val="en-US"/>
        </w:rPr>
      </w:pPr>
      <w:r w:rsidRPr="008A7A35">
        <w:rPr>
          <w:rFonts w:ascii="Arial" w:hAnsi="Arial" w:cs="Arial"/>
          <w:bCs/>
          <w:sz w:val="20"/>
          <w:szCs w:val="20"/>
          <w:lang w:val="en-US"/>
        </w:rPr>
        <w:t xml:space="preserve">During Q1 2025, Permian Resources added ~2,100 net acres through &gt;90 grassroots transactions for ~$3,900 per net acre, demonstrating continued ground game success and closed the $180 million Barilla Draw natural gas and oil gathering system divestiture. </w:t>
      </w:r>
    </w:p>
    <w:p w14:paraId="5578E3DF" w14:textId="77777777" w:rsidR="000B2B4B" w:rsidRPr="008A7A35" w:rsidRDefault="000B2B4B" w:rsidP="000B2B4B">
      <w:pPr>
        <w:jc w:val="both"/>
        <w:rPr>
          <w:rFonts w:ascii="Arial" w:hAnsi="Arial" w:cs="Arial"/>
          <w:bCs/>
          <w:sz w:val="20"/>
          <w:szCs w:val="20"/>
          <w:lang w:val="en-US"/>
        </w:rPr>
      </w:pPr>
    </w:p>
    <w:p w14:paraId="19CAD208" w14:textId="4CE0FEDB" w:rsidR="000B2B4B" w:rsidRPr="008A7A35" w:rsidRDefault="000B2B4B" w:rsidP="000B2B4B">
      <w:pPr>
        <w:jc w:val="both"/>
        <w:rPr>
          <w:rFonts w:ascii="Arial" w:hAnsi="Arial" w:cs="Arial"/>
          <w:bCs/>
          <w:sz w:val="20"/>
          <w:szCs w:val="20"/>
          <w:lang w:val="en-US"/>
        </w:rPr>
      </w:pPr>
      <w:r w:rsidRPr="008A7A35">
        <w:rPr>
          <w:rFonts w:ascii="Arial" w:hAnsi="Arial" w:cs="Arial"/>
          <w:bCs/>
          <w:sz w:val="20"/>
          <w:szCs w:val="20"/>
          <w:lang w:val="en-US"/>
        </w:rPr>
        <w:t xml:space="preserve">During the second quarter of 2025, Permian Resources closed a bolt-on acquisition of core Delaware Basin assets and announced an accretive transaction adding 13,320 net leasehold acres, 8,700 NRAs, and 12,000 Boe/d in its core New Mexico operating areas. Permian </w:t>
      </w:r>
      <w:r w:rsidR="00AF2753">
        <w:rPr>
          <w:rFonts w:ascii="Arial" w:hAnsi="Arial" w:cs="Arial"/>
          <w:bCs/>
          <w:sz w:val="20"/>
          <w:szCs w:val="20"/>
          <w:lang w:val="en-US"/>
        </w:rPr>
        <w:t xml:space="preserve">Resources </w:t>
      </w:r>
      <w:r w:rsidRPr="008A7A35">
        <w:rPr>
          <w:rFonts w:ascii="Arial" w:hAnsi="Arial" w:cs="Arial"/>
          <w:bCs/>
          <w:sz w:val="20"/>
          <w:szCs w:val="20"/>
          <w:lang w:val="en-US"/>
        </w:rPr>
        <w:t xml:space="preserve">also reduced drilling and completion costs to approximately $750 per lateral foot and </w:t>
      </w:r>
      <w:proofErr w:type="gramStart"/>
      <w:r w:rsidRPr="008A7A35">
        <w:rPr>
          <w:rFonts w:ascii="Arial" w:hAnsi="Arial" w:cs="Arial"/>
          <w:bCs/>
          <w:sz w:val="20"/>
          <w:szCs w:val="20"/>
          <w:lang w:val="en-US"/>
        </w:rPr>
        <w:t>redeemed</w:t>
      </w:r>
      <w:proofErr w:type="gramEnd"/>
      <w:r w:rsidRPr="008A7A35">
        <w:rPr>
          <w:rFonts w:ascii="Arial" w:hAnsi="Arial" w:cs="Arial"/>
          <w:bCs/>
          <w:sz w:val="20"/>
          <w:szCs w:val="20"/>
          <w:lang w:val="en-US"/>
        </w:rPr>
        <w:t xml:space="preserve"> $175 million of </w:t>
      </w:r>
      <w:proofErr w:type="spellStart"/>
      <w:r w:rsidRPr="008A7A35">
        <w:rPr>
          <w:rFonts w:ascii="Arial" w:hAnsi="Arial" w:cs="Arial"/>
          <w:bCs/>
          <w:sz w:val="20"/>
          <w:szCs w:val="20"/>
          <w:lang w:val="en-US"/>
        </w:rPr>
        <w:t>Earthstone’s</w:t>
      </w:r>
      <w:proofErr w:type="spellEnd"/>
      <w:r w:rsidRPr="008A7A35">
        <w:rPr>
          <w:rFonts w:ascii="Arial" w:hAnsi="Arial" w:cs="Arial"/>
          <w:bCs/>
          <w:sz w:val="20"/>
          <w:szCs w:val="20"/>
          <w:lang w:val="en-US"/>
        </w:rPr>
        <w:t xml:space="preserve"> 9.875</w:t>
      </w:r>
      <w:r w:rsidR="00EE73A7">
        <w:rPr>
          <w:rFonts w:ascii="Arial" w:hAnsi="Arial" w:cs="Arial"/>
          <w:bCs/>
          <w:sz w:val="20"/>
          <w:szCs w:val="20"/>
          <w:lang w:val="en-US"/>
        </w:rPr>
        <w:t xml:space="preserve"> per cent.</w:t>
      </w:r>
      <w:r w:rsidRPr="008A7A35">
        <w:rPr>
          <w:rFonts w:ascii="Arial" w:hAnsi="Arial" w:cs="Arial"/>
          <w:bCs/>
          <w:sz w:val="20"/>
          <w:szCs w:val="20"/>
          <w:lang w:val="en-US"/>
        </w:rPr>
        <w:t xml:space="preserve"> Senior Notes due in 2031. The pro-forma company has hedged approximately 25 per cent. of forecasted 2025 crude oil production at a weighted average price of $72.70 per barrel and 18 per cent. of forecasted 2025 natural gas production at a weighted average price of $3.47 per mcf.</w:t>
      </w:r>
    </w:p>
    <w:p w14:paraId="4D383036" w14:textId="77777777" w:rsidR="00F25FD3" w:rsidRPr="008A7A35" w:rsidRDefault="00F25FD3" w:rsidP="00C91DE7">
      <w:pPr>
        <w:jc w:val="both"/>
        <w:rPr>
          <w:rFonts w:ascii="Arial" w:eastAsia="Calibri" w:hAnsi="Arial" w:cs="Arial"/>
          <w:sz w:val="20"/>
          <w:szCs w:val="20"/>
          <w:lang w:val="en-US"/>
        </w:rPr>
      </w:pPr>
    </w:p>
    <w:p w14:paraId="00BBFC4B" w14:textId="79048E02" w:rsidR="006F2696" w:rsidRPr="008A7A35" w:rsidRDefault="006F2696" w:rsidP="006F2696">
      <w:pPr>
        <w:jc w:val="both"/>
        <w:rPr>
          <w:rFonts w:ascii="Arial" w:eastAsia="Calibri" w:hAnsi="Arial" w:cs="Arial"/>
          <w:sz w:val="2"/>
          <w:szCs w:val="2"/>
        </w:rPr>
      </w:pPr>
    </w:p>
    <w:p w14:paraId="46CA7EAB" w14:textId="22C5A52B" w:rsidR="006F2696" w:rsidRPr="008A7A35" w:rsidRDefault="00AF2753" w:rsidP="006F2696">
      <w:pPr>
        <w:jc w:val="both"/>
        <w:rPr>
          <w:rFonts w:ascii="Arial" w:eastAsia="Calibri" w:hAnsi="Arial" w:cs="Arial"/>
          <w:sz w:val="20"/>
          <w:szCs w:val="20"/>
        </w:rPr>
      </w:pPr>
      <w:r>
        <w:rPr>
          <w:rFonts w:ascii="Arial" w:eastAsia="Calibri" w:hAnsi="Arial" w:cs="Arial"/>
          <w:sz w:val="20"/>
          <w:szCs w:val="20"/>
        </w:rPr>
        <w:t>The Company</w:t>
      </w:r>
      <w:r w:rsidR="006F2696" w:rsidRPr="008A7A35">
        <w:rPr>
          <w:rFonts w:ascii="Arial" w:eastAsia="Calibri" w:hAnsi="Arial" w:cs="Arial"/>
          <w:sz w:val="20"/>
          <w:szCs w:val="20"/>
        </w:rPr>
        <w:t>, through the Partnership, owns approximately 10.1 million shares which are publicly traded (NYSE: PR).</w:t>
      </w:r>
    </w:p>
    <w:p w14:paraId="616A5384" w14:textId="77777777" w:rsidR="006F2696" w:rsidRPr="008A7A35" w:rsidRDefault="006F2696" w:rsidP="006F2696">
      <w:pPr>
        <w:jc w:val="both"/>
        <w:rPr>
          <w:rFonts w:ascii="Arial" w:eastAsia="Calibri" w:hAnsi="Arial" w:cs="Arial"/>
          <w:sz w:val="20"/>
          <w:szCs w:val="20"/>
        </w:rPr>
      </w:pPr>
    </w:p>
    <w:p w14:paraId="220FA0B9" w14:textId="3C28C8E4" w:rsidR="00122561" w:rsidRDefault="006F2696" w:rsidP="003819CB">
      <w:pPr>
        <w:jc w:val="both"/>
        <w:rPr>
          <w:rFonts w:ascii="Arial" w:eastAsia="Calibri" w:hAnsi="Arial" w:cs="Arial"/>
          <w:sz w:val="20"/>
          <w:szCs w:val="20"/>
        </w:rPr>
      </w:pPr>
      <w:r w:rsidRPr="008A7A35">
        <w:rPr>
          <w:rFonts w:ascii="Arial" w:eastAsia="Calibri" w:hAnsi="Arial" w:cs="Arial"/>
          <w:sz w:val="20"/>
          <w:szCs w:val="20"/>
        </w:rPr>
        <w:t>As of 30 June 202</w:t>
      </w:r>
      <w:r w:rsidR="00E10413" w:rsidRPr="008A7A35">
        <w:rPr>
          <w:rFonts w:ascii="Arial" w:eastAsia="Calibri" w:hAnsi="Arial" w:cs="Arial"/>
          <w:sz w:val="20"/>
          <w:szCs w:val="20"/>
        </w:rPr>
        <w:t>5</w:t>
      </w:r>
      <w:r w:rsidRPr="008A7A35">
        <w:rPr>
          <w:rFonts w:ascii="Arial" w:eastAsia="Calibri" w:hAnsi="Arial" w:cs="Arial"/>
          <w:sz w:val="20"/>
          <w:szCs w:val="20"/>
        </w:rPr>
        <w:t xml:space="preserve">, </w:t>
      </w:r>
      <w:r w:rsidR="00AF2753">
        <w:rPr>
          <w:rFonts w:ascii="Arial" w:eastAsia="Calibri" w:hAnsi="Arial" w:cs="Arial"/>
          <w:sz w:val="20"/>
          <w:szCs w:val="20"/>
        </w:rPr>
        <w:t xml:space="preserve">the Company’s </w:t>
      </w:r>
      <w:r w:rsidRPr="008A7A35">
        <w:rPr>
          <w:rFonts w:ascii="Arial" w:eastAsia="Calibri" w:hAnsi="Arial" w:cs="Arial"/>
          <w:sz w:val="20"/>
          <w:szCs w:val="20"/>
        </w:rPr>
        <w:t>interest in Permian Resources, through the Partnership, was valued at 1.</w:t>
      </w:r>
      <w:r w:rsidR="00E10413" w:rsidRPr="008A7A35">
        <w:rPr>
          <w:rFonts w:ascii="Arial" w:eastAsia="Calibri" w:hAnsi="Arial" w:cs="Arial"/>
          <w:sz w:val="20"/>
          <w:szCs w:val="20"/>
        </w:rPr>
        <w:t>39</w:t>
      </w:r>
      <w:r w:rsidRPr="008A7A35">
        <w:rPr>
          <w:rFonts w:ascii="Arial" w:eastAsia="Calibri" w:hAnsi="Arial" w:cs="Arial"/>
          <w:sz w:val="20"/>
          <w:szCs w:val="20"/>
        </w:rPr>
        <w:t xml:space="preserve">x Gross </w:t>
      </w:r>
      <w:proofErr w:type="gramStart"/>
      <w:r w:rsidRPr="008A7A35">
        <w:rPr>
          <w:rFonts w:ascii="Arial" w:eastAsia="Calibri" w:hAnsi="Arial" w:cs="Arial"/>
          <w:sz w:val="20"/>
          <w:szCs w:val="20"/>
        </w:rPr>
        <w:t>MOIC</w:t>
      </w:r>
      <w:r w:rsidR="00E705D1" w:rsidRPr="008A7A35">
        <w:rPr>
          <w:rFonts w:ascii="Arial" w:hAnsi="Arial" w:cs="Arial"/>
          <w:sz w:val="20"/>
          <w:szCs w:val="20"/>
          <w:vertAlign w:val="superscript"/>
        </w:rPr>
        <w:t>(</w:t>
      </w:r>
      <w:proofErr w:type="gramEnd"/>
      <w:r w:rsidR="00E705D1" w:rsidRPr="008A7A35">
        <w:rPr>
          <w:rFonts w:ascii="Arial" w:hAnsi="Arial" w:cs="Arial"/>
          <w:sz w:val="20"/>
          <w:szCs w:val="20"/>
          <w:vertAlign w:val="superscript"/>
        </w:rPr>
        <w:t>1)</w:t>
      </w:r>
      <w:r w:rsidRPr="008A7A35">
        <w:rPr>
          <w:rFonts w:ascii="Arial" w:eastAsia="Calibri" w:hAnsi="Arial" w:cs="Arial"/>
          <w:sz w:val="20"/>
          <w:szCs w:val="20"/>
        </w:rPr>
        <w:t xml:space="preserve"> or $</w:t>
      </w:r>
      <w:r w:rsidR="00693887" w:rsidRPr="008A7A35">
        <w:rPr>
          <w:rFonts w:ascii="Arial" w:eastAsia="Calibri" w:hAnsi="Arial" w:cs="Arial"/>
          <w:sz w:val="20"/>
          <w:szCs w:val="20"/>
        </w:rPr>
        <w:t>3</w:t>
      </w:r>
      <w:r w:rsidR="00E10413" w:rsidRPr="008A7A35">
        <w:rPr>
          <w:rFonts w:ascii="Arial" w:eastAsia="Calibri" w:hAnsi="Arial" w:cs="Arial"/>
          <w:sz w:val="20"/>
          <w:szCs w:val="20"/>
        </w:rPr>
        <w:t>72</w:t>
      </w:r>
      <w:r w:rsidR="00693887" w:rsidRPr="008A7A35">
        <w:rPr>
          <w:rFonts w:ascii="Arial" w:eastAsia="Calibri" w:hAnsi="Arial" w:cs="Arial"/>
          <w:sz w:val="20"/>
          <w:szCs w:val="20"/>
        </w:rPr>
        <w:t xml:space="preserve"> </w:t>
      </w:r>
      <w:r w:rsidRPr="008A7A35">
        <w:rPr>
          <w:rFonts w:ascii="Arial" w:eastAsia="Calibri" w:hAnsi="Arial" w:cs="Arial"/>
          <w:sz w:val="20"/>
          <w:szCs w:val="20"/>
        </w:rPr>
        <w:t>million (Realised: $2</w:t>
      </w:r>
      <w:r w:rsidR="00E10413" w:rsidRPr="008A7A35">
        <w:rPr>
          <w:rFonts w:ascii="Arial" w:eastAsia="Calibri" w:hAnsi="Arial" w:cs="Arial"/>
          <w:sz w:val="20"/>
          <w:szCs w:val="20"/>
        </w:rPr>
        <w:t>35</w:t>
      </w:r>
      <w:r w:rsidRPr="008A7A35">
        <w:rPr>
          <w:rFonts w:ascii="Arial" w:eastAsia="Calibri" w:hAnsi="Arial" w:cs="Arial"/>
          <w:sz w:val="20"/>
          <w:szCs w:val="20"/>
        </w:rPr>
        <w:t xml:space="preserve"> million, Unrealised: $</w:t>
      </w:r>
      <w:r w:rsidR="00E80B4A">
        <w:rPr>
          <w:rFonts w:ascii="Arial" w:eastAsia="Calibri" w:hAnsi="Arial" w:cs="Arial"/>
          <w:sz w:val="20"/>
          <w:szCs w:val="20"/>
        </w:rPr>
        <w:t>137</w:t>
      </w:r>
      <w:r w:rsidR="00693887" w:rsidRPr="008A7A35">
        <w:rPr>
          <w:rFonts w:ascii="Arial" w:eastAsia="Calibri" w:hAnsi="Arial" w:cs="Arial"/>
          <w:sz w:val="20"/>
          <w:szCs w:val="20"/>
        </w:rPr>
        <w:t xml:space="preserve"> </w:t>
      </w:r>
      <w:r w:rsidRPr="008A7A35">
        <w:rPr>
          <w:rFonts w:ascii="Arial" w:eastAsia="Calibri" w:hAnsi="Arial" w:cs="Arial"/>
          <w:sz w:val="20"/>
          <w:szCs w:val="20"/>
        </w:rPr>
        <w:t xml:space="preserve">million). The </w:t>
      </w:r>
      <w:r w:rsidR="00453093" w:rsidRPr="008A7A35">
        <w:rPr>
          <w:rFonts w:ascii="Arial" w:eastAsia="Calibri" w:hAnsi="Arial" w:cs="Arial"/>
          <w:sz w:val="20"/>
          <w:szCs w:val="20"/>
        </w:rPr>
        <w:t xml:space="preserve">Gross </w:t>
      </w:r>
      <w:proofErr w:type="gramStart"/>
      <w:r w:rsidR="00453093" w:rsidRPr="008A7A35">
        <w:rPr>
          <w:rFonts w:ascii="Arial" w:eastAsia="Calibri" w:hAnsi="Arial" w:cs="Arial"/>
          <w:sz w:val="20"/>
          <w:szCs w:val="20"/>
        </w:rPr>
        <w:t>MOIC</w:t>
      </w:r>
      <w:r w:rsidR="00453093" w:rsidRPr="008A7A35">
        <w:rPr>
          <w:rFonts w:ascii="Arial" w:hAnsi="Arial" w:cs="Arial"/>
          <w:sz w:val="20"/>
          <w:szCs w:val="20"/>
          <w:vertAlign w:val="superscript"/>
        </w:rPr>
        <w:t>(</w:t>
      </w:r>
      <w:proofErr w:type="gramEnd"/>
      <w:r w:rsidR="00453093" w:rsidRPr="008A7A35">
        <w:rPr>
          <w:rFonts w:ascii="Arial" w:hAnsi="Arial" w:cs="Arial"/>
          <w:sz w:val="20"/>
          <w:szCs w:val="20"/>
          <w:vertAlign w:val="superscript"/>
        </w:rPr>
        <w:t>1)</w:t>
      </w:r>
      <w:r w:rsidRPr="008A7A35">
        <w:rPr>
          <w:rFonts w:ascii="Arial" w:eastAsia="Calibri" w:hAnsi="Arial" w:cs="Arial"/>
          <w:sz w:val="20"/>
          <w:szCs w:val="20"/>
        </w:rPr>
        <w:t xml:space="preserve">, which reflects the mark-to-market value of </w:t>
      </w:r>
      <w:r w:rsidR="00AF2753">
        <w:rPr>
          <w:rFonts w:ascii="Arial" w:eastAsia="Calibri" w:hAnsi="Arial" w:cs="Arial"/>
          <w:sz w:val="20"/>
          <w:szCs w:val="20"/>
        </w:rPr>
        <w:t xml:space="preserve">the </w:t>
      </w:r>
      <w:r w:rsidRPr="008A7A35">
        <w:rPr>
          <w:rFonts w:ascii="Arial" w:eastAsia="Calibri" w:hAnsi="Arial" w:cs="Arial"/>
          <w:sz w:val="20"/>
          <w:szCs w:val="20"/>
        </w:rPr>
        <w:t xml:space="preserve">shareholding, </w:t>
      </w:r>
      <w:r w:rsidR="00E10413" w:rsidRPr="008A7A35">
        <w:rPr>
          <w:rFonts w:ascii="Arial" w:eastAsia="Calibri" w:hAnsi="Arial" w:cs="Arial"/>
          <w:sz w:val="20"/>
          <w:szCs w:val="20"/>
        </w:rPr>
        <w:t>de</w:t>
      </w:r>
      <w:r w:rsidRPr="008A7A35">
        <w:rPr>
          <w:rFonts w:ascii="Arial" w:eastAsia="Calibri" w:hAnsi="Arial" w:cs="Arial"/>
          <w:sz w:val="20"/>
          <w:szCs w:val="20"/>
        </w:rPr>
        <w:t>creased over the period.</w:t>
      </w:r>
    </w:p>
    <w:p w14:paraId="70CDA19B" w14:textId="77777777" w:rsidR="007F3D87" w:rsidRPr="008A7A35" w:rsidRDefault="007F3D87" w:rsidP="003819CB">
      <w:pPr>
        <w:jc w:val="both"/>
        <w:rPr>
          <w:rFonts w:ascii="Arial" w:hAnsi="Arial" w:cs="Arial"/>
          <w:bCs/>
          <w:sz w:val="20"/>
          <w:szCs w:val="20"/>
        </w:rPr>
      </w:pPr>
    </w:p>
    <w:p w14:paraId="233F85A4" w14:textId="77777777" w:rsidR="00E80B4A" w:rsidRPr="008A7A35" w:rsidRDefault="00E80B4A" w:rsidP="00E80B4A">
      <w:pPr>
        <w:keepNext/>
        <w:keepLines/>
        <w:outlineLvl w:val="2"/>
        <w:rPr>
          <w:rFonts w:ascii="Arial" w:eastAsia="Calibri" w:hAnsi="Arial" w:cs="Arial"/>
          <w:sz w:val="20"/>
          <w:szCs w:val="20"/>
        </w:rPr>
      </w:pPr>
      <w:r w:rsidRPr="008A7A35">
        <w:rPr>
          <w:rFonts w:ascii="Arial" w:hAnsi="Arial" w:cs="Arial"/>
          <w:b/>
          <w:sz w:val="20"/>
          <w:szCs w:val="20"/>
        </w:rPr>
        <w:t xml:space="preserve">Whitecap Resources (formerly Veren) </w:t>
      </w:r>
    </w:p>
    <w:p w14:paraId="56F6B3ED" w14:textId="77777777" w:rsidR="00E80B4A" w:rsidRPr="008A7A35" w:rsidRDefault="00E80B4A" w:rsidP="00E80B4A">
      <w:pPr>
        <w:jc w:val="both"/>
        <w:rPr>
          <w:rFonts w:ascii="Arial" w:hAnsi="Arial" w:cs="Arial"/>
          <w:bCs/>
          <w:sz w:val="20"/>
          <w:szCs w:val="20"/>
        </w:rPr>
      </w:pPr>
      <w:r w:rsidRPr="008A7A35">
        <w:rPr>
          <w:rFonts w:ascii="Arial" w:hAnsi="Arial" w:cs="Arial"/>
          <w:bCs/>
          <w:sz w:val="20"/>
          <w:szCs w:val="20"/>
        </w:rPr>
        <w:t xml:space="preserve">As of 30 June 2025, </w:t>
      </w:r>
      <w:r>
        <w:rPr>
          <w:rFonts w:ascii="Arial" w:hAnsi="Arial" w:cs="Arial"/>
          <w:bCs/>
          <w:sz w:val="20"/>
          <w:szCs w:val="20"/>
        </w:rPr>
        <w:t>the Company</w:t>
      </w:r>
      <w:r w:rsidRPr="008A7A35">
        <w:rPr>
          <w:rFonts w:ascii="Arial" w:hAnsi="Arial" w:cs="Arial"/>
          <w:bCs/>
          <w:sz w:val="20"/>
          <w:szCs w:val="20"/>
        </w:rPr>
        <w:t xml:space="preserve">, through the Partnership, </w:t>
      </w:r>
      <w:r>
        <w:rPr>
          <w:rFonts w:ascii="Arial" w:hAnsi="Arial" w:cs="Arial"/>
          <w:bCs/>
          <w:sz w:val="20"/>
          <w:szCs w:val="20"/>
        </w:rPr>
        <w:t>had</w:t>
      </w:r>
      <w:r w:rsidRPr="008A7A35">
        <w:rPr>
          <w:rFonts w:ascii="Arial" w:hAnsi="Arial" w:cs="Arial"/>
          <w:bCs/>
          <w:sz w:val="20"/>
          <w:szCs w:val="20"/>
        </w:rPr>
        <w:t xml:space="preserve"> invested its $296 million original commitment to Hammerhead Energy. </w:t>
      </w:r>
    </w:p>
    <w:p w14:paraId="516172A6" w14:textId="77777777" w:rsidR="00E80B4A" w:rsidRDefault="00E80B4A" w:rsidP="00E80B4A">
      <w:pPr>
        <w:jc w:val="both"/>
        <w:rPr>
          <w:rFonts w:ascii="Arial" w:hAnsi="Arial" w:cs="Arial"/>
          <w:bCs/>
          <w:sz w:val="20"/>
          <w:szCs w:val="20"/>
        </w:rPr>
      </w:pPr>
    </w:p>
    <w:p w14:paraId="22782532" w14:textId="77777777" w:rsidR="00E80B4A" w:rsidRPr="008A7A35" w:rsidRDefault="00E80B4A" w:rsidP="00E80B4A">
      <w:pPr>
        <w:jc w:val="both"/>
        <w:rPr>
          <w:rFonts w:ascii="Arial" w:hAnsi="Arial" w:cs="Arial"/>
          <w:bCs/>
          <w:sz w:val="20"/>
          <w:szCs w:val="20"/>
        </w:rPr>
      </w:pPr>
      <w:r>
        <w:rPr>
          <w:rFonts w:ascii="Arial" w:hAnsi="Arial" w:cs="Arial"/>
          <w:bCs/>
          <w:sz w:val="20"/>
          <w:szCs w:val="20"/>
        </w:rPr>
        <w:t>The Company</w:t>
      </w:r>
      <w:r w:rsidRPr="008A7A35">
        <w:rPr>
          <w:rFonts w:ascii="Arial" w:hAnsi="Arial" w:cs="Arial"/>
          <w:bCs/>
          <w:sz w:val="20"/>
          <w:szCs w:val="20"/>
        </w:rPr>
        <w:t xml:space="preserve"> provided an initial equity commitment to Hammerhead Energy in 1Q14; since the initial commitment, </w:t>
      </w:r>
      <w:r>
        <w:rPr>
          <w:rFonts w:ascii="Arial" w:hAnsi="Arial" w:cs="Arial"/>
          <w:bCs/>
          <w:sz w:val="20"/>
          <w:szCs w:val="20"/>
        </w:rPr>
        <w:t>the Company</w:t>
      </w:r>
      <w:r w:rsidRPr="008A7A35">
        <w:rPr>
          <w:rFonts w:ascii="Arial" w:hAnsi="Arial" w:cs="Arial"/>
          <w:bCs/>
          <w:sz w:val="20"/>
          <w:szCs w:val="20"/>
        </w:rPr>
        <w:t xml:space="preserve"> has made several additional investments into Hammerhead Energy. Prior to the acquisition, Hammerhead Energy had aggregated a position of ~190,000 net acres in the Montney and ~100,000 net acres in the Duvernay formations and operated 100 per cent. of its asset base.</w:t>
      </w:r>
    </w:p>
    <w:p w14:paraId="7637AF4D" w14:textId="77777777" w:rsidR="00E80B4A" w:rsidRPr="008A7A35" w:rsidRDefault="00E80B4A" w:rsidP="00E80B4A">
      <w:pPr>
        <w:jc w:val="both"/>
        <w:rPr>
          <w:rFonts w:ascii="Arial" w:eastAsia="Calibri" w:hAnsi="Arial" w:cs="Arial"/>
          <w:sz w:val="20"/>
          <w:szCs w:val="20"/>
        </w:rPr>
      </w:pPr>
    </w:p>
    <w:p w14:paraId="514D0965" w14:textId="77777777" w:rsidR="00E80B4A" w:rsidRPr="008A7A35" w:rsidRDefault="00E80B4A" w:rsidP="00E80B4A">
      <w:pPr>
        <w:jc w:val="both"/>
        <w:rPr>
          <w:rFonts w:ascii="Arial" w:hAnsi="Arial" w:cs="Arial"/>
          <w:bCs/>
          <w:color w:val="EE0000"/>
          <w:sz w:val="20"/>
          <w:szCs w:val="20"/>
          <w:lang w:val="en-US"/>
        </w:rPr>
      </w:pPr>
      <w:r w:rsidRPr="008A7A35">
        <w:rPr>
          <w:rFonts w:ascii="Arial" w:hAnsi="Arial" w:cs="Arial"/>
          <w:bCs/>
          <w:sz w:val="20"/>
          <w:szCs w:val="20"/>
        </w:rPr>
        <w:t>Hammerhead Energy was subsequently acquired by Veren, a company focused on liquids-rich unconventional resources in the Montney and Duvernay resource play in Western Canada</w:t>
      </w:r>
      <w:r w:rsidRPr="008A7A35">
        <w:rPr>
          <w:rFonts w:ascii="Arial" w:hAnsi="Arial" w:cs="Arial"/>
          <w:bCs/>
          <w:color w:val="EE0000"/>
          <w:sz w:val="20"/>
          <w:szCs w:val="20"/>
        </w:rPr>
        <w:t xml:space="preserve">. </w:t>
      </w:r>
      <w:r w:rsidRPr="00830133">
        <w:rPr>
          <w:rFonts w:ascii="Arial" w:hAnsi="Arial" w:cs="Arial"/>
          <w:bCs/>
          <w:sz w:val="20"/>
          <w:szCs w:val="20"/>
        </w:rPr>
        <w:t xml:space="preserve">During the first half of 2025, Veren and Whitecap Resources announced an all-stock combination of the two companies, which closed in May 2025. Veren shareholders received 1.05 common shares of Whitecap for each Veren common share held and the combined company is traded on the TSX under the WCP ticker. </w:t>
      </w:r>
    </w:p>
    <w:p w14:paraId="136E3B3D" w14:textId="77777777" w:rsidR="00E80B4A" w:rsidRPr="008A7A35" w:rsidRDefault="00E80B4A" w:rsidP="00E80B4A">
      <w:pPr>
        <w:jc w:val="both"/>
        <w:rPr>
          <w:rFonts w:ascii="Arial" w:eastAsia="Calibri" w:hAnsi="Arial" w:cs="Arial"/>
          <w:sz w:val="20"/>
          <w:szCs w:val="20"/>
          <w:lang w:val="en-US"/>
        </w:rPr>
      </w:pPr>
    </w:p>
    <w:p w14:paraId="06E35AF2" w14:textId="03AFAB06" w:rsidR="00E80B4A" w:rsidRPr="008A7A35" w:rsidRDefault="00E80B4A" w:rsidP="00E80B4A">
      <w:pPr>
        <w:jc w:val="both"/>
        <w:rPr>
          <w:rFonts w:ascii="Arial" w:hAnsi="Arial" w:cs="Arial"/>
          <w:bCs/>
          <w:sz w:val="20"/>
          <w:szCs w:val="20"/>
          <w:lang w:val="en-US"/>
        </w:rPr>
      </w:pPr>
      <w:r w:rsidRPr="008A7A35">
        <w:rPr>
          <w:rFonts w:ascii="Arial" w:hAnsi="Arial" w:cs="Arial"/>
          <w:bCs/>
          <w:sz w:val="20"/>
          <w:szCs w:val="20"/>
          <w:lang w:val="en-US"/>
        </w:rPr>
        <w:t xml:space="preserve">In Q2 2025, Whitecap </w:t>
      </w:r>
      <w:r>
        <w:rPr>
          <w:rFonts w:ascii="Arial" w:hAnsi="Arial" w:cs="Arial"/>
          <w:bCs/>
          <w:sz w:val="20"/>
          <w:szCs w:val="20"/>
          <w:lang w:val="en-US"/>
        </w:rPr>
        <w:t xml:space="preserve">Resources </w:t>
      </w:r>
      <w:r w:rsidRPr="008A7A35">
        <w:rPr>
          <w:rFonts w:ascii="Arial" w:hAnsi="Arial" w:cs="Arial"/>
          <w:bCs/>
          <w:sz w:val="20"/>
          <w:szCs w:val="20"/>
          <w:lang w:val="en-US"/>
        </w:rPr>
        <w:t>delivered monthly dividends of C$0.0608</w:t>
      </w:r>
      <w:r w:rsidR="0084500C">
        <w:rPr>
          <w:rFonts w:ascii="Arial" w:hAnsi="Arial" w:cs="Arial"/>
          <w:bCs/>
          <w:sz w:val="20"/>
          <w:szCs w:val="20"/>
          <w:lang w:val="en-US"/>
        </w:rPr>
        <w:t xml:space="preserve"> </w:t>
      </w:r>
      <w:r w:rsidRPr="008A7A35">
        <w:rPr>
          <w:rFonts w:ascii="Arial" w:hAnsi="Arial" w:cs="Arial"/>
          <w:bCs/>
          <w:sz w:val="20"/>
          <w:szCs w:val="20"/>
          <w:lang w:val="en-US"/>
        </w:rPr>
        <w:t>sh</w:t>
      </w:r>
      <w:r w:rsidR="0084500C">
        <w:rPr>
          <w:rFonts w:ascii="Arial" w:hAnsi="Arial" w:cs="Arial"/>
          <w:bCs/>
          <w:sz w:val="20"/>
          <w:szCs w:val="20"/>
          <w:lang w:val="en-US"/>
        </w:rPr>
        <w:t>are</w:t>
      </w:r>
      <w:r w:rsidRPr="008A7A35">
        <w:rPr>
          <w:rFonts w:ascii="Arial" w:hAnsi="Arial" w:cs="Arial"/>
          <w:bCs/>
          <w:sz w:val="20"/>
          <w:szCs w:val="20"/>
          <w:lang w:val="en-US"/>
        </w:rPr>
        <w:t xml:space="preserve">, implying an </w:t>
      </w:r>
      <w:proofErr w:type="spellStart"/>
      <w:r w:rsidRPr="008A7A35">
        <w:rPr>
          <w:rFonts w:ascii="Arial" w:hAnsi="Arial" w:cs="Arial"/>
          <w:bCs/>
          <w:sz w:val="20"/>
          <w:szCs w:val="20"/>
          <w:lang w:val="en-US"/>
        </w:rPr>
        <w:t>annualised</w:t>
      </w:r>
      <w:proofErr w:type="spellEnd"/>
      <w:r w:rsidRPr="008A7A35">
        <w:rPr>
          <w:rFonts w:ascii="Arial" w:hAnsi="Arial" w:cs="Arial"/>
          <w:bCs/>
          <w:sz w:val="20"/>
          <w:szCs w:val="20"/>
          <w:lang w:val="en-US"/>
        </w:rPr>
        <w:t xml:space="preserve"> dividend yield of 8.0 per cent.</w:t>
      </w:r>
    </w:p>
    <w:p w14:paraId="5B24A9D7" w14:textId="77777777" w:rsidR="00E80B4A" w:rsidRPr="008A7A35" w:rsidRDefault="00E80B4A" w:rsidP="00E80B4A">
      <w:pPr>
        <w:jc w:val="both"/>
        <w:rPr>
          <w:rFonts w:ascii="Arial" w:hAnsi="Arial" w:cs="Arial"/>
          <w:bCs/>
          <w:sz w:val="20"/>
          <w:szCs w:val="20"/>
        </w:rPr>
      </w:pPr>
    </w:p>
    <w:p w14:paraId="2894723A" w14:textId="03E5849A" w:rsidR="00E80B4A" w:rsidRPr="008A7A35" w:rsidRDefault="00E80B4A" w:rsidP="00E80B4A">
      <w:pPr>
        <w:jc w:val="both"/>
        <w:rPr>
          <w:rFonts w:ascii="Arial" w:hAnsi="Arial" w:cs="Arial"/>
          <w:bCs/>
          <w:sz w:val="20"/>
          <w:szCs w:val="20"/>
        </w:rPr>
      </w:pPr>
      <w:r w:rsidRPr="008A7A35">
        <w:rPr>
          <w:rFonts w:ascii="Arial" w:hAnsi="Arial" w:cs="Arial"/>
          <w:bCs/>
          <w:sz w:val="20"/>
          <w:szCs w:val="20"/>
        </w:rPr>
        <w:t xml:space="preserve">As of 30 June 2025, </w:t>
      </w:r>
      <w:r>
        <w:rPr>
          <w:rFonts w:ascii="Arial" w:hAnsi="Arial" w:cs="Arial"/>
          <w:bCs/>
          <w:sz w:val="20"/>
          <w:szCs w:val="20"/>
        </w:rPr>
        <w:t xml:space="preserve">the Company’s </w:t>
      </w:r>
      <w:r w:rsidRPr="008A7A35">
        <w:rPr>
          <w:rFonts w:ascii="Arial" w:hAnsi="Arial" w:cs="Arial"/>
          <w:bCs/>
          <w:sz w:val="20"/>
          <w:szCs w:val="20"/>
        </w:rPr>
        <w:t xml:space="preserve">interest in </w:t>
      </w:r>
      <w:r>
        <w:rPr>
          <w:rFonts w:ascii="Arial" w:hAnsi="Arial" w:cs="Arial"/>
          <w:bCs/>
          <w:sz w:val="20"/>
          <w:szCs w:val="20"/>
        </w:rPr>
        <w:t>Whitecap Resources</w:t>
      </w:r>
      <w:r w:rsidRPr="008A7A35">
        <w:rPr>
          <w:rFonts w:ascii="Arial" w:hAnsi="Arial" w:cs="Arial"/>
          <w:bCs/>
          <w:sz w:val="20"/>
          <w:szCs w:val="20"/>
        </w:rPr>
        <w:t xml:space="preserve"> was valued at 0.87x Gross </w:t>
      </w:r>
      <w:proofErr w:type="gramStart"/>
      <w:r w:rsidRPr="008A7A35">
        <w:rPr>
          <w:rFonts w:ascii="Arial" w:hAnsi="Arial" w:cs="Arial"/>
          <w:bCs/>
          <w:sz w:val="20"/>
          <w:szCs w:val="20"/>
        </w:rPr>
        <w:t>MOIC</w:t>
      </w:r>
      <w:r w:rsidRPr="00830133">
        <w:rPr>
          <w:rFonts w:ascii="Arial" w:hAnsi="Arial" w:cs="Arial"/>
          <w:bCs/>
          <w:sz w:val="20"/>
          <w:szCs w:val="20"/>
          <w:vertAlign w:val="superscript"/>
        </w:rPr>
        <w:t>(</w:t>
      </w:r>
      <w:proofErr w:type="gramEnd"/>
      <w:r w:rsidRPr="00830133">
        <w:rPr>
          <w:rFonts w:ascii="Arial" w:hAnsi="Arial" w:cs="Arial"/>
          <w:bCs/>
          <w:sz w:val="20"/>
          <w:szCs w:val="20"/>
          <w:vertAlign w:val="superscript"/>
        </w:rPr>
        <w:t>1)</w:t>
      </w:r>
      <w:r w:rsidRPr="008A7A35">
        <w:rPr>
          <w:rFonts w:ascii="Arial" w:hAnsi="Arial" w:cs="Arial"/>
          <w:bCs/>
          <w:sz w:val="20"/>
          <w:szCs w:val="20"/>
        </w:rPr>
        <w:t xml:space="preserve"> or $259 million (Realised: $</w:t>
      </w:r>
      <w:r>
        <w:rPr>
          <w:rFonts w:ascii="Arial" w:hAnsi="Arial" w:cs="Arial"/>
          <w:bCs/>
          <w:sz w:val="20"/>
          <w:szCs w:val="20"/>
        </w:rPr>
        <w:t>2</w:t>
      </w:r>
      <w:r w:rsidR="00175998">
        <w:rPr>
          <w:rFonts w:ascii="Arial" w:hAnsi="Arial" w:cs="Arial"/>
          <w:bCs/>
          <w:sz w:val="20"/>
          <w:szCs w:val="20"/>
        </w:rPr>
        <w:t>0</w:t>
      </w:r>
      <w:r w:rsidR="00830133">
        <w:rPr>
          <w:rFonts w:ascii="Arial" w:hAnsi="Arial" w:cs="Arial"/>
          <w:bCs/>
          <w:sz w:val="20"/>
          <w:szCs w:val="20"/>
        </w:rPr>
        <w:t>0</w:t>
      </w:r>
      <w:r w:rsidRPr="008A7A35">
        <w:rPr>
          <w:rFonts w:ascii="Arial" w:hAnsi="Arial" w:cs="Arial"/>
          <w:bCs/>
          <w:sz w:val="20"/>
          <w:szCs w:val="20"/>
        </w:rPr>
        <w:t xml:space="preserve"> million, Unrealised: $</w:t>
      </w:r>
      <w:r>
        <w:rPr>
          <w:rFonts w:ascii="Arial" w:hAnsi="Arial" w:cs="Arial"/>
          <w:bCs/>
          <w:sz w:val="20"/>
          <w:szCs w:val="20"/>
        </w:rPr>
        <w:t>5</w:t>
      </w:r>
      <w:r w:rsidR="00830133">
        <w:rPr>
          <w:rFonts w:ascii="Arial" w:hAnsi="Arial" w:cs="Arial"/>
          <w:bCs/>
          <w:sz w:val="20"/>
          <w:szCs w:val="20"/>
        </w:rPr>
        <w:t>9</w:t>
      </w:r>
      <w:r w:rsidRPr="008A7A35">
        <w:rPr>
          <w:rFonts w:ascii="Arial" w:hAnsi="Arial" w:cs="Arial"/>
          <w:bCs/>
          <w:sz w:val="20"/>
          <w:szCs w:val="20"/>
        </w:rPr>
        <w:t xml:space="preserve"> million). The Gross </w:t>
      </w:r>
      <w:proofErr w:type="gramStart"/>
      <w:r w:rsidRPr="008A7A35">
        <w:rPr>
          <w:rFonts w:ascii="Arial" w:hAnsi="Arial" w:cs="Arial"/>
          <w:bCs/>
          <w:sz w:val="20"/>
          <w:szCs w:val="20"/>
        </w:rPr>
        <w:t>MOIC</w:t>
      </w:r>
      <w:r w:rsidRPr="00830133">
        <w:rPr>
          <w:rFonts w:ascii="Arial" w:hAnsi="Arial" w:cs="Arial"/>
          <w:bCs/>
          <w:sz w:val="20"/>
          <w:szCs w:val="20"/>
          <w:vertAlign w:val="superscript"/>
        </w:rPr>
        <w:t>(</w:t>
      </w:r>
      <w:proofErr w:type="gramEnd"/>
      <w:r w:rsidRPr="00830133">
        <w:rPr>
          <w:rFonts w:ascii="Arial" w:hAnsi="Arial" w:cs="Arial"/>
          <w:bCs/>
          <w:sz w:val="20"/>
          <w:szCs w:val="20"/>
          <w:vertAlign w:val="superscript"/>
        </w:rPr>
        <w:t>1)</w:t>
      </w:r>
      <w:r w:rsidRPr="008A7A35">
        <w:rPr>
          <w:rFonts w:ascii="Arial" w:hAnsi="Arial" w:cs="Arial"/>
          <w:bCs/>
          <w:sz w:val="20"/>
          <w:szCs w:val="20"/>
        </w:rPr>
        <w:t xml:space="preserve"> increased over the period.</w:t>
      </w:r>
    </w:p>
    <w:p w14:paraId="398524B3" w14:textId="77777777" w:rsidR="006F2696" w:rsidRPr="008A7A35" w:rsidRDefault="006F2696" w:rsidP="006F2696">
      <w:pPr>
        <w:jc w:val="both"/>
        <w:rPr>
          <w:rFonts w:ascii="Arial" w:hAnsi="Arial" w:cs="Arial"/>
          <w:bCs/>
          <w:sz w:val="20"/>
          <w:szCs w:val="20"/>
        </w:rPr>
      </w:pPr>
    </w:p>
    <w:p w14:paraId="2DD73673" w14:textId="441E0DE7" w:rsidR="00122561" w:rsidRPr="008A7A35" w:rsidRDefault="006F2696" w:rsidP="006F2696">
      <w:pPr>
        <w:rPr>
          <w:rFonts w:ascii="Arial" w:hAnsi="Arial" w:cs="Arial"/>
          <w:b/>
          <w:sz w:val="20"/>
          <w:szCs w:val="20"/>
        </w:rPr>
      </w:pPr>
      <w:r w:rsidRPr="008A7A35">
        <w:rPr>
          <w:rFonts w:ascii="Arial" w:hAnsi="Arial" w:cs="Arial"/>
          <w:b/>
          <w:sz w:val="20"/>
          <w:szCs w:val="20"/>
        </w:rPr>
        <w:t>Onyx</w:t>
      </w:r>
      <w:r w:rsidR="00AF2753">
        <w:rPr>
          <w:rFonts w:ascii="Arial" w:hAnsi="Arial" w:cs="Arial"/>
          <w:b/>
          <w:sz w:val="20"/>
          <w:szCs w:val="20"/>
        </w:rPr>
        <w:t xml:space="preserve"> Power</w:t>
      </w:r>
    </w:p>
    <w:p w14:paraId="27220D14" w14:textId="1E7848E0" w:rsidR="00C91DE7" w:rsidRPr="008A7A35" w:rsidRDefault="007F2163" w:rsidP="00830133">
      <w:pPr>
        <w:jc w:val="both"/>
        <w:rPr>
          <w:rFonts w:ascii="Arial" w:hAnsi="Arial" w:cs="Arial"/>
          <w:sz w:val="20"/>
          <w:szCs w:val="20"/>
        </w:rPr>
      </w:pPr>
      <w:r w:rsidRPr="008A7A35">
        <w:rPr>
          <w:rFonts w:ascii="Arial" w:hAnsi="Arial" w:cs="Arial"/>
          <w:sz w:val="20"/>
          <w:szCs w:val="20"/>
        </w:rPr>
        <w:t>As of 30 June 202</w:t>
      </w:r>
      <w:r w:rsidR="00E10413" w:rsidRPr="008A7A35">
        <w:rPr>
          <w:rFonts w:ascii="Arial" w:hAnsi="Arial" w:cs="Arial"/>
          <w:sz w:val="20"/>
          <w:szCs w:val="20"/>
        </w:rPr>
        <w:t>5</w:t>
      </w:r>
      <w:r w:rsidRPr="008A7A35">
        <w:rPr>
          <w:rFonts w:ascii="Arial" w:hAnsi="Arial" w:cs="Arial"/>
          <w:sz w:val="20"/>
          <w:szCs w:val="20"/>
        </w:rPr>
        <w:t xml:space="preserve">, </w:t>
      </w:r>
      <w:r w:rsidR="00AF2753">
        <w:rPr>
          <w:rFonts w:ascii="Arial" w:hAnsi="Arial" w:cs="Arial"/>
          <w:sz w:val="20"/>
          <w:szCs w:val="20"/>
        </w:rPr>
        <w:t>the Company</w:t>
      </w:r>
      <w:r w:rsidRPr="008A7A35">
        <w:rPr>
          <w:rFonts w:ascii="Arial" w:hAnsi="Arial" w:cs="Arial"/>
          <w:sz w:val="20"/>
          <w:szCs w:val="20"/>
        </w:rPr>
        <w:t xml:space="preserve">, through the Partnership, </w:t>
      </w:r>
      <w:r w:rsidR="00AF2753">
        <w:rPr>
          <w:rFonts w:ascii="Arial" w:hAnsi="Arial" w:cs="Arial"/>
          <w:sz w:val="20"/>
          <w:szCs w:val="20"/>
        </w:rPr>
        <w:t>had</w:t>
      </w:r>
      <w:r w:rsidRPr="008A7A35">
        <w:rPr>
          <w:rFonts w:ascii="Arial" w:hAnsi="Arial" w:cs="Arial"/>
          <w:sz w:val="20"/>
          <w:szCs w:val="20"/>
        </w:rPr>
        <w:t xml:space="preserve"> invested $60 million of its $66 million commitment to Onyx</w:t>
      </w:r>
      <w:r w:rsidR="00AF2753">
        <w:rPr>
          <w:rFonts w:ascii="Arial" w:hAnsi="Arial" w:cs="Arial"/>
          <w:sz w:val="20"/>
          <w:szCs w:val="20"/>
        </w:rPr>
        <w:t xml:space="preserve"> Power</w:t>
      </w:r>
      <w:r w:rsidRPr="008A7A35">
        <w:rPr>
          <w:rFonts w:ascii="Arial" w:hAnsi="Arial" w:cs="Arial"/>
          <w:sz w:val="20"/>
          <w:szCs w:val="20"/>
        </w:rPr>
        <w:t xml:space="preserve">. </w:t>
      </w:r>
    </w:p>
    <w:p w14:paraId="7AE3CD71" w14:textId="77777777" w:rsidR="00A55582" w:rsidRPr="008A7A35" w:rsidRDefault="00A55582" w:rsidP="00830133">
      <w:pPr>
        <w:jc w:val="both"/>
      </w:pPr>
    </w:p>
    <w:p w14:paraId="64B4281F" w14:textId="1CC9A3B9" w:rsidR="000B2B4B" w:rsidRPr="008A7A35" w:rsidRDefault="000B2B4B" w:rsidP="00830133">
      <w:pPr>
        <w:jc w:val="both"/>
        <w:rPr>
          <w:rFonts w:ascii="Arial" w:hAnsi="Arial" w:cs="Arial"/>
          <w:sz w:val="20"/>
          <w:szCs w:val="20"/>
        </w:rPr>
      </w:pPr>
      <w:r w:rsidRPr="008A7A35">
        <w:rPr>
          <w:rFonts w:ascii="Arial" w:hAnsi="Arial" w:cs="Arial"/>
          <w:sz w:val="20"/>
          <w:szCs w:val="20"/>
        </w:rPr>
        <w:t xml:space="preserve">Onyx </w:t>
      </w:r>
      <w:r w:rsidR="00AF2753">
        <w:rPr>
          <w:rFonts w:ascii="Arial" w:hAnsi="Arial" w:cs="Arial"/>
          <w:sz w:val="20"/>
          <w:szCs w:val="20"/>
        </w:rPr>
        <w:t xml:space="preserve">Power </w:t>
      </w:r>
      <w:r w:rsidRPr="008A7A35">
        <w:rPr>
          <w:rFonts w:ascii="Arial" w:hAnsi="Arial" w:cs="Arial"/>
          <w:sz w:val="20"/>
          <w:szCs w:val="20"/>
        </w:rPr>
        <w:t xml:space="preserve">is a European-based independent power producer that was created through the successful acquisition of 2,350MW of gross installed capacity (1,941MW of net installed capacity, which reduced to 1,641MW following the decommissioning of Farge) of coal-, gas-, and biomass-fired power plants in Germany and the Netherlands from Engie SA. Two of the facilities in the current portfolio are among Europe’s most recently constructed thermal plants, which benefit from high efficiencies, substantial environmental controls, low emissions profiles and the potential use of sustainable biomass. </w:t>
      </w:r>
    </w:p>
    <w:p w14:paraId="6E742751" w14:textId="77777777" w:rsidR="000B2B4B" w:rsidRPr="008A7A35" w:rsidRDefault="000B2B4B" w:rsidP="00830133">
      <w:pPr>
        <w:jc w:val="both"/>
        <w:rPr>
          <w:rFonts w:ascii="Arial" w:hAnsi="Arial" w:cs="Arial"/>
          <w:sz w:val="20"/>
          <w:szCs w:val="20"/>
        </w:rPr>
      </w:pPr>
    </w:p>
    <w:p w14:paraId="79154A81" w14:textId="07907A0B" w:rsidR="000B2B4B" w:rsidRPr="008A7A35" w:rsidRDefault="000B2B4B" w:rsidP="00830133">
      <w:pPr>
        <w:jc w:val="both"/>
        <w:rPr>
          <w:rFonts w:ascii="Arial" w:hAnsi="Arial" w:cs="Arial"/>
          <w:bCs/>
          <w:sz w:val="20"/>
          <w:szCs w:val="20"/>
          <w:lang w:val="en-US"/>
        </w:rPr>
      </w:pPr>
      <w:r w:rsidRPr="008A7A35">
        <w:rPr>
          <w:rFonts w:ascii="Arial" w:hAnsi="Arial" w:cs="Arial"/>
          <w:bCs/>
          <w:sz w:val="20"/>
          <w:szCs w:val="20"/>
          <w:lang w:val="en-US"/>
        </w:rPr>
        <w:t xml:space="preserve">During the first half of 2025, </w:t>
      </w:r>
      <w:proofErr w:type="spellStart"/>
      <w:r w:rsidRPr="008A7A35">
        <w:rPr>
          <w:rFonts w:ascii="Arial" w:hAnsi="Arial" w:cs="Arial"/>
          <w:bCs/>
          <w:sz w:val="20"/>
          <w:szCs w:val="20"/>
          <w:lang w:val="en-US"/>
        </w:rPr>
        <w:t>Zolling</w:t>
      </w:r>
      <w:proofErr w:type="spellEnd"/>
      <w:r w:rsidRPr="008A7A35">
        <w:rPr>
          <w:rFonts w:ascii="Arial" w:hAnsi="Arial" w:cs="Arial"/>
          <w:bCs/>
          <w:sz w:val="20"/>
          <w:szCs w:val="20"/>
          <w:lang w:val="en-US"/>
        </w:rPr>
        <w:t xml:space="preserve"> entered grid reserve and discussions with the grid operator on </w:t>
      </w:r>
      <w:proofErr w:type="spellStart"/>
      <w:r w:rsidRPr="008A7A35">
        <w:rPr>
          <w:rFonts w:ascii="Arial" w:hAnsi="Arial" w:cs="Arial"/>
          <w:bCs/>
          <w:sz w:val="20"/>
          <w:szCs w:val="20"/>
          <w:lang w:val="en-US"/>
        </w:rPr>
        <w:t>finali</w:t>
      </w:r>
      <w:r w:rsidR="00AF2753">
        <w:rPr>
          <w:rFonts w:ascii="Arial" w:hAnsi="Arial" w:cs="Arial"/>
          <w:bCs/>
          <w:sz w:val="20"/>
          <w:szCs w:val="20"/>
          <w:lang w:val="en-US"/>
        </w:rPr>
        <w:t>s</w:t>
      </w:r>
      <w:r w:rsidRPr="008A7A35">
        <w:rPr>
          <w:rFonts w:ascii="Arial" w:hAnsi="Arial" w:cs="Arial"/>
          <w:bCs/>
          <w:sz w:val="20"/>
          <w:szCs w:val="20"/>
          <w:lang w:val="en-US"/>
        </w:rPr>
        <w:t>ation</w:t>
      </w:r>
      <w:proofErr w:type="spellEnd"/>
      <w:r w:rsidRPr="008A7A35">
        <w:rPr>
          <w:rFonts w:ascii="Arial" w:hAnsi="Arial" w:cs="Arial"/>
          <w:bCs/>
          <w:sz w:val="20"/>
          <w:szCs w:val="20"/>
          <w:lang w:val="en-US"/>
        </w:rPr>
        <w:t xml:space="preserve"> of cost coverage arrangements are progressing well. Additionally, decommissioning at Farge continues to progress. The management team continues to work on organic growth initiatives, including the implementation of operational performance improvements and the development of energy transition projects.</w:t>
      </w:r>
    </w:p>
    <w:p w14:paraId="2D8EDA06" w14:textId="01C36D4C" w:rsidR="007F2163" w:rsidRPr="008A7A35" w:rsidRDefault="007F2163" w:rsidP="00830133">
      <w:pPr>
        <w:jc w:val="both"/>
        <w:rPr>
          <w:rFonts w:ascii="Arial" w:hAnsi="Arial" w:cs="Arial"/>
          <w:sz w:val="20"/>
          <w:szCs w:val="20"/>
        </w:rPr>
      </w:pPr>
      <w:r w:rsidRPr="008A7A35">
        <w:rPr>
          <w:rFonts w:ascii="Arial" w:hAnsi="Arial" w:cs="Arial"/>
          <w:sz w:val="20"/>
          <w:szCs w:val="20"/>
        </w:rPr>
        <w:lastRenderedPageBreak/>
        <w:t> </w:t>
      </w:r>
    </w:p>
    <w:p w14:paraId="5C4EDC37" w14:textId="052ECF8C" w:rsidR="007F2163" w:rsidRPr="008A7A35" w:rsidRDefault="007F2163" w:rsidP="00830133">
      <w:pPr>
        <w:jc w:val="both"/>
        <w:rPr>
          <w:rFonts w:ascii="Arial" w:hAnsi="Arial" w:cs="Arial"/>
          <w:sz w:val="20"/>
          <w:szCs w:val="20"/>
        </w:rPr>
      </w:pPr>
      <w:r w:rsidRPr="008A7A35">
        <w:rPr>
          <w:rFonts w:ascii="Arial" w:hAnsi="Arial" w:cs="Arial"/>
          <w:sz w:val="20"/>
          <w:szCs w:val="20"/>
        </w:rPr>
        <w:t xml:space="preserve">As of 30 June </w:t>
      </w:r>
      <w:r w:rsidR="00F43E2D" w:rsidRPr="008A7A35">
        <w:rPr>
          <w:rFonts w:ascii="Arial" w:hAnsi="Arial" w:cs="Arial"/>
          <w:sz w:val="20"/>
          <w:szCs w:val="20"/>
        </w:rPr>
        <w:t>2025</w:t>
      </w:r>
      <w:r w:rsidRPr="008A7A35">
        <w:rPr>
          <w:rFonts w:ascii="Arial" w:hAnsi="Arial" w:cs="Arial"/>
          <w:sz w:val="20"/>
          <w:szCs w:val="20"/>
        </w:rPr>
        <w:t xml:space="preserve">, </w:t>
      </w:r>
      <w:r w:rsidR="00AF2753">
        <w:rPr>
          <w:rFonts w:ascii="Arial" w:hAnsi="Arial" w:cs="Arial"/>
          <w:sz w:val="20"/>
          <w:szCs w:val="20"/>
        </w:rPr>
        <w:t xml:space="preserve">the Company’s </w:t>
      </w:r>
      <w:r w:rsidRPr="008A7A35">
        <w:rPr>
          <w:rFonts w:ascii="Arial" w:hAnsi="Arial" w:cs="Arial"/>
          <w:sz w:val="20"/>
          <w:szCs w:val="20"/>
        </w:rPr>
        <w:t>interest in Onyx</w:t>
      </w:r>
      <w:r w:rsidR="00AF2753">
        <w:rPr>
          <w:rFonts w:ascii="Arial" w:hAnsi="Arial" w:cs="Arial"/>
          <w:sz w:val="20"/>
          <w:szCs w:val="20"/>
        </w:rPr>
        <w:t xml:space="preserve"> Power</w:t>
      </w:r>
      <w:r w:rsidRPr="008A7A35">
        <w:rPr>
          <w:rFonts w:ascii="Arial" w:hAnsi="Arial" w:cs="Arial"/>
          <w:sz w:val="20"/>
          <w:szCs w:val="20"/>
        </w:rPr>
        <w:t xml:space="preserve">, through the Partnership, was valued at </w:t>
      </w:r>
      <w:r w:rsidR="00E10413" w:rsidRPr="008A7A35">
        <w:rPr>
          <w:rFonts w:ascii="Arial" w:hAnsi="Arial" w:cs="Arial"/>
          <w:sz w:val="20"/>
          <w:szCs w:val="20"/>
        </w:rPr>
        <w:t>2.8</w:t>
      </w:r>
      <w:r w:rsidRPr="008A7A35">
        <w:rPr>
          <w:rFonts w:ascii="Arial" w:hAnsi="Arial" w:cs="Arial"/>
          <w:sz w:val="20"/>
          <w:szCs w:val="20"/>
        </w:rPr>
        <w:t xml:space="preserve">0x Gross </w:t>
      </w:r>
      <w:proofErr w:type="gramStart"/>
      <w:r w:rsidRPr="008A7A35">
        <w:rPr>
          <w:rFonts w:ascii="Arial" w:hAnsi="Arial" w:cs="Arial"/>
          <w:sz w:val="20"/>
          <w:szCs w:val="20"/>
        </w:rPr>
        <w:t>MOIC</w:t>
      </w:r>
      <w:r w:rsidRPr="008A7A35">
        <w:rPr>
          <w:rFonts w:ascii="Arial" w:hAnsi="Arial" w:cs="Arial"/>
          <w:sz w:val="20"/>
          <w:szCs w:val="20"/>
          <w:vertAlign w:val="superscript"/>
        </w:rPr>
        <w:t>(</w:t>
      </w:r>
      <w:proofErr w:type="gramEnd"/>
      <w:r w:rsidR="00AF5892" w:rsidRPr="008A7A35">
        <w:rPr>
          <w:rFonts w:ascii="Arial" w:hAnsi="Arial" w:cs="Arial"/>
          <w:sz w:val="20"/>
          <w:szCs w:val="20"/>
          <w:vertAlign w:val="superscript"/>
        </w:rPr>
        <w:t>1</w:t>
      </w:r>
      <w:r w:rsidRPr="008A7A35">
        <w:rPr>
          <w:rFonts w:ascii="Arial" w:hAnsi="Arial" w:cs="Arial"/>
          <w:sz w:val="20"/>
          <w:szCs w:val="20"/>
          <w:vertAlign w:val="superscript"/>
        </w:rPr>
        <w:t>)</w:t>
      </w:r>
      <w:r w:rsidRPr="008A7A35">
        <w:rPr>
          <w:rFonts w:ascii="Arial" w:hAnsi="Arial" w:cs="Arial"/>
          <w:sz w:val="20"/>
          <w:szCs w:val="20"/>
        </w:rPr>
        <w:t xml:space="preserve"> or $1</w:t>
      </w:r>
      <w:r w:rsidR="00AF2753">
        <w:rPr>
          <w:rFonts w:ascii="Arial" w:hAnsi="Arial" w:cs="Arial"/>
          <w:sz w:val="20"/>
          <w:szCs w:val="20"/>
        </w:rPr>
        <w:t>67</w:t>
      </w:r>
      <w:r w:rsidRPr="008A7A35">
        <w:rPr>
          <w:rFonts w:ascii="Arial" w:hAnsi="Arial" w:cs="Arial"/>
          <w:sz w:val="20"/>
          <w:szCs w:val="20"/>
        </w:rPr>
        <w:t xml:space="preserve"> million (Realised: $121 million, Unrealised: $</w:t>
      </w:r>
      <w:r w:rsidR="00AF2753">
        <w:rPr>
          <w:rFonts w:ascii="Arial" w:hAnsi="Arial" w:cs="Arial"/>
          <w:sz w:val="20"/>
          <w:szCs w:val="20"/>
        </w:rPr>
        <w:t>46</w:t>
      </w:r>
      <w:r w:rsidRPr="008A7A35">
        <w:rPr>
          <w:rFonts w:ascii="Arial" w:hAnsi="Arial" w:cs="Arial"/>
          <w:sz w:val="20"/>
          <w:szCs w:val="20"/>
        </w:rPr>
        <w:t xml:space="preserve"> million). The Gross </w:t>
      </w:r>
      <w:proofErr w:type="gramStart"/>
      <w:r w:rsidRPr="008A7A35">
        <w:rPr>
          <w:rFonts w:ascii="Arial" w:hAnsi="Arial" w:cs="Arial"/>
          <w:sz w:val="20"/>
          <w:szCs w:val="20"/>
        </w:rPr>
        <w:t>MOIC</w:t>
      </w:r>
      <w:r w:rsidR="0041286A" w:rsidRPr="008A7A35">
        <w:rPr>
          <w:rFonts w:ascii="Arial" w:hAnsi="Arial" w:cs="Arial"/>
          <w:sz w:val="20"/>
          <w:szCs w:val="20"/>
          <w:vertAlign w:val="superscript"/>
        </w:rPr>
        <w:t>(</w:t>
      </w:r>
      <w:proofErr w:type="gramEnd"/>
      <w:r w:rsidR="0041286A" w:rsidRPr="008A7A35">
        <w:rPr>
          <w:rFonts w:ascii="Arial" w:hAnsi="Arial" w:cs="Arial"/>
          <w:sz w:val="20"/>
          <w:szCs w:val="20"/>
          <w:vertAlign w:val="superscript"/>
        </w:rPr>
        <w:t>1)</w:t>
      </w:r>
      <w:r w:rsidRPr="008A7A35">
        <w:rPr>
          <w:rFonts w:ascii="Arial" w:hAnsi="Arial" w:cs="Arial"/>
          <w:sz w:val="20"/>
          <w:szCs w:val="20"/>
        </w:rPr>
        <w:t xml:space="preserve"> </w:t>
      </w:r>
      <w:r w:rsidR="00E10413" w:rsidRPr="008A7A35">
        <w:rPr>
          <w:rFonts w:ascii="Arial" w:hAnsi="Arial" w:cs="Arial"/>
          <w:sz w:val="20"/>
          <w:szCs w:val="20"/>
        </w:rPr>
        <w:t>remained unchanged during the period.</w:t>
      </w:r>
    </w:p>
    <w:p w14:paraId="650C8CDB" w14:textId="77777777" w:rsidR="00F43E2D" w:rsidRPr="008A7A35" w:rsidRDefault="00F43E2D" w:rsidP="006F2696">
      <w:pPr>
        <w:jc w:val="both"/>
        <w:rPr>
          <w:rFonts w:ascii="Arial" w:eastAsia="MS Gothic" w:hAnsi="Arial" w:cs="Arial"/>
          <w:bCs/>
          <w:sz w:val="20"/>
          <w:szCs w:val="20"/>
        </w:rPr>
      </w:pPr>
    </w:p>
    <w:p w14:paraId="1F8FD72B" w14:textId="77777777" w:rsidR="00175998" w:rsidRPr="008A7A35" w:rsidRDefault="00175998" w:rsidP="00175998">
      <w:pPr>
        <w:keepNext/>
        <w:keepLines/>
        <w:jc w:val="both"/>
        <w:outlineLvl w:val="2"/>
        <w:rPr>
          <w:rFonts w:ascii="Arial" w:hAnsi="Arial" w:cs="Arial"/>
          <w:b/>
          <w:sz w:val="20"/>
          <w:szCs w:val="20"/>
        </w:rPr>
      </w:pPr>
      <w:r w:rsidRPr="008A7A35">
        <w:rPr>
          <w:rFonts w:ascii="Arial" w:hAnsi="Arial" w:cs="Arial"/>
          <w:b/>
          <w:sz w:val="20"/>
          <w:szCs w:val="20"/>
        </w:rPr>
        <w:t xml:space="preserve">GoodLeap (formerly Loanpal) </w:t>
      </w:r>
    </w:p>
    <w:p w14:paraId="6C3E608A" w14:textId="77777777" w:rsidR="00175998" w:rsidRPr="008A7A35" w:rsidRDefault="00175998" w:rsidP="00175998">
      <w:pPr>
        <w:jc w:val="both"/>
        <w:rPr>
          <w:rFonts w:ascii="Arial" w:eastAsia="Calibri" w:hAnsi="Arial" w:cs="Arial"/>
          <w:sz w:val="20"/>
          <w:szCs w:val="20"/>
          <w:lang w:val="en-US"/>
        </w:rPr>
      </w:pPr>
      <w:r w:rsidRPr="008A7A35">
        <w:rPr>
          <w:rFonts w:ascii="Arial" w:eastAsia="Calibri" w:hAnsi="Arial" w:cs="Arial"/>
          <w:sz w:val="20"/>
          <w:szCs w:val="20"/>
          <w:lang w:val="en-US"/>
        </w:rPr>
        <w:t xml:space="preserve">As of 30 June 2025, </w:t>
      </w:r>
      <w:r>
        <w:rPr>
          <w:rFonts w:ascii="Arial" w:eastAsia="Calibri" w:hAnsi="Arial" w:cs="Arial"/>
          <w:sz w:val="20"/>
          <w:szCs w:val="20"/>
          <w:lang w:val="en-US"/>
        </w:rPr>
        <w:t>the Company</w:t>
      </w:r>
      <w:r w:rsidRPr="008A7A35">
        <w:rPr>
          <w:rFonts w:ascii="Arial" w:eastAsia="Calibri" w:hAnsi="Arial" w:cs="Arial"/>
          <w:sz w:val="20"/>
          <w:szCs w:val="20"/>
          <w:lang w:val="en-US"/>
        </w:rPr>
        <w:t xml:space="preserve">, through the Partnership, </w:t>
      </w:r>
      <w:r>
        <w:rPr>
          <w:rFonts w:ascii="Arial" w:eastAsia="Calibri" w:hAnsi="Arial" w:cs="Arial"/>
          <w:sz w:val="20"/>
          <w:szCs w:val="20"/>
          <w:lang w:val="en-US"/>
        </w:rPr>
        <w:t xml:space="preserve">had </w:t>
      </w:r>
      <w:r w:rsidRPr="008A7A35">
        <w:rPr>
          <w:rFonts w:ascii="Arial" w:eastAsia="Calibri" w:hAnsi="Arial" w:cs="Arial"/>
          <w:sz w:val="20"/>
          <w:szCs w:val="20"/>
          <w:lang w:val="en-US"/>
        </w:rPr>
        <w:t xml:space="preserve">invested in full its $25 million commitment to GoodLeap. </w:t>
      </w:r>
    </w:p>
    <w:p w14:paraId="27281249" w14:textId="77777777" w:rsidR="00E5091F" w:rsidRDefault="00E5091F" w:rsidP="00E5091F">
      <w:pPr>
        <w:jc w:val="both"/>
        <w:rPr>
          <w:rFonts w:ascii="Arial" w:eastAsia="Calibri" w:hAnsi="Arial" w:cs="Arial"/>
          <w:sz w:val="20"/>
          <w:szCs w:val="20"/>
        </w:rPr>
      </w:pPr>
    </w:p>
    <w:p w14:paraId="475253D5" w14:textId="77777777" w:rsidR="00E5091F" w:rsidRPr="008A7A35" w:rsidRDefault="00E5091F" w:rsidP="00E5091F">
      <w:pPr>
        <w:jc w:val="both"/>
        <w:rPr>
          <w:rFonts w:ascii="Arial" w:eastAsia="Calibri" w:hAnsi="Arial" w:cs="Arial"/>
          <w:sz w:val="20"/>
          <w:szCs w:val="20"/>
          <w:lang w:val="en-US"/>
        </w:rPr>
      </w:pPr>
      <w:r w:rsidRPr="007F3D87">
        <w:rPr>
          <w:rFonts w:ascii="Arial" w:eastAsia="Calibri" w:hAnsi="Arial" w:cs="Arial"/>
          <w:sz w:val="20"/>
          <w:szCs w:val="20"/>
        </w:rPr>
        <w:t xml:space="preserve">GoodLeap is a technology company delivering best-in-class financing and software products for sustainable solutions, from solar panels and batteries to energy-efficient HVAC, heat pumps, roofing, windows, and more. Over 1.2 million homeowners have benefited from </w:t>
      </w:r>
      <w:proofErr w:type="spellStart"/>
      <w:r>
        <w:rPr>
          <w:rFonts w:ascii="Arial" w:eastAsia="Calibri" w:hAnsi="Arial" w:cs="Arial"/>
          <w:sz w:val="20"/>
          <w:szCs w:val="20"/>
        </w:rPr>
        <w:t>Goodleap’s</w:t>
      </w:r>
      <w:proofErr w:type="spellEnd"/>
      <w:r>
        <w:rPr>
          <w:rFonts w:ascii="Arial" w:eastAsia="Calibri" w:hAnsi="Arial" w:cs="Arial"/>
          <w:sz w:val="20"/>
          <w:szCs w:val="20"/>
        </w:rPr>
        <w:t xml:space="preserve"> </w:t>
      </w:r>
      <w:r w:rsidRPr="007F3D87">
        <w:rPr>
          <w:rFonts w:ascii="Arial" w:eastAsia="Calibri" w:hAnsi="Arial" w:cs="Arial"/>
          <w:sz w:val="20"/>
          <w:szCs w:val="20"/>
        </w:rPr>
        <w:t xml:space="preserve">simple, fast, and frictionless technology that makes the adoption of these products more affordable, accessible, and easier to understand. Thousands of professionals deploying home efficiency and solar solutions rely on </w:t>
      </w:r>
      <w:proofErr w:type="spellStart"/>
      <w:r w:rsidRPr="007F3D87">
        <w:rPr>
          <w:rFonts w:ascii="Arial" w:eastAsia="Calibri" w:hAnsi="Arial" w:cs="Arial"/>
          <w:sz w:val="20"/>
          <w:szCs w:val="20"/>
        </w:rPr>
        <w:t>GoodLeap's</w:t>
      </w:r>
      <w:proofErr w:type="spellEnd"/>
      <w:r w:rsidRPr="007F3D87">
        <w:rPr>
          <w:rFonts w:ascii="Arial" w:eastAsia="Calibri" w:hAnsi="Arial" w:cs="Arial"/>
          <w:sz w:val="20"/>
          <w:szCs w:val="20"/>
        </w:rPr>
        <w:t xml:space="preserve"> proprietary, AI-powered applications and developer tools to drive more transparent customer communication, deeper business intelligence, and streamlined payment and operations. </w:t>
      </w:r>
      <w:proofErr w:type="spellStart"/>
      <w:r>
        <w:rPr>
          <w:rFonts w:ascii="Arial" w:eastAsia="Calibri" w:hAnsi="Arial" w:cs="Arial"/>
          <w:sz w:val="20"/>
          <w:szCs w:val="20"/>
        </w:rPr>
        <w:t>Goodleap’s</w:t>
      </w:r>
      <w:proofErr w:type="spellEnd"/>
      <w:r>
        <w:rPr>
          <w:rFonts w:ascii="Arial" w:eastAsia="Calibri" w:hAnsi="Arial" w:cs="Arial"/>
          <w:sz w:val="20"/>
          <w:szCs w:val="20"/>
        </w:rPr>
        <w:t xml:space="preserve"> </w:t>
      </w:r>
      <w:r w:rsidRPr="007F3D87">
        <w:rPr>
          <w:rFonts w:ascii="Arial" w:eastAsia="Calibri" w:hAnsi="Arial" w:cs="Arial"/>
          <w:sz w:val="20"/>
          <w:szCs w:val="20"/>
        </w:rPr>
        <w:t>platform has led to more than $30 billion in financing for sustainable solutions since 2018</w:t>
      </w:r>
      <w:r>
        <w:rPr>
          <w:rFonts w:ascii="Arial" w:eastAsia="Calibri" w:hAnsi="Arial" w:cs="Arial"/>
          <w:sz w:val="20"/>
          <w:szCs w:val="20"/>
        </w:rPr>
        <w:t>.</w:t>
      </w:r>
      <w:r w:rsidRPr="008A7A35">
        <w:rPr>
          <w:rFonts w:ascii="Arial" w:eastAsia="Calibri" w:hAnsi="Arial" w:cs="Arial"/>
          <w:sz w:val="20"/>
          <w:szCs w:val="20"/>
          <w:lang w:val="en-US"/>
        </w:rPr>
        <w:t xml:space="preserve"> </w:t>
      </w:r>
    </w:p>
    <w:p w14:paraId="37EDFF7B" w14:textId="77777777" w:rsidR="007F3D87" w:rsidRDefault="007F3D87" w:rsidP="00175998">
      <w:pPr>
        <w:jc w:val="both"/>
        <w:rPr>
          <w:rFonts w:ascii="Arial" w:eastAsia="Calibri" w:hAnsi="Arial" w:cs="Arial"/>
          <w:sz w:val="20"/>
          <w:szCs w:val="20"/>
          <w:lang w:val="en-US"/>
        </w:rPr>
      </w:pPr>
    </w:p>
    <w:p w14:paraId="1CC7703D" w14:textId="74597AE5" w:rsidR="00175998" w:rsidRPr="008A7A35" w:rsidRDefault="002E60D6" w:rsidP="00175998">
      <w:pPr>
        <w:jc w:val="both"/>
        <w:rPr>
          <w:rFonts w:ascii="Arial" w:eastAsia="Calibri" w:hAnsi="Arial" w:cs="Arial"/>
          <w:sz w:val="20"/>
          <w:szCs w:val="20"/>
          <w:lang w:val="en-US"/>
        </w:rPr>
      </w:pPr>
      <w:r w:rsidRPr="002E60D6">
        <w:rPr>
          <w:rFonts w:ascii="Arial" w:eastAsia="Calibri" w:hAnsi="Arial" w:cs="Arial"/>
          <w:sz w:val="20"/>
          <w:szCs w:val="20"/>
        </w:rPr>
        <w:t>Solar leasing has a bright future due to the increased </w:t>
      </w:r>
      <w:r>
        <w:rPr>
          <w:rFonts w:ascii="Arial" w:eastAsia="Calibri" w:hAnsi="Arial" w:cs="Arial"/>
          <w:sz w:val="20"/>
          <w:szCs w:val="20"/>
        </w:rPr>
        <w:t>cost</w:t>
      </w:r>
      <w:r w:rsidRPr="002E60D6">
        <w:rPr>
          <w:rFonts w:ascii="Arial" w:eastAsia="Calibri" w:hAnsi="Arial" w:cs="Arial"/>
          <w:sz w:val="20"/>
          <w:szCs w:val="20"/>
        </w:rPr>
        <w:t xml:space="preserve"> of solar panels after the 30% tax break.</w:t>
      </w:r>
      <w:r w:rsidR="00175998" w:rsidRPr="00292DF0">
        <w:rPr>
          <w:rFonts w:ascii="Arial" w:eastAsia="Calibri" w:hAnsi="Arial" w:cs="Arial"/>
          <w:sz w:val="20"/>
          <w:szCs w:val="20"/>
          <w:lang w:val="en-US"/>
        </w:rPr>
        <w:t xml:space="preserve"> GoodLeap does not take funding risk. The company pre-sells its originated loans via forward purchase agreements to large asset managers. The company’s attractive unit economics and asset-light business model allow for rapid growth. Additionally, this enables GoodLeap to scale faster than its competitors while generating free cash flow by </w:t>
      </w:r>
      <w:proofErr w:type="spellStart"/>
      <w:r w:rsidR="00175998" w:rsidRPr="00292DF0">
        <w:rPr>
          <w:rFonts w:ascii="Arial" w:eastAsia="Calibri" w:hAnsi="Arial" w:cs="Arial"/>
          <w:sz w:val="20"/>
          <w:szCs w:val="20"/>
          <w:lang w:val="en-US"/>
        </w:rPr>
        <w:t>capitalising</w:t>
      </w:r>
      <w:proofErr w:type="spellEnd"/>
      <w:r w:rsidR="00175998" w:rsidRPr="00292DF0">
        <w:rPr>
          <w:rFonts w:ascii="Arial" w:eastAsia="Calibri" w:hAnsi="Arial" w:cs="Arial"/>
          <w:sz w:val="20"/>
          <w:szCs w:val="20"/>
          <w:lang w:val="en-US"/>
        </w:rPr>
        <w:t xml:space="preserve"> on upfront net cash payments on the flow of loan originations and avoiding costly SG&amp;A and capital expenditures incurred by other portions of the value chain.</w:t>
      </w:r>
      <w:r w:rsidR="00175998" w:rsidRPr="008A7A35">
        <w:rPr>
          <w:rFonts w:ascii="Arial" w:eastAsia="Calibri" w:hAnsi="Arial" w:cs="Arial"/>
          <w:sz w:val="20"/>
          <w:szCs w:val="20"/>
          <w:lang w:val="en-US"/>
        </w:rPr>
        <w:t xml:space="preserve"> </w:t>
      </w:r>
      <w:r>
        <w:rPr>
          <w:rFonts w:ascii="Arial" w:eastAsia="Calibri" w:hAnsi="Arial" w:cs="Arial"/>
          <w:sz w:val="20"/>
          <w:szCs w:val="20"/>
          <w:lang w:val="en-US"/>
        </w:rPr>
        <w:t>Retail consumer purchases and installation of clean technology accounted for half of the clean energy and transportation investment of $67 billion in Q1 2025.</w:t>
      </w:r>
    </w:p>
    <w:p w14:paraId="0A0ED710" w14:textId="77777777" w:rsidR="00DE2110" w:rsidRPr="008A7A35" w:rsidRDefault="00DE2110" w:rsidP="00175998">
      <w:pPr>
        <w:jc w:val="both"/>
        <w:rPr>
          <w:rFonts w:ascii="Arial" w:eastAsia="Calibri" w:hAnsi="Arial" w:cs="Arial"/>
          <w:sz w:val="20"/>
          <w:szCs w:val="20"/>
          <w:lang w:val="en-US"/>
        </w:rPr>
      </w:pPr>
    </w:p>
    <w:p w14:paraId="16E362C7" w14:textId="77777777" w:rsidR="00175998" w:rsidRPr="008A7A35" w:rsidRDefault="00175998" w:rsidP="00175998">
      <w:pPr>
        <w:jc w:val="both"/>
        <w:rPr>
          <w:rFonts w:ascii="Arial" w:eastAsia="Calibri" w:hAnsi="Arial" w:cs="Arial"/>
          <w:bCs/>
          <w:sz w:val="20"/>
          <w:szCs w:val="20"/>
          <w:lang w:val="en-US"/>
        </w:rPr>
      </w:pPr>
      <w:r w:rsidRPr="008A7A35">
        <w:rPr>
          <w:rFonts w:ascii="Arial" w:eastAsia="Calibri" w:hAnsi="Arial" w:cs="Arial"/>
          <w:bCs/>
          <w:sz w:val="20"/>
          <w:szCs w:val="20"/>
          <w:lang w:val="en-US"/>
        </w:rPr>
        <w:t xml:space="preserve">Q1 2025 was a strong quarter for the core business, finishing with approximately $83 million </w:t>
      </w:r>
      <w:proofErr w:type="gramStart"/>
      <w:r w:rsidRPr="008A7A35">
        <w:rPr>
          <w:rFonts w:ascii="Arial" w:eastAsia="Calibri" w:hAnsi="Arial" w:cs="Arial"/>
          <w:bCs/>
          <w:sz w:val="20"/>
          <w:szCs w:val="20"/>
          <w:lang w:val="en-US"/>
        </w:rPr>
        <w:t>of</w:t>
      </w:r>
      <w:proofErr w:type="gramEnd"/>
      <w:r w:rsidRPr="008A7A35">
        <w:rPr>
          <w:rFonts w:ascii="Arial" w:eastAsia="Calibri" w:hAnsi="Arial" w:cs="Arial"/>
          <w:bCs/>
          <w:sz w:val="20"/>
          <w:szCs w:val="20"/>
          <w:lang w:val="en-US"/>
        </w:rPr>
        <w:t xml:space="preserve"> revenue and $16 million </w:t>
      </w:r>
      <w:proofErr w:type="gramStart"/>
      <w:r w:rsidRPr="008A7A35">
        <w:rPr>
          <w:rFonts w:ascii="Arial" w:eastAsia="Calibri" w:hAnsi="Arial" w:cs="Arial"/>
          <w:bCs/>
          <w:sz w:val="20"/>
          <w:szCs w:val="20"/>
          <w:lang w:val="en-US"/>
        </w:rPr>
        <w:t>of</w:t>
      </w:r>
      <w:proofErr w:type="gramEnd"/>
      <w:r w:rsidRPr="008A7A35">
        <w:rPr>
          <w:rFonts w:ascii="Arial" w:eastAsia="Calibri" w:hAnsi="Arial" w:cs="Arial"/>
          <w:bCs/>
          <w:sz w:val="20"/>
          <w:szCs w:val="20"/>
          <w:lang w:val="en-US"/>
        </w:rPr>
        <w:t xml:space="preserve"> core adjusted EBITDA. The company delivered $825 million </w:t>
      </w:r>
      <w:proofErr w:type="gramStart"/>
      <w:r w:rsidRPr="008A7A35">
        <w:rPr>
          <w:rFonts w:ascii="Arial" w:eastAsia="Calibri" w:hAnsi="Arial" w:cs="Arial"/>
          <w:bCs/>
          <w:sz w:val="20"/>
          <w:szCs w:val="20"/>
          <w:lang w:val="en-US"/>
        </w:rPr>
        <w:t>of</w:t>
      </w:r>
      <w:proofErr w:type="gramEnd"/>
      <w:r w:rsidRPr="008A7A35">
        <w:rPr>
          <w:rFonts w:ascii="Arial" w:eastAsia="Calibri" w:hAnsi="Arial" w:cs="Arial"/>
          <w:bCs/>
          <w:sz w:val="20"/>
          <w:szCs w:val="20"/>
          <w:lang w:val="en-US"/>
        </w:rPr>
        <w:t xml:space="preserve"> loan volume in Q1, up 49</w:t>
      </w:r>
      <w:r>
        <w:rPr>
          <w:rFonts w:ascii="Arial" w:eastAsia="Calibri" w:hAnsi="Arial" w:cs="Arial"/>
          <w:bCs/>
          <w:sz w:val="20"/>
          <w:szCs w:val="20"/>
          <w:lang w:val="en-US"/>
        </w:rPr>
        <w:t xml:space="preserve"> per cent.</w:t>
      </w:r>
      <w:r w:rsidRPr="008A7A35">
        <w:rPr>
          <w:rFonts w:ascii="Arial" w:eastAsia="Calibri" w:hAnsi="Arial" w:cs="Arial"/>
          <w:bCs/>
          <w:sz w:val="20"/>
          <w:szCs w:val="20"/>
          <w:lang w:val="en-US"/>
        </w:rPr>
        <w:t xml:space="preserve"> year-over-year in Home </w:t>
      </w:r>
      <w:proofErr w:type="gramStart"/>
      <w:r w:rsidRPr="008A7A35">
        <w:rPr>
          <w:rFonts w:ascii="Arial" w:eastAsia="Calibri" w:hAnsi="Arial" w:cs="Arial"/>
          <w:bCs/>
          <w:sz w:val="20"/>
          <w:szCs w:val="20"/>
          <w:lang w:val="en-US"/>
        </w:rPr>
        <w:t>Efficiency, and</w:t>
      </w:r>
      <w:proofErr w:type="gramEnd"/>
      <w:r w:rsidRPr="008A7A35">
        <w:rPr>
          <w:rFonts w:ascii="Arial" w:eastAsia="Calibri" w:hAnsi="Arial" w:cs="Arial"/>
          <w:bCs/>
          <w:sz w:val="20"/>
          <w:szCs w:val="20"/>
          <w:lang w:val="en-US"/>
        </w:rPr>
        <w:t xml:space="preserve"> expanded its Solar Lease/PPA product to 25 states, with $97 million of installed volume. In June</w:t>
      </w:r>
      <w:r>
        <w:rPr>
          <w:rFonts w:ascii="Arial" w:eastAsia="Calibri" w:hAnsi="Arial" w:cs="Arial"/>
          <w:bCs/>
          <w:sz w:val="20"/>
          <w:szCs w:val="20"/>
          <w:lang w:val="en-US"/>
        </w:rPr>
        <w:t xml:space="preserve"> 2025</w:t>
      </w:r>
      <w:r w:rsidRPr="008A7A35">
        <w:rPr>
          <w:rFonts w:ascii="Arial" w:eastAsia="Calibri" w:hAnsi="Arial" w:cs="Arial"/>
          <w:bCs/>
          <w:sz w:val="20"/>
          <w:szCs w:val="20"/>
          <w:lang w:val="en-US"/>
        </w:rPr>
        <w:t>, GoodLeap publicly introduced GoodLeap Payments, a comprehensive payments platform designed specifically for modern contractors. That said, the short-term macroeconomic environment continues to present headwinds. Excess litigation costs are weighing on the business, and the company has reduced its 2025E adjusted EBITDA forecast due to a $35 million projected litigation overspend relative to the prior quarter. In addition, tariffs are creating uncertainty and could increase costs across solar, battery, and home efficiency offerings.</w:t>
      </w:r>
    </w:p>
    <w:p w14:paraId="2C5122D8" w14:textId="77777777" w:rsidR="00175998" w:rsidRPr="008A7A35" w:rsidRDefault="00175998" w:rsidP="00175998">
      <w:pPr>
        <w:jc w:val="both"/>
        <w:rPr>
          <w:rFonts w:ascii="Arial" w:eastAsia="Cambria" w:hAnsi="Arial" w:cs="Arial"/>
          <w:sz w:val="20"/>
          <w:szCs w:val="20"/>
        </w:rPr>
      </w:pPr>
    </w:p>
    <w:p w14:paraId="3FB274F0" w14:textId="77777777" w:rsidR="00175998" w:rsidRPr="008A7A35" w:rsidRDefault="00175998" w:rsidP="00175998">
      <w:pPr>
        <w:keepNext/>
        <w:keepLines/>
        <w:jc w:val="both"/>
        <w:outlineLvl w:val="2"/>
        <w:rPr>
          <w:rFonts w:ascii="Arial" w:hAnsi="Arial" w:cs="Arial"/>
          <w:bCs/>
          <w:sz w:val="20"/>
          <w:szCs w:val="20"/>
        </w:rPr>
      </w:pPr>
      <w:r w:rsidRPr="008A7A35">
        <w:rPr>
          <w:rFonts w:ascii="Arial" w:eastAsia="Calibri" w:hAnsi="Arial" w:cs="Arial"/>
          <w:sz w:val="20"/>
          <w:szCs w:val="20"/>
        </w:rPr>
        <w:t xml:space="preserve">As of 30 June 2025, </w:t>
      </w:r>
      <w:r>
        <w:rPr>
          <w:rFonts w:ascii="Arial" w:eastAsia="Calibri" w:hAnsi="Arial" w:cs="Arial"/>
          <w:sz w:val="20"/>
          <w:szCs w:val="20"/>
        </w:rPr>
        <w:t xml:space="preserve">the Company’s </w:t>
      </w:r>
      <w:r w:rsidRPr="008A7A35">
        <w:rPr>
          <w:rFonts w:ascii="Arial" w:eastAsia="Calibri" w:hAnsi="Arial" w:cs="Arial"/>
          <w:sz w:val="20"/>
          <w:szCs w:val="20"/>
        </w:rPr>
        <w:t xml:space="preserve">interest in GoodLeap, through the Partnership, was valued at 1.00x Gross </w:t>
      </w:r>
      <w:proofErr w:type="gramStart"/>
      <w:r w:rsidRPr="008A7A35">
        <w:rPr>
          <w:rFonts w:ascii="Arial" w:eastAsia="Calibri" w:hAnsi="Arial" w:cs="Arial"/>
          <w:sz w:val="20"/>
          <w:szCs w:val="20"/>
        </w:rPr>
        <w:t>MOIC</w:t>
      </w:r>
      <w:r w:rsidRPr="008A7A35">
        <w:rPr>
          <w:rFonts w:ascii="Arial" w:eastAsia="Calibri" w:hAnsi="Arial" w:cs="Arial"/>
          <w:sz w:val="20"/>
          <w:szCs w:val="20"/>
          <w:vertAlign w:val="superscript"/>
        </w:rPr>
        <w:t>(</w:t>
      </w:r>
      <w:proofErr w:type="gramEnd"/>
      <w:r w:rsidRPr="008A7A35">
        <w:rPr>
          <w:rFonts w:ascii="Arial" w:eastAsia="Calibri" w:hAnsi="Arial" w:cs="Arial"/>
          <w:sz w:val="20"/>
          <w:szCs w:val="20"/>
          <w:vertAlign w:val="superscript"/>
        </w:rPr>
        <w:t>1)</w:t>
      </w:r>
      <w:r w:rsidRPr="008A7A35">
        <w:rPr>
          <w:rFonts w:ascii="Arial" w:eastAsia="Calibri" w:hAnsi="Arial" w:cs="Arial"/>
          <w:sz w:val="20"/>
          <w:szCs w:val="20"/>
        </w:rPr>
        <w:t xml:space="preserve"> or $25 million (Realised: $2 million, Unrealised: $23 million). The Gross </w:t>
      </w:r>
      <w:proofErr w:type="gramStart"/>
      <w:r w:rsidRPr="008A7A35">
        <w:rPr>
          <w:rFonts w:ascii="Arial" w:eastAsia="Calibri" w:hAnsi="Arial" w:cs="Arial"/>
          <w:sz w:val="20"/>
          <w:szCs w:val="20"/>
        </w:rPr>
        <w:t>MOIC</w:t>
      </w:r>
      <w:r w:rsidRPr="008A7A35">
        <w:rPr>
          <w:rFonts w:ascii="Arial" w:eastAsia="Calibri" w:hAnsi="Arial" w:cs="Arial"/>
          <w:sz w:val="20"/>
          <w:szCs w:val="20"/>
          <w:vertAlign w:val="superscript"/>
        </w:rPr>
        <w:t>(</w:t>
      </w:r>
      <w:proofErr w:type="gramEnd"/>
      <w:r w:rsidRPr="008A7A35">
        <w:rPr>
          <w:rFonts w:ascii="Arial" w:eastAsia="Calibri" w:hAnsi="Arial" w:cs="Arial"/>
          <w:sz w:val="20"/>
          <w:szCs w:val="20"/>
          <w:vertAlign w:val="superscript"/>
        </w:rPr>
        <w:t>1)</w:t>
      </w:r>
      <w:r w:rsidRPr="008A7A35">
        <w:rPr>
          <w:rFonts w:ascii="Arial" w:eastAsia="Calibri" w:hAnsi="Arial" w:cs="Arial"/>
          <w:sz w:val="20"/>
          <w:szCs w:val="20"/>
        </w:rPr>
        <w:t xml:space="preserve"> remained unchanged over the period.</w:t>
      </w:r>
    </w:p>
    <w:p w14:paraId="2B3B3857" w14:textId="77777777" w:rsidR="006F2696" w:rsidRPr="008A7A35" w:rsidRDefault="006F2696" w:rsidP="006F2696">
      <w:pPr>
        <w:jc w:val="both"/>
        <w:rPr>
          <w:rFonts w:ascii="Arial" w:hAnsi="Arial" w:cs="Arial"/>
          <w:bCs/>
          <w:sz w:val="20"/>
          <w:szCs w:val="20"/>
        </w:rPr>
      </w:pPr>
    </w:p>
    <w:p w14:paraId="7DDEEF53" w14:textId="3BC2BD99" w:rsidR="00F25FD3" w:rsidRPr="008A7A35" w:rsidRDefault="006F2696" w:rsidP="006F2696">
      <w:pPr>
        <w:keepNext/>
        <w:keepLines/>
        <w:jc w:val="both"/>
        <w:outlineLvl w:val="2"/>
        <w:rPr>
          <w:rFonts w:ascii="Arial" w:hAnsi="Arial" w:cs="Arial"/>
          <w:b/>
          <w:sz w:val="20"/>
          <w:szCs w:val="20"/>
        </w:rPr>
      </w:pPr>
      <w:r w:rsidRPr="008A7A35">
        <w:rPr>
          <w:rFonts w:ascii="Arial" w:hAnsi="Arial" w:cs="Arial"/>
          <w:b/>
          <w:sz w:val="20"/>
          <w:szCs w:val="20"/>
        </w:rPr>
        <w:t>Infinitum</w:t>
      </w:r>
    </w:p>
    <w:p w14:paraId="37C21CB4" w14:textId="27CC8D84" w:rsidR="00C91DE7" w:rsidRPr="008A7A35" w:rsidRDefault="00C91DE7" w:rsidP="00C91DE7">
      <w:pPr>
        <w:jc w:val="both"/>
        <w:rPr>
          <w:rFonts w:ascii="Arial" w:hAnsi="Arial" w:cs="Arial"/>
          <w:bCs/>
          <w:sz w:val="20"/>
          <w:szCs w:val="20"/>
        </w:rPr>
      </w:pPr>
      <w:r w:rsidRPr="008A7A35">
        <w:rPr>
          <w:rFonts w:ascii="Arial" w:hAnsi="Arial" w:cs="Arial"/>
          <w:bCs/>
          <w:sz w:val="20"/>
          <w:szCs w:val="20"/>
        </w:rPr>
        <w:t xml:space="preserve">As of 30 June 2025, </w:t>
      </w:r>
      <w:r w:rsidR="00307745">
        <w:rPr>
          <w:rFonts w:ascii="Arial" w:hAnsi="Arial" w:cs="Arial"/>
          <w:bCs/>
          <w:sz w:val="20"/>
          <w:szCs w:val="20"/>
        </w:rPr>
        <w:t>the Company</w:t>
      </w:r>
      <w:r w:rsidRPr="008A7A35">
        <w:rPr>
          <w:rFonts w:ascii="Arial" w:hAnsi="Arial" w:cs="Arial"/>
          <w:bCs/>
          <w:sz w:val="20"/>
          <w:szCs w:val="20"/>
        </w:rPr>
        <w:t xml:space="preserve">, through the Partnership, </w:t>
      </w:r>
      <w:r w:rsidR="00307745">
        <w:rPr>
          <w:rFonts w:ascii="Arial" w:hAnsi="Arial" w:cs="Arial"/>
          <w:bCs/>
          <w:sz w:val="20"/>
          <w:szCs w:val="20"/>
        </w:rPr>
        <w:t>had</w:t>
      </w:r>
      <w:r w:rsidRPr="008A7A35">
        <w:rPr>
          <w:rFonts w:ascii="Arial" w:hAnsi="Arial" w:cs="Arial"/>
          <w:bCs/>
          <w:sz w:val="20"/>
          <w:szCs w:val="20"/>
        </w:rPr>
        <w:t xml:space="preserve"> fully invested its $27.4 million commitment to Infinitum. Infinitum’s patented air-core motors offer superior performance </w:t>
      </w:r>
      <w:r w:rsidR="001D3C8B">
        <w:rPr>
          <w:rFonts w:ascii="Arial" w:hAnsi="Arial" w:cs="Arial"/>
          <w:bCs/>
          <w:sz w:val="20"/>
          <w:szCs w:val="20"/>
        </w:rPr>
        <w:t>with</w:t>
      </w:r>
      <w:r w:rsidRPr="008A7A35">
        <w:rPr>
          <w:rFonts w:ascii="Arial" w:hAnsi="Arial" w:cs="Arial"/>
          <w:bCs/>
          <w:sz w:val="20"/>
          <w:szCs w:val="20"/>
        </w:rPr>
        <w:t xml:space="preserve"> half the weight and size, at a fraction of the carbon footprint of traditional motors, making them pound for pound one of the most efficient in the world. Infinitum motors </w:t>
      </w:r>
      <w:proofErr w:type="gramStart"/>
      <w:r w:rsidRPr="008A7A35">
        <w:rPr>
          <w:rFonts w:ascii="Arial" w:hAnsi="Arial" w:cs="Arial"/>
          <w:bCs/>
          <w:sz w:val="20"/>
          <w:szCs w:val="20"/>
        </w:rPr>
        <w:t>open up</w:t>
      </w:r>
      <w:proofErr w:type="gramEnd"/>
      <w:r w:rsidRPr="008A7A35">
        <w:rPr>
          <w:rFonts w:ascii="Arial" w:hAnsi="Arial" w:cs="Arial"/>
          <w:bCs/>
          <w:sz w:val="20"/>
          <w:szCs w:val="20"/>
        </w:rPr>
        <w:t xml:space="preserve"> sustainable design possibilities for the machines we rely on to be smaller, lighter and quieter, improving our quality of life while also saving energy.</w:t>
      </w:r>
      <w:r w:rsidR="00063624">
        <w:rPr>
          <w:rFonts w:ascii="Arial" w:hAnsi="Arial" w:cs="Arial"/>
          <w:bCs/>
          <w:sz w:val="20"/>
          <w:szCs w:val="20"/>
        </w:rPr>
        <w:t xml:space="preserve"> Infinitum recently </w:t>
      </w:r>
      <w:r w:rsidR="00063624" w:rsidRPr="00063624">
        <w:rPr>
          <w:rFonts w:ascii="Arial" w:hAnsi="Arial" w:cs="Arial"/>
          <w:bCs/>
          <w:sz w:val="20"/>
          <w:szCs w:val="20"/>
        </w:rPr>
        <w:t xml:space="preserve">announced an expanded range of power and frame sizes for its IEs Series motor product line designed for fans, pumps, compressors, conveyors and </w:t>
      </w:r>
      <w:proofErr w:type="gramStart"/>
      <w:r w:rsidR="00063624" w:rsidRPr="00063624">
        <w:rPr>
          <w:rFonts w:ascii="Arial" w:hAnsi="Arial" w:cs="Arial"/>
          <w:bCs/>
          <w:sz w:val="20"/>
          <w:szCs w:val="20"/>
        </w:rPr>
        <w:t>general purpose</w:t>
      </w:r>
      <w:proofErr w:type="gramEnd"/>
      <w:r w:rsidR="00063624" w:rsidRPr="00063624">
        <w:rPr>
          <w:rFonts w:ascii="Arial" w:hAnsi="Arial" w:cs="Arial"/>
          <w:bCs/>
          <w:sz w:val="20"/>
          <w:szCs w:val="20"/>
        </w:rPr>
        <w:t xml:space="preserve"> applications. </w:t>
      </w:r>
    </w:p>
    <w:p w14:paraId="4E257BEE" w14:textId="77777777" w:rsidR="00C91DE7" w:rsidRPr="008A7A35" w:rsidRDefault="00C91DE7" w:rsidP="00C91DE7">
      <w:pPr>
        <w:jc w:val="both"/>
        <w:rPr>
          <w:rFonts w:ascii="Arial" w:hAnsi="Arial" w:cs="Arial"/>
          <w:bCs/>
          <w:sz w:val="20"/>
          <w:szCs w:val="20"/>
        </w:rPr>
      </w:pPr>
    </w:p>
    <w:p w14:paraId="26E34315" w14:textId="026931DD" w:rsidR="004239C7" w:rsidRPr="008A7A35" w:rsidRDefault="004239C7" w:rsidP="004239C7">
      <w:pPr>
        <w:jc w:val="both"/>
        <w:rPr>
          <w:rFonts w:ascii="Arial" w:hAnsi="Arial" w:cs="Arial"/>
          <w:bCs/>
          <w:sz w:val="20"/>
          <w:szCs w:val="20"/>
          <w:lang w:val="en-US"/>
        </w:rPr>
      </w:pPr>
      <w:r w:rsidRPr="008A7A35">
        <w:rPr>
          <w:rFonts w:ascii="Arial" w:hAnsi="Arial" w:cs="Arial"/>
          <w:bCs/>
          <w:sz w:val="20"/>
          <w:szCs w:val="20"/>
        </w:rPr>
        <w:t xml:space="preserve">Infinitum is experiencing longer-than-expected sales cycles with its customers; in response to these headwinds, the company is taking steps to limit cash burn and extend its operating runway after its Series E extension closed in July 2024. </w:t>
      </w:r>
      <w:r w:rsidRPr="008A7A35">
        <w:rPr>
          <w:rFonts w:ascii="Arial" w:hAnsi="Arial" w:cs="Arial"/>
          <w:bCs/>
          <w:sz w:val="20"/>
          <w:szCs w:val="20"/>
          <w:lang w:val="en-US"/>
        </w:rPr>
        <w:t xml:space="preserve">Additionally, geopolitical uncertainty during the first half of 2025 posed challenges for the </w:t>
      </w:r>
      <w:r w:rsidR="00307745">
        <w:rPr>
          <w:rFonts w:ascii="Arial" w:hAnsi="Arial" w:cs="Arial"/>
          <w:bCs/>
          <w:sz w:val="20"/>
          <w:szCs w:val="20"/>
          <w:lang w:val="en-US"/>
        </w:rPr>
        <w:t>company</w:t>
      </w:r>
      <w:r w:rsidRPr="008A7A35">
        <w:rPr>
          <w:rFonts w:ascii="Arial" w:hAnsi="Arial" w:cs="Arial"/>
          <w:bCs/>
          <w:sz w:val="20"/>
          <w:szCs w:val="20"/>
          <w:lang w:val="en-US"/>
        </w:rPr>
        <w:t xml:space="preserve">. Management has had to operate through tariffs placed on Mexico and China imposed by </w:t>
      </w:r>
      <w:r w:rsidR="001D3C8B">
        <w:rPr>
          <w:rFonts w:ascii="Arial" w:hAnsi="Arial" w:cs="Arial"/>
          <w:bCs/>
          <w:sz w:val="20"/>
          <w:szCs w:val="20"/>
          <w:lang w:val="en-US"/>
        </w:rPr>
        <w:t xml:space="preserve">President </w:t>
      </w:r>
      <w:r w:rsidRPr="008A7A35">
        <w:rPr>
          <w:rFonts w:ascii="Arial" w:hAnsi="Arial" w:cs="Arial"/>
          <w:bCs/>
          <w:sz w:val="20"/>
          <w:szCs w:val="20"/>
          <w:lang w:val="en-US"/>
        </w:rPr>
        <w:t>Trump.</w:t>
      </w:r>
    </w:p>
    <w:p w14:paraId="7791429C" w14:textId="77777777" w:rsidR="004239C7" w:rsidRPr="008A7A35" w:rsidRDefault="004239C7" w:rsidP="004239C7">
      <w:pPr>
        <w:jc w:val="both"/>
        <w:rPr>
          <w:rFonts w:ascii="Arial" w:hAnsi="Arial" w:cs="Arial"/>
          <w:bCs/>
          <w:sz w:val="20"/>
          <w:szCs w:val="20"/>
          <w:lang w:val="en-US"/>
        </w:rPr>
      </w:pPr>
      <w:bookmarkStart w:id="10" w:name="_Hlk189731285"/>
    </w:p>
    <w:p w14:paraId="1AB54D8A" w14:textId="670D66A0" w:rsidR="004239C7" w:rsidRPr="008A7A35" w:rsidRDefault="004239C7" w:rsidP="004239C7">
      <w:pPr>
        <w:jc w:val="both"/>
        <w:rPr>
          <w:rFonts w:ascii="Arial" w:hAnsi="Arial" w:cs="Arial"/>
          <w:bCs/>
          <w:sz w:val="20"/>
          <w:szCs w:val="20"/>
        </w:rPr>
      </w:pPr>
      <w:r w:rsidRPr="008A7A35">
        <w:rPr>
          <w:rFonts w:ascii="Arial" w:hAnsi="Arial" w:cs="Arial"/>
          <w:bCs/>
          <w:sz w:val="20"/>
          <w:szCs w:val="20"/>
          <w:lang w:val="en-US"/>
        </w:rPr>
        <w:t>In Q1</w:t>
      </w:r>
      <w:r w:rsidR="00307745">
        <w:rPr>
          <w:rFonts w:ascii="Arial" w:hAnsi="Arial" w:cs="Arial"/>
          <w:bCs/>
          <w:sz w:val="20"/>
          <w:szCs w:val="20"/>
          <w:lang w:val="en-US"/>
        </w:rPr>
        <w:t xml:space="preserve"> 2025</w:t>
      </w:r>
      <w:r w:rsidRPr="008A7A35">
        <w:rPr>
          <w:rFonts w:ascii="Arial" w:hAnsi="Arial" w:cs="Arial"/>
          <w:bCs/>
          <w:sz w:val="20"/>
          <w:szCs w:val="20"/>
          <w:lang w:val="en-US"/>
        </w:rPr>
        <w:t xml:space="preserve">, Infinitum executed </w:t>
      </w:r>
      <w:r w:rsidR="00307745">
        <w:rPr>
          <w:rFonts w:ascii="Arial" w:hAnsi="Arial" w:cs="Arial"/>
          <w:bCs/>
          <w:sz w:val="20"/>
          <w:szCs w:val="20"/>
          <w:lang w:val="en-US"/>
        </w:rPr>
        <w:t xml:space="preserve">a </w:t>
      </w:r>
      <w:r w:rsidRPr="008A7A35">
        <w:rPr>
          <w:rFonts w:ascii="Arial" w:hAnsi="Arial" w:cs="Arial"/>
          <w:bCs/>
          <w:sz w:val="20"/>
          <w:szCs w:val="20"/>
          <w:lang w:val="en-US"/>
        </w:rPr>
        <w:t xml:space="preserve">$34 million grant contract with the U.S. Department of Energy and was awarded </w:t>
      </w:r>
      <w:r w:rsidR="00307745">
        <w:rPr>
          <w:rFonts w:ascii="Arial" w:hAnsi="Arial" w:cs="Arial"/>
          <w:bCs/>
          <w:sz w:val="20"/>
          <w:szCs w:val="20"/>
          <w:lang w:val="en-US"/>
        </w:rPr>
        <w:t xml:space="preserve">a </w:t>
      </w:r>
      <w:r w:rsidRPr="008A7A35">
        <w:rPr>
          <w:rFonts w:ascii="Arial" w:hAnsi="Arial" w:cs="Arial"/>
          <w:bCs/>
          <w:sz w:val="20"/>
          <w:szCs w:val="20"/>
          <w:lang w:val="en-US"/>
        </w:rPr>
        <w:t>$19 million 48C tax credit to support their high-powered printed circuit board (HP-PCB) stators facility in Rockdale, Texas.</w:t>
      </w:r>
      <w:bookmarkEnd w:id="10"/>
      <w:r w:rsidRPr="008A7A35">
        <w:rPr>
          <w:rFonts w:ascii="Arial" w:hAnsi="Arial" w:cs="Arial"/>
          <w:bCs/>
          <w:sz w:val="20"/>
          <w:szCs w:val="20"/>
          <w:lang w:val="en-US"/>
        </w:rPr>
        <w:t xml:space="preserve"> The company has </w:t>
      </w:r>
      <w:proofErr w:type="gramStart"/>
      <w:r w:rsidRPr="008A7A35">
        <w:rPr>
          <w:rFonts w:ascii="Arial" w:hAnsi="Arial" w:cs="Arial"/>
          <w:bCs/>
          <w:sz w:val="20"/>
          <w:szCs w:val="20"/>
          <w:lang w:val="en-US"/>
        </w:rPr>
        <w:t>performed</w:t>
      </w:r>
      <w:proofErr w:type="gramEnd"/>
      <w:r w:rsidRPr="008A7A35">
        <w:rPr>
          <w:rFonts w:ascii="Arial" w:hAnsi="Arial" w:cs="Arial"/>
          <w:bCs/>
          <w:sz w:val="20"/>
          <w:szCs w:val="20"/>
          <w:lang w:val="en-US"/>
        </w:rPr>
        <w:t xml:space="preserve"> in line with expectations for the first half of the year and is on track to achieve its full-year 2025 targets. As planned, Infinitum is actively exploring funding alternatives to support its ongoing growth trajectory.</w:t>
      </w:r>
    </w:p>
    <w:p w14:paraId="33531450" w14:textId="49C51E49" w:rsidR="006F2696" w:rsidRPr="008A7A35" w:rsidRDefault="006F2696" w:rsidP="006F2696">
      <w:pPr>
        <w:jc w:val="both"/>
        <w:rPr>
          <w:rFonts w:ascii="Arial" w:hAnsi="Arial" w:cs="Arial"/>
          <w:bCs/>
          <w:sz w:val="20"/>
          <w:szCs w:val="20"/>
        </w:rPr>
      </w:pPr>
    </w:p>
    <w:p w14:paraId="153F0699" w14:textId="22C94021" w:rsidR="006F2696" w:rsidRPr="008A7A35" w:rsidRDefault="006F2696" w:rsidP="006F2696">
      <w:pPr>
        <w:jc w:val="both"/>
        <w:rPr>
          <w:rFonts w:ascii="Arial" w:hAnsi="Arial" w:cs="Arial"/>
          <w:bCs/>
          <w:sz w:val="20"/>
          <w:szCs w:val="20"/>
        </w:rPr>
      </w:pPr>
      <w:r w:rsidRPr="008A7A35">
        <w:rPr>
          <w:rFonts w:ascii="Arial" w:hAnsi="Arial" w:cs="Arial"/>
          <w:bCs/>
          <w:sz w:val="20"/>
          <w:szCs w:val="20"/>
        </w:rPr>
        <w:t>As of 30 June 202</w:t>
      </w:r>
      <w:r w:rsidR="00E10413" w:rsidRPr="008A7A35">
        <w:rPr>
          <w:rFonts w:ascii="Arial" w:hAnsi="Arial" w:cs="Arial"/>
          <w:bCs/>
          <w:sz w:val="20"/>
          <w:szCs w:val="20"/>
        </w:rPr>
        <w:t>5</w:t>
      </w:r>
      <w:r w:rsidRPr="008A7A35">
        <w:rPr>
          <w:rFonts w:ascii="Arial" w:hAnsi="Arial" w:cs="Arial"/>
          <w:bCs/>
          <w:sz w:val="20"/>
          <w:szCs w:val="20"/>
        </w:rPr>
        <w:t xml:space="preserve">, </w:t>
      </w:r>
      <w:r w:rsidR="00307745">
        <w:rPr>
          <w:rFonts w:ascii="Arial" w:hAnsi="Arial" w:cs="Arial"/>
          <w:bCs/>
          <w:sz w:val="20"/>
          <w:szCs w:val="20"/>
        </w:rPr>
        <w:t xml:space="preserve">the Company’s </w:t>
      </w:r>
      <w:r w:rsidRPr="008A7A35">
        <w:rPr>
          <w:rFonts w:ascii="Arial" w:hAnsi="Arial" w:cs="Arial"/>
          <w:bCs/>
          <w:sz w:val="20"/>
          <w:szCs w:val="20"/>
        </w:rPr>
        <w:t xml:space="preserve">interest in Infinitum, through the Partnership, was valued at </w:t>
      </w:r>
      <w:r w:rsidR="00E10413" w:rsidRPr="008A7A35">
        <w:rPr>
          <w:rFonts w:ascii="Arial" w:hAnsi="Arial" w:cs="Arial"/>
          <w:bCs/>
          <w:sz w:val="20"/>
          <w:szCs w:val="20"/>
        </w:rPr>
        <w:t>0.65</w:t>
      </w:r>
      <w:r w:rsidRPr="008A7A35">
        <w:rPr>
          <w:rFonts w:ascii="Arial" w:hAnsi="Arial" w:cs="Arial"/>
          <w:bCs/>
          <w:sz w:val="20"/>
          <w:szCs w:val="20"/>
        </w:rPr>
        <w:t xml:space="preserve">x Gross </w:t>
      </w:r>
      <w:proofErr w:type="gramStart"/>
      <w:r w:rsidRPr="008A7A35">
        <w:rPr>
          <w:rFonts w:ascii="Arial" w:hAnsi="Arial" w:cs="Arial"/>
          <w:bCs/>
          <w:sz w:val="20"/>
          <w:szCs w:val="20"/>
        </w:rPr>
        <w:t>MOIC</w:t>
      </w:r>
      <w:r w:rsidRPr="008A7A35">
        <w:rPr>
          <w:rFonts w:ascii="Arial" w:hAnsi="Arial" w:cs="Arial"/>
          <w:bCs/>
          <w:sz w:val="20"/>
          <w:szCs w:val="20"/>
          <w:vertAlign w:val="superscript"/>
        </w:rPr>
        <w:t>(</w:t>
      </w:r>
      <w:proofErr w:type="gramEnd"/>
      <w:r w:rsidRPr="008A7A35">
        <w:rPr>
          <w:rFonts w:ascii="Arial" w:hAnsi="Arial" w:cs="Arial"/>
          <w:bCs/>
          <w:sz w:val="20"/>
          <w:szCs w:val="20"/>
          <w:vertAlign w:val="superscript"/>
        </w:rPr>
        <w:t>1)</w:t>
      </w:r>
      <w:r w:rsidRPr="008A7A35">
        <w:rPr>
          <w:rFonts w:ascii="Arial" w:hAnsi="Arial" w:cs="Arial"/>
          <w:bCs/>
          <w:sz w:val="20"/>
          <w:szCs w:val="20"/>
        </w:rPr>
        <w:t xml:space="preserve"> or $</w:t>
      </w:r>
      <w:r w:rsidR="00307745">
        <w:rPr>
          <w:rFonts w:ascii="Arial" w:hAnsi="Arial" w:cs="Arial"/>
          <w:bCs/>
          <w:sz w:val="20"/>
          <w:szCs w:val="20"/>
        </w:rPr>
        <w:t>18</w:t>
      </w:r>
      <w:r w:rsidRPr="008A7A35">
        <w:rPr>
          <w:rFonts w:ascii="Arial" w:hAnsi="Arial" w:cs="Arial"/>
          <w:bCs/>
          <w:sz w:val="20"/>
          <w:szCs w:val="20"/>
        </w:rPr>
        <w:t xml:space="preserve"> million (Realised: nil, Unrealised: $</w:t>
      </w:r>
      <w:r w:rsidR="00307745">
        <w:rPr>
          <w:rFonts w:ascii="Arial" w:hAnsi="Arial" w:cs="Arial"/>
          <w:bCs/>
          <w:sz w:val="20"/>
          <w:szCs w:val="20"/>
        </w:rPr>
        <w:t>18</w:t>
      </w:r>
      <w:r w:rsidRPr="008A7A35">
        <w:rPr>
          <w:rFonts w:ascii="Arial" w:hAnsi="Arial" w:cs="Arial"/>
          <w:bCs/>
          <w:sz w:val="20"/>
          <w:szCs w:val="20"/>
        </w:rPr>
        <w:t xml:space="preserve"> million).</w:t>
      </w:r>
      <w:r w:rsidR="005039AC">
        <w:rPr>
          <w:rFonts w:ascii="Arial" w:hAnsi="Arial" w:cs="Arial"/>
          <w:bCs/>
          <w:sz w:val="20"/>
          <w:szCs w:val="20"/>
        </w:rPr>
        <w:t xml:space="preserve"> </w:t>
      </w:r>
      <w:r w:rsidRPr="005039AC">
        <w:rPr>
          <w:rFonts w:ascii="Arial" w:hAnsi="Arial" w:cs="Arial"/>
          <w:bCs/>
          <w:sz w:val="20"/>
          <w:szCs w:val="20"/>
        </w:rPr>
        <w:t xml:space="preserve">The Gross </w:t>
      </w:r>
      <w:proofErr w:type="gramStart"/>
      <w:r w:rsidRPr="005039AC">
        <w:rPr>
          <w:rFonts w:ascii="Arial" w:hAnsi="Arial" w:cs="Arial"/>
          <w:bCs/>
          <w:sz w:val="20"/>
          <w:szCs w:val="20"/>
        </w:rPr>
        <w:t>MOIC</w:t>
      </w:r>
      <w:r w:rsidRPr="005039AC">
        <w:rPr>
          <w:rFonts w:ascii="Arial" w:hAnsi="Arial" w:cs="Arial"/>
          <w:bCs/>
          <w:sz w:val="20"/>
          <w:szCs w:val="20"/>
          <w:vertAlign w:val="superscript"/>
        </w:rPr>
        <w:t>(</w:t>
      </w:r>
      <w:proofErr w:type="gramEnd"/>
      <w:r w:rsidRPr="005039AC">
        <w:rPr>
          <w:rFonts w:ascii="Arial" w:hAnsi="Arial" w:cs="Arial"/>
          <w:bCs/>
          <w:sz w:val="20"/>
          <w:szCs w:val="20"/>
          <w:vertAlign w:val="superscript"/>
        </w:rPr>
        <w:t>1)</w:t>
      </w:r>
      <w:r w:rsidRPr="005039AC">
        <w:rPr>
          <w:rFonts w:ascii="Arial" w:hAnsi="Arial" w:cs="Arial"/>
          <w:bCs/>
          <w:sz w:val="20"/>
          <w:szCs w:val="20"/>
        </w:rPr>
        <w:t xml:space="preserve"> </w:t>
      </w:r>
      <w:r w:rsidR="003C13C0" w:rsidRPr="00830133">
        <w:rPr>
          <w:rFonts w:ascii="Arial" w:hAnsi="Arial" w:cs="Arial"/>
          <w:bCs/>
          <w:sz w:val="20"/>
          <w:szCs w:val="20"/>
        </w:rPr>
        <w:t>decreased</w:t>
      </w:r>
      <w:r w:rsidRPr="005039AC">
        <w:rPr>
          <w:rFonts w:ascii="Arial" w:hAnsi="Arial" w:cs="Arial"/>
          <w:bCs/>
          <w:sz w:val="20"/>
          <w:szCs w:val="20"/>
        </w:rPr>
        <w:t xml:space="preserve"> over the period.</w:t>
      </w:r>
    </w:p>
    <w:p w14:paraId="5F61F438" w14:textId="77777777" w:rsidR="006F2696" w:rsidRPr="008A7A35" w:rsidRDefault="006F2696" w:rsidP="006F2696">
      <w:pPr>
        <w:jc w:val="both"/>
        <w:rPr>
          <w:rFonts w:ascii="Arial" w:eastAsia="Calibri" w:hAnsi="Arial" w:cs="Arial"/>
          <w:b/>
          <w:bCs/>
          <w:color w:val="FF0000"/>
          <w:sz w:val="20"/>
          <w:szCs w:val="20"/>
        </w:rPr>
      </w:pPr>
    </w:p>
    <w:p w14:paraId="4FF3921D" w14:textId="77A7EA16" w:rsidR="00C91DE7" w:rsidRPr="008A7A35" w:rsidRDefault="006F2696" w:rsidP="00C91DE7">
      <w:pPr>
        <w:jc w:val="both"/>
        <w:rPr>
          <w:rFonts w:eastAsia="Calibri"/>
        </w:rPr>
      </w:pPr>
      <w:r w:rsidRPr="008A7A35">
        <w:rPr>
          <w:rFonts w:ascii="Arial" w:hAnsi="Arial" w:cs="Arial"/>
          <w:b/>
          <w:sz w:val="20"/>
          <w:szCs w:val="20"/>
        </w:rPr>
        <w:t xml:space="preserve">Solid Power </w:t>
      </w:r>
    </w:p>
    <w:p w14:paraId="0A29ABC4" w14:textId="6D5DD133" w:rsidR="00C91DE7" w:rsidRPr="008A7A35" w:rsidRDefault="00C91DE7" w:rsidP="00C91DE7">
      <w:pPr>
        <w:jc w:val="both"/>
        <w:rPr>
          <w:rFonts w:ascii="Arial" w:eastAsia="Calibri" w:hAnsi="Arial" w:cs="Arial"/>
          <w:sz w:val="20"/>
          <w:szCs w:val="20"/>
        </w:rPr>
      </w:pPr>
      <w:r w:rsidRPr="008A7A35">
        <w:rPr>
          <w:rFonts w:ascii="Arial" w:eastAsia="Calibri" w:hAnsi="Arial" w:cs="Arial"/>
          <w:sz w:val="20"/>
          <w:szCs w:val="20"/>
        </w:rPr>
        <w:lastRenderedPageBreak/>
        <w:t>As of 3</w:t>
      </w:r>
      <w:r w:rsidR="00F25FD3" w:rsidRPr="008A7A35">
        <w:rPr>
          <w:rFonts w:ascii="Arial" w:eastAsia="Calibri" w:hAnsi="Arial" w:cs="Arial"/>
          <w:sz w:val="20"/>
          <w:szCs w:val="20"/>
        </w:rPr>
        <w:t>0 June 2025</w:t>
      </w:r>
      <w:r w:rsidRPr="008A7A35">
        <w:rPr>
          <w:rFonts w:ascii="Arial" w:eastAsia="Calibri" w:hAnsi="Arial" w:cs="Arial"/>
          <w:sz w:val="20"/>
          <w:szCs w:val="20"/>
        </w:rPr>
        <w:t xml:space="preserve">, </w:t>
      </w:r>
      <w:r w:rsidR="00307745">
        <w:rPr>
          <w:rFonts w:ascii="Arial" w:eastAsia="Calibri" w:hAnsi="Arial" w:cs="Arial"/>
          <w:sz w:val="20"/>
          <w:szCs w:val="20"/>
        </w:rPr>
        <w:t>the Company</w:t>
      </w:r>
      <w:r w:rsidRPr="008A7A35">
        <w:rPr>
          <w:rFonts w:ascii="Arial" w:eastAsia="Calibri" w:hAnsi="Arial" w:cs="Arial"/>
          <w:sz w:val="20"/>
          <w:szCs w:val="20"/>
        </w:rPr>
        <w:t xml:space="preserve">, through the Partnership, </w:t>
      </w:r>
      <w:r w:rsidR="00307745">
        <w:rPr>
          <w:rFonts w:ascii="Arial" w:eastAsia="Calibri" w:hAnsi="Arial" w:cs="Arial"/>
          <w:sz w:val="20"/>
          <w:szCs w:val="20"/>
        </w:rPr>
        <w:t xml:space="preserve">had </w:t>
      </w:r>
      <w:r w:rsidRPr="008A7A35">
        <w:rPr>
          <w:rFonts w:ascii="Arial" w:eastAsia="Calibri" w:hAnsi="Arial" w:cs="Arial"/>
          <w:sz w:val="20"/>
          <w:szCs w:val="20"/>
        </w:rPr>
        <w:t xml:space="preserve">fully invested its </w:t>
      </w:r>
      <w:r w:rsidRPr="008A7A35">
        <w:rPr>
          <w:rFonts w:ascii="Arial" w:eastAsia="Cambria" w:hAnsi="Arial" w:cs="Arial"/>
          <w:sz w:val="20"/>
          <w:szCs w:val="20"/>
        </w:rPr>
        <w:t>$</w:t>
      </w:r>
      <w:r w:rsidRPr="008A7A35">
        <w:rPr>
          <w:rFonts w:ascii="Arial" w:eastAsia="Calibri" w:hAnsi="Arial" w:cs="Arial"/>
          <w:sz w:val="20"/>
          <w:szCs w:val="20"/>
        </w:rPr>
        <w:t>47.8 million commitment to Solid Power. Riverstone sponsored DCRC’s $350 million IPO on 23 March 2021</w:t>
      </w:r>
      <w:r w:rsidR="00307745">
        <w:rPr>
          <w:rFonts w:ascii="Arial" w:eastAsia="Calibri" w:hAnsi="Arial" w:cs="Arial"/>
          <w:sz w:val="20"/>
          <w:szCs w:val="20"/>
        </w:rPr>
        <w:t xml:space="preserve"> and the Company </w:t>
      </w:r>
      <w:r w:rsidRPr="008A7A35">
        <w:rPr>
          <w:rFonts w:ascii="Arial" w:eastAsia="Calibri" w:hAnsi="Arial" w:cs="Arial"/>
          <w:sz w:val="20"/>
          <w:szCs w:val="20"/>
        </w:rPr>
        <w:t xml:space="preserve">made a $0.6 million investment in DCRC at the time of the IPO, as the </w:t>
      </w:r>
      <w:r w:rsidR="002A4946">
        <w:rPr>
          <w:rFonts w:ascii="Arial" w:eastAsia="Calibri" w:hAnsi="Arial" w:cs="Arial"/>
          <w:sz w:val="20"/>
          <w:szCs w:val="20"/>
        </w:rPr>
        <w:t xml:space="preserve">vehicle </w:t>
      </w:r>
      <w:r w:rsidRPr="008A7A35">
        <w:rPr>
          <w:rFonts w:ascii="Arial" w:eastAsia="Calibri" w:hAnsi="Arial" w:cs="Arial"/>
          <w:sz w:val="20"/>
          <w:szCs w:val="20"/>
        </w:rPr>
        <w:t xml:space="preserve">began to pursue merger candidates. On 15 June 2021, DCRC announced its business combination agreement with Solid Power, a Louisville, Colorado based producer of all solid-state batteries for electric vehicles, to which </w:t>
      </w:r>
      <w:r w:rsidR="00307745">
        <w:rPr>
          <w:rFonts w:ascii="Arial" w:eastAsia="Calibri" w:hAnsi="Arial" w:cs="Arial"/>
          <w:sz w:val="20"/>
          <w:szCs w:val="20"/>
        </w:rPr>
        <w:t>the Company</w:t>
      </w:r>
      <w:r w:rsidRPr="008A7A35">
        <w:rPr>
          <w:rFonts w:ascii="Arial" w:eastAsia="Calibri" w:hAnsi="Arial" w:cs="Arial"/>
          <w:sz w:val="20"/>
          <w:szCs w:val="20"/>
        </w:rPr>
        <w:t xml:space="preserve">, through the Partnership, committed an additional $20 million to the $165 million PIPE that was raised. On 17 August 2021, </w:t>
      </w:r>
      <w:r w:rsidR="00307745">
        <w:rPr>
          <w:rFonts w:ascii="Arial" w:eastAsia="Calibri" w:hAnsi="Arial" w:cs="Arial"/>
          <w:sz w:val="20"/>
          <w:szCs w:val="20"/>
        </w:rPr>
        <w:t>the Company</w:t>
      </w:r>
      <w:r w:rsidRPr="008A7A35">
        <w:rPr>
          <w:rFonts w:ascii="Arial" w:eastAsia="Calibri" w:hAnsi="Arial" w:cs="Arial"/>
          <w:sz w:val="20"/>
          <w:szCs w:val="20"/>
        </w:rPr>
        <w:t xml:space="preserve"> announced the purchase of an interest in one of Samsung Ventures' battery technology focused venture capital portfolios (the "Samsung Portfolio") for $30.0 million, of which $27.2 million related to the purchase of 1.66 million shares of Solid Power. </w:t>
      </w:r>
    </w:p>
    <w:p w14:paraId="7BAF25D7" w14:textId="77777777" w:rsidR="00C91DE7" w:rsidRPr="008A7A35" w:rsidRDefault="00C91DE7" w:rsidP="00C91DE7">
      <w:pPr>
        <w:jc w:val="both"/>
        <w:rPr>
          <w:rFonts w:ascii="Arial" w:eastAsia="Calibri" w:hAnsi="Arial" w:cs="Arial"/>
          <w:sz w:val="20"/>
          <w:szCs w:val="20"/>
        </w:rPr>
      </w:pPr>
    </w:p>
    <w:p w14:paraId="74841828" w14:textId="3A9D985E" w:rsidR="004239C7" w:rsidRPr="008A7A35" w:rsidRDefault="004239C7" w:rsidP="004239C7">
      <w:pPr>
        <w:jc w:val="both"/>
        <w:rPr>
          <w:rFonts w:ascii="Arial" w:eastAsia="Calibri" w:hAnsi="Arial" w:cs="Arial"/>
          <w:bCs/>
          <w:sz w:val="20"/>
          <w:szCs w:val="20"/>
          <w:lang w:val="en-US"/>
        </w:rPr>
      </w:pPr>
      <w:r w:rsidRPr="008A7A35">
        <w:rPr>
          <w:rFonts w:ascii="Arial" w:eastAsia="Calibri" w:hAnsi="Arial" w:cs="Arial"/>
          <w:bCs/>
          <w:sz w:val="20"/>
          <w:szCs w:val="20"/>
          <w:lang w:val="en-US"/>
        </w:rPr>
        <w:t xml:space="preserve">During the first half of 2025, Solid Power’s valuation rose to 0.33x </w:t>
      </w:r>
      <w:r w:rsidR="00307745">
        <w:rPr>
          <w:rFonts w:ascii="Arial" w:eastAsia="Calibri" w:hAnsi="Arial" w:cs="Arial"/>
          <w:bCs/>
          <w:sz w:val="20"/>
          <w:szCs w:val="20"/>
          <w:lang w:val="en-US"/>
        </w:rPr>
        <w:t xml:space="preserve">Gross MOIC </w:t>
      </w:r>
      <w:r w:rsidRPr="008A7A35">
        <w:rPr>
          <w:rFonts w:ascii="Arial" w:eastAsia="Calibri" w:hAnsi="Arial" w:cs="Arial"/>
          <w:bCs/>
          <w:sz w:val="20"/>
          <w:szCs w:val="20"/>
          <w:lang w:val="en-US"/>
        </w:rPr>
        <w:t>based on the 30</w:t>
      </w:r>
      <w:r w:rsidR="00F8798E" w:rsidRPr="008A7A35">
        <w:rPr>
          <w:rFonts w:ascii="Arial" w:eastAsia="Calibri" w:hAnsi="Arial" w:cs="Arial"/>
          <w:bCs/>
          <w:sz w:val="20"/>
          <w:szCs w:val="20"/>
          <w:vertAlign w:val="superscript"/>
          <w:lang w:val="en-US"/>
        </w:rPr>
        <w:t xml:space="preserve"> </w:t>
      </w:r>
      <w:r w:rsidR="00F8798E" w:rsidRPr="008A7A35">
        <w:rPr>
          <w:rFonts w:ascii="Arial" w:eastAsia="Calibri" w:hAnsi="Arial" w:cs="Arial"/>
          <w:bCs/>
          <w:sz w:val="20"/>
          <w:szCs w:val="20"/>
          <w:lang w:val="en-US"/>
        </w:rPr>
        <w:t>June</w:t>
      </w:r>
      <w:r w:rsidRPr="008A7A35">
        <w:rPr>
          <w:rFonts w:ascii="Arial" w:eastAsia="Calibri" w:hAnsi="Arial" w:cs="Arial"/>
          <w:bCs/>
          <w:sz w:val="20"/>
          <w:szCs w:val="20"/>
          <w:lang w:val="en-US"/>
        </w:rPr>
        <w:t xml:space="preserve"> </w:t>
      </w:r>
      <w:r w:rsidR="00307745">
        <w:rPr>
          <w:rFonts w:ascii="Arial" w:eastAsia="Calibri" w:hAnsi="Arial" w:cs="Arial"/>
          <w:bCs/>
          <w:sz w:val="20"/>
          <w:szCs w:val="20"/>
          <w:lang w:val="en-US"/>
        </w:rPr>
        <w:t xml:space="preserve">2025 </w:t>
      </w:r>
      <w:r w:rsidRPr="008A7A35">
        <w:rPr>
          <w:rFonts w:ascii="Arial" w:eastAsia="Calibri" w:hAnsi="Arial" w:cs="Arial"/>
          <w:bCs/>
          <w:sz w:val="20"/>
          <w:szCs w:val="20"/>
          <w:lang w:val="en-US"/>
        </w:rPr>
        <w:t>share price of $2.19/sh. In June</w:t>
      </w:r>
      <w:r w:rsidR="00307745">
        <w:rPr>
          <w:rFonts w:ascii="Arial" w:eastAsia="Calibri" w:hAnsi="Arial" w:cs="Arial"/>
          <w:bCs/>
          <w:sz w:val="20"/>
          <w:szCs w:val="20"/>
          <w:lang w:val="en-US"/>
        </w:rPr>
        <w:t xml:space="preserve"> 2025</w:t>
      </w:r>
      <w:r w:rsidRPr="008A7A35">
        <w:rPr>
          <w:rFonts w:ascii="Arial" w:eastAsia="Calibri" w:hAnsi="Arial" w:cs="Arial"/>
          <w:bCs/>
          <w:sz w:val="20"/>
          <w:szCs w:val="20"/>
          <w:lang w:val="en-US"/>
        </w:rPr>
        <w:t>, the company received significant coverage as analysts highlighted Solid Power’s increasing relevance in the EV industry and investor demand for next-gen solid-state battery plays, driving sharp share price growth. Additionally, on 10</w:t>
      </w:r>
      <w:r w:rsidR="00F8798E" w:rsidRPr="008A7A35">
        <w:rPr>
          <w:rFonts w:ascii="Arial" w:eastAsia="Calibri" w:hAnsi="Arial" w:cs="Arial"/>
          <w:bCs/>
          <w:sz w:val="20"/>
          <w:szCs w:val="20"/>
          <w:vertAlign w:val="superscript"/>
          <w:lang w:val="en-US"/>
        </w:rPr>
        <w:t xml:space="preserve"> </w:t>
      </w:r>
      <w:r w:rsidR="00F8798E" w:rsidRPr="008A7A35">
        <w:rPr>
          <w:rFonts w:ascii="Arial" w:eastAsia="Calibri" w:hAnsi="Arial" w:cs="Arial"/>
          <w:bCs/>
          <w:sz w:val="20"/>
          <w:szCs w:val="20"/>
          <w:lang w:val="en-US"/>
        </w:rPr>
        <w:t>June</w:t>
      </w:r>
      <w:r w:rsidR="00303914">
        <w:rPr>
          <w:rFonts w:ascii="Arial" w:eastAsia="Calibri" w:hAnsi="Arial" w:cs="Arial"/>
          <w:bCs/>
          <w:sz w:val="20"/>
          <w:szCs w:val="20"/>
          <w:lang w:val="en-US"/>
        </w:rPr>
        <w:t xml:space="preserve"> 2025</w:t>
      </w:r>
      <w:r w:rsidRPr="008A7A35">
        <w:rPr>
          <w:rFonts w:ascii="Arial" w:eastAsia="Calibri" w:hAnsi="Arial" w:cs="Arial"/>
          <w:bCs/>
          <w:sz w:val="20"/>
          <w:szCs w:val="20"/>
          <w:lang w:val="en-US"/>
        </w:rPr>
        <w:t>, the US Department of Energy awarded Solid Power $3 million to help research advanced manufacturing technologies</w:t>
      </w:r>
      <w:r w:rsidR="00157FA8">
        <w:rPr>
          <w:rFonts w:ascii="Arial" w:eastAsia="Calibri" w:hAnsi="Arial" w:cs="Arial"/>
          <w:bCs/>
          <w:sz w:val="20"/>
          <w:szCs w:val="20"/>
          <w:lang w:val="en-US"/>
        </w:rPr>
        <w:t>.</w:t>
      </w:r>
    </w:p>
    <w:p w14:paraId="16309190" w14:textId="5B191E35" w:rsidR="006F2696" w:rsidRPr="008A7A35" w:rsidRDefault="006F2696" w:rsidP="006F2696">
      <w:pPr>
        <w:jc w:val="both"/>
        <w:rPr>
          <w:rFonts w:ascii="Arial" w:eastAsia="Calibri" w:hAnsi="Arial" w:cs="Arial"/>
          <w:sz w:val="20"/>
          <w:szCs w:val="20"/>
        </w:rPr>
      </w:pPr>
    </w:p>
    <w:p w14:paraId="7BA9B197" w14:textId="4843C628" w:rsidR="00DE2110" w:rsidRDefault="006F2696" w:rsidP="006F2696">
      <w:pPr>
        <w:jc w:val="both"/>
        <w:rPr>
          <w:rFonts w:ascii="Arial" w:eastAsia="Calibri" w:hAnsi="Arial" w:cs="Arial"/>
          <w:sz w:val="20"/>
          <w:szCs w:val="20"/>
        </w:rPr>
      </w:pPr>
      <w:r w:rsidRPr="008A7A35">
        <w:rPr>
          <w:rFonts w:ascii="Arial" w:eastAsia="Calibri" w:hAnsi="Arial" w:cs="Arial"/>
          <w:sz w:val="20"/>
          <w:szCs w:val="20"/>
        </w:rPr>
        <w:t>As of 30 June 202</w:t>
      </w:r>
      <w:r w:rsidR="00E10413" w:rsidRPr="008A7A35">
        <w:rPr>
          <w:rFonts w:ascii="Arial" w:eastAsia="Calibri" w:hAnsi="Arial" w:cs="Arial"/>
          <w:sz w:val="20"/>
          <w:szCs w:val="20"/>
        </w:rPr>
        <w:t>5</w:t>
      </w:r>
      <w:r w:rsidRPr="008A7A35">
        <w:rPr>
          <w:rFonts w:ascii="Arial" w:eastAsia="Calibri" w:hAnsi="Arial" w:cs="Arial"/>
          <w:sz w:val="20"/>
          <w:szCs w:val="20"/>
        </w:rPr>
        <w:t xml:space="preserve">, </w:t>
      </w:r>
      <w:r w:rsidR="00303914">
        <w:rPr>
          <w:rFonts w:ascii="Arial" w:eastAsia="Calibri" w:hAnsi="Arial" w:cs="Arial"/>
          <w:sz w:val="20"/>
          <w:szCs w:val="20"/>
        </w:rPr>
        <w:t xml:space="preserve">the Company’s </w:t>
      </w:r>
      <w:r w:rsidRPr="008A7A35">
        <w:rPr>
          <w:rFonts w:ascii="Arial" w:eastAsia="Calibri" w:hAnsi="Arial" w:cs="Arial"/>
          <w:sz w:val="20"/>
          <w:szCs w:val="20"/>
        </w:rPr>
        <w:t xml:space="preserve">interest in Solid Power, through the Partnership, consisted of the $0.6 million sponsor investment, which was valued at </w:t>
      </w:r>
      <w:r w:rsidRPr="008A7A35">
        <w:rPr>
          <w:rFonts w:ascii="Arial" w:eastAsia="Cambria" w:hAnsi="Arial" w:cs="Arial"/>
          <w:sz w:val="20"/>
          <w:szCs w:val="20"/>
        </w:rPr>
        <w:t>1.</w:t>
      </w:r>
      <w:r w:rsidR="00F25FD3" w:rsidRPr="008A7A35">
        <w:rPr>
          <w:rFonts w:ascii="Arial" w:eastAsia="Cambria" w:hAnsi="Arial" w:cs="Arial"/>
          <w:sz w:val="20"/>
          <w:szCs w:val="20"/>
        </w:rPr>
        <w:t>87</w:t>
      </w:r>
      <w:r w:rsidRPr="008A7A35">
        <w:rPr>
          <w:rFonts w:ascii="Arial" w:eastAsia="Cambria" w:hAnsi="Arial" w:cs="Arial"/>
          <w:sz w:val="20"/>
          <w:szCs w:val="20"/>
        </w:rPr>
        <w:t>x</w:t>
      </w:r>
      <w:r w:rsidRPr="008A7A35">
        <w:rPr>
          <w:rFonts w:ascii="Arial" w:eastAsia="Calibri" w:hAnsi="Arial" w:cs="Arial"/>
          <w:sz w:val="20"/>
          <w:szCs w:val="20"/>
        </w:rPr>
        <w:t xml:space="preserve"> Gross MOIC</w:t>
      </w:r>
      <w:r w:rsidRPr="008A7A35">
        <w:rPr>
          <w:rFonts w:ascii="Arial" w:eastAsia="Calibri" w:hAnsi="Arial" w:cs="Arial"/>
          <w:sz w:val="20"/>
          <w:szCs w:val="20"/>
          <w:vertAlign w:val="superscript"/>
        </w:rPr>
        <w:t>(1)</w:t>
      </w:r>
      <w:r w:rsidRPr="008A7A35">
        <w:rPr>
          <w:rFonts w:ascii="Arial" w:eastAsia="Calibri" w:hAnsi="Arial" w:cs="Arial"/>
          <w:sz w:val="20"/>
          <w:szCs w:val="20"/>
        </w:rPr>
        <w:t xml:space="preserve"> or </w:t>
      </w:r>
      <w:r w:rsidRPr="008A7A35">
        <w:rPr>
          <w:rFonts w:ascii="Arial" w:eastAsia="Cambria" w:hAnsi="Arial" w:cs="Arial"/>
          <w:sz w:val="20"/>
          <w:szCs w:val="20"/>
        </w:rPr>
        <w:t>$</w:t>
      </w:r>
      <w:r w:rsidR="00F25FD3" w:rsidRPr="008A7A35">
        <w:rPr>
          <w:rFonts w:ascii="Arial" w:eastAsia="Calibri" w:hAnsi="Arial" w:cs="Arial"/>
          <w:sz w:val="20"/>
          <w:szCs w:val="20"/>
        </w:rPr>
        <w:t>1.1</w:t>
      </w:r>
      <w:r w:rsidRPr="008A7A35">
        <w:rPr>
          <w:rFonts w:ascii="Arial" w:eastAsia="Calibri" w:hAnsi="Arial" w:cs="Arial"/>
          <w:sz w:val="20"/>
          <w:szCs w:val="20"/>
        </w:rPr>
        <w:t xml:space="preserve"> million (Realised: nil, Unrealised: </w:t>
      </w:r>
      <w:r w:rsidRPr="008A7A35">
        <w:rPr>
          <w:rFonts w:ascii="Arial" w:eastAsia="Cambria" w:hAnsi="Arial" w:cs="Arial"/>
          <w:sz w:val="20"/>
          <w:szCs w:val="20"/>
        </w:rPr>
        <w:t>$</w:t>
      </w:r>
      <w:r w:rsidR="00F25FD3" w:rsidRPr="008A7A35">
        <w:rPr>
          <w:rFonts w:ascii="Arial" w:eastAsia="Cambria" w:hAnsi="Arial" w:cs="Arial"/>
          <w:sz w:val="20"/>
          <w:szCs w:val="20"/>
        </w:rPr>
        <w:t>1.1</w:t>
      </w:r>
      <w:r w:rsidRPr="008A7A35">
        <w:rPr>
          <w:rFonts w:ascii="Arial" w:eastAsia="Calibri" w:hAnsi="Arial" w:cs="Arial"/>
          <w:sz w:val="20"/>
          <w:szCs w:val="20"/>
        </w:rPr>
        <w:t xml:space="preserve"> million), the $20 million PIPE investment, which was valued at 0.</w:t>
      </w:r>
      <w:r w:rsidR="00E10413" w:rsidRPr="008A7A35">
        <w:rPr>
          <w:rFonts w:ascii="Arial" w:eastAsia="Calibri" w:hAnsi="Arial" w:cs="Arial"/>
          <w:sz w:val="20"/>
          <w:szCs w:val="20"/>
        </w:rPr>
        <w:t>22</w:t>
      </w:r>
      <w:r w:rsidRPr="008A7A35">
        <w:rPr>
          <w:rFonts w:ascii="Arial" w:eastAsia="Calibri" w:hAnsi="Arial" w:cs="Arial"/>
          <w:sz w:val="20"/>
          <w:szCs w:val="20"/>
        </w:rPr>
        <w:t>x Gross MOIC</w:t>
      </w:r>
      <w:r w:rsidRPr="008A7A35">
        <w:rPr>
          <w:rFonts w:ascii="Arial" w:eastAsia="Calibri" w:hAnsi="Arial" w:cs="Arial"/>
          <w:sz w:val="20"/>
          <w:szCs w:val="20"/>
          <w:vertAlign w:val="superscript"/>
        </w:rPr>
        <w:t>(1)</w:t>
      </w:r>
      <w:r w:rsidRPr="008A7A35">
        <w:rPr>
          <w:rFonts w:ascii="Arial" w:eastAsia="Calibri" w:hAnsi="Arial" w:cs="Arial"/>
          <w:sz w:val="20"/>
          <w:szCs w:val="20"/>
        </w:rPr>
        <w:t xml:space="preserve"> or $</w:t>
      </w:r>
      <w:r w:rsidR="00E10413" w:rsidRPr="008A7A35">
        <w:rPr>
          <w:rFonts w:ascii="Arial" w:eastAsia="Calibri" w:hAnsi="Arial" w:cs="Arial"/>
          <w:sz w:val="20"/>
          <w:szCs w:val="20"/>
        </w:rPr>
        <w:t>4</w:t>
      </w:r>
      <w:r w:rsidRPr="008A7A35">
        <w:rPr>
          <w:rFonts w:ascii="Arial" w:eastAsia="Calibri" w:hAnsi="Arial" w:cs="Arial"/>
          <w:sz w:val="20"/>
          <w:szCs w:val="20"/>
        </w:rPr>
        <w:t>.</w:t>
      </w:r>
      <w:r w:rsidR="00E10413" w:rsidRPr="008A7A35">
        <w:rPr>
          <w:rFonts w:ascii="Arial" w:eastAsia="Calibri" w:hAnsi="Arial" w:cs="Arial"/>
          <w:sz w:val="20"/>
          <w:szCs w:val="20"/>
        </w:rPr>
        <w:t>4</w:t>
      </w:r>
      <w:r w:rsidRPr="008A7A35">
        <w:rPr>
          <w:rFonts w:ascii="Arial" w:eastAsia="Calibri" w:hAnsi="Arial" w:cs="Arial"/>
          <w:sz w:val="20"/>
          <w:szCs w:val="20"/>
        </w:rPr>
        <w:t xml:space="preserve"> million (Realised: nil, Unrealised: $</w:t>
      </w:r>
      <w:r w:rsidR="00E10413" w:rsidRPr="008A7A35">
        <w:rPr>
          <w:rFonts w:ascii="Arial" w:eastAsia="Calibri" w:hAnsi="Arial" w:cs="Arial"/>
          <w:sz w:val="20"/>
          <w:szCs w:val="20"/>
        </w:rPr>
        <w:t>4.4</w:t>
      </w:r>
      <w:r w:rsidRPr="008A7A35">
        <w:rPr>
          <w:rFonts w:ascii="Arial" w:eastAsia="Calibri" w:hAnsi="Arial" w:cs="Arial"/>
          <w:sz w:val="20"/>
          <w:szCs w:val="20"/>
        </w:rPr>
        <w:t xml:space="preserve"> million), and the $27.2 million secondary purchase from Samsung Ventures, which was valued at 0.</w:t>
      </w:r>
      <w:r w:rsidR="00E10413" w:rsidRPr="008A7A35">
        <w:rPr>
          <w:rFonts w:ascii="Arial" w:eastAsia="Calibri" w:hAnsi="Arial" w:cs="Arial"/>
          <w:sz w:val="20"/>
          <w:szCs w:val="20"/>
        </w:rPr>
        <w:t>3</w:t>
      </w:r>
      <w:r w:rsidR="005B0820" w:rsidRPr="008A7A35">
        <w:rPr>
          <w:rFonts w:ascii="Arial" w:eastAsia="Calibri" w:hAnsi="Arial" w:cs="Arial"/>
          <w:sz w:val="20"/>
          <w:szCs w:val="20"/>
        </w:rPr>
        <w:t>9</w:t>
      </w:r>
      <w:r w:rsidRPr="008A7A35">
        <w:rPr>
          <w:rFonts w:ascii="Arial" w:eastAsia="Calibri" w:hAnsi="Arial" w:cs="Arial"/>
          <w:sz w:val="20"/>
          <w:szCs w:val="20"/>
        </w:rPr>
        <w:t>x Gross MOIC</w:t>
      </w:r>
      <w:r w:rsidRPr="008A7A35">
        <w:rPr>
          <w:rFonts w:ascii="Arial" w:eastAsia="Calibri" w:hAnsi="Arial" w:cs="Arial"/>
          <w:sz w:val="20"/>
          <w:szCs w:val="20"/>
          <w:vertAlign w:val="superscript"/>
        </w:rPr>
        <w:t>(1)</w:t>
      </w:r>
      <w:r w:rsidRPr="008A7A35">
        <w:rPr>
          <w:rFonts w:ascii="Arial" w:eastAsia="Calibri" w:hAnsi="Arial" w:cs="Arial"/>
          <w:sz w:val="20"/>
          <w:szCs w:val="20"/>
        </w:rPr>
        <w:t xml:space="preserve"> or $</w:t>
      </w:r>
      <w:r w:rsidR="00E10413" w:rsidRPr="008A7A35">
        <w:rPr>
          <w:rFonts w:ascii="Arial" w:eastAsia="Calibri" w:hAnsi="Arial" w:cs="Arial"/>
          <w:sz w:val="20"/>
          <w:szCs w:val="20"/>
        </w:rPr>
        <w:t>10.5</w:t>
      </w:r>
      <w:r w:rsidRPr="008A7A35">
        <w:rPr>
          <w:rFonts w:ascii="Arial" w:eastAsia="Calibri" w:hAnsi="Arial" w:cs="Arial"/>
          <w:sz w:val="20"/>
          <w:szCs w:val="20"/>
        </w:rPr>
        <w:t xml:space="preserve"> million (Realised: nil, Unrealised: $</w:t>
      </w:r>
      <w:r w:rsidR="00E10413" w:rsidRPr="008A7A35">
        <w:rPr>
          <w:rFonts w:ascii="Arial" w:eastAsia="Calibri" w:hAnsi="Arial" w:cs="Arial"/>
          <w:sz w:val="20"/>
          <w:szCs w:val="20"/>
        </w:rPr>
        <w:t>10.5</w:t>
      </w:r>
      <w:r w:rsidRPr="008A7A35">
        <w:rPr>
          <w:rFonts w:ascii="Arial" w:eastAsia="Calibri" w:hAnsi="Arial" w:cs="Arial"/>
          <w:sz w:val="20"/>
          <w:szCs w:val="20"/>
        </w:rPr>
        <w:t xml:space="preserve"> million).</w:t>
      </w:r>
    </w:p>
    <w:p w14:paraId="3E6FA15A" w14:textId="77777777" w:rsidR="00DE4E0D" w:rsidRDefault="00DE4E0D" w:rsidP="006F2696">
      <w:pPr>
        <w:jc w:val="both"/>
        <w:rPr>
          <w:rFonts w:ascii="Arial" w:eastAsia="Calibri" w:hAnsi="Arial" w:cs="Arial"/>
          <w:sz w:val="20"/>
          <w:szCs w:val="20"/>
        </w:rPr>
      </w:pPr>
    </w:p>
    <w:p w14:paraId="7169E3E5" w14:textId="430728FC" w:rsidR="00F25FD3" w:rsidRPr="008A7A35" w:rsidRDefault="006F2696" w:rsidP="006F2696">
      <w:pPr>
        <w:keepNext/>
        <w:jc w:val="both"/>
        <w:rPr>
          <w:rFonts w:ascii="Arial" w:eastAsia="Calibri" w:hAnsi="Arial" w:cs="Arial"/>
          <w:b/>
          <w:bCs/>
          <w:sz w:val="20"/>
          <w:szCs w:val="20"/>
        </w:rPr>
      </w:pPr>
      <w:r w:rsidRPr="008A7A35">
        <w:rPr>
          <w:rFonts w:ascii="Arial" w:eastAsia="Calibri" w:hAnsi="Arial" w:cs="Arial"/>
          <w:b/>
          <w:bCs/>
          <w:sz w:val="20"/>
          <w:szCs w:val="20"/>
        </w:rPr>
        <w:t>Group14</w:t>
      </w:r>
    </w:p>
    <w:p w14:paraId="0A3FFDD9" w14:textId="3C4E53E0" w:rsidR="006F2696" w:rsidRPr="008A7A35" w:rsidRDefault="006F2696" w:rsidP="006F2696">
      <w:pPr>
        <w:jc w:val="both"/>
        <w:rPr>
          <w:rFonts w:ascii="Arial" w:eastAsia="Calibri" w:hAnsi="Arial" w:cs="Arial"/>
          <w:sz w:val="20"/>
          <w:szCs w:val="20"/>
        </w:rPr>
      </w:pPr>
      <w:r w:rsidRPr="008A7A35">
        <w:rPr>
          <w:rFonts w:ascii="Arial" w:eastAsia="Calibri" w:hAnsi="Arial" w:cs="Arial"/>
          <w:sz w:val="20"/>
          <w:szCs w:val="20"/>
        </w:rPr>
        <w:t xml:space="preserve">In April 2022, </w:t>
      </w:r>
      <w:r w:rsidR="00303914">
        <w:rPr>
          <w:rFonts w:ascii="Arial" w:eastAsia="Calibri" w:hAnsi="Arial" w:cs="Arial"/>
          <w:sz w:val="20"/>
          <w:szCs w:val="20"/>
        </w:rPr>
        <w:t>the Company</w:t>
      </w:r>
      <w:r w:rsidRPr="008A7A35">
        <w:rPr>
          <w:rFonts w:ascii="Arial" w:eastAsia="Calibri" w:hAnsi="Arial" w:cs="Arial"/>
          <w:sz w:val="20"/>
          <w:szCs w:val="20"/>
        </w:rPr>
        <w:t xml:space="preserve">, through the Partnership, invested $4 million into Group14 Technologies, Inc.’s $400 million Series C funding round. The Series C round was led by Porsche AG, with participation from OMERS Capital Markets, Decarbonisation Partners, </w:t>
      </w:r>
      <w:proofErr w:type="spellStart"/>
      <w:r w:rsidRPr="008A7A35">
        <w:rPr>
          <w:rFonts w:ascii="Arial" w:eastAsia="Calibri" w:hAnsi="Arial" w:cs="Arial"/>
          <w:sz w:val="20"/>
          <w:szCs w:val="20"/>
        </w:rPr>
        <w:t>Vsquared</w:t>
      </w:r>
      <w:proofErr w:type="spellEnd"/>
      <w:r w:rsidRPr="008A7A35">
        <w:rPr>
          <w:rFonts w:ascii="Arial" w:eastAsia="Calibri" w:hAnsi="Arial" w:cs="Arial"/>
          <w:sz w:val="20"/>
          <w:szCs w:val="20"/>
        </w:rPr>
        <w:t xml:space="preserve"> Ventures, and others. Group14 is a battery materials technology company founded in 2015. The company has developed a proprietary silicon-based anode battery material to replace graphite in conventional lithium-ion batteries.</w:t>
      </w:r>
    </w:p>
    <w:p w14:paraId="53FA3623" w14:textId="18DCCA93" w:rsidR="006F2696" w:rsidRPr="008A7A35" w:rsidRDefault="006F2696" w:rsidP="006F2696">
      <w:pPr>
        <w:jc w:val="both"/>
        <w:rPr>
          <w:rFonts w:ascii="Arial" w:eastAsia="Calibri" w:hAnsi="Arial" w:cs="Arial"/>
          <w:sz w:val="20"/>
          <w:szCs w:val="20"/>
        </w:rPr>
      </w:pPr>
    </w:p>
    <w:p w14:paraId="52653CD4" w14:textId="0C86A89E" w:rsidR="004239C7" w:rsidRPr="008A7A35" w:rsidRDefault="004239C7" w:rsidP="004239C7">
      <w:pPr>
        <w:keepNext/>
        <w:keepLines/>
        <w:jc w:val="both"/>
        <w:outlineLvl w:val="2"/>
        <w:rPr>
          <w:rFonts w:ascii="Arial" w:eastAsia="Calibri" w:hAnsi="Arial" w:cs="Arial"/>
          <w:sz w:val="20"/>
          <w:szCs w:val="20"/>
        </w:rPr>
      </w:pPr>
      <w:r w:rsidRPr="008A7A35">
        <w:rPr>
          <w:rFonts w:ascii="Arial" w:eastAsia="Calibri" w:hAnsi="Arial" w:cs="Arial"/>
          <w:sz w:val="20"/>
          <w:szCs w:val="20"/>
        </w:rPr>
        <w:t xml:space="preserve">During the first half of 2025, Group14 successfully raised an $110 million internal round in the form of a convertible note and </w:t>
      </w:r>
      <w:r w:rsidRPr="00830133">
        <w:rPr>
          <w:rFonts w:ascii="Arial" w:eastAsia="Calibri" w:hAnsi="Arial" w:cs="Arial"/>
          <w:sz w:val="20"/>
          <w:szCs w:val="20"/>
        </w:rPr>
        <w:t>has a cash balance just shy of $50 million</w:t>
      </w:r>
      <w:r w:rsidRPr="000F7C6B">
        <w:rPr>
          <w:rFonts w:ascii="Arial" w:eastAsia="Calibri" w:hAnsi="Arial" w:cs="Arial"/>
          <w:sz w:val="20"/>
          <w:szCs w:val="20"/>
        </w:rPr>
        <w:t>,</w:t>
      </w:r>
      <w:r w:rsidRPr="008A7A35">
        <w:rPr>
          <w:rFonts w:ascii="Arial" w:eastAsia="Calibri" w:hAnsi="Arial" w:cs="Arial"/>
          <w:sz w:val="20"/>
          <w:szCs w:val="20"/>
        </w:rPr>
        <w:t xml:space="preserve"> providing near term runway. That said, the Company is tracking behind its 2025 budget </w:t>
      </w:r>
      <w:r w:rsidR="004726B9" w:rsidRPr="00AA0D49">
        <w:rPr>
          <w:rFonts w:ascii="Arial" w:hAnsi="Arial" w:cs="Arial"/>
          <w:sz w:val="20"/>
          <w:szCs w:val="20"/>
        </w:rPr>
        <w:t>primarily driven by new delays in production of the BAM-2 facility from 2025 to 2026, thereby</w:t>
      </w:r>
      <w:r w:rsidR="004726B9">
        <w:rPr>
          <w:rFonts w:ascii="Arial" w:hAnsi="Arial" w:cs="Arial"/>
          <w:sz w:val="20"/>
          <w:szCs w:val="20"/>
        </w:rPr>
        <w:t xml:space="preserve"> </w:t>
      </w:r>
      <w:r w:rsidR="004726B9" w:rsidRPr="00AA0D49">
        <w:rPr>
          <w:rFonts w:ascii="Arial" w:hAnsi="Arial" w:cs="Arial"/>
          <w:sz w:val="20"/>
          <w:szCs w:val="20"/>
        </w:rPr>
        <w:t>pushing back the ramp up in revenue.</w:t>
      </w:r>
      <w:r w:rsidR="004726B9" w:rsidRPr="004726B9">
        <w:rPr>
          <w:rFonts w:ascii="Arial" w:hAnsi="Arial" w:cs="Arial"/>
          <w:sz w:val="20"/>
          <w:szCs w:val="20"/>
        </w:rPr>
        <w:t xml:space="preserve"> </w:t>
      </w:r>
      <w:r w:rsidR="004726B9">
        <w:rPr>
          <w:rFonts w:ascii="Arial" w:hAnsi="Arial" w:cs="Arial"/>
          <w:sz w:val="20"/>
          <w:szCs w:val="20"/>
        </w:rPr>
        <w:t>During</w:t>
      </w:r>
      <w:r w:rsidR="004726B9" w:rsidRPr="00AA0D49">
        <w:rPr>
          <w:rFonts w:ascii="Arial" w:hAnsi="Arial" w:cs="Arial"/>
          <w:sz w:val="20"/>
          <w:szCs w:val="20"/>
        </w:rPr>
        <w:t xml:space="preserve"> the second quarter of 2025</w:t>
      </w:r>
      <w:r w:rsidR="004726B9">
        <w:rPr>
          <w:rFonts w:ascii="Arial" w:hAnsi="Arial" w:cs="Arial"/>
          <w:sz w:val="20"/>
          <w:szCs w:val="20"/>
        </w:rPr>
        <w:t>, t</w:t>
      </w:r>
      <w:r w:rsidR="004726B9" w:rsidRPr="00AA0D49">
        <w:rPr>
          <w:rFonts w:ascii="Arial" w:hAnsi="Arial" w:cs="Arial"/>
          <w:sz w:val="20"/>
          <w:szCs w:val="20"/>
        </w:rPr>
        <w:t>he valuation multiple for Group14 was lowered from 0.75x to 0.25x Gross MOIC.</w:t>
      </w:r>
    </w:p>
    <w:p w14:paraId="15380482" w14:textId="629E9FCB" w:rsidR="006F2696" w:rsidRPr="008A7A35" w:rsidRDefault="006F2696" w:rsidP="006F2696">
      <w:pPr>
        <w:jc w:val="both"/>
        <w:rPr>
          <w:rFonts w:ascii="Arial" w:eastAsia="Calibri" w:hAnsi="Arial" w:cs="Arial"/>
          <w:sz w:val="20"/>
          <w:szCs w:val="20"/>
        </w:rPr>
      </w:pPr>
    </w:p>
    <w:p w14:paraId="3EFA29C6" w14:textId="5F228D64" w:rsidR="006F2696" w:rsidRPr="00204B77" w:rsidRDefault="006F2696" w:rsidP="006F2696">
      <w:pPr>
        <w:jc w:val="both"/>
        <w:rPr>
          <w:rFonts w:ascii="Arial" w:eastAsia="Calibri" w:hAnsi="Arial" w:cs="Arial"/>
          <w:sz w:val="20"/>
          <w:szCs w:val="20"/>
        </w:rPr>
      </w:pPr>
      <w:r w:rsidRPr="008A7A35">
        <w:rPr>
          <w:rFonts w:ascii="Arial" w:eastAsia="Calibri" w:hAnsi="Arial" w:cs="Arial"/>
          <w:sz w:val="20"/>
          <w:szCs w:val="20"/>
        </w:rPr>
        <w:t>As of 30 June 202</w:t>
      </w:r>
      <w:r w:rsidR="00E10413" w:rsidRPr="008A7A35">
        <w:rPr>
          <w:rFonts w:ascii="Arial" w:eastAsia="Calibri" w:hAnsi="Arial" w:cs="Arial"/>
          <w:sz w:val="20"/>
          <w:szCs w:val="20"/>
        </w:rPr>
        <w:t>5</w:t>
      </w:r>
      <w:r w:rsidRPr="008A7A35">
        <w:rPr>
          <w:rFonts w:ascii="Arial" w:eastAsia="Calibri" w:hAnsi="Arial" w:cs="Arial"/>
          <w:sz w:val="20"/>
          <w:szCs w:val="20"/>
        </w:rPr>
        <w:t xml:space="preserve">, </w:t>
      </w:r>
      <w:r w:rsidR="00303914">
        <w:rPr>
          <w:rFonts w:ascii="Arial" w:eastAsia="Calibri" w:hAnsi="Arial" w:cs="Arial"/>
          <w:sz w:val="20"/>
          <w:szCs w:val="20"/>
        </w:rPr>
        <w:t xml:space="preserve">the Company’s </w:t>
      </w:r>
      <w:r w:rsidRPr="008A7A35">
        <w:rPr>
          <w:rFonts w:ascii="Arial" w:eastAsia="Calibri" w:hAnsi="Arial" w:cs="Arial"/>
          <w:sz w:val="20"/>
          <w:szCs w:val="20"/>
        </w:rPr>
        <w:t xml:space="preserve">interest in Group14, through the Partnership, </w:t>
      </w:r>
      <w:r w:rsidR="00A81373">
        <w:rPr>
          <w:rFonts w:ascii="Arial" w:eastAsia="Calibri" w:hAnsi="Arial" w:cs="Arial"/>
          <w:sz w:val="20"/>
          <w:szCs w:val="20"/>
        </w:rPr>
        <w:t>decreased to 0.25x</w:t>
      </w:r>
      <w:r w:rsidRPr="008A7A35">
        <w:rPr>
          <w:rFonts w:ascii="Arial" w:eastAsia="Calibri" w:hAnsi="Arial" w:cs="Arial"/>
          <w:sz w:val="20"/>
          <w:szCs w:val="20"/>
        </w:rPr>
        <w:t xml:space="preserve"> Gross </w:t>
      </w:r>
      <w:proofErr w:type="gramStart"/>
      <w:r w:rsidRPr="008A7A35">
        <w:rPr>
          <w:rFonts w:ascii="Arial" w:eastAsia="Calibri" w:hAnsi="Arial" w:cs="Arial"/>
          <w:sz w:val="20"/>
          <w:szCs w:val="20"/>
        </w:rPr>
        <w:t>MOIC</w:t>
      </w:r>
      <w:r w:rsidRPr="008A7A35">
        <w:rPr>
          <w:rFonts w:ascii="Arial" w:eastAsia="Calibri" w:hAnsi="Arial" w:cs="Arial"/>
          <w:sz w:val="20"/>
          <w:szCs w:val="20"/>
          <w:vertAlign w:val="superscript"/>
        </w:rPr>
        <w:t>(</w:t>
      </w:r>
      <w:proofErr w:type="gramEnd"/>
      <w:r w:rsidRPr="008A7A35">
        <w:rPr>
          <w:rFonts w:ascii="Arial" w:eastAsia="Calibri" w:hAnsi="Arial" w:cs="Arial"/>
          <w:sz w:val="20"/>
          <w:szCs w:val="20"/>
          <w:vertAlign w:val="superscript"/>
        </w:rPr>
        <w:t>1)</w:t>
      </w:r>
      <w:r w:rsidRPr="008A7A35">
        <w:rPr>
          <w:rFonts w:ascii="Arial" w:eastAsia="Calibri" w:hAnsi="Arial" w:cs="Arial"/>
          <w:sz w:val="20"/>
          <w:szCs w:val="20"/>
        </w:rPr>
        <w:t xml:space="preserve"> or $</w:t>
      </w:r>
      <w:r w:rsidR="00A81373">
        <w:rPr>
          <w:rFonts w:ascii="Arial" w:eastAsia="Calibri" w:hAnsi="Arial" w:cs="Arial"/>
          <w:sz w:val="20"/>
          <w:szCs w:val="20"/>
        </w:rPr>
        <w:t>1</w:t>
      </w:r>
      <w:r w:rsidRPr="008A7A35">
        <w:rPr>
          <w:rFonts w:ascii="Arial" w:eastAsia="Calibri" w:hAnsi="Arial" w:cs="Arial"/>
          <w:sz w:val="20"/>
          <w:szCs w:val="20"/>
        </w:rPr>
        <w:t>.0 million (Realised: nil, Unrealised: $</w:t>
      </w:r>
      <w:r w:rsidR="00A81373">
        <w:rPr>
          <w:rFonts w:ascii="Arial" w:eastAsia="Calibri" w:hAnsi="Arial" w:cs="Arial"/>
          <w:sz w:val="20"/>
          <w:szCs w:val="20"/>
        </w:rPr>
        <w:t>1</w:t>
      </w:r>
      <w:r w:rsidRPr="008A7A35">
        <w:rPr>
          <w:rFonts w:ascii="Arial" w:eastAsia="Calibri" w:hAnsi="Arial" w:cs="Arial"/>
          <w:sz w:val="20"/>
          <w:szCs w:val="20"/>
        </w:rPr>
        <w:t>.0 million).</w:t>
      </w:r>
    </w:p>
    <w:p w14:paraId="34097154" w14:textId="77777777" w:rsidR="00175998" w:rsidRDefault="00175998" w:rsidP="006F2696">
      <w:pPr>
        <w:jc w:val="both"/>
        <w:rPr>
          <w:rFonts w:ascii="Arial" w:eastAsia="Calibri" w:hAnsi="Arial" w:cs="Arial"/>
          <w:b/>
          <w:color w:val="FF0000"/>
          <w:sz w:val="20"/>
          <w:szCs w:val="20"/>
        </w:rPr>
      </w:pPr>
    </w:p>
    <w:p w14:paraId="409268A1" w14:textId="0B8013DE" w:rsidR="00C60535" w:rsidRPr="008A7A35" w:rsidRDefault="00E37DDE" w:rsidP="006F2696">
      <w:pPr>
        <w:jc w:val="both"/>
        <w:rPr>
          <w:rFonts w:ascii="Arial" w:eastAsia="Calibri" w:hAnsi="Arial" w:cs="Arial"/>
          <w:b/>
          <w:bCs/>
          <w:sz w:val="20"/>
          <w:szCs w:val="20"/>
        </w:rPr>
      </w:pPr>
      <w:r w:rsidRPr="008A7A35">
        <w:rPr>
          <w:rFonts w:ascii="Arial" w:eastAsia="Calibri" w:hAnsi="Arial" w:cs="Arial"/>
          <w:b/>
          <w:bCs/>
          <w:sz w:val="20"/>
          <w:szCs w:val="20"/>
        </w:rPr>
        <w:t xml:space="preserve">Investment </w:t>
      </w:r>
      <w:r w:rsidR="009C3C65" w:rsidRPr="008A7A35">
        <w:rPr>
          <w:rFonts w:ascii="Arial" w:eastAsia="Calibri" w:hAnsi="Arial" w:cs="Arial"/>
          <w:b/>
          <w:bCs/>
          <w:sz w:val="20"/>
          <w:szCs w:val="20"/>
        </w:rPr>
        <w:t>Write</w:t>
      </w:r>
      <w:r w:rsidRPr="008A7A35">
        <w:rPr>
          <w:rFonts w:ascii="Arial" w:eastAsia="Calibri" w:hAnsi="Arial" w:cs="Arial"/>
          <w:b/>
          <w:bCs/>
          <w:sz w:val="20"/>
          <w:szCs w:val="20"/>
        </w:rPr>
        <w:t>-</w:t>
      </w:r>
      <w:r w:rsidR="009C3C65" w:rsidRPr="008A7A35">
        <w:rPr>
          <w:rFonts w:ascii="Arial" w:eastAsia="Calibri" w:hAnsi="Arial" w:cs="Arial"/>
          <w:b/>
          <w:bCs/>
          <w:sz w:val="20"/>
          <w:szCs w:val="20"/>
        </w:rPr>
        <w:t>Off</w:t>
      </w:r>
      <w:r w:rsidR="004C79B5" w:rsidRPr="008A7A35">
        <w:rPr>
          <w:rFonts w:ascii="Arial" w:eastAsia="Calibri" w:hAnsi="Arial" w:cs="Arial"/>
          <w:b/>
          <w:bCs/>
          <w:sz w:val="20"/>
          <w:szCs w:val="20"/>
        </w:rPr>
        <w:t>s</w:t>
      </w:r>
    </w:p>
    <w:p w14:paraId="56883E55" w14:textId="77777777" w:rsidR="004C79B5" w:rsidRPr="008A7A35" w:rsidRDefault="004C79B5" w:rsidP="006F2696">
      <w:pPr>
        <w:jc w:val="both"/>
        <w:rPr>
          <w:rFonts w:ascii="Arial" w:eastAsia="Calibri" w:hAnsi="Arial" w:cs="Arial"/>
          <w:b/>
          <w:bCs/>
          <w:sz w:val="20"/>
          <w:szCs w:val="20"/>
        </w:rPr>
      </w:pPr>
    </w:p>
    <w:p w14:paraId="13E352AC" w14:textId="288AE9E4" w:rsidR="004C79B5" w:rsidRPr="008A7A35" w:rsidRDefault="004C79B5" w:rsidP="004C79B5">
      <w:pPr>
        <w:jc w:val="both"/>
        <w:rPr>
          <w:rFonts w:ascii="Arial" w:hAnsi="Arial" w:cs="Arial"/>
          <w:b/>
          <w:sz w:val="20"/>
          <w:szCs w:val="20"/>
        </w:rPr>
      </w:pPr>
      <w:r w:rsidRPr="008A7A35">
        <w:rPr>
          <w:rFonts w:ascii="Arial" w:hAnsi="Arial" w:cs="Arial"/>
          <w:b/>
          <w:sz w:val="20"/>
          <w:szCs w:val="20"/>
        </w:rPr>
        <w:t>Hyzon</w:t>
      </w:r>
    </w:p>
    <w:p w14:paraId="4B93C02C" w14:textId="120B9C80" w:rsidR="00503594" w:rsidRPr="008A7A35" w:rsidRDefault="00503594" w:rsidP="00503594">
      <w:pPr>
        <w:jc w:val="both"/>
        <w:rPr>
          <w:rFonts w:ascii="Arial" w:eastAsia="Calibri" w:hAnsi="Arial" w:cs="Arial"/>
          <w:sz w:val="20"/>
          <w:szCs w:val="20"/>
          <w:lang w:val="en-US"/>
        </w:rPr>
      </w:pPr>
      <w:r w:rsidRPr="008A7A35">
        <w:rPr>
          <w:rFonts w:ascii="Arial" w:eastAsia="Calibri" w:hAnsi="Arial" w:cs="Arial"/>
          <w:sz w:val="20"/>
          <w:szCs w:val="20"/>
          <w:lang w:val="en-US"/>
        </w:rPr>
        <w:t xml:space="preserve">The Hyzon investment was marked down fully to 0.00x Gross </w:t>
      </w:r>
      <w:proofErr w:type="gramStart"/>
      <w:r w:rsidRPr="008A7A35">
        <w:rPr>
          <w:rFonts w:ascii="Arial" w:eastAsia="Calibri" w:hAnsi="Arial" w:cs="Arial"/>
          <w:sz w:val="20"/>
          <w:szCs w:val="20"/>
          <w:lang w:val="en-US"/>
        </w:rPr>
        <w:t>MOIC</w:t>
      </w:r>
      <w:r w:rsidR="007F3D87" w:rsidRPr="00C47CB2">
        <w:rPr>
          <w:rFonts w:ascii="Arial" w:eastAsia="Calibri" w:hAnsi="Arial" w:cs="Arial"/>
          <w:sz w:val="20"/>
          <w:szCs w:val="20"/>
          <w:vertAlign w:val="superscript"/>
          <w:lang w:val="en-US"/>
        </w:rPr>
        <w:t>(</w:t>
      </w:r>
      <w:proofErr w:type="gramEnd"/>
      <w:r w:rsidR="007F3D87" w:rsidRPr="00C47CB2">
        <w:rPr>
          <w:rFonts w:ascii="Arial" w:eastAsia="Calibri" w:hAnsi="Arial" w:cs="Arial"/>
          <w:sz w:val="20"/>
          <w:szCs w:val="20"/>
          <w:vertAlign w:val="superscript"/>
          <w:lang w:val="en-US"/>
        </w:rPr>
        <w:t>1)</w:t>
      </w:r>
      <w:r w:rsidRPr="008A7A35">
        <w:rPr>
          <w:rFonts w:ascii="Arial" w:eastAsia="Calibri" w:hAnsi="Arial" w:cs="Arial"/>
          <w:sz w:val="20"/>
          <w:szCs w:val="20"/>
          <w:lang w:val="en-US"/>
        </w:rPr>
        <w:t xml:space="preserve"> for the first quarter of 2025 and written off.</w:t>
      </w:r>
    </w:p>
    <w:p w14:paraId="7A8E04EF" w14:textId="77777777" w:rsidR="005B54F7" w:rsidRPr="008A7A35" w:rsidRDefault="005B54F7" w:rsidP="00503594">
      <w:pPr>
        <w:jc w:val="both"/>
        <w:rPr>
          <w:rFonts w:ascii="Arial" w:eastAsia="Calibri" w:hAnsi="Arial" w:cs="Arial"/>
          <w:sz w:val="20"/>
          <w:szCs w:val="20"/>
          <w:lang w:val="en-US"/>
        </w:rPr>
      </w:pPr>
    </w:p>
    <w:p w14:paraId="7E402AA0" w14:textId="77777777" w:rsidR="00503594" w:rsidRPr="008A7A35" w:rsidRDefault="00503594" w:rsidP="00503594">
      <w:pPr>
        <w:jc w:val="both"/>
        <w:rPr>
          <w:rFonts w:ascii="Arial" w:eastAsia="Calibri" w:hAnsi="Arial" w:cs="Arial"/>
          <w:sz w:val="20"/>
          <w:szCs w:val="20"/>
          <w:lang w:val="en-US"/>
        </w:rPr>
      </w:pPr>
      <w:r w:rsidRPr="008A7A35">
        <w:rPr>
          <w:rFonts w:ascii="Arial" w:eastAsia="Calibri" w:hAnsi="Arial" w:cs="Arial"/>
          <w:sz w:val="20"/>
          <w:szCs w:val="20"/>
          <w:lang w:val="en-US"/>
        </w:rPr>
        <w:t xml:space="preserve">During the quarter, the company initiated the process to delist from </w:t>
      </w:r>
      <w:proofErr w:type="gramStart"/>
      <w:r w:rsidRPr="008A7A35">
        <w:rPr>
          <w:rFonts w:ascii="Arial" w:eastAsia="Calibri" w:hAnsi="Arial" w:cs="Arial"/>
          <w:sz w:val="20"/>
          <w:szCs w:val="20"/>
          <w:lang w:val="en-US"/>
        </w:rPr>
        <w:t>the Nasdaq</w:t>
      </w:r>
      <w:proofErr w:type="gramEnd"/>
      <w:r w:rsidRPr="008A7A35">
        <w:rPr>
          <w:rFonts w:ascii="Arial" w:eastAsia="Calibri" w:hAnsi="Arial" w:cs="Arial"/>
          <w:sz w:val="20"/>
          <w:szCs w:val="20"/>
          <w:lang w:val="en-US"/>
        </w:rPr>
        <w:t xml:space="preserve"> and plans to deregister from the</w:t>
      </w:r>
    </w:p>
    <w:p w14:paraId="6C994106" w14:textId="079F47A5" w:rsidR="006F2696" w:rsidRPr="008A7A35" w:rsidRDefault="00503594" w:rsidP="006F2696">
      <w:pPr>
        <w:jc w:val="both"/>
        <w:rPr>
          <w:rFonts w:ascii="Arial" w:eastAsia="Calibri" w:hAnsi="Arial" w:cs="Arial"/>
          <w:sz w:val="20"/>
          <w:szCs w:val="20"/>
        </w:rPr>
      </w:pPr>
      <w:r w:rsidRPr="008A7A35">
        <w:rPr>
          <w:rFonts w:ascii="Arial" w:eastAsia="Calibri" w:hAnsi="Arial" w:cs="Arial"/>
          <w:sz w:val="20"/>
          <w:szCs w:val="20"/>
          <w:lang w:val="en-US"/>
        </w:rPr>
        <w:t>Securities and Exchange Commission (SEC). Hyzon, which went public via SPAC in 2021 with a market cap that briefly soared past $1 billion, had aimed to be a major U.S.-based hydrogen trucking player</w:t>
      </w:r>
      <w:r w:rsidR="00303914">
        <w:rPr>
          <w:rFonts w:ascii="Arial" w:eastAsia="Calibri" w:hAnsi="Arial" w:cs="Arial"/>
          <w:sz w:val="20"/>
          <w:szCs w:val="20"/>
          <w:lang w:val="en-US"/>
        </w:rPr>
        <w:t xml:space="preserve">, however </w:t>
      </w:r>
      <w:r w:rsidRPr="008A7A35">
        <w:rPr>
          <w:rFonts w:ascii="Arial" w:eastAsia="Calibri" w:hAnsi="Arial" w:cs="Arial"/>
          <w:sz w:val="20"/>
          <w:szCs w:val="20"/>
          <w:lang w:val="en-US"/>
        </w:rPr>
        <w:t>revenue</w:t>
      </w:r>
      <w:r w:rsidR="00303914">
        <w:rPr>
          <w:rFonts w:ascii="Arial" w:eastAsia="Calibri" w:hAnsi="Arial" w:cs="Arial"/>
          <w:sz w:val="20"/>
          <w:szCs w:val="20"/>
          <w:lang w:val="en-US"/>
        </w:rPr>
        <w:t xml:space="preserve"> </w:t>
      </w:r>
      <w:r w:rsidRPr="008A7A35">
        <w:rPr>
          <w:rFonts w:ascii="Arial" w:eastAsia="Calibri" w:hAnsi="Arial" w:cs="Arial"/>
          <w:sz w:val="20"/>
          <w:szCs w:val="20"/>
          <w:lang w:val="en-US"/>
        </w:rPr>
        <w:t>shortfalls, cost overruns, and corporate governance issues proved insurmountable.</w:t>
      </w:r>
    </w:p>
    <w:bookmarkEnd w:id="9"/>
    <w:p w14:paraId="47F3E61C" w14:textId="77777777" w:rsidR="006F2696" w:rsidRDefault="006F2696" w:rsidP="003C67B6">
      <w:pPr>
        <w:jc w:val="both"/>
        <w:rPr>
          <w:rFonts w:ascii="Arial" w:eastAsia="Calibri" w:hAnsi="Arial" w:cs="Arial"/>
          <w:sz w:val="20"/>
          <w:szCs w:val="20"/>
        </w:rPr>
      </w:pPr>
    </w:p>
    <w:p w14:paraId="74ACCDFA" w14:textId="506894C8" w:rsidR="007F3D87" w:rsidRPr="007F3D87" w:rsidRDefault="007F3D87" w:rsidP="007F3D87">
      <w:pPr>
        <w:jc w:val="both"/>
        <w:rPr>
          <w:rFonts w:ascii="Arial" w:hAnsi="Arial" w:cs="Arial"/>
          <w:sz w:val="16"/>
          <w:szCs w:val="16"/>
        </w:rPr>
      </w:pPr>
      <w:r w:rsidRPr="00C47CB2">
        <w:rPr>
          <w:rFonts w:ascii="Arial" w:hAnsi="Arial" w:cs="Arial"/>
          <w:sz w:val="16"/>
          <w:szCs w:val="16"/>
          <w:vertAlign w:val="superscript"/>
          <w:lang w:val="en-US"/>
        </w:rPr>
        <w:t>(1)</w:t>
      </w:r>
      <w:r>
        <w:rPr>
          <w:rFonts w:ascii="Arial" w:hAnsi="Arial" w:cs="Arial"/>
          <w:sz w:val="16"/>
          <w:szCs w:val="16"/>
          <w:lang w:val="en-US"/>
        </w:rPr>
        <w:t xml:space="preserve"> </w:t>
      </w:r>
      <w:r w:rsidRPr="008A7A35">
        <w:rPr>
          <w:rFonts w:ascii="Arial" w:hAnsi="Arial" w:cs="Arial"/>
          <w:sz w:val="16"/>
          <w:szCs w:val="16"/>
          <w:lang w:val="en-US"/>
        </w:rPr>
        <w:t xml:space="preserve">Gross </w:t>
      </w:r>
      <w:proofErr w:type="spellStart"/>
      <w:r w:rsidRPr="008A7A35">
        <w:rPr>
          <w:rFonts w:ascii="Arial" w:hAnsi="Arial" w:cs="Arial"/>
          <w:sz w:val="16"/>
          <w:szCs w:val="16"/>
          <w:lang w:val="en-US"/>
        </w:rPr>
        <w:t>Unrealised</w:t>
      </w:r>
      <w:proofErr w:type="spellEnd"/>
      <w:r w:rsidRPr="008A7A35">
        <w:rPr>
          <w:rFonts w:ascii="Arial" w:hAnsi="Arial" w:cs="Arial"/>
          <w:sz w:val="16"/>
          <w:szCs w:val="16"/>
          <w:lang w:val="en-US"/>
        </w:rPr>
        <w:t xml:space="preserve"> Value and Gross MOIC (Gross Multiple of Invested Capital) are before transaction costs, taxes (approximately 21 to 27.5 per cent. of U.S. sourced taxable income) and 20 per cent. performance fees on applicable gross profits in accordance with the revised terms announced on 3 January 2020, but effective 30 June 2019. Since there was no netting of losses against gains before the </w:t>
      </w:r>
      <w:proofErr w:type="gramStart"/>
      <w:r w:rsidRPr="008A7A35">
        <w:rPr>
          <w:rFonts w:ascii="Arial" w:hAnsi="Arial" w:cs="Arial"/>
          <w:sz w:val="16"/>
          <w:szCs w:val="16"/>
          <w:lang w:val="en-US"/>
        </w:rPr>
        <w:t>aforementioned revised</w:t>
      </w:r>
      <w:proofErr w:type="gramEnd"/>
      <w:r w:rsidRPr="008A7A35">
        <w:rPr>
          <w:rFonts w:ascii="Arial" w:hAnsi="Arial" w:cs="Arial"/>
          <w:sz w:val="16"/>
          <w:szCs w:val="16"/>
          <w:lang w:val="en-US"/>
        </w:rPr>
        <w:t xml:space="preserve"> terms, the effective </w:t>
      </w:r>
      <w:proofErr w:type="gramStart"/>
      <w:r w:rsidRPr="008A7A35">
        <w:rPr>
          <w:rFonts w:ascii="Arial" w:hAnsi="Arial" w:cs="Arial"/>
          <w:sz w:val="16"/>
          <w:szCs w:val="16"/>
          <w:lang w:val="en-US"/>
        </w:rPr>
        <w:t>performance fees</w:t>
      </w:r>
      <w:proofErr w:type="gramEnd"/>
      <w:r w:rsidRPr="008A7A35">
        <w:rPr>
          <w:rFonts w:ascii="Arial" w:hAnsi="Arial" w:cs="Arial"/>
          <w:sz w:val="16"/>
          <w:szCs w:val="16"/>
          <w:lang w:val="en-US"/>
        </w:rPr>
        <w:t xml:space="preserve"> rate on the portfolio </w:t>
      </w:r>
      <w:proofErr w:type="gramStart"/>
      <w:r w:rsidRPr="008A7A35">
        <w:rPr>
          <w:rFonts w:ascii="Arial" w:hAnsi="Arial" w:cs="Arial"/>
          <w:sz w:val="16"/>
          <w:szCs w:val="16"/>
          <w:lang w:val="en-US"/>
        </w:rPr>
        <w:t>as a whole will</w:t>
      </w:r>
      <w:proofErr w:type="gramEnd"/>
      <w:r w:rsidRPr="008A7A35">
        <w:rPr>
          <w:rFonts w:ascii="Arial" w:hAnsi="Arial" w:cs="Arial"/>
          <w:sz w:val="16"/>
          <w:szCs w:val="16"/>
          <w:lang w:val="en-US"/>
        </w:rPr>
        <w:t xml:space="preserve"> be greater than 20 per cent. </w:t>
      </w:r>
      <w:r>
        <w:rPr>
          <w:rFonts w:ascii="Arial" w:hAnsi="Arial" w:cs="Arial"/>
          <w:sz w:val="16"/>
          <w:szCs w:val="16"/>
          <w:lang w:val="en-US"/>
        </w:rPr>
        <w:t xml:space="preserve">On 22 August 2025 amendments were made to the Investment Management Agreement to remove the performance fee mechanism. Under the previous arrangements with the Investment Manager, no </w:t>
      </w:r>
      <w:r w:rsidRPr="008A7A35">
        <w:rPr>
          <w:rFonts w:ascii="Arial" w:hAnsi="Arial" w:cs="Arial"/>
          <w:sz w:val="16"/>
          <w:szCs w:val="16"/>
          <w:lang w:val="en-US"/>
        </w:rPr>
        <w:t xml:space="preserve">further performance fees </w:t>
      </w:r>
      <w:r>
        <w:rPr>
          <w:rFonts w:ascii="Arial" w:hAnsi="Arial" w:cs="Arial"/>
          <w:sz w:val="16"/>
          <w:szCs w:val="16"/>
          <w:lang w:val="en-US"/>
        </w:rPr>
        <w:t xml:space="preserve">were </w:t>
      </w:r>
      <w:r w:rsidRPr="008A7A35">
        <w:rPr>
          <w:rFonts w:ascii="Arial" w:hAnsi="Arial" w:cs="Arial"/>
          <w:sz w:val="16"/>
          <w:szCs w:val="16"/>
          <w:lang w:val="en-US"/>
        </w:rPr>
        <w:t>payable until the $</w:t>
      </w:r>
      <w:r w:rsidR="004B3283">
        <w:rPr>
          <w:rFonts w:ascii="Arial" w:hAnsi="Arial" w:cs="Arial"/>
          <w:sz w:val="16"/>
          <w:szCs w:val="16"/>
        </w:rPr>
        <w:t>149.9</w:t>
      </w:r>
      <w:r w:rsidRPr="008A7A35">
        <w:rPr>
          <w:rFonts w:ascii="Arial" w:hAnsi="Arial" w:cs="Arial"/>
          <w:sz w:val="16"/>
          <w:szCs w:val="16"/>
          <w:lang w:val="en-US"/>
        </w:rPr>
        <w:t xml:space="preserve"> </w:t>
      </w:r>
      <w:proofErr w:type="spellStart"/>
      <w:r w:rsidRPr="008A7A35">
        <w:rPr>
          <w:rFonts w:ascii="Arial" w:hAnsi="Arial" w:cs="Arial"/>
          <w:sz w:val="16"/>
          <w:szCs w:val="16"/>
          <w:lang w:val="en-US"/>
        </w:rPr>
        <w:t>million</w:t>
      </w:r>
      <w:proofErr w:type="spellEnd"/>
      <w:r w:rsidRPr="008A7A35">
        <w:rPr>
          <w:rFonts w:ascii="Arial" w:hAnsi="Arial" w:cs="Arial"/>
          <w:sz w:val="16"/>
          <w:szCs w:val="16"/>
          <w:lang w:val="en-US"/>
        </w:rPr>
        <w:t xml:space="preserve"> of </w:t>
      </w:r>
      <w:proofErr w:type="spellStart"/>
      <w:r w:rsidRPr="008A7A35">
        <w:rPr>
          <w:rFonts w:ascii="Arial" w:hAnsi="Arial" w:cs="Arial"/>
          <w:sz w:val="16"/>
          <w:szCs w:val="16"/>
          <w:lang w:val="en-US"/>
        </w:rPr>
        <w:t>realised</w:t>
      </w:r>
      <w:proofErr w:type="spellEnd"/>
      <w:r w:rsidRPr="008A7A35">
        <w:rPr>
          <w:rFonts w:ascii="Arial" w:hAnsi="Arial" w:cs="Arial"/>
          <w:sz w:val="16"/>
          <w:szCs w:val="16"/>
          <w:lang w:val="en-US"/>
        </w:rPr>
        <w:t xml:space="preserve"> and </w:t>
      </w:r>
      <w:proofErr w:type="spellStart"/>
      <w:r w:rsidRPr="008A7A35">
        <w:rPr>
          <w:rFonts w:ascii="Arial" w:hAnsi="Arial" w:cs="Arial"/>
          <w:sz w:val="16"/>
          <w:szCs w:val="16"/>
          <w:lang w:val="en-US"/>
        </w:rPr>
        <w:t>unrealised</w:t>
      </w:r>
      <w:proofErr w:type="spellEnd"/>
      <w:r w:rsidRPr="008A7A35">
        <w:rPr>
          <w:rFonts w:ascii="Arial" w:hAnsi="Arial" w:cs="Arial"/>
          <w:sz w:val="16"/>
          <w:szCs w:val="16"/>
          <w:lang w:val="en-US"/>
        </w:rPr>
        <w:t xml:space="preserve"> losses to date </w:t>
      </w:r>
      <w:proofErr w:type="gramStart"/>
      <w:r w:rsidRPr="008A7A35">
        <w:rPr>
          <w:rFonts w:ascii="Arial" w:hAnsi="Arial" w:cs="Arial"/>
          <w:sz w:val="16"/>
          <w:szCs w:val="16"/>
          <w:lang w:val="en-US"/>
        </w:rPr>
        <w:t>at</w:t>
      </w:r>
      <w:proofErr w:type="gramEnd"/>
      <w:r w:rsidRPr="008A7A35">
        <w:rPr>
          <w:rFonts w:ascii="Arial" w:hAnsi="Arial" w:cs="Arial"/>
          <w:sz w:val="16"/>
          <w:szCs w:val="16"/>
          <w:lang w:val="en-US"/>
        </w:rPr>
        <w:t xml:space="preserve"> 30 June 2025 </w:t>
      </w:r>
      <w:r>
        <w:rPr>
          <w:rFonts w:ascii="Arial" w:hAnsi="Arial" w:cs="Arial"/>
          <w:sz w:val="16"/>
          <w:szCs w:val="16"/>
          <w:lang w:val="en-US"/>
        </w:rPr>
        <w:t xml:space="preserve">were </w:t>
      </w:r>
      <w:r w:rsidRPr="008A7A35">
        <w:rPr>
          <w:rFonts w:ascii="Arial" w:hAnsi="Arial" w:cs="Arial"/>
          <w:sz w:val="16"/>
          <w:szCs w:val="16"/>
          <w:lang w:val="en-US"/>
        </w:rPr>
        <w:t xml:space="preserve">made whole with future gains. Since </w:t>
      </w:r>
      <w:r>
        <w:rPr>
          <w:rFonts w:ascii="Arial" w:hAnsi="Arial" w:cs="Arial"/>
          <w:sz w:val="16"/>
          <w:szCs w:val="16"/>
          <w:lang w:val="en-US"/>
        </w:rPr>
        <w:t xml:space="preserve">the Company had </w:t>
      </w:r>
      <w:r w:rsidRPr="008A7A35">
        <w:rPr>
          <w:rFonts w:ascii="Arial" w:hAnsi="Arial" w:cs="Arial"/>
          <w:sz w:val="16"/>
          <w:szCs w:val="16"/>
          <w:lang w:val="en-US"/>
        </w:rPr>
        <w:t xml:space="preserve">not yet met the appropriate Cost Benchmark </w:t>
      </w:r>
      <w:proofErr w:type="gramStart"/>
      <w:r w:rsidRPr="008A7A35">
        <w:rPr>
          <w:rFonts w:ascii="Arial" w:hAnsi="Arial" w:cs="Arial"/>
          <w:sz w:val="16"/>
          <w:szCs w:val="16"/>
          <w:lang w:val="en-US"/>
        </w:rPr>
        <w:t>at</w:t>
      </w:r>
      <w:proofErr w:type="gramEnd"/>
      <w:r w:rsidRPr="008A7A35">
        <w:rPr>
          <w:rFonts w:ascii="Arial" w:hAnsi="Arial" w:cs="Arial"/>
          <w:sz w:val="16"/>
          <w:szCs w:val="16"/>
          <w:lang w:val="en-US"/>
        </w:rPr>
        <w:t xml:space="preserve"> 30 June 2025, $</w:t>
      </w:r>
      <w:r w:rsidRPr="008A7A35">
        <w:rPr>
          <w:rFonts w:ascii="Arial" w:hAnsi="Arial" w:cs="Arial"/>
          <w:sz w:val="16"/>
          <w:szCs w:val="16"/>
        </w:rPr>
        <w:t>22.1</w:t>
      </w:r>
      <w:r w:rsidRPr="008A7A35">
        <w:rPr>
          <w:rFonts w:ascii="Arial" w:hAnsi="Arial" w:cs="Arial"/>
          <w:bCs/>
          <w:sz w:val="20"/>
          <w:szCs w:val="20"/>
        </w:rPr>
        <w:t xml:space="preserve"> </w:t>
      </w:r>
      <w:r w:rsidRPr="008A7A35">
        <w:rPr>
          <w:rFonts w:ascii="Arial" w:hAnsi="Arial" w:cs="Arial"/>
          <w:sz w:val="16"/>
          <w:szCs w:val="16"/>
          <w:lang w:val="en-US"/>
        </w:rPr>
        <w:t xml:space="preserve">million in Performance Allocation Fees that would have been due under the prior agreement were not accrued. In addition, </w:t>
      </w:r>
      <w:r>
        <w:rPr>
          <w:rFonts w:ascii="Arial" w:hAnsi="Arial" w:cs="Arial"/>
          <w:sz w:val="16"/>
          <w:szCs w:val="16"/>
          <w:lang w:val="en-US"/>
        </w:rPr>
        <w:t xml:space="preserve">and to 22 August 2025 there was </w:t>
      </w:r>
      <w:r w:rsidRPr="008A7A35">
        <w:rPr>
          <w:rFonts w:ascii="Arial" w:hAnsi="Arial" w:cs="Arial"/>
          <w:sz w:val="16"/>
          <w:szCs w:val="16"/>
          <w:lang w:val="en-US"/>
        </w:rPr>
        <w:t xml:space="preserve">a management fee of 1.5 per cent. of net assets (including cash) per annum and other expenses. Given these costs, fees and expenses are in aggregate expected to be considerable, Total Net Value and Net MOIC will be materially less than Gross </w:t>
      </w:r>
      <w:proofErr w:type="spellStart"/>
      <w:r w:rsidRPr="008A7A35">
        <w:rPr>
          <w:rFonts w:ascii="Arial" w:hAnsi="Arial" w:cs="Arial"/>
          <w:sz w:val="16"/>
          <w:szCs w:val="16"/>
          <w:lang w:val="en-US"/>
        </w:rPr>
        <w:t>Unrealised</w:t>
      </w:r>
      <w:proofErr w:type="spellEnd"/>
      <w:r w:rsidRPr="008A7A35">
        <w:rPr>
          <w:rFonts w:ascii="Arial" w:hAnsi="Arial" w:cs="Arial"/>
          <w:sz w:val="16"/>
          <w:szCs w:val="16"/>
          <w:lang w:val="en-US"/>
        </w:rPr>
        <w:t xml:space="preserve"> Value and Gross MOIC. Local taxes, primarily on U.S. assets, may apply at the jurisdictional level on profits arising in operating entity investments. Further withholding taxes may apply on distributions from such operating entity investments. In the normal course of business, </w:t>
      </w:r>
      <w:r>
        <w:rPr>
          <w:rFonts w:ascii="Arial" w:hAnsi="Arial" w:cs="Arial"/>
          <w:sz w:val="16"/>
          <w:szCs w:val="16"/>
          <w:lang w:val="en-US"/>
        </w:rPr>
        <w:t xml:space="preserve">the Company </w:t>
      </w:r>
      <w:r w:rsidRPr="008A7A35">
        <w:rPr>
          <w:rFonts w:ascii="Arial" w:hAnsi="Arial" w:cs="Arial"/>
          <w:sz w:val="16"/>
          <w:szCs w:val="16"/>
          <w:lang w:val="en-US"/>
        </w:rPr>
        <w:t xml:space="preserve">may form </w:t>
      </w:r>
      <w:proofErr w:type="gramStart"/>
      <w:r w:rsidRPr="008A7A35">
        <w:rPr>
          <w:rFonts w:ascii="Arial" w:hAnsi="Arial" w:cs="Arial"/>
          <w:sz w:val="16"/>
          <w:szCs w:val="16"/>
          <w:lang w:val="en-US"/>
        </w:rPr>
        <w:t>wholly-owned</w:t>
      </w:r>
      <w:proofErr w:type="gramEnd"/>
      <w:r w:rsidRPr="008A7A35">
        <w:rPr>
          <w:rFonts w:ascii="Arial" w:hAnsi="Arial" w:cs="Arial"/>
          <w:sz w:val="16"/>
          <w:szCs w:val="16"/>
          <w:lang w:val="en-US"/>
        </w:rPr>
        <w:t xml:space="preserve"> subsidiaries, to be treated as C Corporations for US tax purposes. The C Corporations serve to protect </w:t>
      </w:r>
      <w:r>
        <w:rPr>
          <w:rFonts w:ascii="Arial" w:hAnsi="Arial" w:cs="Arial"/>
          <w:sz w:val="16"/>
          <w:szCs w:val="16"/>
          <w:lang w:val="en-US"/>
        </w:rPr>
        <w:t xml:space="preserve">the Company’s </w:t>
      </w:r>
      <w:r w:rsidRPr="008A7A35">
        <w:rPr>
          <w:rFonts w:ascii="Arial" w:hAnsi="Arial" w:cs="Arial"/>
          <w:sz w:val="16"/>
          <w:szCs w:val="16"/>
          <w:lang w:val="en-US"/>
        </w:rPr>
        <w:t>public investors from incurring U.S. effectively connected income. The C Corporations file U.S. corporate tax returns with the U.S. Internal Revenue Service and pay U.S. corporate taxes on its taxable income.</w:t>
      </w:r>
    </w:p>
    <w:p w14:paraId="1D33E3FC" w14:textId="77777777" w:rsidR="007F3D87" w:rsidRPr="008A7A35" w:rsidRDefault="007F3D87" w:rsidP="003C67B6">
      <w:pPr>
        <w:jc w:val="both"/>
        <w:rPr>
          <w:rFonts w:ascii="Arial" w:eastAsia="Calibri" w:hAnsi="Arial" w:cs="Arial"/>
          <w:sz w:val="20"/>
          <w:szCs w:val="20"/>
        </w:rPr>
      </w:pPr>
    </w:p>
    <w:p w14:paraId="03AE3911" w14:textId="77777777" w:rsidR="006F2696" w:rsidRPr="008A7A35" w:rsidRDefault="006F2696" w:rsidP="006F2696">
      <w:pPr>
        <w:ind w:left="567" w:hanging="567"/>
        <w:jc w:val="both"/>
        <w:outlineLvl w:val="1"/>
        <w:rPr>
          <w:rFonts w:ascii="Arial" w:hAnsi="Arial" w:cs="Arial"/>
          <w:b/>
          <w:sz w:val="20"/>
          <w:szCs w:val="20"/>
        </w:rPr>
      </w:pPr>
      <w:r w:rsidRPr="008A7A35">
        <w:rPr>
          <w:rFonts w:ascii="Arial" w:hAnsi="Arial" w:cs="Arial"/>
          <w:b/>
          <w:sz w:val="20"/>
          <w:szCs w:val="20"/>
        </w:rPr>
        <w:t>Valuation</w:t>
      </w:r>
    </w:p>
    <w:p w14:paraId="4DD000B7" w14:textId="57696383" w:rsidR="006F2696" w:rsidRPr="008A7A35" w:rsidRDefault="006F2696" w:rsidP="006F2696">
      <w:pPr>
        <w:jc w:val="both"/>
        <w:rPr>
          <w:rFonts w:ascii="Arial" w:eastAsia="Cambria" w:hAnsi="Arial" w:cs="Arial"/>
          <w:sz w:val="20"/>
          <w:szCs w:val="20"/>
          <w:lang w:val="en-US"/>
        </w:rPr>
      </w:pPr>
      <w:r w:rsidRPr="008A7A35">
        <w:rPr>
          <w:rFonts w:ascii="Arial" w:eastAsia="Cambria" w:hAnsi="Arial" w:cs="Arial"/>
          <w:sz w:val="20"/>
          <w:szCs w:val="20"/>
          <w:lang w:val="en-US"/>
        </w:rPr>
        <w:lastRenderedPageBreak/>
        <w:t xml:space="preserve">The Investment Manager is charged with proposing the valuation of the </w:t>
      </w:r>
      <w:r w:rsidR="00303914">
        <w:rPr>
          <w:rFonts w:ascii="Arial" w:eastAsia="Cambria" w:hAnsi="Arial" w:cs="Arial"/>
          <w:sz w:val="20"/>
          <w:szCs w:val="20"/>
          <w:lang w:val="en-US"/>
        </w:rPr>
        <w:t xml:space="preserve">investment portfolio </w:t>
      </w:r>
      <w:r w:rsidRPr="008A7A35">
        <w:rPr>
          <w:rFonts w:ascii="Arial" w:eastAsia="Cambria" w:hAnsi="Arial" w:cs="Arial"/>
          <w:sz w:val="20"/>
          <w:szCs w:val="20"/>
          <w:lang w:val="en-US"/>
        </w:rPr>
        <w:t xml:space="preserve">held by </w:t>
      </w:r>
      <w:r w:rsidR="00303914">
        <w:rPr>
          <w:rFonts w:ascii="Arial" w:eastAsia="Cambria" w:hAnsi="Arial" w:cs="Arial"/>
          <w:sz w:val="20"/>
          <w:szCs w:val="20"/>
          <w:lang w:val="en-US"/>
        </w:rPr>
        <w:t xml:space="preserve">the Company </w:t>
      </w:r>
      <w:r w:rsidRPr="008A7A35">
        <w:rPr>
          <w:rFonts w:ascii="Arial" w:eastAsia="Cambria" w:hAnsi="Arial" w:cs="Arial"/>
          <w:sz w:val="20"/>
          <w:szCs w:val="20"/>
          <w:lang w:val="en-US"/>
        </w:rPr>
        <w:t xml:space="preserve">through the Partnership. The Partnership has directed that securities and instruments be valued at their fair value. </w:t>
      </w:r>
      <w:r w:rsidR="00303914">
        <w:rPr>
          <w:rFonts w:ascii="Arial" w:eastAsia="Cambria" w:hAnsi="Arial" w:cs="Arial"/>
          <w:sz w:val="20"/>
          <w:szCs w:val="20"/>
          <w:lang w:val="en-US"/>
        </w:rPr>
        <w:t xml:space="preserve">The Company’s </w:t>
      </w:r>
      <w:r w:rsidRPr="008A7A35">
        <w:rPr>
          <w:rFonts w:ascii="Arial" w:eastAsia="Cambria" w:hAnsi="Arial" w:cs="Arial"/>
          <w:sz w:val="20"/>
          <w:szCs w:val="20"/>
          <w:lang w:val="en-US"/>
        </w:rPr>
        <w:t>valuation policy is compliant with IFRS and IPEV Valuation Guidelines</w:t>
      </w:r>
      <w:r w:rsidRPr="008A7A35">
        <w:rPr>
          <w:rFonts w:ascii="Arial" w:eastAsia="Cambria" w:hAnsi="Arial" w:cs="Arial"/>
          <w:sz w:val="20"/>
          <w:szCs w:val="20"/>
        </w:rPr>
        <w:t xml:space="preserve"> </w:t>
      </w:r>
      <w:r w:rsidRPr="008A7A35">
        <w:rPr>
          <w:rFonts w:ascii="Arial" w:eastAsia="Cambria" w:hAnsi="Arial" w:cs="Arial"/>
          <w:sz w:val="20"/>
          <w:szCs w:val="20"/>
          <w:lang w:val="en-US"/>
        </w:rPr>
        <w:t xml:space="preserve">and has been applied consistently from period to period since inception. </w:t>
      </w:r>
      <w:r w:rsidRPr="008A7A35">
        <w:rPr>
          <w:rFonts w:ascii="Arial" w:eastAsia="Cambria" w:hAnsi="Arial" w:cs="Arial"/>
          <w:sz w:val="20"/>
          <w:szCs w:val="20"/>
        </w:rPr>
        <w:t>As the Company’s investments</w:t>
      </w:r>
      <w:r w:rsidR="00DA6978" w:rsidRPr="008A7A35">
        <w:rPr>
          <w:rFonts w:ascii="Arial" w:eastAsia="Cambria" w:hAnsi="Arial" w:cs="Arial"/>
          <w:sz w:val="20"/>
          <w:szCs w:val="20"/>
        </w:rPr>
        <w:t xml:space="preserve"> </w:t>
      </w:r>
      <w:r w:rsidRPr="008A7A35">
        <w:rPr>
          <w:rFonts w:ascii="Arial" w:eastAsia="Cambria" w:hAnsi="Arial" w:cs="Arial"/>
          <w:sz w:val="20"/>
          <w:szCs w:val="20"/>
        </w:rPr>
        <w:t>through the Partnership</w:t>
      </w:r>
      <w:r w:rsidR="00DA6978" w:rsidRPr="008A7A35">
        <w:rPr>
          <w:rFonts w:ascii="Arial" w:eastAsia="Cambria" w:hAnsi="Arial" w:cs="Arial"/>
          <w:sz w:val="20"/>
          <w:szCs w:val="20"/>
        </w:rPr>
        <w:t xml:space="preserve"> </w:t>
      </w:r>
      <w:r w:rsidRPr="008A7A35">
        <w:rPr>
          <w:rFonts w:ascii="Arial" w:eastAsia="Cambria" w:hAnsi="Arial" w:cs="Arial"/>
          <w:sz w:val="20"/>
          <w:szCs w:val="20"/>
        </w:rPr>
        <w:t>have tended</w:t>
      </w:r>
      <w:r w:rsidR="00B3538C" w:rsidRPr="008A7A35">
        <w:rPr>
          <w:rFonts w:ascii="Arial" w:eastAsia="Cambria" w:hAnsi="Arial" w:cs="Arial"/>
          <w:sz w:val="20"/>
          <w:szCs w:val="20"/>
        </w:rPr>
        <w:t xml:space="preserve"> to not</w:t>
      </w:r>
      <w:r w:rsidRPr="008A7A35">
        <w:rPr>
          <w:rFonts w:ascii="Arial" w:eastAsia="Cambria" w:hAnsi="Arial" w:cs="Arial"/>
          <w:sz w:val="20"/>
          <w:szCs w:val="20"/>
        </w:rPr>
        <w:t xml:space="preserve"> be publicly quoted, valuations require meaningful judgement to establish a range of values, and the ultimate value at which an investment is realised may differ from its most recent valuation and the difference may be significant.</w:t>
      </w:r>
    </w:p>
    <w:p w14:paraId="3FB84785" w14:textId="77777777" w:rsidR="006F2696" w:rsidRPr="008A7A35" w:rsidRDefault="006F2696" w:rsidP="006F2696">
      <w:pPr>
        <w:jc w:val="both"/>
        <w:rPr>
          <w:rFonts w:ascii="Arial" w:eastAsia="Cambria" w:hAnsi="Arial" w:cs="Arial"/>
          <w:sz w:val="20"/>
          <w:szCs w:val="20"/>
          <w:lang w:val="en-US"/>
        </w:rPr>
      </w:pPr>
    </w:p>
    <w:p w14:paraId="1B9C8765" w14:textId="5A308C60" w:rsidR="006F2696" w:rsidRPr="008A7A35" w:rsidRDefault="006F2696" w:rsidP="006F2696">
      <w:pPr>
        <w:jc w:val="both"/>
        <w:rPr>
          <w:rFonts w:ascii="Arial" w:eastAsia="Cambria" w:hAnsi="Arial" w:cs="Arial"/>
          <w:sz w:val="20"/>
          <w:szCs w:val="20"/>
        </w:rPr>
      </w:pPr>
      <w:r w:rsidRPr="008A7A35">
        <w:rPr>
          <w:rFonts w:ascii="Arial" w:eastAsia="Cambria" w:hAnsi="Arial" w:cs="Arial"/>
          <w:sz w:val="20"/>
          <w:szCs w:val="20"/>
          <w:lang w:val="en-US"/>
        </w:rPr>
        <w:t xml:space="preserve">The Investment Manager values each underlying investment in accordance with the Riverstone valuation policy, the IFRS accounting standards and IPEV Valuation Guidelines. The value of </w:t>
      </w:r>
      <w:r w:rsidR="00303914">
        <w:rPr>
          <w:rFonts w:ascii="Arial" w:eastAsia="Cambria" w:hAnsi="Arial" w:cs="Arial"/>
          <w:sz w:val="20"/>
          <w:szCs w:val="20"/>
          <w:lang w:val="en-US"/>
        </w:rPr>
        <w:t xml:space="preserve">the Company’s </w:t>
      </w:r>
      <w:r w:rsidRPr="008A7A35">
        <w:rPr>
          <w:rFonts w:ascii="Arial" w:eastAsia="Cambria" w:hAnsi="Arial" w:cs="Arial"/>
          <w:sz w:val="20"/>
          <w:szCs w:val="20"/>
          <w:lang w:val="en-US"/>
        </w:rPr>
        <w:t xml:space="preserve">portion of that investment is derived by multiplying its ownership percentage by the value of the underlying investment. If there is any divergence between the Riverstone valuation policy and </w:t>
      </w:r>
      <w:r w:rsidR="00303914">
        <w:rPr>
          <w:rFonts w:ascii="Arial" w:eastAsia="Cambria" w:hAnsi="Arial" w:cs="Arial"/>
          <w:sz w:val="20"/>
          <w:szCs w:val="20"/>
          <w:lang w:val="en-US"/>
        </w:rPr>
        <w:t xml:space="preserve">the Company’s </w:t>
      </w:r>
      <w:r w:rsidRPr="008A7A35">
        <w:rPr>
          <w:rFonts w:ascii="Arial" w:eastAsia="Cambria" w:hAnsi="Arial" w:cs="Arial"/>
          <w:sz w:val="20"/>
          <w:szCs w:val="20"/>
          <w:lang w:val="en-US"/>
        </w:rPr>
        <w:t xml:space="preserve">valuation policy, the Partnership’s proportion of the total holding will follow </w:t>
      </w:r>
      <w:r w:rsidR="00303914">
        <w:rPr>
          <w:rFonts w:ascii="Arial" w:eastAsia="Cambria" w:hAnsi="Arial" w:cs="Arial"/>
          <w:sz w:val="20"/>
          <w:szCs w:val="20"/>
          <w:lang w:val="en-US"/>
        </w:rPr>
        <w:t xml:space="preserve">the Company’s </w:t>
      </w:r>
      <w:r w:rsidRPr="008A7A35">
        <w:rPr>
          <w:rFonts w:ascii="Arial" w:eastAsia="Cambria" w:hAnsi="Arial" w:cs="Arial"/>
          <w:sz w:val="20"/>
          <w:szCs w:val="20"/>
          <w:lang w:val="en-US"/>
        </w:rPr>
        <w:t xml:space="preserve">valuation policy. Valuations of </w:t>
      </w:r>
      <w:r w:rsidR="00303914">
        <w:rPr>
          <w:rFonts w:ascii="Arial" w:eastAsia="Cambria" w:hAnsi="Arial" w:cs="Arial"/>
          <w:sz w:val="20"/>
          <w:szCs w:val="20"/>
          <w:lang w:val="en-US"/>
        </w:rPr>
        <w:t xml:space="preserve">the Company’s </w:t>
      </w:r>
      <w:r w:rsidRPr="008A7A35">
        <w:rPr>
          <w:rFonts w:ascii="Arial" w:eastAsia="Cambria" w:hAnsi="Arial" w:cs="Arial"/>
          <w:sz w:val="20"/>
          <w:szCs w:val="20"/>
          <w:lang w:val="en-US"/>
        </w:rPr>
        <w:t>investments through the Partnership are determined by the Investment Manager and disclosed quarterly to investors, subject to Board approval.</w:t>
      </w:r>
    </w:p>
    <w:p w14:paraId="5F02EB81" w14:textId="77777777" w:rsidR="006F2696" w:rsidRPr="008A7A35" w:rsidRDefault="006F2696" w:rsidP="006F2696">
      <w:pPr>
        <w:jc w:val="both"/>
        <w:rPr>
          <w:rFonts w:ascii="Arial" w:eastAsia="Cambria" w:hAnsi="Arial" w:cs="Arial"/>
          <w:sz w:val="20"/>
          <w:szCs w:val="20"/>
        </w:rPr>
      </w:pPr>
    </w:p>
    <w:p w14:paraId="74D38A1F" w14:textId="4D9AEE5C" w:rsidR="00DE2110" w:rsidRDefault="006F2696" w:rsidP="006F2696">
      <w:pPr>
        <w:jc w:val="both"/>
        <w:rPr>
          <w:rFonts w:ascii="Arial" w:eastAsia="Cambria" w:hAnsi="Arial" w:cs="Arial"/>
          <w:sz w:val="20"/>
          <w:szCs w:val="20"/>
        </w:rPr>
      </w:pPr>
      <w:r w:rsidRPr="008A7A35">
        <w:rPr>
          <w:rFonts w:ascii="Arial" w:eastAsia="Cambria" w:hAnsi="Arial" w:cs="Arial"/>
          <w:sz w:val="20"/>
          <w:szCs w:val="20"/>
        </w:rPr>
        <w:t>Riverstone values its investments using common industry valuation techniques, including comparable public market valuation, comparable merger and acquisition transaction valuation, and discounted cash flow valuation.</w:t>
      </w:r>
    </w:p>
    <w:p w14:paraId="0A3DE88E" w14:textId="77777777" w:rsidR="00DE2110" w:rsidRPr="008A7A35" w:rsidRDefault="00DE2110" w:rsidP="006F2696">
      <w:pPr>
        <w:jc w:val="both"/>
        <w:rPr>
          <w:rFonts w:ascii="Arial" w:eastAsia="Cambria" w:hAnsi="Arial" w:cs="Arial"/>
          <w:sz w:val="20"/>
          <w:szCs w:val="20"/>
        </w:rPr>
      </w:pPr>
    </w:p>
    <w:p w14:paraId="52B9756C" w14:textId="7136083E" w:rsidR="006F2696" w:rsidRPr="008A7A35" w:rsidRDefault="006F2696" w:rsidP="006F2696">
      <w:pPr>
        <w:jc w:val="both"/>
        <w:rPr>
          <w:rFonts w:ascii="Arial" w:eastAsia="Cambria" w:hAnsi="Arial" w:cs="Arial"/>
          <w:sz w:val="20"/>
          <w:szCs w:val="20"/>
        </w:rPr>
      </w:pPr>
      <w:r w:rsidRPr="008A7A35">
        <w:rPr>
          <w:rFonts w:ascii="Arial" w:eastAsia="Cambria" w:hAnsi="Arial" w:cs="Arial"/>
          <w:sz w:val="20"/>
          <w:szCs w:val="20"/>
        </w:rPr>
        <w:t xml:space="preserve">For development-type investments, Riverstone also considers the recognition of appreciation or depreciation of subsequent financing rounds, if any. </w:t>
      </w:r>
      <w:r w:rsidRPr="008A7A35">
        <w:rPr>
          <w:rFonts w:ascii="Arial" w:hAnsi="Arial" w:cs="Arial"/>
          <w:sz w:val="20"/>
          <w:szCs w:val="20"/>
        </w:rPr>
        <w:t xml:space="preserve">For </w:t>
      </w:r>
      <w:r w:rsidR="002E5E27" w:rsidRPr="008A7A35">
        <w:rPr>
          <w:rFonts w:ascii="Arial" w:hAnsi="Arial" w:cs="Arial"/>
          <w:sz w:val="20"/>
          <w:szCs w:val="20"/>
        </w:rPr>
        <w:t>early-stage</w:t>
      </w:r>
      <w:r w:rsidRPr="008A7A35">
        <w:rPr>
          <w:rFonts w:ascii="Arial" w:hAnsi="Arial" w:cs="Arial"/>
          <w:sz w:val="20"/>
          <w:szCs w:val="20"/>
        </w:rPr>
        <w:t xml:space="preserve"> private investments, Riverstone’s investment due diligence process includes assumptions about short-term financial results in determining the appropriate purchase price for the investment</w:t>
      </w:r>
      <w:r w:rsidR="00AF5892" w:rsidRPr="008A7A35">
        <w:rPr>
          <w:rFonts w:ascii="Arial" w:hAnsi="Arial" w:cs="Arial"/>
          <w:sz w:val="20"/>
          <w:szCs w:val="20"/>
        </w:rPr>
        <w:t>.</w:t>
      </w:r>
    </w:p>
    <w:p w14:paraId="2FDA88BA" w14:textId="77777777" w:rsidR="006F2696" w:rsidRPr="008A7A35" w:rsidRDefault="006F2696" w:rsidP="006F2696">
      <w:pPr>
        <w:jc w:val="both"/>
        <w:rPr>
          <w:rFonts w:ascii="Arial" w:eastAsia="Cambria" w:hAnsi="Arial" w:cs="Arial"/>
          <w:sz w:val="20"/>
          <w:szCs w:val="20"/>
        </w:rPr>
      </w:pPr>
    </w:p>
    <w:p w14:paraId="6DBC0EE6" w14:textId="77777777" w:rsidR="006F2696" w:rsidRPr="008A7A35" w:rsidRDefault="006F2696" w:rsidP="006F2696">
      <w:pPr>
        <w:jc w:val="both"/>
        <w:rPr>
          <w:rFonts w:ascii="Arial" w:eastAsia="Cambria" w:hAnsi="Arial" w:cs="Arial"/>
          <w:sz w:val="20"/>
          <w:szCs w:val="20"/>
        </w:rPr>
      </w:pPr>
      <w:r w:rsidRPr="00830133">
        <w:rPr>
          <w:rFonts w:ascii="Arial" w:eastAsia="Cambria" w:hAnsi="Arial" w:cs="Arial"/>
          <w:sz w:val="20"/>
          <w:szCs w:val="20"/>
        </w:rPr>
        <w:t>Riverstone reviews the valuations on a quarterly basis with the assistance of the Riverstone Performance Review Team (“PRT”) as part of the valuation process. The PRT was formed to serve as a single structure overseeing the existing Riverstone portfolio with the goal of improving operational and financial performance.</w:t>
      </w:r>
    </w:p>
    <w:p w14:paraId="62948AC2" w14:textId="77777777" w:rsidR="006F2696" w:rsidRPr="008A7A35" w:rsidRDefault="006F2696" w:rsidP="006F2696">
      <w:pPr>
        <w:jc w:val="both"/>
        <w:rPr>
          <w:rFonts w:ascii="Arial" w:eastAsia="Cambria" w:hAnsi="Arial" w:cs="Arial"/>
          <w:sz w:val="20"/>
          <w:szCs w:val="20"/>
        </w:rPr>
      </w:pPr>
    </w:p>
    <w:p w14:paraId="779C2265" w14:textId="77777777" w:rsidR="006F2696" w:rsidRPr="008A7A35" w:rsidRDefault="006F2696" w:rsidP="006F2696">
      <w:pPr>
        <w:jc w:val="both"/>
        <w:rPr>
          <w:rFonts w:ascii="Arial" w:eastAsia="Cambria" w:hAnsi="Arial" w:cs="Arial"/>
          <w:sz w:val="20"/>
          <w:szCs w:val="20"/>
        </w:rPr>
      </w:pPr>
      <w:r w:rsidRPr="008A7A35">
        <w:rPr>
          <w:rFonts w:ascii="Arial" w:eastAsia="Cambria" w:hAnsi="Arial" w:cs="Arial"/>
          <w:sz w:val="20"/>
          <w:szCs w:val="20"/>
        </w:rPr>
        <w:t>The Audit Committee reviews the valuations of the Company’s investments held through the Partnership and makes a recommendation to the Board for formal consideration and acceptance.</w:t>
      </w:r>
    </w:p>
    <w:p w14:paraId="1F48E16F" w14:textId="77777777" w:rsidR="004C79B5" w:rsidRPr="008A7A35" w:rsidRDefault="004C79B5" w:rsidP="006F2696">
      <w:pPr>
        <w:jc w:val="both"/>
        <w:rPr>
          <w:rFonts w:ascii="Arial" w:eastAsia="Cambria" w:hAnsi="Arial" w:cs="Arial"/>
          <w:sz w:val="20"/>
          <w:szCs w:val="20"/>
        </w:rPr>
      </w:pPr>
    </w:p>
    <w:p w14:paraId="24158144" w14:textId="4A7AFE1C" w:rsidR="006F2696" w:rsidRPr="008A7A35" w:rsidRDefault="006F2696" w:rsidP="00391CE4">
      <w:pPr>
        <w:tabs>
          <w:tab w:val="center" w:pos="4890"/>
        </w:tabs>
        <w:ind w:left="567" w:hanging="567"/>
        <w:jc w:val="both"/>
        <w:outlineLvl w:val="1"/>
        <w:rPr>
          <w:rFonts w:ascii="Arial" w:hAnsi="Arial" w:cs="Arial"/>
          <w:b/>
          <w:sz w:val="20"/>
          <w:szCs w:val="20"/>
        </w:rPr>
      </w:pPr>
      <w:r w:rsidRPr="008A7A35">
        <w:rPr>
          <w:rFonts w:ascii="Arial" w:hAnsi="Arial" w:cs="Arial"/>
          <w:b/>
          <w:sz w:val="20"/>
          <w:szCs w:val="20"/>
        </w:rPr>
        <w:t>Uninvested Cash</w:t>
      </w:r>
      <w:r w:rsidR="004C79B5" w:rsidRPr="008A7A35">
        <w:rPr>
          <w:rFonts w:ascii="Arial" w:hAnsi="Arial" w:cs="Arial"/>
          <w:b/>
          <w:sz w:val="20"/>
          <w:szCs w:val="20"/>
        </w:rPr>
        <w:tab/>
      </w:r>
    </w:p>
    <w:p w14:paraId="680CE07F" w14:textId="24FF7EAE" w:rsidR="006F2696" w:rsidRPr="008A7A35" w:rsidRDefault="006F2696" w:rsidP="004C79B5">
      <w:pPr>
        <w:jc w:val="both"/>
        <w:rPr>
          <w:rFonts w:ascii="Arial" w:hAnsi="Arial" w:cs="Arial"/>
          <w:b/>
          <w:sz w:val="20"/>
          <w:szCs w:val="20"/>
        </w:rPr>
      </w:pPr>
      <w:r w:rsidRPr="008A7A35">
        <w:rPr>
          <w:rFonts w:ascii="Arial" w:hAnsi="Arial" w:cs="Arial"/>
          <w:sz w:val="20"/>
          <w:szCs w:val="20"/>
        </w:rPr>
        <w:t>As of 30 June 202</w:t>
      </w:r>
      <w:r w:rsidR="004C79B5" w:rsidRPr="008A7A35">
        <w:rPr>
          <w:rFonts w:ascii="Arial" w:hAnsi="Arial" w:cs="Arial"/>
          <w:sz w:val="20"/>
          <w:szCs w:val="20"/>
        </w:rPr>
        <w:t>5</w:t>
      </w:r>
      <w:r w:rsidRPr="008A7A35">
        <w:rPr>
          <w:rFonts w:ascii="Arial" w:hAnsi="Arial" w:cs="Arial"/>
          <w:sz w:val="20"/>
          <w:szCs w:val="20"/>
        </w:rPr>
        <w:t xml:space="preserve">, </w:t>
      </w:r>
      <w:r w:rsidR="00303914">
        <w:rPr>
          <w:rFonts w:ascii="Arial" w:hAnsi="Arial" w:cs="Arial"/>
          <w:sz w:val="20"/>
          <w:szCs w:val="20"/>
        </w:rPr>
        <w:t xml:space="preserve">the Company </w:t>
      </w:r>
      <w:r w:rsidRPr="008A7A35">
        <w:rPr>
          <w:rFonts w:ascii="Arial" w:hAnsi="Arial" w:cs="Arial"/>
          <w:sz w:val="20"/>
          <w:szCs w:val="20"/>
        </w:rPr>
        <w:t>had a cash balance of $</w:t>
      </w:r>
      <w:r w:rsidR="00503594" w:rsidRPr="008A7A35">
        <w:rPr>
          <w:rFonts w:ascii="Arial" w:eastAsia="Calibri" w:hAnsi="Arial" w:cs="Arial"/>
          <w:sz w:val="20"/>
          <w:szCs w:val="20"/>
        </w:rPr>
        <w:t>1.3</w:t>
      </w:r>
      <w:r w:rsidR="004C79B5" w:rsidRPr="008A7A35">
        <w:rPr>
          <w:rFonts w:ascii="Arial" w:hAnsi="Arial" w:cs="Arial"/>
          <w:sz w:val="20"/>
          <w:szCs w:val="20"/>
        </w:rPr>
        <w:t xml:space="preserve"> </w:t>
      </w:r>
      <w:r w:rsidRPr="008A7A35">
        <w:rPr>
          <w:rFonts w:ascii="Arial" w:hAnsi="Arial" w:cs="Arial"/>
          <w:sz w:val="20"/>
          <w:szCs w:val="20"/>
        </w:rPr>
        <w:t xml:space="preserve">million and the Partnership, including its </w:t>
      </w:r>
      <w:proofErr w:type="gramStart"/>
      <w:r w:rsidRPr="008A7A35">
        <w:rPr>
          <w:rFonts w:ascii="Arial" w:hAnsi="Arial" w:cs="Arial"/>
          <w:sz w:val="20"/>
          <w:szCs w:val="20"/>
        </w:rPr>
        <w:t>wholly-</w:t>
      </w:r>
      <w:r w:rsidRPr="00A06BE6">
        <w:rPr>
          <w:rFonts w:ascii="Arial" w:hAnsi="Arial" w:cs="Arial"/>
          <w:sz w:val="20"/>
          <w:szCs w:val="20"/>
        </w:rPr>
        <w:t>owned</w:t>
      </w:r>
      <w:proofErr w:type="gramEnd"/>
      <w:r w:rsidRPr="00A06BE6">
        <w:rPr>
          <w:rFonts w:ascii="Arial" w:hAnsi="Arial" w:cs="Arial"/>
          <w:sz w:val="20"/>
          <w:szCs w:val="20"/>
        </w:rPr>
        <w:t xml:space="preserve"> subsidiaries, REL Cayman Holdings, LP, REL US Corp and REL US Centennial Holdings, LLC, had uninvested funds of over </w:t>
      </w:r>
      <w:r w:rsidR="004C79B5" w:rsidRPr="00A06BE6">
        <w:rPr>
          <w:rFonts w:ascii="Arial" w:hAnsi="Arial" w:cs="Arial"/>
          <w:sz w:val="20"/>
          <w:szCs w:val="20"/>
        </w:rPr>
        <w:t>$</w:t>
      </w:r>
      <w:r w:rsidR="00503594" w:rsidRPr="00A06BE6">
        <w:rPr>
          <w:rFonts w:ascii="Arial" w:eastAsia="Calibri" w:hAnsi="Arial" w:cs="Arial"/>
          <w:sz w:val="20"/>
          <w:szCs w:val="20"/>
        </w:rPr>
        <w:t>71.</w:t>
      </w:r>
      <w:r w:rsidR="002B0C6E" w:rsidRPr="009B1684">
        <w:rPr>
          <w:rFonts w:ascii="Arial" w:eastAsia="Calibri" w:hAnsi="Arial" w:cs="Arial"/>
          <w:sz w:val="20"/>
          <w:szCs w:val="20"/>
        </w:rPr>
        <w:t>7</w:t>
      </w:r>
      <w:r w:rsidRPr="00A06BE6">
        <w:rPr>
          <w:rFonts w:ascii="Arial" w:hAnsi="Arial" w:cs="Arial"/>
          <w:sz w:val="20"/>
          <w:szCs w:val="20"/>
        </w:rPr>
        <w:t xml:space="preserve"> million held as cash and short-term money market fixed deposits, gross of the accrued management fee of $</w:t>
      </w:r>
      <w:r w:rsidR="00503594" w:rsidRPr="00A06BE6">
        <w:rPr>
          <w:rFonts w:ascii="Arial" w:eastAsia="Calibri" w:hAnsi="Arial" w:cs="Arial"/>
          <w:sz w:val="20"/>
          <w:szCs w:val="20"/>
        </w:rPr>
        <w:t>1.4</w:t>
      </w:r>
      <w:r w:rsidRPr="00A06BE6">
        <w:rPr>
          <w:rFonts w:ascii="Arial" w:hAnsi="Arial" w:cs="Arial"/>
          <w:sz w:val="20"/>
          <w:szCs w:val="20"/>
        </w:rPr>
        <w:t xml:space="preserve"> million. After the accrued management fee, </w:t>
      </w:r>
      <w:r w:rsidR="00FF3EB8" w:rsidRPr="00A06BE6">
        <w:rPr>
          <w:rFonts w:ascii="Arial" w:hAnsi="Arial" w:cs="Arial"/>
          <w:sz w:val="20"/>
          <w:szCs w:val="20"/>
        </w:rPr>
        <w:t xml:space="preserve">the Company’s </w:t>
      </w:r>
      <w:r w:rsidRPr="00A06BE6">
        <w:rPr>
          <w:rFonts w:ascii="Arial" w:hAnsi="Arial" w:cs="Arial"/>
          <w:sz w:val="20"/>
          <w:szCs w:val="20"/>
        </w:rPr>
        <w:t>aggregate cash balance is $</w:t>
      </w:r>
      <w:r w:rsidR="00503594" w:rsidRPr="00A06BE6">
        <w:rPr>
          <w:rFonts w:ascii="Arial" w:eastAsia="Calibri" w:hAnsi="Arial" w:cs="Arial"/>
          <w:sz w:val="20"/>
          <w:szCs w:val="20"/>
        </w:rPr>
        <w:t>71.</w:t>
      </w:r>
      <w:r w:rsidR="00C95DEE">
        <w:rPr>
          <w:rFonts w:ascii="Arial" w:eastAsia="Calibri" w:hAnsi="Arial" w:cs="Arial"/>
          <w:sz w:val="20"/>
          <w:szCs w:val="20"/>
        </w:rPr>
        <w:t>6</w:t>
      </w:r>
      <w:r w:rsidRPr="00A06BE6">
        <w:rPr>
          <w:rFonts w:ascii="Arial" w:hAnsi="Arial" w:cs="Arial"/>
          <w:sz w:val="20"/>
          <w:szCs w:val="20"/>
        </w:rPr>
        <w:t xml:space="preserve"> million. As in prior </w:t>
      </w:r>
      <w:r w:rsidR="00B41DA1" w:rsidRPr="00A06BE6">
        <w:rPr>
          <w:rFonts w:ascii="Arial" w:hAnsi="Arial" w:cs="Arial"/>
          <w:sz w:val="20"/>
          <w:szCs w:val="20"/>
        </w:rPr>
        <w:t>periods</w:t>
      </w:r>
      <w:r w:rsidRPr="00A06BE6">
        <w:rPr>
          <w:rFonts w:ascii="Arial" w:hAnsi="Arial" w:cs="Arial"/>
          <w:sz w:val="20"/>
          <w:szCs w:val="20"/>
        </w:rPr>
        <w:t xml:space="preserve">, in accordance with the Partnership Agreement, if the Company requires additional funds for working capital, it is entitled to receive further distributions from the Partnership. The Partnership maintains deposit accounts with several leading international banks. In addition, the Partnership </w:t>
      </w:r>
      <w:r w:rsidR="00FF3EB8" w:rsidRPr="00A06BE6">
        <w:rPr>
          <w:rFonts w:ascii="Arial" w:hAnsi="Arial" w:cs="Arial"/>
          <w:sz w:val="20"/>
          <w:szCs w:val="20"/>
        </w:rPr>
        <w:t xml:space="preserve">can and has at times </w:t>
      </w:r>
      <w:r w:rsidRPr="00A06BE6">
        <w:rPr>
          <w:rFonts w:ascii="Arial" w:hAnsi="Arial" w:cs="Arial"/>
          <w:sz w:val="20"/>
          <w:szCs w:val="20"/>
        </w:rPr>
        <w:t>invest</w:t>
      </w:r>
      <w:r w:rsidR="00FF3EB8" w:rsidRPr="00A06BE6">
        <w:rPr>
          <w:rFonts w:ascii="Arial" w:hAnsi="Arial" w:cs="Arial"/>
          <w:sz w:val="20"/>
          <w:szCs w:val="20"/>
        </w:rPr>
        <w:t>ed</w:t>
      </w:r>
      <w:r w:rsidRPr="00A06BE6">
        <w:rPr>
          <w:rFonts w:ascii="Arial" w:hAnsi="Arial" w:cs="Arial"/>
          <w:sz w:val="20"/>
          <w:szCs w:val="20"/>
        </w:rPr>
        <w:t xml:space="preserve"> a portion</w:t>
      </w:r>
      <w:r w:rsidRPr="008A7A35">
        <w:rPr>
          <w:rFonts w:ascii="Arial" w:hAnsi="Arial" w:cs="Arial"/>
          <w:sz w:val="20"/>
          <w:szCs w:val="20"/>
        </w:rPr>
        <w:t xml:space="preserve"> of its cash deposits in </w:t>
      </w:r>
      <w:r w:rsidR="009309CB" w:rsidRPr="008A7A35">
        <w:rPr>
          <w:rFonts w:ascii="Arial" w:hAnsi="Arial" w:cs="Arial"/>
          <w:sz w:val="20"/>
          <w:szCs w:val="20"/>
        </w:rPr>
        <w:t xml:space="preserve">US Treasury </w:t>
      </w:r>
      <w:r w:rsidR="00033908" w:rsidRPr="008A7A35">
        <w:rPr>
          <w:rFonts w:ascii="Arial" w:hAnsi="Arial" w:cs="Arial"/>
          <w:sz w:val="20"/>
          <w:szCs w:val="20"/>
        </w:rPr>
        <w:t>B</w:t>
      </w:r>
      <w:r w:rsidR="009309CB" w:rsidRPr="008A7A35">
        <w:rPr>
          <w:rFonts w:ascii="Arial" w:hAnsi="Arial" w:cs="Arial"/>
          <w:sz w:val="20"/>
          <w:szCs w:val="20"/>
        </w:rPr>
        <w:t>ills</w:t>
      </w:r>
      <w:r w:rsidRPr="008A7A35">
        <w:rPr>
          <w:rFonts w:ascii="Arial" w:hAnsi="Arial" w:cs="Arial"/>
          <w:sz w:val="20"/>
          <w:szCs w:val="20"/>
        </w:rPr>
        <w:t xml:space="preserve">. </w:t>
      </w:r>
      <w:r w:rsidR="00FF3EB8">
        <w:rPr>
          <w:rFonts w:ascii="Arial" w:hAnsi="Arial" w:cs="Arial"/>
          <w:sz w:val="20"/>
          <w:szCs w:val="20"/>
        </w:rPr>
        <w:t xml:space="preserve">The Company’s </w:t>
      </w:r>
      <w:r w:rsidRPr="008A7A35">
        <w:rPr>
          <w:rFonts w:ascii="Arial" w:hAnsi="Arial" w:cs="Arial"/>
          <w:sz w:val="20"/>
          <w:szCs w:val="20"/>
        </w:rPr>
        <w:t xml:space="preserve">treasury policy seeks to </w:t>
      </w:r>
      <w:r w:rsidRPr="004B7C97">
        <w:rPr>
          <w:rFonts w:ascii="Arial" w:hAnsi="Arial" w:cs="Arial"/>
          <w:sz w:val="20"/>
          <w:szCs w:val="20"/>
        </w:rPr>
        <w:t xml:space="preserve">protect the principal value of cash deposits utilising low risk investments with top-tier counterparts. Uninvested cash earned approximately </w:t>
      </w:r>
      <w:r w:rsidR="005E50EA" w:rsidRPr="004B7C97">
        <w:rPr>
          <w:rFonts w:ascii="Arial" w:eastAsia="Calibri" w:hAnsi="Arial" w:cs="Arial"/>
          <w:sz w:val="20"/>
          <w:szCs w:val="20"/>
        </w:rPr>
        <w:t>205</w:t>
      </w:r>
      <w:r w:rsidRPr="004B7C97">
        <w:rPr>
          <w:rFonts w:ascii="Arial" w:hAnsi="Arial" w:cs="Arial"/>
          <w:sz w:val="20"/>
          <w:szCs w:val="20"/>
        </w:rPr>
        <w:t xml:space="preserve"> basis points during the </w:t>
      </w:r>
      <w:proofErr w:type="gramStart"/>
      <w:r w:rsidR="00FF3EB8" w:rsidRPr="004B7C97">
        <w:rPr>
          <w:rFonts w:ascii="Arial" w:hAnsi="Arial" w:cs="Arial"/>
          <w:sz w:val="20"/>
          <w:szCs w:val="20"/>
        </w:rPr>
        <w:t>six month</w:t>
      </w:r>
      <w:proofErr w:type="gramEnd"/>
      <w:r w:rsidR="00FF3EB8" w:rsidRPr="004B7C97">
        <w:rPr>
          <w:rFonts w:ascii="Arial" w:hAnsi="Arial" w:cs="Arial"/>
          <w:sz w:val="20"/>
          <w:szCs w:val="20"/>
        </w:rPr>
        <w:t xml:space="preserve"> </w:t>
      </w:r>
      <w:r w:rsidR="00033908" w:rsidRPr="004B7C97">
        <w:rPr>
          <w:rFonts w:ascii="Arial" w:hAnsi="Arial" w:cs="Arial"/>
          <w:sz w:val="20"/>
          <w:szCs w:val="20"/>
        </w:rPr>
        <w:t>period</w:t>
      </w:r>
      <w:r w:rsidRPr="004B7C97">
        <w:rPr>
          <w:rFonts w:ascii="Arial" w:hAnsi="Arial" w:cs="Arial"/>
          <w:sz w:val="20"/>
          <w:szCs w:val="20"/>
        </w:rPr>
        <w:t xml:space="preserve"> ended 30 June 202</w:t>
      </w:r>
      <w:r w:rsidR="004C79B5" w:rsidRPr="004B7C97">
        <w:rPr>
          <w:rFonts w:ascii="Arial" w:hAnsi="Arial" w:cs="Arial"/>
          <w:sz w:val="20"/>
          <w:szCs w:val="20"/>
        </w:rPr>
        <w:t>5</w:t>
      </w:r>
      <w:r w:rsidRPr="004B7C97">
        <w:rPr>
          <w:rFonts w:ascii="Arial" w:hAnsi="Arial" w:cs="Arial"/>
          <w:sz w:val="20"/>
          <w:szCs w:val="20"/>
        </w:rPr>
        <w:t xml:space="preserve">. </w:t>
      </w:r>
      <w:r w:rsidRPr="00830133">
        <w:rPr>
          <w:rFonts w:ascii="Arial" w:hAnsi="Arial" w:cs="Arial"/>
          <w:sz w:val="20"/>
          <w:szCs w:val="20"/>
        </w:rPr>
        <w:t>All cash deposits referred to in this paragraph are denominated in</w:t>
      </w:r>
      <w:r w:rsidR="009E5CE2" w:rsidRPr="00830133">
        <w:rPr>
          <w:rFonts w:ascii="Arial" w:hAnsi="Arial" w:cs="Arial"/>
          <w:sz w:val="20"/>
          <w:szCs w:val="20"/>
        </w:rPr>
        <w:t>, or converted into,</w:t>
      </w:r>
      <w:r w:rsidRPr="00830133">
        <w:rPr>
          <w:rFonts w:ascii="Arial" w:hAnsi="Arial" w:cs="Arial"/>
          <w:sz w:val="20"/>
          <w:szCs w:val="20"/>
        </w:rPr>
        <w:t xml:space="preserve"> U.S. dollars</w:t>
      </w:r>
      <w:r w:rsidR="009E5CE2" w:rsidRPr="00830133">
        <w:rPr>
          <w:rFonts w:ascii="Arial" w:hAnsi="Arial" w:cs="Arial"/>
          <w:sz w:val="20"/>
          <w:szCs w:val="20"/>
        </w:rPr>
        <w:t xml:space="preserve"> for basis of presentation</w:t>
      </w:r>
      <w:r w:rsidRPr="00830133">
        <w:rPr>
          <w:rFonts w:ascii="Arial" w:hAnsi="Arial" w:cs="Arial"/>
          <w:sz w:val="20"/>
          <w:szCs w:val="20"/>
        </w:rPr>
        <w:t>.</w:t>
      </w:r>
    </w:p>
    <w:p w14:paraId="510D5D53" w14:textId="77777777" w:rsidR="006F2696" w:rsidRPr="008A7A35" w:rsidRDefault="006F2696" w:rsidP="006F2696">
      <w:pPr>
        <w:jc w:val="both"/>
        <w:rPr>
          <w:rFonts w:ascii="Arial" w:hAnsi="Arial" w:cs="Arial"/>
          <w:sz w:val="20"/>
          <w:szCs w:val="20"/>
        </w:rPr>
      </w:pPr>
    </w:p>
    <w:p w14:paraId="24717715" w14:textId="09BED953" w:rsidR="00ED67BE" w:rsidRPr="008A7A35" w:rsidRDefault="006F2696" w:rsidP="008A7A35">
      <w:pPr>
        <w:ind w:left="567" w:hanging="567"/>
        <w:jc w:val="both"/>
        <w:outlineLvl w:val="1"/>
      </w:pPr>
      <w:r w:rsidRPr="008A7A35">
        <w:rPr>
          <w:rFonts w:ascii="Arial" w:hAnsi="Arial" w:cs="Arial"/>
          <w:b/>
          <w:sz w:val="20"/>
          <w:szCs w:val="20"/>
        </w:rPr>
        <w:t>Post-</w:t>
      </w:r>
      <w:r w:rsidR="004D23BA" w:rsidRPr="008A7A35">
        <w:rPr>
          <w:rFonts w:ascii="Arial" w:hAnsi="Arial" w:cs="Arial"/>
          <w:b/>
          <w:sz w:val="20"/>
          <w:szCs w:val="20"/>
        </w:rPr>
        <w:t>Period</w:t>
      </w:r>
      <w:r w:rsidRPr="008A7A35">
        <w:rPr>
          <w:rFonts w:ascii="Arial" w:hAnsi="Arial" w:cs="Arial"/>
          <w:b/>
          <w:sz w:val="20"/>
          <w:szCs w:val="20"/>
        </w:rPr>
        <w:t xml:space="preserve"> End Update</w:t>
      </w:r>
    </w:p>
    <w:p w14:paraId="4589779F" w14:textId="1E0EDEC5" w:rsidR="002C2A43" w:rsidRPr="008A7A35" w:rsidRDefault="002C2A43" w:rsidP="00ED67BE">
      <w:pPr>
        <w:pStyle w:val="CommentText"/>
        <w:jc w:val="both"/>
        <w:rPr>
          <w:rFonts w:ascii="Arial" w:hAnsi="Arial" w:cs="Arial"/>
        </w:rPr>
      </w:pPr>
      <w:r w:rsidRPr="008A7A35">
        <w:rPr>
          <w:rFonts w:ascii="Arial" w:hAnsi="Arial" w:cs="Arial"/>
        </w:rPr>
        <w:t>As discussed in the Chair’</w:t>
      </w:r>
      <w:r w:rsidR="00805DA9">
        <w:rPr>
          <w:rFonts w:ascii="Arial" w:hAnsi="Arial" w:cs="Arial"/>
        </w:rPr>
        <w:t>s</w:t>
      </w:r>
      <w:r w:rsidRPr="008A7A35">
        <w:rPr>
          <w:rFonts w:ascii="Arial" w:hAnsi="Arial" w:cs="Arial"/>
        </w:rPr>
        <w:t xml:space="preserve"> Statement, </w:t>
      </w:r>
      <w:proofErr w:type="gramStart"/>
      <w:r w:rsidR="00933436" w:rsidRPr="008A7A35">
        <w:rPr>
          <w:rFonts w:ascii="Arial" w:hAnsi="Arial" w:cs="Arial"/>
        </w:rPr>
        <w:t>as a result of</w:t>
      </w:r>
      <w:proofErr w:type="gramEnd"/>
      <w:r w:rsidR="00933436" w:rsidRPr="008A7A35">
        <w:rPr>
          <w:rFonts w:ascii="Arial" w:hAnsi="Arial" w:cs="Arial"/>
        </w:rPr>
        <w:t xml:space="preserve"> </w:t>
      </w:r>
      <w:r w:rsidR="00FF3EB8">
        <w:rPr>
          <w:rFonts w:ascii="Arial" w:hAnsi="Arial" w:cs="Arial"/>
        </w:rPr>
        <w:t xml:space="preserve">lengthy </w:t>
      </w:r>
      <w:r w:rsidR="00933436" w:rsidRPr="008A7A35">
        <w:rPr>
          <w:rFonts w:ascii="Arial" w:hAnsi="Arial" w:cs="Arial"/>
        </w:rPr>
        <w:t>discussions between the Investment Manager and the Board as to the strategic direction of the Company, the Company and the Investment Manager agreed the key terms of a proposal for a Managed Wind-Down of the Company</w:t>
      </w:r>
      <w:r w:rsidR="00FF3EB8">
        <w:rPr>
          <w:rFonts w:ascii="Arial" w:hAnsi="Arial" w:cs="Arial"/>
        </w:rPr>
        <w:t xml:space="preserve"> and the orderly disposal over time of the </w:t>
      </w:r>
      <w:r w:rsidR="00933436" w:rsidRPr="008A7A35">
        <w:rPr>
          <w:rFonts w:ascii="Arial" w:hAnsi="Arial" w:cs="Arial"/>
        </w:rPr>
        <w:t>remaining investment portfolio.</w:t>
      </w:r>
    </w:p>
    <w:p w14:paraId="3A68ECF8" w14:textId="77777777" w:rsidR="00933436" w:rsidRPr="008A7A35" w:rsidRDefault="00933436" w:rsidP="00ED67BE">
      <w:pPr>
        <w:pStyle w:val="CommentText"/>
        <w:jc w:val="both"/>
        <w:rPr>
          <w:rFonts w:ascii="Arial" w:hAnsi="Arial" w:cs="Arial"/>
        </w:rPr>
      </w:pPr>
    </w:p>
    <w:p w14:paraId="122B2F8E" w14:textId="6CC288BE" w:rsidR="00933436" w:rsidRPr="008A7A35" w:rsidRDefault="00933436" w:rsidP="00ED67BE">
      <w:pPr>
        <w:pStyle w:val="CommentText"/>
        <w:jc w:val="both"/>
        <w:rPr>
          <w:rFonts w:ascii="Arial" w:hAnsi="Arial" w:cs="Arial"/>
        </w:rPr>
      </w:pPr>
      <w:r w:rsidRPr="008A7A35">
        <w:rPr>
          <w:rFonts w:ascii="Arial" w:hAnsi="Arial" w:cs="Arial"/>
        </w:rPr>
        <w:t xml:space="preserve">Following Shareholder approval at </w:t>
      </w:r>
      <w:r w:rsidR="000877CD">
        <w:rPr>
          <w:rFonts w:ascii="Arial" w:hAnsi="Arial" w:cs="Arial"/>
        </w:rPr>
        <w:t>that</w:t>
      </w:r>
      <w:r w:rsidR="000877CD" w:rsidRPr="008A7A35">
        <w:rPr>
          <w:rFonts w:ascii="Arial" w:hAnsi="Arial" w:cs="Arial"/>
        </w:rPr>
        <w:t xml:space="preserve"> </w:t>
      </w:r>
      <w:r w:rsidRPr="008A7A35">
        <w:rPr>
          <w:rFonts w:ascii="Arial" w:hAnsi="Arial" w:cs="Arial"/>
        </w:rPr>
        <w:t xml:space="preserve">EGM, the Company’s investment objective and policy </w:t>
      </w:r>
      <w:r w:rsidR="000877CD">
        <w:rPr>
          <w:rFonts w:ascii="Arial" w:hAnsi="Arial" w:cs="Arial"/>
        </w:rPr>
        <w:t>were</w:t>
      </w:r>
      <w:r w:rsidRPr="008A7A35">
        <w:rPr>
          <w:rFonts w:ascii="Arial" w:hAnsi="Arial" w:cs="Arial"/>
        </w:rPr>
        <w:t xml:space="preserve"> amended to facilitate the orderly realisation </w:t>
      </w:r>
      <w:r w:rsidR="00FF3EB8">
        <w:rPr>
          <w:rFonts w:ascii="Arial" w:hAnsi="Arial" w:cs="Arial"/>
        </w:rPr>
        <w:t xml:space="preserve">of </w:t>
      </w:r>
      <w:r w:rsidR="000877CD">
        <w:rPr>
          <w:rFonts w:ascii="Arial" w:hAnsi="Arial" w:cs="Arial"/>
        </w:rPr>
        <w:t>the</w:t>
      </w:r>
      <w:r w:rsidRPr="008A7A35">
        <w:rPr>
          <w:rFonts w:ascii="Arial" w:hAnsi="Arial" w:cs="Arial"/>
        </w:rPr>
        <w:t xml:space="preserve"> existing investments and </w:t>
      </w:r>
      <w:r w:rsidR="00FF3EB8">
        <w:rPr>
          <w:rFonts w:ascii="Arial" w:hAnsi="Arial" w:cs="Arial"/>
        </w:rPr>
        <w:t xml:space="preserve">the </w:t>
      </w:r>
      <w:r w:rsidRPr="008A7A35">
        <w:rPr>
          <w:rFonts w:ascii="Arial" w:hAnsi="Arial" w:cs="Arial"/>
        </w:rPr>
        <w:t xml:space="preserve">return </w:t>
      </w:r>
      <w:r w:rsidR="00FF3EB8">
        <w:rPr>
          <w:rFonts w:ascii="Arial" w:hAnsi="Arial" w:cs="Arial"/>
        </w:rPr>
        <w:t xml:space="preserve">of </w:t>
      </w:r>
      <w:r w:rsidRPr="008A7A35">
        <w:rPr>
          <w:rFonts w:ascii="Arial" w:hAnsi="Arial" w:cs="Arial"/>
        </w:rPr>
        <w:t>capital</w:t>
      </w:r>
      <w:r w:rsidR="000877CD">
        <w:rPr>
          <w:rFonts w:ascii="Arial" w:hAnsi="Arial" w:cs="Arial"/>
        </w:rPr>
        <w:t xml:space="preserve"> to </w:t>
      </w:r>
      <w:r w:rsidR="00BC6676">
        <w:rPr>
          <w:rFonts w:ascii="Arial" w:hAnsi="Arial" w:cs="Arial"/>
        </w:rPr>
        <w:t>S</w:t>
      </w:r>
      <w:r w:rsidR="000877CD">
        <w:rPr>
          <w:rFonts w:ascii="Arial" w:hAnsi="Arial" w:cs="Arial"/>
        </w:rPr>
        <w:t>hareholders through compulsory</w:t>
      </w:r>
      <w:r w:rsidRPr="008A7A35">
        <w:rPr>
          <w:rFonts w:ascii="Arial" w:hAnsi="Arial" w:cs="Arial"/>
        </w:rPr>
        <w:t xml:space="preserve"> </w:t>
      </w:r>
      <w:r w:rsidR="000877CD">
        <w:rPr>
          <w:rFonts w:ascii="Arial" w:hAnsi="Arial" w:cs="Arial"/>
        </w:rPr>
        <w:t xml:space="preserve">redemptions of the Company’s ordinary shares, such compulsory redemptions being at the discretion of the Company, while ceasing new investments. Material revisions were also implemented to the IMA with the Investment Manager as referred to in Note 7. </w:t>
      </w:r>
    </w:p>
    <w:p w14:paraId="70BB63CE" w14:textId="77777777" w:rsidR="00933436" w:rsidRPr="008A7A35" w:rsidRDefault="00933436" w:rsidP="00ED67BE">
      <w:pPr>
        <w:pStyle w:val="CommentText"/>
        <w:jc w:val="both"/>
        <w:rPr>
          <w:rFonts w:ascii="Arial" w:hAnsi="Arial" w:cs="Arial"/>
        </w:rPr>
      </w:pPr>
    </w:p>
    <w:p w14:paraId="1BC65949" w14:textId="4F16860B" w:rsidR="004C2931" w:rsidRPr="008A7A35" w:rsidRDefault="00933436" w:rsidP="008A7A35">
      <w:pPr>
        <w:pStyle w:val="CommentText"/>
        <w:jc w:val="both"/>
        <w:rPr>
          <w:rFonts w:eastAsia="Calibri"/>
        </w:rPr>
      </w:pPr>
      <w:proofErr w:type="gramStart"/>
      <w:r w:rsidRPr="008A7A35">
        <w:rPr>
          <w:rFonts w:ascii="Arial" w:hAnsi="Arial" w:cs="Arial"/>
        </w:rPr>
        <w:t>In order to</w:t>
      </w:r>
      <w:proofErr w:type="gramEnd"/>
      <w:r w:rsidRPr="008A7A35">
        <w:rPr>
          <w:rFonts w:ascii="Arial" w:hAnsi="Arial" w:cs="Arial"/>
        </w:rPr>
        <w:t xml:space="preserve"> meet this objective, the Company will continue to </w:t>
      </w:r>
      <w:r w:rsidR="00FF3EB8">
        <w:rPr>
          <w:rFonts w:ascii="Arial" w:hAnsi="Arial" w:cs="Arial"/>
        </w:rPr>
        <w:t xml:space="preserve">engage with the Investment Manager in accordance with the terms per the revised IMA and the Investment Manager will seek to maximise the value to be derived from the orderly disposal of the investment portfolio </w:t>
      </w:r>
      <w:r w:rsidRPr="008A7A35">
        <w:rPr>
          <w:rFonts w:ascii="Arial" w:hAnsi="Arial" w:cs="Arial"/>
        </w:rPr>
        <w:t xml:space="preserve">during the </w:t>
      </w:r>
      <w:r w:rsidR="00FF3EB8">
        <w:rPr>
          <w:rFonts w:ascii="Arial" w:hAnsi="Arial" w:cs="Arial"/>
        </w:rPr>
        <w:t xml:space="preserve">expected </w:t>
      </w:r>
      <w:r w:rsidRPr="008A7A35">
        <w:rPr>
          <w:rFonts w:ascii="Arial" w:hAnsi="Arial" w:cs="Arial"/>
        </w:rPr>
        <w:t>Managed Wind-Down</w:t>
      </w:r>
      <w:r w:rsidR="00FF3EB8">
        <w:rPr>
          <w:rFonts w:ascii="Arial" w:hAnsi="Arial" w:cs="Arial"/>
        </w:rPr>
        <w:t xml:space="preserve"> period</w:t>
      </w:r>
      <w:r w:rsidRPr="008A7A35">
        <w:rPr>
          <w:rFonts w:ascii="Arial" w:hAnsi="Arial" w:cs="Arial"/>
        </w:rPr>
        <w:t>. We look forward to providing regular updates on our progress towards this objective.</w:t>
      </w:r>
    </w:p>
    <w:p w14:paraId="7FA85676" w14:textId="77777777" w:rsidR="0038339F" w:rsidRPr="008A7A35" w:rsidRDefault="0038339F" w:rsidP="006F2657">
      <w:pPr>
        <w:jc w:val="both"/>
      </w:pPr>
    </w:p>
    <w:p w14:paraId="0969D6DD" w14:textId="6B60E8D4" w:rsidR="006F2696" w:rsidRPr="008A7A35" w:rsidRDefault="006F2696" w:rsidP="00391CE4">
      <w:pPr>
        <w:ind w:left="567" w:hanging="567"/>
        <w:jc w:val="both"/>
        <w:outlineLvl w:val="1"/>
        <w:rPr>
          <w:rFonts w:ascii="Arial" w:hAnsi="Arial" w:cs="Arial"/>
          <w:sz w:val="20"/>
          <w:szCs w:val="20"/>
        </w:rPr>
      </w:pPr>
      <w:r w:rsidRPr="008A7A35">
        <w:rPr>
          <w:rFonts w:ascii="Arial" w:hAnsi="Arial" w:cs="Arial"/>
          <w:b/>
          <w:sz w:val="20"/>
          <w:szCs w:val="20"/>
        </w:rPr>
        <w:t>Outlook</w:t>
      </w:r>
    </w:p>
    <w:p w14:paraId="1BECF1C5" w14:textId="77777777" w:rsidR="00F25FD3" w:rsidRPr="008A7A35" w:rsidRDefault="00F25FD3" w:rsidP="00830133">
      <w:pPr>
        <w:jc w:val="both"/>
        <w:rPr>
          <w:rFonts w:ascii="Arial" w:hAnsi="Arial" w:cs="Arial"/>
          <w:sz w:val="20"/>
          <w:szCs w:val="20"/>
        </w:rPr>
      </w:pPr>
      <w:r w:rsidRPr="008A7A35">
        <w:rPr>
          <w:rFonts w:ascii="Arial" w:hAnsi="Arial" w:cs="Arial"/>
          <w:sz w:val="20"/>
          <w:szCs w:val="20"/>
        </w:rPr>
        <w:lastRenderedPageBreak/>
        <w:t>The environment for conventional energy has become more challenging in 2025, with weaker macroeconomic sentiment, softer commodity prices and persistent inflationary pressures. Against this backdrop the Investment Manager has focused on opportunities to crystallise value. There were two notable events in the period, with Veren completing its combination with Whitecap Resources, while Permian Resources advanced its growth strategy with two bolt-on acquisitions, including a $608 million deal with APA Corporation.</w:t>
      </w:r>
    </w:p>
    <w:p w14:paraId="6FF6F0B6" w14:textId="77777777" w:rsidR="00927557" w:rsidRPr="008A7A35" w:rsidRDefault="00927557" w:rsidP="00830133">
      <w:pPr>
        <w:jc w:val="both"/>
        <w:rPr>
          <w:rFonts w:ascii="Arial" w:hAnsi="Arial" w:cs="Arial"/>
          <w:sz w:val="20"/>
          <w:szCs w:val="20"/>
        </w:rPr>
      </w:pPr>
    </w:p>
    <w:p w14:paraId="6C03DFE4" w14:textId="3373D31B" w:rsidR="00F25FD3" w:rsidRPr="008A7A35" w:rsidRDefault="00F25FD3" w:rsidP="00830133">
      <w:pPr>
        <w:jc w:val="both"/>
        <w:rPr>
          <w:rFonts w:ascii="Arial" w:hAnsi="Arial" w:cs="Arial"/>
          <w:sz w:val="20"/>
          <w:szCs w:val="20"/>
        </w:rPr>
      </w:pPr>
      <w:r w:rsidRPr="008A7A35">
        <w:rPr>
          <w:rFonts w:ascii="Arial" w:hAnsi="Arial" w:cs="Arial"/>
          <w:sz w:val="20"/>
          <w:szCs w:val="20"/>
        </w:rPr>
        <w:t xml:space="preserve">The investment climate for decarbonisation has deteriorated further, particularly in the U.S. where policy and subsidy uncertainty has impacted investor confidence. It has become apparent that renewable energy, even while the long-term drivers remain strong, has entered a significant downturn. In response, the Investment Manager is taking steps to preserve value and prepare assets for orderly realisation in line with the </w:t>
      </w:r>
      <w:r w:rsidR="00FF3EB8">
        <w:rPr>
          <w:rFonts w:ascii="Arial" w:hAnsi="Arial" w:cs="Arial"/>
          <w:sz w:val="20"/>
          <w:szCs w:val="20"/>
        </w:rPr>
        <w:t>Company’s Managed Wind-Down process</w:t>
      </w:r>
      <w:r w:rsidRPr="008A7A35">
        <w:rPr>
          <w:rFonts w:ascii="Arial" w:hAnsi="Arial" w:cs="Arial"/>
          <w:sz w:val="20"/>
          <w:szCs w:val="20"/>
        </w:rPr>
        <w:t xml:space="preserve">.   </w:t>
      </w:r>
    </w:p>
    <w:p w14:paraId="66465FFA" w14:textId="77777777" w:rsidR="008E498B" w:rsidRPr="008A7A35" w:rsidRDefault="008E498B">
      <w:pPr>
        <w:rPr>
          <w:rFonts w:ascii="Arial" w:hAnsi="Arial" w:cs="Arial"/>
          <w:sz w:val="20"/>
          <w:szCs w:val="20"/>
        </w:rPr>
      </w:pPr>
    </w:p>
    <w:p w14:paraId="279D85B9" w14:textId="77777777" w:rsidR="004C19E0" w:rsidRPr="008A7A35" w:rsidRDefault="004C19E0">
      <w:pPr>
        <w:rPr>
          <w:rFonts w:ascii="Arial" w:hAnsi="Arial" w:cs="Arial"/>
          <w:sz w:val="20"/>
          <w:szCs w:val="20"/>
        </w:rPr>
      </w:pPr>
    </w:p>
    <w:p w14:paraId="77F38E7B" w14:textId="77777777" w:rsidR="0069061B" w:rsidRPr="008A7A35" w:rsidRDefault="0069061B" w:rsidP="0069061B">
      <w:pPr>
        <w:pStyle w:val="Bodytext"/>
        <w:jc w:val="both"/>
        <w:rPr>
          <w:rFonts w:cs="Arial"/>
          <w:b/>
        </w:rPr>
      </w:pPr>
      <w:r w:rsidRPr="008A7A35">
        <w:rPr>
          <w:rFonts w:cs="Arial"/>
          <w:b/>
        </w:rPr>
        <w:t>RIGL Holdings, LP</w:t>
      </w:r>
    </w:p>
    <w:p w14:paraId="38166D03" w14:textId="66415087" w:rsidR="002E5E27" w:rsidRDefault="00A35EA5">
      <w:pPr>
        <w:pStyle w:val="Bodytext"/>
        <w:jc w:val="both"/>
        <w:rPr>
          <w:rFonts w:cs="Arial"/>
        </w:rPr>
      </w:pPr>
      <w:r>
        <w:rPr>
          <w:rFonts w:eastAsia="Calibri" w:cs="Arial"/>
          <w:szCs w:val="20"/>
        </w:rPr>
        <w:t>2</w:t>
      </w:r>
      <w:r w:rsidR="00C95DEE">
        <w:rPr>
          <w:rFonts w:eastAsia="Calibri" w:cs="Arial"/>
          <w:szCs w:val="20"/>
        </w:rPr>
        <w:t>6</w:t>
      </w:r>
      <w:r>
        <w:rPr>
          <w:rFonts w:eastAsia="Calibri" w:cs="Arial"/>
          <w:szCs w:val="20"/>
        </w:rPr>
        <w:t xml:space="preserve"> </w:t>
      </w:r>
      <w:r w:rsidR="00330A60" w:rsidRPr="008A7A35">
        <w:rPr>
          <w:rFonts w:cs="Arial"/>
          <w:szCs w:val="20"/>
        </w:rPr>
        <w:t>August</w:t>
      </w:r>
      <w:r w:rsidR="00202E83" w:rsidRPr="008A7A35">
        <w:rPr>
          <w:rFonts w:cs="Arial"/>
          <w:szCs w:val="20"/>
        </w:rPr>
        <w:t xml:space="preserve"> </w:t>
      </w:r>
      <w:r w:rsidR="0069061B" w:rsidRPr="008A7A35">
        <w:rPr>
          <w:rFonts w:cs="Arial"/>
        </w:rPr>
        <w:t>202</w:t>
      </w:r>
      <w:r w:rsidR="007F3AC5" w:rsidRPr="008A7A35">
        <w:rPr>
          <w:rFonts w:cs="Arial"/>
        </w:rPr>
        <w:t>5</w:t>
      </w:r>
    </w:p>
    <w:p w14:paraId="5816F122" w14:textId="77777777" w:rsidR="00C6619D" w:rsidRPr="008A7A35" w:rsidRDefault="00C6619D">
      <w:pPr>
        <w:pStyle w:val="Bodytext"/>
        <w:jc w:val="both"/>
      </w:pPr>
    </w:p>
    <w:p w14:paraId="01F66884" w14:textId="77777777" w:rsidR="002E5E27" w:rsidRPr="008A7A35" w:rsidRDefault="002E5E27">
      <w:pPr>
        <w:pStyle w:val="Bodytext"/>
        <w:jc w:val="both"/>
      </w:pPr>
    </w:p>
    <w:p w14:paraId="43E10314" w14:textId="3A7E46EF" w:rsidR="00127E03" w:rsidRPr="008A7A35" w:rsidRDefault="00127E03" w:rsidP="00127E03">
      <w:pPr>
        <w:spacing w:after="160" w:line="256" w:lineRule="auto"/>
        <w:rPr>
          <w:rFonts w:ascii="Arial" w:eastAsia="Calibri" w:hAnsi="Arial" w:cs="Arial"/>
          <w:b/>
          <w:bCs/>
          <w:kern w:val="2"/>
          <w:sz w:val="30"/>
          <w:szCs w:val="30"/>
          <w14:ligatures w14:val="standardContextual"/>
        </w:rPr>
      </w:pPr>
      <w:bookmarkStart w:id="11" w:name="_Hlk128476821"/>
      <w:r w:rsidRPr="008A7A35">
        <w:rPr>
          <w:rFonts w:ascii="Arial" w:eastAsia="Calibri" w:hAnsi="Arial" w:cs="Arial"/>
          <w:b/>
          <w:bCs/>
          <w:kern w:val="2"/>
          <w:sz w:val="30"/>
          <w:szCs w:val="30"/>
          <w14:ligatures w14:val="standardContextual"/>
        </w:rPr>
        <w:t xml:space="preserve">REPORT OF THE BOARD OF DIRECTORS  </w:t>
      </w:r>
      <w:r w:rsidRPr="008A7A35">
        <w:rPr>
          <w:rFonts w:ascii="Arial" w:eastAsia="Calibri" w:hAnsi="Arial" w:cs="Arial"/>
          <w:b/>
          <w:bCs/>
          <w:kern w:val="2"/>
          <w:sz w:val="30"/>
          <w:szCs w:val="30"/>
          <w14:ligatures w14:val="standardContextual"/>
        </w:rPr>
        <w:br/>
        <w:t>For the period ended 30 June 202</w:t>
      </w:r>
      <w:r w:rsidR="007F3AC5" w:rsidRPr="008A7A35">
        <w:rPr>
          <w:rFonts w:ascii="Arial" w:eastAsia="Calibri" w:hAnsi="Arial" w:cs="Arial"/>
          <w:b/>
          <w:bCs/>
          <w:kern w:val="2"/>
          <w:sz w:val="30"/>
          <w:szCs w:val="30"/>
          <w14:ligatures w14:val="standardContextual"/>
        </w:rPr>
        <w:t>5</w:t>
      </w:r>
    </w:p>
    <w:p w14:paraId="2A3FEA56" w14:textId="77777777" w:rsidR="00127E03" w:rsidRPr="008A7A35" w:rsidRDefault="00127E03" w:rsidP="005039AC">
      <w:pPr>
        <w:spacing w:line="256" w:lineRule="auto"/>
        <w:jc w:val="both"/>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General Information</w:t>
      </w:r>
    </w:p>
    <w:p w14:paraId="710DB770" w14:textId="7D76812E" w:rsidR="00127E03" w:rsidRDefault="00127E03" w:rsidP="005039AC">
      <w:pPr>
        <w:spacing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The Board submits its report, together with the Interim Condensed Financial Statements, of Riverstone Energy Limited (the “Company”) for the six-month period ended 30 June 202</w:t>
      </w:r>
      <w:r w:rsidR="007F3AC5" w:rsidRPr="008A7A35">
        <w:rPr>
          <w:rFonts w:ascii="Arial" w:eastAsia="Calibri" w:hAnsi="Arial" w:cs="Arial"/>
          <w:kern w:val="2"/>
          <w:sz w:val="20"/>
          <w:szCs w:val="20"/>
          <w14:ligatures w14:val="standardContextual"/>
        </w:rPr>
        <w:t>5</w:t>
      </w:r>
      <w:r w:rsidRPr="008A7A35">
        <w:rPr>
          <w:rFonts w:ascii="Arial" w:eastAsia="Calibri" w:hAnsi="Arial" w:cs="Arial"/>
          <w:kern w:val="2"/>
          <w:sz w:val="20"/>
          <w:szCs w:val="20"/>
          <w14:ligatures w14:val="standardContextual"/>
        </w:rPr>
        <w:t xml:space="preserve">. </w:t>
      </w:r>
    </w:p>
    <w:p w14:paraId="5301D220" w14:textId="77777777" w:rsidR="000541F9" w:rsidRPr="008A7A35" w:rsidRDefault="000541F9" w:rsidP="005039AC">
      <w:pPr>
        <w:spacing w:line="256" w:lineRule="auto"/>
        <w:jc w:val="both"/>
        <w:rPr>
          <w:rFonts w:ascii="Arial" w:eastAsia="Calibri" w:hAnsi="Arial" w:cs="Arial"/>
          <w:kern w:val="2"/>
          <w:sz w:val="20"/>
          <w:szCs w:val="20"/>
          <w14:ligatures w14:val="standardContextual"/>
        </w:rPr>
      </w:pPr>
    </w:p>
    <w:p w14:paraId="3643277E" w14:textId="4646C1C3" w:rsidR="00127E03" w:rsidRDefault="00C47F01" w:rsidP="00127E03">
      <w:pPr>
        <w:spacing w:after="160" w:line="256" w:lineRule="auto"/>
        <w:jc w:val="both"/>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The Company </w:t>
      </w:r>
      <w:r w:rsidR="00127E03" w:rsidRPr="008A7A35">
        <w:rPr>
          <w:rFonts w:ascii="Arial" w:eastAsia="Calibri" w:hAnsi="Arial" w:cs="Arial"/>
          <w:kern w:val="2"/>
          <w:sz w:val="20"/>
          <w:szCs w:val="20"/>
          <w14:ligatures w14:val="standardContextual"/>
        </w:rPr>
        <w:t>is a company limited by shares, which was incorporated on 23 May 2013 in Guernsey with an unlimited life and registered with the Commission as a Registered Closed-ended Collective Investment Scheme pursuant to the POI Law. It has been listed on the London Stock Exchange since 29 October 2013. The registered office of the Company is PO Box 286, Floor 2, Trafalgar Court, Les Banques, St Peter Port, Guernsey, GY1 4LY.</w:t>
      </w:r>
    </w:p>
    <w:p w14:paraId="244CCC4F" w14:textId="7E04C8A5" w:rsidR="00C47F01" w:rsidRDefault="00C47F01" w:rsidP="00C47F01">
      <w:pPr>
        <w:jc w:val="both"/>
        <w:rPr>
          <w:rFonts w:ascii="Arial" w:hAnsi="Arial" w:cs="Arial"/>
          <w:sz w:val="20"/>
          <w:szCs w:val="20"/>
        </w:rPr>
      </w:pPr>
      <w:r>
        <w:rPr>
          <w:rFonts w:ascii="Arial" w:hAnsi="Arial" w:cs="Arial"/>
          <w:sz w:val="20"/>
          <w:szCs w:val="20"/>
        </w:rPr>
        <w:t xml:space="preserve">Following </w:t>
      </w:r>
      <w:r w:rsidR="00BC6676">
        <w:rPr>
          <w:rFonts w:ascii="Arial" w:hAnsi="Arial" w:cs="Arial"/>
          <w:sz w:val="20"/>
          <w:szCs w:val="20"/>
        </w:rPr>
        <w:t>S</w:t>
      </w:r>
      <w:r>
        <w:rPr>
          <w:rFonts w:ascii="Arial" w:hAnsi="Arial" w:cs="Arial"/>
          <w:sz w:val="20"/>
          <w:szCs w:val="20"/>
        </w:rPr>
        <w:t xml:space="preserve">hareholder approval at the Extraordinary General </w:t>
      </w:r>
      <w:r w:rsidRPr="001B1E3A">
        <w:rPr>
          <w:rFonts w:ascii="Arial" w:hAnsi="Arial" w:cs="Arial"/>
          <w:sz w:val="20"/>
          <w:szCs w:val="20"/>
        </w:rPr>
        <w:t xml:space="preserve">Meeting </w:t>
      </w:r>
      <w:r w:rsidRPr="009B1684">
        <w:rPr>
          <w:rFonts w:ascii="Arial" w:hAnsi="Arial" w:cs="Arial"/>
          <w:sz w:val="20"/>
          <w:szCs w:val="20"/>
        </w:rPr>
        <w:t>(“EGM”)</w:t>
      </w:r>
      <w:r w:rsidRPr="001B1E3A">
        <w:rPr>
          <w:rFonts w:ascii="Arial" w:hAnsi="Arial" w:cs="Arial"/>
          <w:sz w:val="20"/>
          <w:szCs w:val="20"/>
        </w:rPr>
        <w:t xml:space="preserve"> held</w:t>
      </w:r>
      <w:r>
        <w:rPr>
          <w:rFonts w:ascii="Arial" w:hAnsi="Arial" w:cs="Arial"/>
          <w:sz w:val="20"/>
          <w:szCs w:val="20"/>
        </w:rPr>
        <w:t xml:space="preserve"> on 22 August 2025, the Company is now commencing a </w:t>
      </w:r>
      <w:r w:rsidR="00E43FCC">
        <w:rPr>
          <w:rFonts w:ascii="Arial" w:hAnsi="Arial" w:cs="Arial"/>
          <w:sz w:val="20"/>
          <w:szCs w:val="20"/>
        </w:rPr>
        <w:t>M</w:t>
      </w:r>
      <w:r>
        <w:rPr>
          <w:rFonts w:ascii="Arial" w:hAnsi="Arial" w:cs="Arial"/>
          <w:sz w:val="20"/>
          <w:szCs w:val="20"/>
        </w:rPr>
        <w:t xml:space="preserve">anaged </w:t>
      </w:r>
      <w:r w:rsidR="00E43FCC">
        <w:rPr>
          <w:rFonts w:ascii="Arial" w:hAnsi="Arial" w:cs="Arial"/>
          <w:sz w:val="20"/>
          <w:szCs w:val="20"/>
        </w:rPr>
        <w:t>W</w:t>
      </w:r>
      <w:r>
        <w:rPr>
          <w:rFonts w:ascii="Arial" w:hAnsi="Arial" w:cs="Arial"/>
          <w:sz w:val="20"/>
          <w:szCs w:val="20"/>
        </w:rPr>
        <w:t>ind-</w:t>
      </w:r>
      <w:r w:rsidR="00E43FCC">
        <w:rPr>
          <w:rFonts w:ascii="Arial" w:hAnsi="Arial" w:cs="Arial"/>
          <w:sz w:val="20"/>
          <w:szCs w:val="20"/>
        </w:rPr>
        <w:t>D</w:t>
      </w:r>
      <w:r>
        <w:rPr>
          <w:rFonts w:ascii="Arial" w:hAnsi="Arial" w:cs="Arial"/>
          <w:sz w:val="20"/>
          <w:szCs w:val="20"/>
        </w:rPr>
        <w:t xml:space="preserve">own process with the objective of realising all the existing assets in an orderly manner.  </w:t>
      </w:r>
    </w:p>
    <w:p w14:paraId="2D9C3BB3" w14:textId="77777777" w:rsidR="007F3D87" w:rsidRDefault="007F3D87" w:rsidP="00127E03">
      <w:pPr>
        <w:spacing w:after="160" w:line="256" w:lineRule="auto"/>
        <w:jc w:val="both"/>
        <w:rPr>
          <w:rFonts w:ascii="Arial" w:eastAsia="Calibri" w:hAnsi="Arial" w:cs="Arial"/>
          <w:kern w:val="2"/>
          <w:sz w:val="20"/>
          <w:szCs w:val="20"/>
          <w14:ligatures w14:val="standardContextual"/>
        </w:rPr>
      </w:pPr>
    </w:p>
    <w:p w14:paraId="0329CBD8" w14:textId="3510E216" w:rsidR="007F3D87" w:rsidRDefault="007F3D87" w:rsidP="00C47CB2">
      <w:pPr>
        <w:spacing w:line="256" w:lineRule="auto"/>
        <w:jc w:val="both"/>
        <w:rPr>
          <w:rFonts w:ascii="Arial" w:eastAsia="Calibri" w:hAnsi="Arial" w:cs="Arial"/>
          <w:b/>
          <w:bCs/>
          <w:kern w:val="2"/>
          <w:sz w:val="20"/>
          <w:szCs w:val="20"/>
          <w14:ligatures w14:val="standardContextual"/>
        </w:rPr>
      </w:pPr>
      <w:r w:rsidRPr="007F3D87">
        <w:rPr>
          <w:rFonts w:ascii="Arial" w:eastAsia="Calibri" w:hAnsi="Arial" w:cs="Arial"/>
          <w:b/>
          <w:bCs/>
          <w:kern w:val="2"/>
          <w:sz w:val="20"/>
          <w:szCs w:val="20"/>
          <w14:ligatures w14:val="standardContextual"/>
        </w:rPr>
        <w:t>Investment Objective</w:t>
      </w:r>
    </w:p>
    <w:p w14:paraId="4725FC7F" w14:textId="3A6D1E2F" w:rsidR="007F3D87" w:rsidRDefault="004B2D80" w:rsidP="00127E03">
      <w:pPr>
        <w:spacing w:after="160" w:line="256" w:lineRule="auto"/>
        <w:jc w:val="both"/>
        <w:rPr>
          <w:rFonts w:ascii="Arial" w:eastAsia="Calibri" w:hAnsi="Arial" w:cs="Arial"/>
          <w:kern w:val="2"/>
          <w:sz w:val="20"/>
          <w:szCs w:val="20"/>
          <w14:ligatures w14:val="standardContextual"/>
        </w:rPr>
      </w:pPr>
      <w:r w:rsidRPr="00C47CB2">
        <w:rPr>
          <w:rFonts w:ascii="Arial" w:eastAsia="Calibri" w:hAnsi="Arial" w:cs="Arial"/>
          <w:kern w:val="2"/>
          <w:sz w:val="20"/>
          <w:szCs w:val="20"/>
          <w14:ligatures w14:val="standardContextual"/>
        </w:rPr>
        <w:t>The Company’s investment objective is to realise all existing investments in the Company’s portfolio in an orderly manner and make timely returns of cash to Shareholders.</w:t>
      </w:r>
    </w:p>
    <w:p w14:paraId="2C246F00" w14:textId="47CAB8F2" w:rsidR="007F3D87" w:rsidRPr="007F3D87" w:rsidRDefault="007F3D87" w:rsidP="004B2D80">
      <w:pPr>
        <w:spacing w:line="256" w:lineRule="auto"/>
        <w:jc w:val="both"/>
        <w:rPr>
          <w:rFonts w:ascii="Arial" w:eastAsia="Calibri" w:hAnsi="Arial" w:cs="Arial"/>
          <w:b/>
          <w:bCs/>
          <w:kern w:val="2"/>
          <w:sz w:val="20"/>
          <w:szCs w:val="20"/>
          <w14:ligatures w14:val="standardContextual"/>
        </w:rPr>
      </w:pPr>
      <w:r w:rsidRPr="007F3D87">
        <w:rPr>
          <w:rFonts w:ascii="Arial" w:eastAsia="Calibri" w:hAnsi="Arial" w:cs="Arial"/>
          <w:b/>
          <w:bCs/>
          <w:kern w:val="2"/>
          <w:sz w:val="20"/>
          <w:szCs w:val="20"/>
          <w14:ligatures w14:val="standardContextual"/>
        </w:rPr>
        <w:t>Investment Policy</w:t>
      </w:r>
    </w:p>
    <w:p w14:paraId="33F024A4" w14:textId="77777777" w:rsidR="004B2D80" w:rsidRPr="004B2D80" w:rsidRDefault="004B2D80" w:rsidP="004B2D80">
      <w:pPr>
        <w:spacing w:line="256" w:lineRule="auto"/>
        <w:jc w:val="both"/>
        <w:rPr>
          <w:rFonts w:ascii="Arial" w:eastAsia="Calibri" w:hAnsi="Arial" w:cs="Arial"/>
          <w:kern w:val="2"/>
          <w:sz w:val="20"/>
          <w:szCs w:val="20"/>
          <w14:ligatures w14:val="standardContextual"/>
        </w:rPr>
      </w:pPr>
      <w:r w:rsidRPr="004B2D80">
        <w:rPr>
          <w:rFonts w:ascii="Arial" w:eastAsia="Calibri" w:hAnsi="Arial" w:cs="Arial"/>
          <w:kern w:val="2"/>
          <w:sz w:val="20"/>
          <w:szCs w:val="20"/>
          <w14:ligatures w14:val="standardContextual"/>
        </w:rPr>
        <w:t xml:space="preserve">The Company will pursue its investment objective by effecting an orderly realisation of its investments. The Company will cease to make any new investments (including any follow-on investments) or to undertake capital expenditure, except with the prior consent of the Board to the extent such expenditure is deemed necessary or desirable by the Board in connection with the realisation, including where: </w:t>
      </w:r>
    </w:p>
    <w:p w14:paraId="0488722A" w14:textId="77777777" w:rsidR="004B2D80" w:rsidRPr="004B2D80" w:rsidRDefault="004B2D80" w:rsidP="004B2D80">
      <w:pPr>
        <w:spacing w:line="256" w:lineRule="auto"/>
        <w:jc w:val="both"/>
        <w:rPr>
          <w:rFonts w:ascii="Arial" w:eastAsia="Calibri" w:hAnsi="Arial" w:cs="Arial"/>
          <w:kern w:val="2"/>
          <w:sz w:val="20"/>
          <w:szCs w:val="20"/>
          <w14:ligatures w14:val="standardContextual"/>
        </w:rPr>
      </w:pPr>
    </w:p>
    <w:p w14:paraId="2E254994" w14:textId="77777777" w:rsidR="004B2D80" w:rsidRPr="004B2D80" w:rsidRDefault="004B2D80" w:rsidP="00331C35">
      <w:pPr>
        <w:pStyle w:val="ListParagraph"/>
        <w:numPr>
          <w:ilvl w:val="0"/>
          <w:numId w:val="13"/>
        </w:numPr>
        <w:spacing w:line="256" w:lineRule="auto"/>
        <w:jc w:val="both"/>
        <w:rPr>
          <w:rFonts w:ascii="Arial" w:eastAsia="Calibri" w:hAnsi="Arial" w:cs="Arial"/>
          <w:kern w:val="2"/>
          <w:sz w:val="20"/>
          <w:szCs w:val="20"/>
          <w14:ligatures w14:val="standardContextual"/>
        </w:rPr>
      </w:pPr>
      <w:r w:rsidRPr="00C47CB2">
        <w:rPr>
          <w:rFonts w:ascii="Arial" w:eastAsia="Calibri" w:hAnsi="Arial" w:cs="Arial"/>
          <w:kern w:val="2"/>
          <w:sz w:val="20"/>
          <w:szCs w:val="20"/>
          <w14:ligatures w14:val="standardContextual"/>
        </w:rPr>
        <w:t xml:space="preserve">failure to make the investment or capital expenditure would result in a breach of contract or applicable law or regulation by the Company or any Investment Undertaking; or </w:t>
      </w:r>
    </w:p>
    <w:p w14:paraId="0195699C" w14:textId="77777777" w:rsidR="004B2D80" w:rsidRPr="004B2D80" w:rsidRDefault="004B2D80" w:rsidP="004B2D80">
      <w:pPr>
        <w:pStyle w:val="ListParagraph"/>
        <w:spacing w:line="256" w:lineRule="auto"/>
        <w:jc w:val="both"/>
        <w:rPr>
          <w:rFonts w:ascii="Arial" w:eastAsia="Calibri" w:hAnsi="Arial" w:cs="Arial"/>
          <w:kern w:val="2"/>
          <w:sz w:val="20"/>
          <w:szCs w:val="20"/>
          <w14:ligatures w14:val="standardContextual"/>
        </w:rPr>
      </w:pPr>
    </w:p>
    <w:p w14:paraId="19185BCE" w14:textId="1BEE3660" w:rsidR="007F3D87" w:rsidRPr="004B2D80" w:rsidRDefault="004B2D80" w:rsidP="00331C35">
      <w:pPr>
        <w:pStyle w:val="ListParagraph"/>
        <w:numPr>
          <w:ilvl w:val="0"/>
          <w:numId w:val="13"/>
        </w:numPr>
        <w:spacing w:line="256" w:lineRule="auto"/>
        <w:jc w:val="both"/>
        <w:rPr>
          <w:rFonts w:ascii="Arial" w:eastAsia="Calibri" w:hAnsi="Arial" w:cs="Arial"/>
          <w:kern w:val="2"/>
          <w:sz w:val="20"/>
          <w:szCs w:val="20"/>
          <w14:ligatures w14:val="standardContextual"/>
        </w:rPr>
      </w:pPr>
      <w:r w:rsidRPr="004B2D80">
        <w:rPr>
          <w:rFonts w:ascii="Arial" w:eastAsia="Calibri" w:hAnsi="Arial" w:cs="Arial"/>
          <w:kern w:val="2"/>
          <w:sz w:val="20"/>
          <w:szCs w:val="20"/>
          <w14:ligatures w14:val="standardContextual"/>
        </w:rPr>
        <w:t>the investment or capital expenditure is considered necessary or desirable to protect or enhance the value of any existing investment or to facilitate an orderly disposal.</w:t>
      </w:r>
    </w:p>
    <w:p w14:paraId="2E438B39" w14:textId="77777777" w:rsidR="004B2D80" w:rsidRPr="004B2D80" w:rsidRDefault="004B2D80" w:rsidP="00C47CB2">
      <w:pPr>
        <w:spacing w:line="256" w:lineRule="auto"/>
        <w:jc w:val="both"/>
        <w:rPr>
          <w:rFonts w:ascii="Arial" w:eastAsia="Calibri" w:hAnsi="Arial" w:cs="Arial"/>
          <w:kern w:val="2"/>
          <w:sz w:val="20"/>
          <w:szCs w:val="20"/>
          <w14:ligatures w14:val="standardContextual"/>
        </w:rPr>
      </w:pPr>
    </w:p>
    <w:p w14:paraId="494EE484" w14:textId="77777777" w:rsidR="00127E03" w:rsidRPr="008A7A35" w:rsidRDefault="00127E03" w:rsidP="005039AC">
      <w:pPr>
        <w:spacing w:line="256" w:lineRule="auto"/>
        <w:jc w:val="both"/>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Principal Activities</w:t>
      </w:r>
    </w:p>
    <w:p w14:paraId="68D2C603" w14:textId="024BFEF6" w:rsidR="000541F9" w:rsidRDefault="00127E03" w:rsidP="005039AC">
      <w:pPr>
        <w:spacing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The principal activity of the Company </w:t>
      </w:r>
      <w:r w:rsidR="00C47F01">
        <w:rPr>
          <w:rFonts w:ascii="Arial" w:eastAsia="Calibri" w:hAnsi="Arial" w:cs="Arial"/>
          <w:kern w:val="2"/>
          <w:sz w:val="20"/>
          <w:szCs w:val="20"/>
          <w14:ligatures w14:val="standardContextual"/>
        </w:rPr>
        <w:t xml:space="preserve">during the period covered by this report </w:t>
      </w:r>
      <w:r w:rsidR="0083243B" w:rsidRPr="008A7A35">
        <w:rPr>
          <w:rFonts w:ascii="Arial" w:eastAsia="Calibri" w:hAnsi="Arial" w:cs="Arial"/>
          <w:kern w:val="2"/>
          <w:sz w:val="20"/>
          <w:szCs w:val="20"/>
          <w14:ligatures w14:val="standardContextual"/>
        </w:rPr>
        <w:t>was</w:t>
      </w:r>
      <w:r w:rsidRPr="008A7A35">
        <w:rPr>
          <w:rFonts w:ascii="Arial" w:eastAsia="Calibri" w:hAnsi="Arial" w:cs="Arial"/>
          <w:kern w:val="2"/>
          <w:sz w:val="20"/>
          <w:szCs w:val="20"/>
          <w14:ligatures w14:val="standardContextual"/>
        </w:rPr>
        <w:t xml:space="preserve"> to act as an investment entity through the Partnership and make investments in the energy sector. </w:t>
      </w:r>
      <w:r w:rsidR="00DF3D61" w:rsidRPr="008A7A35">
        <w:rPr>
          <w:rFonts w:ascii="Arial" w:eastAsia="Calibri" w:hAnsi="Arial" w:cs="Arial"/>
          <w:kern w:val="2"/>
          <w:sz w:val="20"/>
          <w:szCs w:val="20"/>
          <w14:ligatures w14:val="standardContextual"/>
        </w:rPr>
        <w:t>Following</w:t>
      </w:r>
      <w:r w:rsidR="00672953" w:rsidRPr="008A7A35">
        <w:rPr>
          <w:rFonts w:ascii="Arial" w:eastAsia="Calibri" w:hAnsi="Arial" w:cs="Arial"/>
          <w:kern w:val="2"/>
          <w:sz w:val="20"/>
          <w:szCs w:val="20"/>
          <w14:ligatures w14:val="standardContextual"/>
        </w:rPr>
        <w:t xml:space="preserve"> </w:t>
      </w:r>
      <w:r w:rsidR="00246AA3" w:rsidRPr="008A7A35">
        <w:rPr>
          <w:rFonts w:ascii="Arial" w:eastAsia="Calibri" w:hAnsi="Arial" w:cs="Arial"/>
          <w:kern w:val="2"/>
          <w:sz w:val="20"/>
          <w:szCs w:val="20"/>
          <w14:ligatures w14:val="standardContextual"/>
        </w:rPr>
        <w:t>Shareholder approval</w:t>
      </w:r>
      <w:r w:rsidR="0089328C" w:rsidRPr="008A7A35">
        <w:rPr>
          <w:rFonts w:ascii="Arial" w:eastAsia="Calibri" w:hAnsi="Arial" w:cs="Arial"/>
          <w:kern w:val="2"/>
          <w:sz w:val="20"/>
          <w:szCs w:val="20"/>
          <w14:ligatures w14:val="standardContextual"/>
        </w:rPr>
        <w:t xml:space="preserve"> </w:t>
      </w:r>
      <w:r w:rsidR="00C47F01">
        <w:rPr>
          <w:rFonts w:ascii="Arial" w:eastAsia="Calibri" w:hAnsi="Arial" w:cs="Arial"/>
          <w:kern w:val="2"/>
          <w:sz w:val="20"/>
          <w:szCs w:val="20"/>
          <w14:ligatures w14:val="standardContextual"/>
        </w:rPr>
        <w:t xml:space="preserve">at </w:t>
      </w:r>
      <w:r w:rsidR="001E1D69">
        <w:rPr>
          <w:rFonts w:ascii="Arial" w:eastAsia="Calibri" w:hAnsi="Arial" w:cs="Arial"/>
          <w:kern w:val="2"/>
          <w:sz w:val="20"/>
          <w:szCs w:val="20"/>
          <w14:ligatures w14:val="standardContextual"/>
        </w:rPr>
        <w:t>an</w:t>
      </w:r>
      <w:r w:rsidR="00C47F01">
        <w:rPr>
          <w:rFonts w:ascii="Arial" w:eastAsia="Calibri" w:hAnsi="Arial" w:cs="Arial"/>
          <w:kern w:val="2"/>
          <w:sz w:val="20"/>
          <w:szCs w:val="20"/>
          <w14:ligatures w14:val="standardContextual"/>
        </w:rPr>
        <w:t xml:space="preserve"> EGM held </w:t>
      </w:r>
      <w:r w:rsidR="0089328C" w:rsidRPr="008A7A35">
        <w:rPr>
          <w:rFonts w:ascii="Arial" w:eastAsia="Calibri" w:hAnsi="Arial" w:cs="Arial"/>
          <w:kern w:val="2"/>
          <w:sz w:val="20"/>
          <w:szCs w:val="20"/>
          <w14:ligatures w14:val="standardContextual"/>
        </w:rPr>
        <w:t xml:space="preserve">on </w:t>
      </w:r>
      <w:r w:rsidR="00C47F01">
        <w:rPr>
          <w:rFonts w:ascii="Arial" w:eastAsia="Calibri" w:hAnsi="Arial" w:cs="Arial"/>
          <w:kern w:val="2"/>
          <w:sz w:val="20"/>
          <w:szCs w:val="20"/>
          <w14:ligatures w14:val="standardContextual"/>
        </w:rPr>
        <w:t xml:space="preserve">22 </w:t>
      </w:r>
      <w:r w:rsidR="0089328C" w:rsidRPr="008A7A35">
        <w:rPr>
          <w:rFonts w:ascii="Arial" w:eastAsia="Calibri" w:hAnsi="Arial" w:cs="Arial"/>
          <w:kern w:val="2"/>
          <w:sz w:val="20"/>
          <w:szCs w:val="20"/>
          <w14:ligatures w14:val="standardContextual"/>
        </w:rPr>
        <w:t xml:space="preserve"> August 2025, </w:t>
      </w:r>
      <w:r w:rsidR="00C47F01">
        <w:rPr>
          <w:rFonts w:ascii="Arial" w:eastAsia="Calibri" w:hAnsi="Arial" w:cs="Arial"/>
          <w:kern w:val="2"/>
          <w:sz w:val="20"/>
          <w:szCs w:val="20"/>
          <w14:ligatures w14:val="standardContextual"/>
        </w:rPr>
        <w:t>t</w:t>
      </w:r>
      <w:r w:rsidR="009B17A3" w:rsidRPr="008A7A35">
        <w:rPr>
          <w:rFonts w:ascii="Arial" w:eastAsia="Calibri" w:hAnsi="Arial" w:cs="Arial"/>
          <w:kern w:val="2"/>
          <w:sz w:val="20"/>
          <w:szCs w:val="20"/>
          <w14:ligatures w14:val="standardContextual"/>
        </w:rPr>
        <w:t xml:space="preserve">he Company’s investment objective and policy was amended to facilitate the </w:t>
      </w:r>
      <w:r w:rsidR="00DF3D61" w:rsidRPr="008A7A35">
        <w:rPr>
          <w:rFonts w:ascii="Arial" w:eastAsia="Calibri" w:hAnsi="Arial" w:cs="Arial"/>
          <w:kern w:val="2"/>
          <w:sz w:val="20"/>
          <w:szCs w:val="20"/>
          <w14:ligatures w14:val="standardContextual"/>
        </w:rPr>
        <w:t>orderly</w:t>
      </w:r>
      <w:r w:rsidR="00230F10" w:rsidRPr="008A7A35">
        <w:rPr>
          <w:rFonts w:ascii="Arial" w:eastAsia="Calibri" w:hAnsi="Arial" w:cs="Arial"/>
          <w:kern w:val="2"/>
          <w:sz w:val="20"/>
          <w:szCs w:val="20"/>
          <w14:ligatures w14:val="standardContextual"/>
        </w:rPr>
        <w:t xml:space="preserve"> realisation of its investments and the progressive </w:t>
      </w:r>
      <w:r w:rsidR="0090385E">
        <w:rPr>
          <w:rFonts w:ascii="Arial" w:eastAsia="Calibri" w:hAnsi="Arial" w:cs="Arial"/>
          <w:kern w:val="2"/>
          <w:sz w:val="20"/>
          <w:szCs w:val="20"/>
          <w14:ligatures w14:val="standardContextual"/>
        </w:rPr>
        <w:t xml:space="preserve">timely </w:t>
      </w:r>
      <w:r w:rsidR="00230F10" w:rsidRPr="008A7A35">
        <w:rPr>
          <w:rFonts w:ascii="Arial" w:eastAsia="Calibri" w:hAnsi="Arial" w:cs="Arial"/>
          <w:kern w:val="2"/>
          <w:sz w:val="20"/>
          <w:szCs w:val="20"/>
          <w14:ligatures w14:val="standardContextual"/>
        </w:rPr>
        <w:t xml:space="preserve">return of cash to Shareholders </w:t>
      </w:r>
      <w:r w:rsidR="00DF3D61" w:rsidRPr="008A7A35">
        <w:rPr>
          <w:rFonts w:ascii="Arial" w:eastAsia="Calibri" w:hAnsi="Arial" w:cs="Arial"/>
          <w:kern w:val="2"/>
          <w:sz w:val="20"/>
          <w:szCs w:val="20"/>
          <w14:ligatures w14:val="standardContextual"/>
        </w:rPr>
        <w:t>and to amend the Company’s articles of incorporation to allow the net proceeds of the assets realised (</w:t>
      </w:r>
      <w:r w:rsidR="001E1D69" w:rsidRPr="001E1D69">
        <w:rPr>
          <w:rFonts w:ascii="Arial" w:eastAsia="Calibri" w:hAnsi="Arial" w:cs="Arial"/>
          <w:kern w:val="2"/>
          <w:sz w:val="20"/>
          <w:szCs w:val="20"/>
          <w14:ligatures w14:val="standardContextual"/>
        </w:rPr>
        <w:t>less provisions for operational running costs for the Managed Wind-Down period</w:t>
      </w:r>
      <w:r w:rsidR="001E1D69">
        <w:rPr>
          <w:rFonts w:ascii="Arial" w:eastAsia="Calibri" w:hAnsi="Arial" w:cs="Arial"/>
          <w:kern w:val="2"/>
          <w:sz w:val="20"/>
          <w:szCs w:val="20"/>
          <w14:ligatures w14:val="standardContextual"/>
        </w:rPr>
        <w:t xml:space="preserve"> </w:t>
      </w:r>
      <w:r w:rsidR="00DF3D61" w:rsidRPr="008A7A35">
        <w:rPr>
          <w:rFonts w:ascii="Arial" w:eastAsia="Calibri" w:hAnsi="Arial" w:cs="Arial"/>
          <w:kern w:val="2"/>
          <w:sz w:val="20"/>
          <w:szCs w:val="20"/>
          <w14:ligatures w14:val="standardContextual"/>
        </w:rPr>
        <w:t>and the costs of subsequently de-listing and liquidating the Company) to be returned to Shareholders by way of pro rata compulsory redemptions of the Company's shares.</w:t>
      </w:r>
      <w:r w:rsidR="0090385E">
        <w:rPr>
          <w:rFonts w:ascii="Arial" w:eastAsia="Calibri" w:hAnsi="Arial" w:cs="Arial"/>
          <w:kern w:val="2"/>
          <w:sz w:val="20"/>
          <w:szCs w:val="20"/>
          <w14:ligatures w14:val="standardContextual"/>
        </w:rPr>
        <w:t xml:space="preserve"> Investment Manager approval is required should the Company seek to return cash to Shareholders by some other means.  </w:t>
      </w:r>
    </w:p>
    <w:p w14:paraId="46DFEAAB" w14:textId="77777777" w:rsidR="000541F9" w:rsidRDefault="000541F9" w:rsidP="005039AC">
      <w:pPr>
        <w:spacing w:line="256" w:lineRule="auto"/>
        <w:jc w:val="both"/>
        <w:rPr>
          <w:rFonts w:ascii="Arial" w:eastAsia="Calibri" w:hAnsi="Arial" w:cs="Arial"/>
          <w:kern w:val="2"/>
          <w:sz w:val="20"/>
          <w:szCs w:val="20"/>
          <w14:ligatures w14:val="standardContextual"/>
        </w:rPr>
      </w:pPr>
    </w:p>
    <w:p w14:paraId="553ECF04" w14:textId="18F695DC" w:rsidR="0090385E" w:rsidRDefault="0090385E" w:rsidP="005039AC">
      <w:pPr>
        <w:spacing w:line="256" w:lineRule="auto"/>
        <w:jc w:val="both"/>
        <w:rPr>
          <w:rFonts w:ascii="Arial" w:eastAsia="Calibri" w:hAnsi="Arial" w:cs="Arial"/>
          <w:kern w:val="2"/>
          <w:sz w:val="20"/>
          <w:szCs w:val="20"/>
          <w14:ligatures w14:val="standardContextual"/>
        </w:rPr>
      </w:pPr>
      <w:r w:rsidRPr="0090385E">
        <w:rPr>
          <w:rFonts w:ascii="Arial" w:eastAsia="Calibri" w:hAnsi="Arial" w:cs="Arial"/>
          <w:kern w:val="2"/>
          <w:sz w:val="20"/>
          <w:szCs w:val="20"/>
          <w14:ligatures w14:val="standardContextual"/>
        </w:rPr>
        <w:lastRenderedPageBreak/>
        <w:t xml:space="preserve">The Company </w:t>
      </w:r>
      <w:r>
        <w:rPr>
          <w:rFonts w:ascii="Arial" w:eastAsia="Calibri" w:hAnsi="Arial" w:cs="Arial"/>
          <w:kern w:val="2"/>
          <w:sz w:val="20"/>
          <w:szCs w:val="20"/>
          <w14:ligatures w14:val="standardContextual"/>
        </w:rPr>
        <w:t xml:space="preserve">has now ceased </w:t>
      </w:r>
      <w:r w:rsidRPr="0090385E">
        <w:rPr>
          <w:rFonts w:ascii="Arial" w:eastAsia="Calibri" w:hAnsi="Arial" w:cs="Arial"/>
          <w:kern w:val="2"/>
          <w:sz w:val="20"/>
          <w:szCs w:val="20"/>
          <w14:ligatures w14:val="standardContextual"/>
        </w:rPr>
        <w:t>to make any new investments (including any follow-on</w:t>
      </w:r>
      <w:r>
        <w:rPr>
          <w:rFonts w:ascii="Arial" w:eastAsia="Calibri" w:hAnsi="Arial" w:cs="Arial"/>
          <w:kern w:val="2"/>
          <w:sz w:val="20"/>
          <w:szCs w:val="20"/>
          <w14:ligatures w14:val="standardContextual"/>
        </w:rPr>
        <w:t xml:space="preserve"> </w:t>
      </w:r>
      <w:r w:rsidRPr="0090385E">
        <w:rPr>
          <w:rFonts w:ascii="Arial" w:eastAsia="Calibri" w:hAnsi="Arial" w:cs="Arial"/>
          <w:kern w:val="2"/>
          <w:sz w:val="20"/>
          <w:szCs w:val="20"/>
          <w14:ligatures w14:val="standardContextual"/>
        </w:rPr>
        <w:t>investments) or to undertake capital expenditure, except with the prior consent of the Board to the</w:t>
      </w:r>
      <w:r>
        <w:rPr>
          <w:rFonts w:ascii="Arial" w:eastAsia="Calibri" w:hAnsi="Arial" w:cs="Arial"/>
          <w:kern w:val="2"/>
          <w:sz w:val="20"/>
          <w:szCs w:val="20"/>
          <w14:ligatures w14:val="standardContextual"/>
        </w:rPr>
        <w:t xml:space="preserve"> </w:t>
      </w:r>
      <w:r w:rsidRPr="0090385E">
        <w:rPr>
          <w:rFonts w:ascii="Arial" w:eastAsia="Calibri" w:hAnsi="Arial" w:cs="Arial"/>
          <w:kern w:val="2"/>
          <w:sz w:val="20"/>
          <w:szCs w:val="20"/>
          <w14:ligatures w14:val="standardContextual"/>
        </w:rPr>
        <w:t>extent such expenditure is deemed necessary or desirable by the Board in connection with the</w:t>
      </w:r>
      <w:r>
        <w:rPr>
          <w:rFonts w:ascii="Arial" w:eastAsia="Calibri" w:hAnsi="Arial" w:cs="Arial"/>
          <w:kern w:val="2"/>
          <w:sz w:val="20"/>
          <w:szCs w:val="20"/>
          <w14:ligatures w14:val="standardContextual"/>
        </w:rPr>
        <w:t xml:space="preserve"> </w:t>
      </w:r>
      <w:r w:rsidRPr="0090385E">
        <w:rPr>
          <w:rFonts w:ascii="Arial" w:eastAsia="Calibri" w:hAnsi="Arial" w:cs="Arial"/>
          <w:kern w:val="2"/>
          <w:sz w:val="20"/>
          <w:szCs w:val="20"/>
          <w14:ligatures w14:val="standardContextual"/>
        </w:rPr>
        <w:t>realisation, including where:</w:t>
      </w:r>
      <w:r>
        <w:rPr>
          <w:rFonts w:ascii="Arial" w:eastAsia="Calibri" w:hAnsi="Arial" w:cs="Arial"/>
          <w:kern w:val="2"/>
          <w:sz w:val="20"/>
          <w:szCs w:val="20"/>
          <w14:ligatures w14:val="standardContextual"/>
        </w:rPr>
        <w:t xml:space="preserve"> </w:t>
      </w:r>
      <w:r w:rsidRPr="0090385E">
        <w:rPr>
          <w:rFonts w:ascii="Arial" w:eastAsia="Calibri" w:hAnsi="Arial" w:cs="Arial"/>
          <w:kern w:val="2"/>
          <w:sz w:val="20"/>
          <w:szCs w:val="20"/>
          <w14:ligatures w14:val="standardContextual"/>
        </w:rPr>
        <w:t>(a) failure to make the investment or capital expenditure would result in a breach of contract or</w:t>
      </w:r>
      <w:r>
        <w:rPr>
          <w:rFonts w:ascii="Arial" w:eastAsia="Calibri" w:hAnsi="Arial" w:cs="Arial"/>
          <w:kern w:val="2"/>
          <w:sz w:val="20"/>
          <w:szCs w:val="20"/>
          <w14:ligatures w14:val="standardContextual"/>
        </w:rPr>
        <w:t xml:space="preserve"> </w:t>
      </w:r>
      <w:r w:rsidRPr="0090385E">
        <w:rPr>
          <w:rFonts w:ascii="Arial" w:eastAsia="Calibri" w:hAnsi="Arial" w:cs="Arial"/>
          <w:kern w:val="2"/>
          <w:sz w:val="20"/>
          <w:szCs w:val="20"/>
          <w14:ligatures w14:val="standardContextual"/>
        </w:rPr>
        <w:t>applicable law or regulation by the Company or any Investment Undertaking; or</w:t>
      </w:r>
      <w:r>
        <w:rPr>
          <w:rFonts w:ascii="Arial" w:eastAsia="Calibri" w:hAnsi="Arial" w:cs="Arial"/>
          <w:kern w:val="2"/>
          <w:sz w:val="20"/>
          <w:szCs w:val="20"/>
          <w14:ligatures w14:val="standardContextual"/>
        </w:rPr>
        <w:t xml:space="preserve"> </w:t>
      </w:r>
      <w:r w:rsidRPr="0090385E">
        <w:rPr>
          <w:rFonts w:ascii="Arial" w:eastAsia="Calibri" w:hAnsi="Arial" w:cs="Arial"/>
          <w:kern w:val="2"/>
          <w:sz w:val="20"/>
          <w:szCs w:val="20"/>
          <w14:ligatures w14:val="standardContextual"/>
        </w:rPr>
        <w:t>(b) the investment or capital expenditure is considered necessary or desirable to protect or</w:t>
      </w:r>
      <w:r>
        <w:rPr>
          <w:rFonts w:ascii="Arial" w:eastAsia="Calibri" w:hAnsi="Arial" w:cs="Arial"/>
          <w:kern w:val="2"/>
          <w:sz w:val="20"/>
          <w:szCs w:val="20"/>
          <w14:ligatures w14:val="standardContextual"/>
        </w:rPr>
        <w:t xml:space="preserve"> </w:t>
      </w:r>
      <w:r w:rsidRPr="0090385E">
        <w:rPr>
          <w:rFonts w:ascii="Arial" w:eastAsia="Calibri" w:hAnsi="Arial" w:cs="Arial"/>
          <w:kern w:val="2"/>
          <w:sz w:val="20"/>
          <w:szCs w:val="20"/>
          <w14:ligatures w14:val="standardContextual"/>
        </w:rPr>
        <w:t>enhance the value of any existing investment or to facilitate an orderly disposal.</w:t>
      </w:r>
    </w:p>
    <w:p w14:paraId="315106E6" w14:textId="77777777" w:rsidR="000541F9" w:rsidRDefault="000541F9" w:rsidP="005039AC">
      <w:pPr>
        <w:spacing w:line="256" w:lineRule="auto"/>
        <w:jc w:val="both"/>
        <w:rPr>
          <w:rFonts w:ascii="Arial" w:eastAsia="Calibri" w:hAnsi="Arial" w:cs="Arial"/>
          <w:kern w:val="2"/>
          <w:sz w:val="20"/>
          <w:szCs w:val="20"/>
          <w14:ligatures w14:val="standardContextual"/>
        </w:rPr>
      </w:pPr>
    </w:p>
    <w:p w14:paraId="3578F235" w14:textId="77777777" w:rsidR="00127E03" w:rsidRPr="008A7A35" w:rsidRDefault="00127E03" w:rsidP="005039AC">
      <w:pPr>
        <w:spacing w:line="256" w:lineRule="auto"/>
        <w:jc w:val="both"/>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Business Review</w:t>
      </w:r>
    </w:p>
    <w:p w14:paraId="74E8FF1C" w14:textId="40F09301" w:rsidR="00DE2110" w:rsidRDefault="00127E03" w:rsidP="005039AC">
      <w:pPr>
        <w:spacing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A review of the Company’s business and its likely future development is provided in the Board Chair’s Statement and in the Investment Manager’s Report</w:t>
      </w:r>
      <w:r w:rsidR="00DC447C">
        <w:rPr>
          <w:rFonts w:ascii="Arial" w:eastAsia="Calibri" w:hAnsi="Arial" w:cs="Arial"/>
          <w:kern w:val="2"/>
          <w:sz w:val="20"/>
          <w:szCs w:val="20"/>
          <w14:ligatures w14:val="standardContextual"/>
        </w:rPr>
        <w:t>.</w:t>
      </w:r>
    </w:p>
    <w:p w14:paraId="2D6FE215" w14:textId="77777777" w:rsidR="00DE2110" w:rsidRPr="008A7A35" w:rsidRDefault="00DE2110" w:rsidP="005039AC">
      <w:pPr>
        <w:spacing w:line="256" w:lineRule="auto"/>
        <w:jc w:val="both"/>
        <w:rPr>
          <w:rFonts w:ascii="Arial" w:eastAsia="Calibri" w:hAnsi="Arial" w:cs="Arial"/>
          <w:kern w:val="2"/>
          <w:sz w:val="20"/>
          <w:szCs w:val="20"/>
          <w14:ligatures w14:val="standardContextual"/>
        </w:rPr>
      </w:pPr>
    </w:p>
    <w:p w14:paraId="59131169" w14:textId="77777777" w:rsidR="00127E03" w:rsidRPr="008A7A35" w:rsidRDefault="00127E03" w:rsidP="005039AC">
      <w:pPr>
        <w:spacing w:line="256" w:lineRule="auto"/>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Results and Dividend</w:t>
      </w:r>
    </w:p>
    <w:p w14:paraId="5E6A3685" w14:textId="62B787DC" w:rsidR="005039AC" w:rsidRPr="008A7A35" w:rsidRDefault="00127E03" w:rsidP="005039AC">
      <w:pPr>
        <w:spacing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The results of the Company for the period ended 30 June 202</w:t>
      </w:r>
      <w:r w:rsidR="007F3AC5" w:rsidRPr="008A7A35">
        <w:rPr>
          <w:rFonts w:ascii="Arial" w:eastAsia="Calibri" w:hAnsi="Arial" w:cs="Arial"/>
          <w:kern w:val="2"/>
          <w:sz w:val="20"/>
          <w:szCs w:val="20"/>
          <w14:ligatures w14:val="standardContextual"/>
        </w:rPr>
        <w:t>5</w:t>
      </w:r>
      <w:r w:rsidRPr="008A7A35">
        <w:rPr>
          <w:rFonts w:ascii="Arial" w:eastAsia="Calibri" w:hAnsi="Arial" w:cs="Arial"/>
          <w:kern w:val="2"/>
          <w:sz w:val="20"/>
          <w:szCs w:val="20"/>
          <w14:ligatures w14:val="standardContextual"/>
        </w:rPr>
        <w:t xml:space="preserve"> are shown in the Condensed Statement of Comprehensive Income. The Net Asset Value of the Company as </w:t>
      </w:r>
      <w:proofErr w:type="gramStart"/>
      <w:r w:rsidRPr="008A7A35">
        <w:rPr>
          <w:rFonts w:ascii="Arial" w:eastAsia="Calibri" w:hAnsi="Arial" w:cs="Arial"/>
          <w:kern w:val="2"/>
          <w:sz w:val="20"/>
          <w:szCs w:val="20"/>
          <w14:ligatures w14:val="standardContextual"/>
        </w:rPr>
        <w:t>at</w:t>
      </w:r>
      <w:proofErr w:type="gramEnd"/>
      <w:r w:rsidRPr="008A7A35">
        <w:rPr>
          <w:rFonts w:ascii="Arial" w:eastAsia="Calibri" w:hAnsi="Arial" w:cs="Arial"/>
          <w:kern w:val="2"/>
          <w:sz w:val="20"/>
          <w:szCs w:val="20"/>
          <w14:ligatures w14:val="standardContextual"/>
        </w:rPr>
        <w:t xml:space="preserve"> 30 June 202</w:t>
      </w:r>
      <w:r w:rsidR="007F3AC5" w:rsidRPr="008A7A35">
        <w:rPr>
          <w:rFonts w:ascii="Arial" w:eastAsia="Calibri" w:hAnsi="Arial" w:cs="Arial"/>
          <w:kern w:val="2"/>
          <w:sz w:val="20"/>
          <w:szCs w:val="20"/>
          <w14:ligatures w14:val="standardContextual"/>
        </w:rPr>
        <w:t>5</w:t>
      </w:r>
      <w:r w:rsidRPr="008A7A35">
        <w:rPr>
          <w:rFonts w:ascii="Arial" w:eastAsia="Calibri" w:hAnsi="Arial" w:cs="Arial"/>
          <w:kern w:val="2"/>
          <w:sz w:val="20"/>
          <w:szCs w:val="20"/>
          <w14:ligatures w14:val="standardContextual"/>
        </w:rPr>
        <w:t xml:space="preserve"> was $</w:t>
      </w:r>
      <w:r w:rsidR="004B3283">
        <w:rPr>
          <w:rFonts w:ascii="Arial" w:hAnsi="Arial" w:cs="Arial"/>
          <w:sz w:val="20"/>
          <w:szCs w:val="20"/>
        </w:rPr>
        <w:t>372</w:t>
      </w:r>
      <w:r w:rsidR="00A23D2B" w:rsidRPr="008A7A35">
        <w:rPr>
          <w:rFonts w:ascii="Arial" w:eastAsia="Calibri" w:hAnsi="Arial" w:cs="Arial"/>
          <w:kern w:val="2"/>
          <w:sz w:val="20"/>
          <w:szCs w:val="20"/>
          <w14:ligatures w14:val="standardContextual"/>
        </w:rPr>
        <w:t xml:space="preserve"> </w:t>
      </w:r>
      <w:r w:rsidRPr="008A7A35">
        <w:rPr>
          <w:rFonts w:ascii="Arial" w:eastAsia="Calibri" w:hAnsi="Arial" w:cs="Arial"/>
          <w:kern w:val="2"/>
          <w:sz w:val="20"/>
          <w:szCs w:val="20"/>
          <w14:ligatures w14:val="standardContextual"/>
        </w:rPr>
        <w:t>million (31 December 202</w:t>
      </w:r>
      <w:r w:rsidR="007F3AC5" w:rsidRPr="008A7A35">
        <w:rPr>
          <w:rFonts w:ascii="Arial" w:eastAsia="Calibri" w:hAnsi="Arial" w:cs="Arial"/>
          <w:kern w:val="2"/>
          <w:sz w:val="20"/>
          <w:szCs w:val="20"/>
          <w14:ligatures w14:val="standardContextual"/>
        </w:rPr>
        <w:t>4</w:t>
      </w:r>
      <w:r w:rsidRPr="008A7A35">
        <w:rPr>
          <w:rFonts w:ascii="Arial" w:eastAsia="Calibri" w:hAnsi="Arial" w:cs="Arial"/>
          <w:kern w:val="2"/>
          <w:sz w:val="20"/>
          <w:szCs w:val="20"/>
          <w14:ligatures w14:val="standardContextual"/>
        </w:rPr>
        <w:t>: $</w:t>
      </w:r>
      <w:r w:rsidR="007F3AC5" w:rsidRPr="008A7A35">
        <w:rPr>
          <w:rFonts w:ascii="Arial" w:hAnsi="Arial" w:cs="Arial"/>
          <w:bCs/>
          <w:sz w:val="20"/>
          <w:szCs w:val="20"/>
        </w:rPr>
        <w:t>376</w:t>
      </w:r>
      <w:r w:rsidRPr="008A7A35">
        <w:rPr>
          <w:rFonts w:ascii="Arial" w:eastAsia="Calibri" w:hAnsi="Arial" w:cs="Arial"/>
          <w:kern w:val="2"/>
          <w:sz w:val="20"/>
          <w:szCs w:val="20"/>
          <w14:ligatures w14:val="standardContextual"/>
        </w:rPr>
        <w:t xml:space="preserve"> million). The Directors do not recommend the payment of a dividend in respect of the period ended 30 June 202</w:t>
      </w:r>
      <w:r w:rsidR="007F3AC5" w:rsidRPr="008A7A35">
        <w:rPr>
          <w:rFonts w:ascii="Arial" w:eastAsia="Calibri" w:hAnsi="Arial" w:cs="Arial"/>
          <w:kern w:val="2"/>
          <w:sz w:val="20"/>
          <w:szCs w:val="20"/>
          <w14:ligatures w14:val="standardContextual"/>
        </w:rPr>
        <w:t>5</w:t>
      </w:r>
      <w:r w:rsidRPr="008A7A35">
        <w:rPr>
          <w:rFonts w:ascii="Arial" w:eastAsia="Calibri" w:hAnsi="Arial" w:cs="Arial"/>
          <w:kern w:val="2"/>
          <w:sz w:val="20"/>
          <w:szCs w:val="20"/>
          <w14:ligatures w14:val="standardContextual"/>
        </w:rPr>
        <w:t xml:space="preserve"> (30 June 202</w:t>
      </w:r>
      <w:r w:rsidR="007F3AC5" w:rsidRPr="008A7A35">
        <w:rPr>
          <w:rFonts w:ascii="Arial" w:eastAsia="Calibri" w:hAnsi="Arial" w:cs="Arial"/>
          <w:kern w:val="2"/>
          <w:sz w:val="20"/>
          <w:szCs w:val="20"/>
          <w14:ligatures w14:val="standardContextual"/>
        </w:rPr>
        <w:t>4</w:t>
      </w:r>
      <w:r w:rsidRPr="008A7A35">
        <w:rPr>
          <w:rFonts w:ascii="Arial" w:eastAsia="Calibri" w:hAnsi="Arial" w:cs="Arial"/>
          <w:kern w:val="2"/>
          <w:sz w:val="20"/>
          <w:szCs w:val="20"/>
          <w14:ligatures w14:val="standardContextual"/>
        </w:rPr>
        <w:t>: $nil).</w:t>
      </w:r>
    </w:p>
    <w:p w14:paraId="1605AF9A" w14:textId="77777777" w:rsidR="00C95DEE" w:rsidRDefault="00C95DEE" w:rsidP="005039AC">
      <w:pPr>
        <w:spacing w:line="256" w:lineRule="auto"/>
        <w:rPr>
          <w:rFonts w:ascii="Arial" w:eastAsia="Calibri" w:hAnsi="Arial" w:cs="Arial"/>
          <w:b/>
          <w:bCs/>
          <w:kern w:val="2"/>
          <w:sz w:val="20"/>
          <w:szCs w:val="20"/>
          <w14:ligatures w14:val="standardContextual"/>
        </w:rPr>
      </w:pPr>
    </w:p>
    <w:p w14:paraId="687F6974" w14:textId="1645FCF3" w:rsidR="00127E03" w:rsidRPr="008A7A35" w:rsidRDefault="00127E03" w:rsidP="005039AC">
      <w:pPr>
        <w:spacing w:line="256" w:lineRule="auto"/>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Principal Risk and Uncertainties</w:t>
      </w:r>
    </w:p>
    <w:p w14:paraId="7AFD78CE" w14:textId="478AB1E9" w:rsidR="00127E03" w:rsidRDefault="00127E03" w:rsidP="005039AC">
      <w:pPr>
        <w:spacing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The Company’s assets consist of listed and private equity investments, held through the Partnership, in the conventional and decarbonisation portfolios. Initially, there was a particular focus on opportunities in the global E&amp;P and midstream energy sub-sectors, but since 2020 </w:t>
      </w:r>
      <w:r w:rsidR="00307069">
        <w:rPr>
          <w:rFonts w:ascii="Arial" w:eastAsia="Calibri" w:hAnsi="Arial" w:cs="Arial"/>
          <w:kern w:val="2"/>
          <w:sz w:val="20"/>
          <w:szCs w:val="20"/>
          <w14:ligatures w14:val="standardContextual"/>
        </w:rPr>
        <w:t xml:space="preserve">the Company </w:t>
      </w:r>
      <w:r w:rsidRPr="008A7A35">
        <w:rPr>
          <w:rFonts w:ascii="Arial" w:eastAsia="Calibri" w:hAnsi="Arial" w:cs="Arial"/>
          <w:kern w:val="2"/>
          <w:sz w:val="20"/>
          <w:szCs w:val="20"/>
          <w14:ligatures w14:val="standardContextual"/>
        </w:rPr>
        <w:t xml:space="preserve">has been exclusively focussed on pursuing a global strategy across decarbonisation sectors presented by Riverstone’s investment platform. Its principal risks are therefore related to market conditions in the energy and energy transition sectors in general, but also to the </w:t>
      </w:r>
      <w:proofErr w:type="gramStart"/>
      <w:r w:rsidRPr="008A7A35">
        <w:rPr>
          <w:rFonts w:ascii="Arial" w:eastAsia="Calibri" w:hAnsi="Arial" w:cs="Arial"/>
          <w:kern w:val="2"/>
          <w:sz w:val="20"/>
          <w:szCs w:val="20"/>
          <w14:ligatures w14:val="standardContextual"/>
        </w:rPr>
        <w:t>particular circumstances</w:t>
      </w:r>
      <w:proofErr w:type="gramEnd"/>
      <w:r w:rsidRPr="008A7A35">
        <w:rPr>
          <w:rFonts w:ascii="Arial" w:eastAsia="Calibri" w:hAnsi="Arial" w:cs="Arial"/>
          <w:kern w:val="2"/>
          <w:sz w:val="20"/>
          <w:szCs w:val="20"/>
          <w14:ligatures w14:val="standardContextual"/>
        </w:rPr>
        <w:t xml:space="preserve"> of the businesses in which it is invested through the Partnership. The Investment Manager, through the Partnership, seeks to mitigate these risks through active asset management initiatives and carrying out due diligence work on potential targets before </w:t>
      </w:r>
      <w:proofErr w:type="gramStart"/>
      <w:r w:rsidRPr="008A7A35">
        <w:rPr>
          <w:rFonts w:ascii="Arial" w:eastAsia="Calibri" w:hAnsi="Arial" w:cs="Arial"/>
          <w:kern w:val="2"/>
          <w:sz w:val="20"/>
          <w:szCs w:val="20"/>
          <w14:ligatures w14:val="standardContextual"/>
        </w:rPr>
        <w:t>entering into</w:t>
      </w:r>
      <w:proofErr w:type="gramEnd"/>
      <w:r w:rsidRPr="008A7A35">
        <w:rPr>
          <w:rFonts w:ascii="Arial" w:eastAsia="Calibri" w:hAnsi="Arial" w:cs="Arial"/>
          <w:kern w:val="2"/>
          <w:sz w:val="20"/>
          <w:szCs w:val="20"/>
          <w14:ligatures w14:val="standardContextual"/>
        </w:rPr>
        <w:t xml:space="preserve"> any investments.</w:t>
      </w:r>
    </w:p>
    <w:p w14:paraId="1550DC2A" w14:textId="77777777" w:rsidR="004745C1" w:rsidRPr="008A7A35" w:rsidRDefault="004745C1" w:rsidP="005039AC">
      <w:pPr>
        <w:spacing w:line="256" w:lineRule="auto"/>
        <w:jc w:val="both"/>
        <w:rPr>
          <w:rFonts w:ascii="Arial" w:eastAsia="Calibri" w:hAnsi="Arial" w:cs="Arial"/>
          <w:kern w:val="2"/>
          <w:sz w:val="20"/>
          <w:szCs w:val="20"/>
          <w14:ligatures w14:val="standardContextual"/>
        </w:rPr>
      </w:pPr>
    </w:p>
    <w:p w14:paraId="691065BA" w14:textId="606F3C5D" w:rsidR="00127E03" w:rsidRDefault="00127E03" w:rsidP="00127E03">
      <w:pPr>
        <w:spacing w:after="160"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Each Director is fully aware of the risks inherent in the Company’s business and understands the importance of identifying, evaluating and monitoring these risks. The Board has adopted procedures and controls that enable it to carry out a robust assessment of the risks facing the Company, manage these risks within acceptable limits and meet </w:t>
      </w:r>
      <w:proofErr w:type="gramStart"/>
      <w:r w:rsidRPr="008A7A35">
        <w:rPr>
          <w:rFonts w:ascii="Arial" w:eastAsia="Calibri" w:hAnsi="Arial" w:cs="Arial"/>
          <w:kern w:val="2"/>
          <w:sz w:val="20"/>
          <w:szCs w:val="20"/>
          <w14:ligatures w14:val="standardContextual"/>
        </w:rPr>
        <w:t>all of</w:t>
      </w:r>
      <w:proofErr w:type="gramEnd"/>
      <w:r w:rsidRPr="008A7A35">
        <w:rPr>
          <w:rFonts w:ascii="Arial" w:eastAsia="Calibri" w:hAnsi="Arial" w:cs="Arial"/>
          <w:kern w:val="2"/>
          <w:sz w:val="20"/>
          <w:szCs w:val="20"/>
          <w14:ligatures w14:val="standardContextual"/>
        </w:rPr>
        <w:t xml:space="preserve"> its legal and regulatory obligations. </w:t>
      </w:r>
      <w:r w:rsidR="00C0689D" w:rsidRPr="008A7A35">
        <w:rPr>
          <w:rFonts w:ascii="Arial" w:eastAsia="Calibri" w:hAnsi="Arial" w:cs="Arial"/>
          <w:kern w:val="2"/>
          <w:sz w:val="20"/>
          <w:szCs w:val="20"/>
          <w14:ligatures w14:val="standardContextual"/>
        </w:rPr>
        <w:t>The Board is committed to upholding and maintaining zero tolerance towards the criminal facilitation of tax evasion.</w:t>
      </w:r>
    </w:p>
    <w:p w14:paraId="351B8A2E" w14:textId="77777777" w:rsidR="00127E03" w:rsidRPr="008A7A35" w:rsidRDefault="00127E03" w:rsidP="00127E03">
      <w:pPr>
        <w:spacing w:after="160"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The Board thoroughly considers the process for identifying, evaluating and managing any significant risks faced by the Company on an ongoing basis and these risks are reported and discussed at Audit Committee and Board meetings. The Board ensures that effective controls are in place to properly mitigate these risks to the greatest extent possible and that a satisfactory compliance regime exists to ensure all applicable local and international laws and regulations are upheld.</w:t>
      </w:r>
    </w:p>
    <w:p w14:paraId="06FE05C3" w14:textId="7AF501D0" w:rsidR="000235A8" w:rsidRDefault="00127E03" w:rsidP="00127E03">
      <w:pPr>
        <w:spacing w:after="160"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The process which the Company follows in order to identify and mitigate its principal risks and uncertainties is set out in the Corporate Governance Section of the Annual Report and Financial Statements for the year ended 31 December 202</w:t>
      </w:r>
      <w:r w:rsidR="00E856C7" w:rsidRPr="008A7A35">
        <w:rPr>
          <w:rFonts w:ascii="Arial" w:eastAsia="Calibri" w:hAnsi="Arial" w:cs="Arial"/>
          <w:kern w:val="2"/>
          <w:sz w:val="20"/>
          <w:szCs w:val="20"/>
          <w14:ligatures w14:val="standardContextual"/>
        </w:rPr>
        <w:t>4</w:t>
      </w:r>
      <w:r w:rsidRPr="008A7A35">
        <w:rPr>
          <w:rFonts w:ascii="Arial" w:eastAsia="Calibri" w:hAnsi="Arial" w:cs="Arial"/>
          <w:kern w:val="2"/>
          <w:sz w:val="20"/>
          <w:szCs w:val="20"/>
          <w14:ligatures w14:val="standardContextual"/>
        </w:rPr>
        <w:t xml:space="preserve"> (the “202</w:t>
      </w:r>
      <w:r w:rsidR="00E856C7" w:rsidRPr="008A7A35">
        <w:rPr>
          <w:rFonts w:ascii="Arial" w:eastAsia="Calibri" w:hAnsi="Arial" w:cs="Arial"/>
          <w:kern w:val="2"/>
          <w:sz w:val="20"/>
          <w:szCs w:val="20"/>
          <w14:ligatures w14:val="standardContextual"/>
        </w:rPr>
        <w:t>4</w:t>
      </w:r>
      <w:r w:rsidRPr="008A7A35">
        <w:rPr>
          <w:rFonts w:ascii="Arial" w:eastAsia="Calibri" w:hAnsi="Arial" w:cs="Arial"/>
          <w:kern w:val="2"/>
          <w:sz w:val="20"/>
          <w:szCs w:val="20"/>
          <w14:ligatures w14:val="standardContextual"/>
        </w:rPr>
        <w:t xml:space="preserve"> Annual Report”), a copy of which is available on the Company’s website </w:t>
      </w:r>
      <w:hyperlink r:id="rId11" w:history="1">
        <w:r w:rsidR="00216010" w:rsidRPr="008A7A35">
          <w:rPr>
            <w:rStyle w:val="Hyperlink"/>
            <w:rFonts w:ascii="Arial" w:eastAsia="Calibri" w:hAnsi="Arial" w:cs="Arial"/>
            <w:kern w:val="2"/>
            <w:sz w:val="20"/>
            <w:szCs w:val="20"/>
            <w14:ligatures w14:val="standardContextual"/>
          </w:rPr>
          <w:t>https://www.riverstoneREL.com//investors/reports-and-presentations/</w:t>
        </w:r>
      </w:hyperlink>
      <w:r w:rsidRPr="008A7A35">
        <w:rPr>
          <w:rFonts w:ascii="Arial" w:eastAsia="Calibri" w:hAnsi="Arial" w:cs="Arial"/>
          <w:kern w:val="2"/>
          <w:sz w:val="20"/>
          <w:szCs w:val="20"/>
          <w14:ligatures w14:val="standardContextual"/>
        </w:rPr>
        <w:t xml:space="preserve">. </w:t>
      </w:r>
    </w:p>
    <w:p w14:paraId="1BE1968C" w14:textId="51AF9440" w:rsidR="001055CB" w:rsidRDefault="000235A8" w:rsidP="000235A8">
      <w:pPr>
        <w:spacing w:after="160" w:line="256" w:lineRule="auto"/>
        <w:jc w:val="both"/>
        <w:rPr>
          <w:rFonts w:ascii="Arial" w:eastAsia="Calibri" w:hAnsi="Arial" w:cs="Arial"/>
          <w:kern w:val="2"/>
          <w:sz w:val="20"/>
          <w:szCs w:val="20"/>
          <w14:ligatures w14:val="standardContextual"/>
        </w:rPr>
      </w:pPr>
      <w:r w:rsidRPr="000235A8">
        <w:rPr>
          <w:rFonts w:ascii="Arial" w:eastAsia="Calibri" w:hAnsi="Arial" w:cs="Arial"/>
          <w:kern w:val="2"/>
          <w:sz w:val="20"/>
          <w:szCs w:val="20"/>
          <w14:ligatures w14:val="standardContextual"/>
        </w:rPr>
        <w:t>Following a detailed review of the principal</w:t>
      </w:r>
      <w:r>
        <w:rPr>
          <w:rFonts w:ascii="Arial" w:eastAsia="Calibri" w:hAnsi="Arial" w:cs="Arial"/>
          <w:kern w:val="2"/>
          <w:sz w:val="20"/>
          <w:szCs w:val="20"/>
          <w14:ligatures w14:val="standardContextual"/>
        </w:rPr>
        <w:t xml:space="preserve"> </w:t>
      </w:r>
      <w:r w:rsidRPr="000235A8">
        <w:rPr>
          <w:rFonts w:ascii="Arial" w:eastAsia="Calibri" w:hAnsi="Arial" w:cs="Arial"/>
          <w:kern w:val="2"/>
          <w:sz w:val="20"/>
          <w:szCs w:val="20"/>
          <w14:ligatures w14:val="standardContextual"/>
        </w:rPr>
        <w:t>risks and uncertainties described on pages</w:t>
      </w:r>
      <w:r>
        <w:rPr>
          <w:rFonts w:ascii="Arial" w:eastAsia="Calibri" w:hAnsi="Arial" w:cs="Arial"/>
          <w:kern w:val="2"/>
          <w:sz w:val="20"/>
          <w:szCs w:val="20"/>
          <w14:ligatures w14:val="standardContextual"/>
        </w:rPr>
        <w:t xml:space="preserve"> </w:t>
      </w:r>
      <w:r w:rsidR="007C17CA">
        <w:rPr>
          <w:rFonts w:ascii="Arial" w:eastAsia="Calibri" w:hAnsi="Arial" w:cs="Arial"/>
          <w:kern w:val="2"/>
          <w:sz w:val="20"/>
          <w:szCs w:val="20"/>
          <w14:ligatures w14:val="standardContextual"/>
        </w:rPr>
        <w:t>39</w:t>
      </w:r>
      <w:r w:rsidRPr="000235A8">
        <w:rPr>
          <w:rFonts w:ascii="Arial" w:eastAsia="Calibri" w:hAnsi="Arial" w:cs="Arial"/>
          <w:kern w:val="2"/>
          <w:sz w:val="20"/>
          <w:szCs w:val="20"/>
          <w14:ligatures w14:val="standardContextual"/>
        </w:rPr>
        <w:t xml:space="preserve"> to </w:t>
      </w:r>
      <w:r w:rsidR="007C17CA">
        <w:rPr>
          <w:rFonts w:ascii="Arial" w:eastAsia="Calibri" w:hAnsi="Arial" w:cs="Arial"/>
          <w:kern w:val="2"/>
          <w:sz w:val="20"/>
          <w:szCs w:val="20"/>
          <w14:ligatures w14:val="standardContextual"/>
        </w:rPr>
        <w:t>41</w:t>
      </w:r>
      <w:r w:rsidRPr="000235A8">
        <w:rPr>
          <w:rFonts w:ascii="Arial" w:eastAsia="Calibri" w:hAnsi="Arial" w:cs="Arial"/>
          <w:kern w:val="2"/>
          <w:sz w:val="20"/>
          <w:szCs w:val="20"/>
          <w14:ligatures w14:val="standardContextual"/>
        </w:rPr>
        <w:t xml:space="preserve"> of the </w:t>
      </w:r>
      <w:r>
        <w:rPr>
          <w:rFonts w:ascii="Arial" w:eastAsia="Calibri" w:hAnsi="Arial" w:cs="Arial"/>
          <w:kern w:val="2"/>
          <w:sz w:val="20"/>
          <w:szCs w:val="20"/>
          <w14:ligatures w14:val="standardContextual"/>
        </w:rPr>
        <w:t>2024 Annual Report</w:t>
      </w:r>
      <w:r w:rsidRPr="000235A8">
        <w:rPr>
          <w:rFonts w:ascii="Arial" w:eastAsia="Calibri" w:hAnsi="Arial" w:cs="Arial"/>
          <w:kern w:val="2"/>
          <w:sz w:val="20"/>
          <w:szCs w:val="20"/>
          <w14:ligatures w14:val="standardContextual"/>
        </w:rPr>
        <w:t>, the Board concluded that the</w:t>
      </w:r>
      <w:r>
        <w:rPr>
          <w:rFonts w:ascii="Arial" w:eastAsia="Calibri" w:hAnsi="Arial" w:cs="Arial"/>
          <w:kern w:val="2"/>
          <w:sz w:val="20"/>
          <w:szCs w:val="20"/>
          <w14:ligatures w14:val="standardContextual"/>
        </w:rPr>
        <w:t xml:space="preserve"> </w:t>
      </w:r>
      <w:r w:rsidRPr="000235A8">
        <w:rPr>
          <w:rFonts w:ascii="Arial" w:eastAsia="Calibri" w:hAnsi="Arial" w:cs="Arial"/>
          <w:kern w:val="2"/>
          <w:sz w:val="20"/>
          <w:szCs w:val="20"/>
          <w14:ligatures w14:val="standardContextual"/>
        </w:rPr>
        <w:t xml:space="preserve">principal </w:t>
      </w:r>
      <w:r w:rsidR="001055CB">
        <w:rPr>
          <w:rFonts w:ascii="Arial" w:eastAsia="Calibri" w:hAnsi="Arial" w:cs="Arial"/>
          <w:kern w:val="2"/>
          <w:sz w:val="20"/>
          <w:szCs w:val="20"/>
          <w14:ligatures w14:val="standardContextual"/>
        </w:rPr>
        <w:t xml:space="preserve">risk and </w:t>
      </w:r>
      <w:r w:rsidRPr="000235A8">
        <w:rPr>
          <w:rFonts w:ascii="Arial" w:eastAsia="Calibri" w:hAnsi="Arial" w:cs="Arial"/>
          <w:kern w:val="2"/>
          <w:sz w:val="20"/>
          <w:szCs w:val="20"/>
          <w14:ligatures w14:val="standardContextual"/>
        </w:rPr>
        <w:t xml:space="preserve">uncertainty of </w:t>
      </w:r>
      <w:r>
        <w:rPr>
          <w:rFonts w:ascii="Arial" w:eastAsia="Calibri" w:hAnsi="Arial" w:cs="Arial"/>
          <w:kern w:val="2"/>
          <w:sz w:val="20"/>
          <w:szCs w:val="20"/>
          <w14:ligatures w14:val="standardContextual"/>
        </w:rPr>
        <w:t xml:space="preserve">the </w:t>
      </w:r>
      <w:r w:rsidRPr="008A7A35">
        <w:rPr>
          <w:rFonts w:ascii="Arial" w:eastAsia="Calibri" w:hAnsi="Arial" w:cs="Arial"/>
          <w:i/>
          <w:iCs/>
          <w:kern w:val="2"/>
          <w:sz w:val="20"/>
          <w:szCs w:val="20"/>
          <w14:ligatures w14:val="standardContextual"/>
        </w:rPr>
        <w:t>Vote on any Discontinuance Resolution that may be Proposed</w:t>
      </w:r>
      <w:r>
        <w:rPr>
          <w:rFonts w:ascii="Arial" w:eastAsia="Calibri" w:hAnsi="Arial" w:cs="Arial"/>
          <w:i/>
          <w:iCs/>
          <w:kern w:val="2"/>
          <w:sz w:val="20"/>
          <w:szCs w:val="20"/>
          <w14:ligatures w14:val="standardContextual"/>
        </w:rPr>
        <w:t xml:space="preserve"> </w:t>
      </w:r>
      <w:r w:rsidRPr="000235A8">
        <w:rPr>
          <w:rFonts w:ascii="Arial" w:eastAsia="Calibri" w:hAnsi="Arial" w:cs="Arial"/>
          <w:kern w:val="2"/>
          <w:sz w:val="20"/>
          <w:szCs w:val="20"/>
          <w14:ligatures w14:val="standardContextual"/>
        </w:rPr>
        <w:t>was no longer a</w:t>
      </w:r>
      <w:r w:rsidR="001055CB">
        <w:rPr>
          <w:rFonts w:ascii="Arial" w:eastAsia="Calibri" w:hAnsi="Arial" w:cs="Arial"/>
          <w:kern w:val="2"/>
          <w:sz w:val="20"/>
          <w:szCs w:val="20"/>
          <w14:ligatures w14:val="standardContextual"/>
        </w:rPr>
        <w:t xml:space="preserve"> principal risk and </w:t>
      </w:r>
      <w:r w:rsidRPr="000235A8">
        <w:rPr>
          <w:rFonts w:ascii="Arial" w:eastAsia="Calibri" w:hAnsi="Arial" w:cs="Arial"/>
          <w:kern w:val="2"/>
          <w:sz w:val="20"/>
          <w:szCs w:val="20"/>
          <w14:ligatures w14:val="standardContextual"/>
        </w:rPr>
        <w:t>uncertainty</w:t>
      </w:r>
      <w:r w:rsidR="001055CB">
        <w:rPr>
          <w:rFonts w:ascii="Arial" w:eastAsia="Calibri" w:hAnsi="Arial" w:cs="Arial"/>
          <w:kern w:val="2"/>
          <w:sz w:val="20"/>
          <w:szCs w:val="20"/>
          <w14:ligatures w14:val="standardContextual"/>
        </w:rPr>
        <w:t xml:space="preserve"> due to the Managed Wind-Down resolutions passed at the EGM held on 22 August 2025.  </w:t>
      </w:r>
    </w:p>
    <w:p w14:paraId="224937B5" w14:textId="7B1DDA9C" w:rsidR="00293017" w:rsidRDefault="00293017" w:rsidP="000235A8">
      <w:pPr>
        <w:spacing w:after="160" w:line="256" w:lineRule="auto"/>
        <w:jc w:val="both"/>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The Board has noted changes to the following principal risks and uncertainties:</w:t>
      </w:r>
    </w:p>
    <w:p w14:paraId="616D479F" w14:textId="5267B138" w:rsidR="0010745B" w:rsidRPr="007F5159" w:rsidRDefault="0010745B" w:rsidP="000235A8">
      <w:pPr>
        <w:spacing w:after="160" w:line="256" w:lineRule="auto"/>
        <w:jc w:val="both"/>
        <w:rPr>
          <w:rFonts w:ascii="Arial" w:eastAsia="Calibri" w:hAnsi="Arial" w:cs="Arial"/>
          <w:i/>
          <w:iCs/>
          <w:kern w:val="2"/>
          <w:sz w:val="20"/>
          <w:szCs w:val="20"/>
          <w14:ligatures w14:val="standardContextual"/>
        </w:rPr>
      </w:pPr>
      <w:r w:rsidRPr="008A7A35">
        <w:rPr>
          <w:rFonts w:ascii="Arial" w:eastAsia="Calibri" w:hAnsi="Arial" w:cs="Arial"/>
          <w:i/>
          <w:iCs/>
          <w:kern w:val="2"/>
          <w:sz w:val="20"/>
          <w:szCs w:val="20"/>
          <w14:ligatures w14:val="standardContextual"/>
        </w:rPr>
        <w:t>Investment Concentration Risk</w:t>
      </w:r>
      <w:r>
        <w:rPr>
          <w:rFonts w:ascii="Arial" w:eastAsia="Calibri" w:hAnsi="Arial" w:cs="Arial"/>
          <w:i/>
          <w:iCs/>
          <w:kern w:val="2"/>
          <w:sz w:val="20"/>
          <w:szCs w:val="20"/>
          <w14:ligatures w14:val="standardContextual"/>
        </w:rPr>
        <w:t xml:space="preserve"> </w:t>
      </w:r>
      <w:r>
        <w:rPr>
          <w:rFonts w:ascii="Arial" w:eastAsia="Calibri" w:hAnsi="Arial" w:cs="Arial"/>
          <w:kern w:val="2"/>
          <w:sz w:val="20"/>
          <w:szCs w:val="20"/>
          <w14:ligatures w14:val="standardContextual"/>
        </w:rPr>
        <w:t xml:space="preserve">which is considered will increase dramatically in the period to 31 December 2025 as the Investment Manager seeks to exit the Public Portfolio in line with the Circular to Shareholders dated 1 August 2025 and the resolutions passed at the EGM held on 22 August 2025. The Company is then expected to have a </w:t>
      </w:r>
      <w:r w:rsidR="002C1D3E">
        <w:rPr>
          <w:rFonts w:ascii="Arial" w:eastAsia="Calibri" w:hAnsi="Arial" w:cs="Arial"/>
          <w:kern w:val="2"/>
          <w:sz w:val="20"/>
          <w:szCs w:val="20"/>
          <w14:ligatures w14:val="standardContextual"/>
        </w:rPr>
        <w:t>concentrated</w:t>
      </w:r>
      <w:r w:rsidR="00CA7D13">
        <w:rPr>
          <w:rFonts w:ascii="Arial" w:eastAsia="Calibri" w:hAnsi="Arial" w:cs="Arial"/>
          <w:kern w:val="2"/>
          <w:sz w:val="20"/>
          <w:szCs w:val="20"/>
          <w14:ligatures w14:val="standardContextual"/>
        </w:rPr>
        <w:t xml:space="preserve"> </w:t>
      </w:r>
      <w:r>
        <w:rPr>
          <w:rFonts w:ascii="Arial" w:eastAsia="Calibri" w:hAnsi="Arial" w:cs="Arial"/>
          <w:kern w:val="2"/>
          <w:sz w:val="20"/>
          <w:szCs w:val="20"/>
          <w14:ligatures w14:val="standardContextual"/>
        </w:rPr>
        <w:t>portfolio of unlisted investments held in the Private Portfolio.</w:t>
      </w:r>
    </w:p>
    <w:p w14:paraId="4B02A42D" w14:textId="2B8B78FD" w:rsidR="003A585D" w:rsidRDefault="001055CB" w:rsidP="003A585D">
      <w:pPr>
        <w:spacing w:after="160" w:line="256" w:lineRule="auto"/>
        <w:jc w:val="both"/>
        <w:rPr>
          <w:rFonts w:ascii="Arial" w:eastAsia="Calibri" w:hAnsi="Arial" w:cs="Arial"/>
          <w:kern w:val="2"/>
          <w:sz w:val="20"/>
          <w:szCs w:val="20"/>
          <w14:ligatures w14:val="standardContextual"/>
        </w:rPr>
      </w:pPr>
      <w:bookmarkStart w:id="12" w:name="_Hlk206662690"/>
      <w:r w:rsidRPr="008A7A35">
        <w:rPr>
          <w:rFonts w:ascii="Arial" w:eastAsia="Calibri" w:hAnsi="Arial" w:cs="Arial"/>
          <w:i/>
          <w:iCs/>
          <w:kern w:val="2"/>
          <w:sz w:val="20"/>
          <w:szCs w:val="20"/>
          <w14:ligatures w14:val="standardContextual"/>
        </w:rPr>
        <w:t>The Company is Heavily Reliant on the Services Provided by the Investment Manager</w:t>
      </w:r>
      <w:r>
        <w:rPr>
          <w:rFonts w:ascii="Arial" w:eastAsia="Calibri" w:hAnsi="Arial" w:cs="Arial"/>
          <w:i/>
          <w:iCs/>
          <w:kern w:val="2"/>
          <w:sz w:val="20"/>
          <w:szCs w:val="20"/>
          <w14:ligatures w14:val="standardContextual"/>
        </w:rPr>
        <w:t xml:space="preserve"> </w:t>
      </w:r>
      <w:r>
        <w:rPr>
          <w:rFonts w:ascii="Arial" w:eastAsia="Calibri" w:hAnsi="Arial" w:cs="Arial"/>
          <w:kern w:val="2"/>
          <w:sz w:val="20"/>
          <w:szCs w:val="20"/>
          <w14:ligatures w14:val="standardContextual"/>
        </w:rPr>
        <w:t xml:space="preserve">which remains a principal risk and </w:t>
      </w:r>
      <w:r w:rsidR="003A585D">
        <w:rPr>
          <w:rFonts w:ascii="Arial" w:eastAsia="Calibri" w:hAnsi="Arial" w:cs="Arial"/>
          <w:kern w:val="2"/>
          <w:sz w:val="20"/>
          <w:szCs w:val="20"/>
          <w14:ligatures w14:val="standardContextual"/>
        </w:rPr>
        <w:t>uncertainty;</w:t>
      </w:r>
      <w:r>
        <w:rPr>
          <w:rFonts w:ascii="Arial" w:eastAsia="Calibri" w:hAnsi="Arial" w:cs="Arial"/>
          <w:kern w:val="2"/>
          <w:sz w:val="20"/>
          <w:szCs w:val="20"/>
          <w14:ligatures w14:val="standardContextual"/>
        </w:rPr>
        <w:t xml:space="preserve"> however</w:t>
      </w:r>
      <w:r w:rsidR="003A585D">
        <w:rPr>
          <w:rFonts w:ascii="Arial" w:eastAsia="Calibri" w:hAnsi="Arial" w:cs="Arial"/>
          <w:kern w:val="2"/>
          <w:sz w:val="20"/>
          <w:szCs w:val="20"/>
          <w14:ligatures w14:val="standardContextual"/>
        </w:rPr>
        <w:t>,</w:t>
      </w:r>
      <w:r>
        <w:rPr>
          <w:rFonts w:ascii="Arial" w:eastAsia="Calibri" w:hAnsi="Arial" w:cs="Arial"/>
          <w:kern w:val="2"/>
          <w:sz w:val="20"/>
          <w:szCs w:val="20"/>
          <w14:ligatures w14:val="standardContextual"/>
        </w:rPr>
        <w:t xml:space="preserve"> the focus is now on the performance of the Investment Manager in maximising the realisable value of the investment portfolio over the expected Managed Wind-Down period. </w:t>
      </w:r>
      <w:r w:rsidR="003A585D" w:rsidRPr="008A7A35">
        <w:rPr>
          <w:rFonts w:ascii="Arial" w:eastAsia="Calibri" w:hAnsi="Arial" w:cs="Arial"/>
          <w:kern w:val="2"/>
          <w:sz w:val="20"/>
          <w:szCs w:val="20"/>
          <w14:ligatures w14:val="standardContextual"/>
        </w:rPr>
        <w:t xml:space="preserve">The </w:t>
      </w:r>
      <w:r w:rsidR="003A585D">
        <w:rPr>
          <w:rFonts w:ascii="Arial" w:eastAsia="Calibri" w:hAnsi="Arial" w:cs="Arial"/>
          <w:kern w:val="2"/>
          <w:sz w:val="20"/>
          <w:szCs w:val="20"/>
          <w14:ligatures w14:val="standardContextual"/>
        </w:rPr>
        <w:t xml:space="preserve">revised </w:t>
      </w:r>
      <w:r w:rsidR="003A585D" w:rsidRPr="008A7A35">
        <w:rPr>
          <w:rFonts w:ascii="Arial" w:eastAsia="Calibri" w:hAnsi="Arial" w:cs="Arial"/>
          <w:kern w:val="2"/>
          <w:sz w:val="20"/>
          <w:szCs w:val="20"/>
          <w14:ligatures w14:val="standardContextual"/>
        </w:rPr>
        <w:t xml:space="preserve">Investment Management Agreement </w:t>
      </w:r>
      <w:r w:rsidR="003A585D">
        <w:rPr>
          <w:rFonts w:ascii="Arial" w:eastAsia="Calibri" w:hAnsi="Arial" w:cs="Arial"/>
          <w:kern w:val="2"/>
          <w:sz w:val="20"/>
          <w:szCs w:val="20"/>
          <w14:ligatures w14:val="standardContextual"/>
        </w:rPr>
        <w:t xml:space="preserve">continues to </w:t>
      </w:r>
      <w:r w:rsidR="003A585D" w:rsidRPr="008A7A35">
        <w:rPr>
          <w:rFonts w:ascii="Arial" w:eastAsia="Calibri" w:hAnsi="Arial" w:cs="Arial"/>
          <w:kern w:val="2"/>
          <w:sz w:val="20"/>
          <w:szCs w:val="20"/>
          <w14:ligatures w14:val="standardContextual"/>
        </w:rPr>
        <w:t>require the Investment Manager to provide competent, attentive, and efficient services and personnel to the Company</w:t>
      </w:r>
      <w:r w:rsidR="003A585D">
        <w:rPr>
          <w:rFonts w:ascii="Arial" w:eastAsia="Calibri" w:hAnsi="Arial" w:cs="Arial"/>
          <w:kern w:val="2"/>
          <w:sz w:val="20"/>
          <w:szCs w:val="20"/>
          <w14:ligatures w14:val="standardContextual"/>
        </w:rPr>
        <w:t xml:space="preserve"> with the Managed Wind-Down being </w:t>
      </w:r>
      <w:r w:rsidR="003A585D">
        <w:rPr>
          <w:rFonts w:ascii="Arial" w:eastAsia="Calibri" w:hAnsi="Arial" w:cs="Arial"/>
          <w:kern w:val="2"/>
          <w:sz w:val="20"/>
          <w:szCs w:val="20"/>
          <w14:ligatures w14:val="standardContextual"/>
        </w:rPr>
        <w:lastRenderedPageBreak/>
        <w:t xml:space="preserve">implemented by the Investment Manager realising the assets in the investment portfolio in an orderly manner to allow the Company to maximise returns to Shareholders. </w:t>
      </w:r>
      <w:r w:rsidR="003A585D" w:rsidRPr="000235A8">
        <w:rPr>
          <w:rFonts w:ascii="Arial" w:eastAsia="Calibri" w:hAnsi="Arial" w:cs="Arial"/>
          <w:kern w:val="2"/>
          <w:sz w:val="20"/>
          <w:szCs w:val="20"/>
          <w14:ligatures w14:val="standardContextual"/>
        </w:rPr>
        <w:t>Additionally, there can be no assurance</w:t>
      </w:r>
      <w:r w:rsidR="003A585D">
        <w:rPr>
          <w:rFonts w:ascii="Arial" w:eastAsia="Calibri" w:hAnsi="Arial" w:cs="Arial"/>
          <w:kern w:val="2"/>
          <w:sz w:val="20"/>
          <w:szCs w:val="20"/>
          <w14:ligatures w14:val="standardContextual"/>
        </w:rPr>
        <w:t xml:space="preserve"> </w:t>
      </w:r>
      <w:r w:rsidR="003A585D" w:rsidRPr="000235A8">
        <w:rPr>
          <w:rFonts w:ascii="Arial" w:eastAsia="Calibri" w:hAnsi="Arial" w:cs="Arial"/>
          <w:kern w:val="2"/>
          <w:sz w:val="20"/>
          <w:szCs w:val="20"/>
          <w14:ligatures w14:val="standardContextual"/>
        </w:rPr>
        <w:t xml:space="preserve">that the current </w:t>
      </w:r>
      <w:r w:rsidR="003A585D">
        <w:rPr>
          <w:rFonts w:ascii="Arial" w:eastAsia="Calibri" w:hAnsi="Arial" w:cs="Arial"/>
          <w:kern w:val="2"/>
          <w:sz w:val="20"/>
          <w:szCs w:val="20"/>
          <w14:ligatures w14:val="standardContextual"/>
        </w:rPr>
        <w:t xml:space="preserve">investment </w:t>
      </w:r>
      <w:r w:rsidR="003A585D" w:rsidRPr="000235A8">
        <w:rPr>
          <w:rFonts w:ascii="Arial" w:eastAsia="Calibri" w:hAnsi="Arial" w:cs="Arial"/>
          <w:kern w:val="2"/>
          <w:sz w:val="20"/>
          <w:szCs w:val="20"/>
          <w14:ligatures w14:val="standardContextual"/>
        </w:rPr>
        <w:t>valuation</w:t>
      </w:r>
      <w:r w:rsidR="003A585D">
        <w:rPr>
          <w:rFonts w:ascii="Arial" w:eastAsia="Calibri" w:hAnsi="Arial" w:cs="Arial"/>
          <w:kern w:val="2"/>
          <w:sz w:val="20"/>
          <w:szCs w:val="20"/>
          <w14:ligatures w14:val="standardContextual"/>
        </w:rPr>
        <w:t>s</w:t>
      </w:r>
      <w:r w:rsidR="003A585D" w:rsidRPr="000235A8">
        <w:rPr>
          <w:rFonts w:ascii="Arial" w:eastAsia="Calibri" w:hAnsi="Arial" w:cs="Arial"/>
          <w:kern w:val="2"/>
          <w:sz w:val="20"/>
          <w:szCs w:val="20"/>
          <w14:ligatures w14:val="standardContextual"/>
        </w:rPr>
        <w:t xml:space="preserve"> </w:t>
      </w:r>
      <w:r w:rsidR="003A585D">
        <w:rPr>
          <w:rFonts w:ascii="Arial" w:eastAsia="Calibri" w:hAnsi="Arial" w:cs="Arial"/>
          <w:kern w:val="2"/>
          <w:sz w:val="20"/>
          <w:szCs w:val="20"/>
          <w14:ligatures w14:val="standardContextual"/>
        </w:rPr>
        <w:t xml:space="preserve">as </w:t>
      </w:r>
      <w:proofErr w:type="gramStart"/>
      <w:r w:rsidR="003A585D">
        <w:rPr>
          <w:rFonts w:ascii="Arial" w:eastAsia="Calibri" w:hAnsi="Arial" w:cs="Arial"/>
          <w:kern w:val="2"/>
          <w:sz w:val="20"/>
          <w:szCs w:val="20"/>
          <w14:ligatures w14:val="standardContextual"/>
        </w:rPr>
        <w:t>at</w:t>
      </w:r>
      <w:proofErr w:type="gramEnd"/>
      <w:r w:rsidR="003A585D">
        <w:rPr>
          <w:rFonts w:ascii="Arial" w:eastAsia="Calibri" w:hAnsi="Arial" w:cs="Arial"/>
          <w:kern w:val="2"/>
          <w:sz w:val="20"/>
          <w:szCs w:val="20"/>
          <w14:ligatures w14:val="standardContextual"/>
        </w:rPr>
        <w:t xml:space="preserve"> 30 June 2025 for the Public and Private Portfolios </w:t>
      </w:r>
      <w:r w:rsidR="003A585D" w:rsidRPr="000235A8">
        <w:rPr>
          <w:rFonts w:ascii="Arial" w:eastAsia="Calibri" w:hAnsi="Arial" w:cs="Arial"/>
          <w:kern w:val="2"/>
          <w:sz w:val="20"/>
          <w:szCs w:val="20"/>
          <w14:ligatures w14:val="standardContextual"/>
        </w:rPr>
        <w:t>to which</w:t>
      </w:r>
      <w:r w:rsidR="003A585D">
        <w:rPr>
          <w:rFonts w:ascii="Arial" w:eastAsia="Calibri" w:hAnsi="Arial" w:cs="Arial"/>
          <w:kern w:val="2"/>
          <w:sz w:val="20"/>
          <w:szCs w:val="20"/>
          <w14:ligatures w14:val="standardContextual"/>
        </w:rPr>
        <w:t xml:space="preserve"> </w:t>
      </w:r>
      <w:r w:rsidR="003A585D" w:rsidRPr="000235A8">
        <w:rPr>
          <w:rFonts w:ascii="Arial" w:eastAsia="Calibri" w:hAnsi="Arial" w:cs="Arial"/>
          <w:kern w:val="2"/>
          <w:sz w:val="20"/>
          <w:szCs w:val="20"/>
          <w14:ligatures w14:val="standardContextual"/>
        </w:rPr>
        <w:t>the Company is exposed, can be achieved.</w:t>
      </w:r>
      <w:r w:rsidR="003A585D">
        <w:rPr>
          <w:rFonts w:ascii="Arial" w:eastAsia="Calibri" w:hAnsi="Arial" w:cs="Arial"/>
          <w:kern w:val="2"/>
          <w:sz w:val="20"/>
          <w:szCs w:val="20"/>
          <w14:ligatures w14:val="standardContextual"/>
        </w:rPr>
        <w:t xml:space="preserve"> </w:t>
      </w:r>
      <w:r w:rsidR="003A585D" w:rsidRPr="000235A8">
        <w:rPr>
          <w:rFonts w:ascii="Arial" w:eastAsia="Calibri" w:hAnsi="Arial" w:cs="Arial"/>
          <w:kern w:val="2"/>
          <w:sz w:val="20"/>
          <w:szCs w:val="20"/>
          <w14:ligatures w14:val="standardContextual"/>
        </w:rPr>
        <w:t>The Investment Manager is actively</w:t>
      </w:r>
      <w:r w:rsidR="003A585D">
        <w:rPr>
          <w:rFonts w:ascii="Arial" w:eastAsia="Calibri" w:hAnsi="Arial" w:cs="Arial"/>
          <w:kern w:val="2"/>
          <w:sz w:val="20"/>
          <w:szCs w:val="20"/>
          <w14:ligatures w14:val="standardContextual"/>
        </w:rPr>
        <w:t xml:space="preserve"> </w:t>
      </w:r>
      <w:r w:rsidR="003A585D" w:rsidRPr="000235A8">
        <w:rPr>
          <w:rFonts w:ascii="Arial" w:eastAsia="Calibri" w:hAnsi="Arial" w:cs="Arial"/>
          <w:kern w:val="2"/>
          <w:sz w:val="20"/>
          <w:szCs w:val="20"/>
          <w14:ligatures w14:val="standardContextual"/>
        </w:rPr>
        <w:t xml:space="preserve">managing the </w:t>
      </w:r>
      <w:r w:rsidR="003A585D">
        <w:rPr>
          <w:rFonts w:ascii="Arial" w:eastAsia="Calibri" w:hAnsi="Arial" w:cs="Arial"/>
          <w:kern w:val="2"/>
          <w:sz w:val="20"/>
          <w:szCs w:val="20"/>
          <w14:ligatures w14:val="standardContextual"/>
        </w:rPr>
        <w:t xml:space="preserve">investment </w:t>
      </w:r>
      <w:r w:rsidR="003A585D" w:rsidRPr="000235A8">
        <w:rPr>
          <w:rFonts w:ascii="Arial" w:eastAsia="Calibri" w:hAnsi="Arial" w:cs="Arial"/>
          <w:kern w:val="2"/>
          <w:sz w:val="20"/>
          <w:szCs w:val="20"/>
          <w14:ligatures w14:val="standardContextual"/>
        </w:rPr>
        <w:t xml:space="preserve">portfolio and working to achieve </w:t>
      </w:r>
      <w:r w:rsidR="003A585D">
        <w:rPr>
          <w:rFonts w:ascii="Arial" w:eastAsia="Calibri" w:hAnsi="Arial" w:cs="Arial"/>
          <w:kern w:val="2"/>
          <w:sz w:val="20"/>
          <w:szCs w:val="20"/>
          <w14:ligatures w14:val="standardContextual"/>
        </w:rPr>
        <w:t xml:space="preserve">appropriate </w:t>
      </w:r>
      <w:r w:rsidR="003A585D" w:rsidRPr="000235A8">
        <w:rPr>
          <w:rFonts w:ascii="Arial" w:eastAsia="Calibri" w:hAnsi="Arial" w:cs="Arial"/>
          <w:kern w:val="2"/>
          <w:sz w:val="20"/>
          <w:szCs w:val="20"/>
          <w14:ligatures w14:val="standardContextual"/>
        </w:rPr>
        <w:t>realisation</w:t>
      </w:r>
      <w:r w:rsidR="003A585D">
        <w:rPr>
          <w:rFonts w:ascii="Arial" w:eastAsia="Calibri" w:hAnsi="Arial" w:cs="Arial"/>
          <w:kern w:val="2"/>
          <w:sz w:val="20"/>
          <w:szCs w:val="20"/>
          <w14:ligatures w14:val="standardContextual"/>
        </w:rPr>
        <w:t xml:space="preserve">s, initially with the Public Portfolio </w:t>
      </w:r>
      <w:r w:rsidR="003A585D" w:rsidRPr="000235A8">
        <w:rPr>
          <w:rFonts w:ascii="Arial" w:eastAsia="Calibri" w:hAnsi="Arial" w:cs="Arial"/>
          <w:kern w:val="2"/>
          <w:sz w:val="20"/>
          <w:szCs w:val="20"/>
          <w14:ligatures w14:val="standardContextual"/>
        </w:rPr>
        <w:t>and has been incentivised to do so</w:t>
      </w:r>
      <w:r w:rsidR="003A585D">
        <w:rPr>
          <w:rFonts w:ascii="Arial" w:eastAsia="Calibri" w:hAnsi="Arial" w:cs="Arial"/>
          <w:kern w:val="2"/>
          <w:sz w:val="20"/>
          <w:szCs w:val="20"/>
          <w14:ligatures w14:val="standardContextual"/>
        </w:rPr>
        <w:t xml:space="preserve"> </w:t>
      </w:r>
      <w:r w:rsidR="003A585D" w:rsidRPr="000235A8">
        <w:rPr>
          <w:rFonts w:ascii="Arial" w:eastAsia="Calibri" w:hAnsi="Arial" w:cs="Arial"/>
          <w:kern w:val="2"/>
          <w:sz w:val="20"/>
          <w:szCs w:val="20"/>
          <w14:ligatures w14:val="standardContextual"/>
        </w:rPr>
        <w:t xml:space="preserve">under the terms of the </w:t>
      </w:r>
      <w:r w:rsidR="0010745B">
        <w:rPr>
          <w:rFonts w:ascii="Arial" w:eastAsia="Calibri" w:hAnsi="Arial" w:cs="Arial"/>
          <w:kern w:val="2"/>
          <w:sz w:val="20"/>
          <w:szCs w:val="20"/>
          <w14:ligatures w14:val="standardContextual"/>
        </w:rPr>
        <w:t>revised IMA</w:t>
      </w:r>
      <w:bookmarkEnd w:id="12"/>
      <w:r w:rsidR="00293017">
        <w:rPr>
          <w:rFonts w:ascii="Arial" w:eastAsia="Calibri" w:hAnsi="Arial" w:cs="Arial"/>
          <w:kern w:val="2"/>
          <w:sz w:val="20"/>
          <w:szCs w:val="20"/>
          <w14:ligatures w14:val="standardContextual"/>
        </w:rPr>
        <w:t xml:space="preserve">. </w:t>
      </w:r>
    </w:p>
    <w:p w14:paraId="0F0AC191" w14:textId="7762918C" w:rsidR="00DE2110" w:rsidRPr="001E212F" w:rsidRDefault="001E212F" w:rsidP="003A585D">
      <w:pPr>
        <w:spacing w:after="160" w:line="256" w:lineRule="auto"/>
        <w:jc w:val="both"/>
        <w:rPr>
          <w:rFonts w:ascii="Arial" w:eastAsia="Calibri" w:hAnsi="Arial" w:cs="Arial"/>
          <w:kern w:val="2"/>
          <w:sz w:val="20"/>
          <w:szCs w:val="20"/>
          <w14:ligatures w14:val="standardContextual"/>
        </w:rPr>
      </w:pPr>
      <w:r w:rsidRPr="008A7A35">
        <w:rPr>
          <w:rFonts w:ascii="Arial" w:eastAsia="Calibri" w:hAnsi="Arial" w:cs="Arial"/>
          <w:i/>
          <w:iCs/>
          <w:kern w:val="2"/>
          <w:sz w:val="20"/>
          <w:szCs w:val="20"/>
          <w14:ligatures w14:val="standardContextual"/>
        </w:rPr>
        <w:t>Shareholder Disquiet and Influence</w:t>
      </w:r>
      <w:r>
        <w:rPr>
          <w:rFonts w:ascii="Arial" w:eastAsia="Calibri" w:hAnsi="Arial" w:cs="Arial"/>
          <w:i/>
          <w:iCs/>
          <w:kern w:val="2"/>
          <w:sz w:val="20"/>
          <w:szCs w:val="20"/>
          <w14:ligatures w14:val="standardContextual"/>
        </w:rPr>
        <w:t xml:space="preserve"> </w:t>
      </w:r>
      <w:r>
        <w:rPr>
          <w:rFonts w:ascii="Arial" w:eastAsia="Calibri" w:hAnsi="Arial" w:cs="Arial"/>
          <w:kern w:val="2"/>
          <w:sz w:val="20"/>
          <w:szCs w:val="20"/>
          <w14:ligatures w14:val="standardContextual"/>
        </w:rPr>
        <w:t xml:space="preserve">has been amended somewhat </w:t>
      </w:r>
      <w:r w:rsidR="000D19C2">
        <w:rPr>
          <w:rFonts w:ascii="Arial" w:eastAsia="Calibri" w:hAnsi="Arial" w:cs="Arial"/>
          <w:kern w:val="2"/>
          <w:sz w:val="20"/>
          <w:szCs w:val="20"/>
          <w14:ligatures w14:val="standardContextual"/>
        </w:rPr>
        <w:t xml:space="preserve">with the passing of the resolutions at the EGM on 22 August 2025 now clarifying the </w:t>
      </w:r>
      <w:r>
        <w:rPr>
          <w:rFonts w:ascii="Arial" w:eastAsia="Calibri" w:hAnsi="Arial" w:cs="Arial"/>
          <w:kern w:val="2"/>
          <w:sz w:val="20"/>
          <w:szCs w:val="20"/>
          <w14:ligatures w14:val="standardContextual"/>
        </w:rPr>
        <w:t xml:space="preserve">future strategy of the Company </w:t>
      </w:r>
      <w:r w:rsidR="000D19C2">
        <w:rPr>
          <w:rFonts w:ascii="Arial" w:eastAsia="Calibri" w:hAnsi="Arial" w:cs="Arial"/>
          <w:kern w:val="2"/>
          <w:sz w:val="20"/>
          <w:szCs w:val="20"/>
          <w14:ligatures w14:val="standardContextual"/>
        </w:rPr>
        <w:t xml:space="preserve">and the expected timelines for the realisation of the Company’s assets and the return of capital to Shareholders. </w:t>
      </w:r>
    </w:p>
    <w:p w14:paraId="317046BA" w14:textId="2E09BA6A" w:rsidR="00DE4E0D" w:rsidRPr="00DE4E0D" w:rsidRDefault="000235A8" w:rsidP="00127E03">
      <w:pPr>
        <w:spacing w:after="160" w:line="256" w:lineRule="auto"/>
        <w:jc w:val="both"/>
        <w:rPr>
          <w:rFonts w:ascii="Arial" w:eastAsia="Calibri" w:hAnsi="Arial" w:cs="Arial"/>
          <w:kern w:val="2"/>
          <w:sz w:val="20"/>
          <w:szCs w:val="20"/>
          <w14:ligatures w14:val="standardContextual"/>
        </w:rPr>
      </w:pPr>
      <w:r w:rsidRPr="000235A8">
        <w:rPr>
          <w:rFonts w:ascii="Arial" w:eastAsia="Calibri" w:hAnsi="Arial" w:cs="Arial"/>
          <w:kern w:val="2"/>
          <w:sz w:val="20"/>
          <w:szCs w:val="20"/>
          <w14:ligatures w14:val="standardContextual"/>
        </w:rPr>
        <w:t>The remaining principal risks and</w:t>
      </w:r>
      <w:r>
        <w:rPr>
          <w:rFonts w:ascii="Arial" w:eastAsia="Calibri" w:hAnsi="Arial" w:cs="Arial"/>
          <w:kern w:val="2"/>
          <w:sz w:val="20"/>
          <w:szCs w:val="20"/>
          <w14:ligatures w14:val="standardContextual"/>
        </w:rPr>
        <w:t xml:space="preserve"> </w:t>
      </w:r>
      <w:r w:rsidRPr="000235A8">
        <w:rPr>
          <w:rFonts w:ascii="Arial" w:eastAsia="Calibri" w:hAnsi="Arial" w:cs="Arial"/>
          <w:kern w:val="2"/>
          <w:sz w:val="20"/>
          <w:szCs w:val="20"/>
          <w14:ligatures w14:val="standardContextual"/>
        </w:rPr>
        <w:t xml:space="preserve">uncertainties </w:t>
      </w:r>
      <w:r w:rsidR="000D19C2">
        <w:rPr>
          <w:rFonts w:ascii="Arial" w:eastAsia="Calibri" w:hAnsi="Arial" w:cs="Arial"/>
          <w:kern w:val="2"/>
          <w:sz w:val="20"/>
          <w:szCs w:val="20"/>
          <w14:ligatures w14:val="standardContextual"/>
        </w:rPr>
        <w:t xml:space="preserve">of </w:t>
      </w:r>
      <w:r w:rsidR="0006073A" w:rsidRPr="00830133">
        <w:rPr>
          <w:rFonts w:ascii="Arial" w:eastAsia="Calibri" w:hAnsi="Arial" w:cs="Arial"/>
          <w:i/>
          <w:iCs/>
          <w:kern w:val="2"/>
          <w:sz w:val="20"/>
          <w:szCs w:val="20"/>
          <w14:ligatures w14:val="standardContextual"/>
        </w:rPr>
        <w:t xml:space="preserve">Discount to NAV, </w:t>
      </w:r>
      <w:r w:rsidR="000D19C2" w:rsidRPr="008A7A35">
        <w:rPr>
          <w:rFonts w:ascii="Arial" w:eastAsia="Calibri" w:hAnsi="Arial" w:cs="Arial"/>
          <w:i/>
          <w:iCs/>
          <w:kern w:val="2"/>
          <w:sz w:val="20"/>
          <w:szCs w:val="20"/>
          <w14:ligatures w14:val="standardContextual"/>
        </w:rPr>
        <w:t>Inherent Risks Associated with the Conventional and Decarbonisation Investments</w:t>
      </w:r>
      <w:r w:rsidR="000D19C2">
        <w:rPr>
          <w:rFonts w:ascii="Arial" w:eastAsia="Calibri" w:hAnsi="Arial" w:cs="Arial"/>
          <w:i/>
          <w:iCs/>
          <w:kern w:val="2"/>
          <w:sz w:val="20"/>
          <w:szCs w:val="20"/>
          <w14:ligatures w14:val="standardContextual"/>
        </w:rPr>
        <w:t xml:space="preserve"> </w:t>
      </w:r>
      <w:r w:rsidR="000D19C2">
        <w:rPr>
          <w:rFonts w:ascii="Arial" w:eastAsia="Calibri" w:hAnsi="Arial" w:cs="Arial"/>
          <w:kern w:val="2"/>
          <w:sz w:val="20"/>
          <w:szCs w:val="20"/>
          <w14:ligatures w14:val="standardContextual"/>
        </w:rPr>
        <w:t xml:space="preserve">and </w:t>
      </w:r>
      <w:r w:rsidR="000D19C2" w:rsidRPr="008A7A35">
        <w:rPr>
          <w:rFonts w:ascii="Arial" w:eastAsia="Calibri" w:hAnsi="Arial" w:cs="Arial"/>
          <w:i/>
          <w:iCs/>
          <w:kern w:val="2"/>
          <w:sz w:val="20"/>
          <w:szCs w:val="20"/>
          <w14:ligatures w14:val="standardContextual"/>
        </w:rPr>
        <w:t>Climate Change</w:t>
      </w:r>
      <w:r w:rsidR="000D19C2">
        <w:rPr>
          <w:rFonts w:ascii="Arial" w:eastAsia="Calibri" w:hAnsi="Arial" w:cs="Arial"/>
          <w:i/>
          <w:iCs/>
          <w:kern w:val="2"/>
          <w:sz w:val="20"/>
          <w:szCs w:val="20"/>
          <w14:ligatures w14:val="standardContextual"/>
        </w:rPr>
        <w:t xml:space="preserve"> </w:t>
      </w:r>
      <w:r w:rsidRPr="000235A8">
        <w:rPr>
          <w:rFonts w:ascii="Arial" w:eastAsia="Calibri" w:hAnsi="Arial" w:cs="Arial"/>
          <w:kern w:val="2"/>
          <w:sz w:val="20"/>
          <w:szCs w:val="20"/>
          <w14:ligatures w14:val="standardContextual"/>
        </w:rPr>
        <w:t>are unchanged since</w:t>
      </w:r>
      <w:r>
        <w:rPr>
          <w:rFonts w:ascii="Arial" w:eastAsia="Calibri" w:hAnsi="Arial" w:cs="Arial"/>
          <w:kern w:val="2"/>
          <w:sz w:val="20"/>
          <w:szCs w:val="20"/>
          <w14:ligatures w14:val="standardContextual"/>
        </w:rPr>
        <w:t xml:space="preserve"> </w:t>
      </w:r>
      <w:r w:rsidRPr="000235A8">
        <w:rPr>
          <w:rFonts w:ascii="Arial" w:eastAsia="Calibri" w:hAnsi="Arial" w:cs="Arial"/>
          <w:kern w:val="2"/>
          <w:sz w:val="20"/>
          <w:szCs w:val="20"/>
          <w14:ligatures w14:val="standardContextual"/>
        </w:rPr>
        <w:t xml:space="preserve">publication of the </w:t>
      </w:r>
      <w:r w:rsidR="000D19C2">
        <w:rPr>
          <w:rFonts w:ascii="Arial" w:eastAsia="Calibri" w:hAnsi="Arial" w:cs="Arial"/>
          <w:kern w:val="2"/>
          <w:sz w:val="20"/>
          <w:szCs w:val="20"/>
          <w14:ligatures w14:val="standardContextual"/>
        </w:rPr>
        <w:t xml:space="preserve">2024 Annual Report </w:t>
      </w:r>
      <w:r w:rsidRPr="000235A8">
        <w:rPr>
          <w:rFonts w:ascii="Arial" w:eastAsia="Calibri" w:hAnsi="Arial" w:cs="Arial"/>
          <w:kern w:val="2"/>
          <w:sz w:val="20"/>
          <w:szCs w:val="20"/>
          <w14:ligatures w14:val="standardContextual"/>
        </w:rPr>
        <w:t>and</w:t>
      </w:r>
      <w:r>
        <w:rPr>
          <w:rFonts w:ascii="Arial" w:eastAsia="Calibri" w:hAnsi="Arial" w:cs="Arial"/>
          <w:kern w:val="2"/>
          <w:sz w:val="20"/>
          <w:szCs w:val="20"/>
          <w14:ligatures w14:val="standardContextual"/>
        </w:rPr>
        <w:t xml:space="preserve"> </w:t>
      </w:r>
      <w:r w:rsidRPr="000235A8">
        <w:rPr>
          <w:rFonts w:ascii="Arial" w:eastAsia="Calibri" w:hAnsi="Arial" w:cs="Arial"/>
          <w:kern w:val="2"/>
          <w:sz w:val="20"/>
          <w:szCs w:val="20"/>
          <w14:ligatures w14:val="standardContextual"/>
        </w:rPr>
        <w:t>are expected to remain relevant to the</w:t>
      </w:r>
      <w:r>
        <w:rPr>
          <w:rFonts w:ascii="Arial" w:eastAsia="Calibri" w:hAnsi="Arial" w:cs="Arial"/>
          <w:kern w:val="2"/>
          <w:sz w:val="20"/>
          <w:szCs w:val="20"/>
          <w14:ligatures w14:val="standardContextual"/>
        </w:rPr>
        <w:t xml:space="preserve"> </w:t>
      </w:r>
      <w:r w:rsidRPr="000235A8">
        <w:rPr>
          <w:rFonts w:ascii="Arial" w:eastAsia="Calibri" w:hAnsi="Arial" w:cs="Arial"/>
          <w:kern w:val="2"/>
          <w:sz w:val="20"/>
          <w:szCs w:val="20"/>
          <w14:ligatures w14:val="standardContextual"/>
        </w:rPr>
        <w:t xml:space="preserve">Company for the next six months of </w:t>
      </w:r>
      <w:r w:rsidR="000D19C2">
        <w:rPr>
          <w:rFonts w:ascii="Arial" w:eastAsia="Calibri" w:hAnsi="Arial" w:cs="Arial"/>
          <w:kern w:val="2"/>
          <w:sz w:val="20"/>
          <w:szCs w:val="20"/>
          <w14:ligatures w14:val="standardContextual"/>
        </w:rPr>
        <w:t xml:space="preserve">this </w:t>
      </w:r>
      <w:r w:rsidRPr="000235A8">
        <w:rPr>
          <w:rFonts w:ascii="Arial" w:eastAsia="Calibri" w:hAnsi="Arial" w:cs="Arial"/>
          <w:kern w:val="2"/>
          <w:sz w:val="20"/>
          <w:szCs w:val="20"/>
          <w14:ligatures w14:val="standardContextual"/>
        </w:rPr>
        <w:t>financial year</w:t>
      </w:r>
      <w:r w:rsidR="000D19C2">
        <w:rPr>
          <w:rFonts w:ascii="Arial" w:eastAsia="Calibri" w:hAnsi="Arial" w:cs="Arial"/>
          <w:kern w:val="2"/>
          <w:sz w:val="20"/>
          <w:szCs w:val="20"/>
          <w14:ligatures w14:val="standardContextual"/>
        </w:rPr>
        <w:t xml:space="preserve"> to 31 December 2025</w:t>
      </w:r>
      <w:r w:rsidRPr="000235A8">
        <w:rPr>
          <w:rFonts w:ascii="Arial" w:eastAsia="Calibri" w:hAnsi="Arial" w:cs="Arial"/>
          <w:kern w:val="2"/>
          <w:sz w:val="20"/>
          <w:szCs w:val="20"/>
          <w14:ligatures w14:val="standardContextual"/>
        </w:rPr>
        <w:t>.</w:t>
      </w:r>
    </w:p>
    <w:p w14:paraId="6871678D" w14:textId="77777777" w:rsidR="00127E03" w:rsidRPr="008A7A35" w:rsidRDefault="00127E03" w:rsidP="00830133">
      <w:pPr>
        <w:spacing w:line="256" w:lineRule="auto"/>
        <w:jc w:val="both"/>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 xml:space="preserve">Related Parties  </w:t>
      </w:r>
    </w:p>
    <w:p w14:paraId="128DFB5D" w14:textId="16E7E0B2" w:rsidR="00AF5892" w:rsidRDefault="00127E03" w:rsidP="005039AC">
      <w:pPr>
        <w:spacing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Details of related party transactions that have taken place during the period and any material changes</w:t>
      </w:r>
      <w:r w:rsidR="004745C1">
        <w:rPr>
          <w:rFonts w:ascii="Arial" w:eastAsia="Calibri" w:hAnsi="Arial" w:cs="Arial"/>
          <w:kern w:val="2"/>
          <w:sz w:val="20"/>
          <w:szCs w:val="20"/>
          <w14:ligatures w14:val="standardContextual"/>
        </w:rPr>
        <w:t xml:space="preserve"> for the remainder of the financial year to 31 December 2025</w:t>
      </w:r>
      <w:r w:rsidRPr="008A7A35">
        <w:rPr>
          <w:rFonts w:ascii="Arial" w:eastAsia="Calibri" w:hAnsi="Arial" w:cs="Arial"/>
          <w:kern w:val="2"/>
          <w:sz w:val="20"/>
          <w:szCs w:val="20"/>
          <w14:ligatures w14:val="standardContextual"/>
        </w:rPr>
        <w:t xml:space="preserve">, are set out in </w:t>
      </w:r>
      <w:r w:rsidR="00450DF1" w:rsidRPr="008A7A35">
        <w:rPr>
          <w:rFonts w:ascii="Arial" w:eastAsia="Calibri" w:hAnsi="Arial" w:cs="Arial"/>
          <w:kern w:val="2"/>
          <w:sz w:val="20"/>
          <w:szCs w:val="20"/>
          <w14:ligatures w14:val="standardContextual"/>
        </w:rPr>
        <w:t>N</w:t>
      </w:r>
      <w:r w:rsidRPr="008A7A35">
        <w:rPr>
          <w:rFonts w:ascii="Arial" w:eastAsia="Calibri" w:hAnsi="Arial" w:cs="Arial"/>
          <w:kern w:val="2"/>
          <w:sz w:val="20"/>
          <w:szCs w:val="20"/>
          <w14:ligatures w14:val="standardContextual"/>
        </w:rPr>
        <w:t xml:space="preserve">ote </w:t>
      </w:r>
      <w:r w:rsidR="00450DF1" w:rsidRPr="008A7A35">
        <w:rPr>
          <w:rFonts w:ascii="Arial" w:hAnsi="Arial" w:cs="Arial"/>
          <w:sz w:val="20"/>
          <w:szCs w:val="20"/>
        </w:rPr>
        <w:t>7</w:t>
      </w:r>
      <w:r w:rsidRPr="008A7A35">
        <w:rPr>
          <w:rFonts w:ascii="Arial" w:eastAsia="Calibri" w:hAnsi="Arial" w:cs="Arial"/>
          <w:kern w:val="2"/>
          <w:sz w:val="20"/>
          <w:szCs w:val="20"/>
          <w14:ligatures w14:val="standardContextual"/>
        </w:rPr>
        <w:t xml:space="preserve"> of the Interim Condensed Financial Statements</w:t>
      </w:r>
      <w:r w:rsidR="00A34BDF">
        <w:rPr>
          <w:rFonts w:ascii="Arial" w:eastAsia="Calibri" w:hAnsi="Arial" w:cs="Arial"/>
          <w:kern w:val="2"/>
          <w:sz w:val="20"/>
          <w:szCs w:val="20"/>
          <w14:ligatures w14:val="standardContextual"/>
        </w:rPr>
        <w:t xml:space="preserve"> which include the material revisions to the IMA agreed between the Investment Manager and the Board and which came into effect post the passing of the various resolutions by the Shareholders at the EGM held on 22 August 2025.</w:t>
      </w:r>
    </w:p>
    <w:p w14:paraId="78C85EDB" w14:textId="77777777" w:rsidR="005039AC" w:rsidRPr="008A7A35" w:rsidRDefault="005039AC" w:rsidP="00830133">
      <w:pPr>
        <w:spacing w:line="256" w:lineRule="auto"/>
        <w:jc w:val="both"/>
        <w:rPr>
          <w:rFonts w:ascii="Arial" w:eastAsia="Calibri" w:hAnsi="Arial" w:cs="Arial"/>
          <w:b/>
          <w:bCs/>
          <w:kern w:val="2"/>
          <w:sz w:val="20"/>
          <w:szCs w:val="20"/>
          <w14:ligatures w14:val="standardContextual"/>
        </w:rPr>
      </w:pPr>
    </w:p>
    <w:p w14:paraId="199AED7D" w14:textId="6E962ECA" w:rsidR="00127E03" w:rsidRPr="008A7A35" w:rsidRDefault="00127E03" w:rsidP="00830133">
      <w:pPr>
        <w:spacing w:line="256" w:lineRule="auto"/>
        <w:jc w:val="both"/>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Shareholdings of the Directors</w:t>
      </w:r>
    </w:p>
    <w:p w14:paraId="0F791E71" w14:textId="1520286D" w:rsidR="00127E03" w:rsidRPr="008A7A35" w:rsidRDefault="00127E03" w:rsidP="00830133">
      <w:pPr>
        <w:spacing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The </w:t>
      </w:r>
      <w:r w:rsidR="00E71B47" w:rsidRPr="008A7A35">
        <w:rPr>
          <w:rFonts w:ascii="Arial" w:eastAsia="Calibri" w:hAnsi="Arial" w:cs="Arial"/>
          <w:kern w:val="2"/>
          <w:sz w:val="20"/>
          <w:szCs w:val="20"/>
          <w14:ligatures w14:val="standardContextual"/>
        </w:rPr>
        <w:t xml:space="preserve">current </w:t>
      </w:r>
      <w:r w:rsidRPr="008A7A35">
        <w:rPr>
          <w:rFonts w:ascii="Arial" w:eastAsia="Calibri" w:hAnsi="Arial" w:cs="Arial"/>
          <w:kern w:val="2"/>
          <w:sz w:val="20"/>
          <w:szCs w:val="20"/>
          <w14:ligatures w14:val="standardContextual"/>
        </w:rPr>
        <w:t xml:space="preserve">Directors with beneficial interests in the shares of the Company as </w:t>
      </w:r>
      <w:proofErr w:type="gramStart"/>
      <w:r w:rsidRPr="008A7A35">
        <w:rPr>
          <w:rFonts w:ascii="Arial" w:eastAsia="Calibri" w:hAnsi="Arial" w:cs="Arial"/>
          <w:kern w:val="2"/>
          <w:sz w:val="20"/>
          <w:szCs w:val="20"/>
          <w14:ligatures w14:val="standardContextual"/>
        </w:rPr>
        <w:t>at</w:t>
      </w:r>
      <w:proofErr w:type="gramEnd"/>
      <w:r w:rsidRPr="008A7A35">
        <w:rPr>
          <w:rFonts w:ascii="Arial" w:eastAsia="Calibri" w:hAnsi="Arial" w:cs="Arial"/>
          <w:kern w:val="2"/>
          <w:sz w:val="20"/>
          <w:szCs w:val="20"/>
          <w14:ligatures w14:val="standardContextual"/>
        </w:rPr>
        <w:t xml:space="preserve"> 30 June 202</w:t>
      </w:r>
      <w:r w:rsidR="000F4707" w:rsidRPr="008A7A35">
        <w:rPr>
          <w:rFonts w:ascii="Arial" w:eastAsia="Calibri" w:hAnsi="Arial" w:cs="Arial"/>
          <w:kern w:val="2"/>
          <w:sz w:val="20"/>
          <w:szCs w:val="20"/>
          <w14:ligatures w14:val="standardContextual"/>
        </w:rPr>
        <w:t>5</w:t>
      </w:r>
      <w:r w:rsidRPr="008A7A35">
        <w:rPr>
          <w:rFonts w:ascii="Arial" w:eastAsia="Calibri" w:hAnsi="Arial" w:cs="Arial"/>
          <w:kern w:val="2"/>
          <w:sz w:val="20"/>
          <w:szCs w:val="20"/>
          <w14:ligatures w14:val="standardContextual"/>
        </w:rPr>
        <w:t xml:space="preserve"> (31 December 202</w:t>
      </w:r>
      <w:r w:rsidR="000F4707" w:rsidRPr="008A7A35">
        <w:rPr>
          <w:rFonts w:ascii="Arial" w:eastAsia="Calibri" w:hAnsi="Arial" w:cs="Arial"/>
          <w:kern w:val="2"/>
          <w:sz w:val="20"/>
          <w:szCs w:val="20"/>
          <w14:ligatures w14:val="standardContextual"/>
        </w:rPr>
        <w:t>4</w:t>
      </w:r>
      <w:r w:rsidRPr="008A7A35">
        <w:rPr>
          <w:rFonts w:ascii="Arial" w:eastAsia="Calibri" w:hAnsi="Arial" w:cs="Arial"/>
          <w:kern w:val="2"/>
          <w:sz w:val="20"/>
          <w:szCs w:val="20"/>
          <w14:ligatures w14:val="standardContextual"/>
        </w:rPr>
        <w:t>) are detailed below:</w:t>
      </w:r>
    </w:p>
    <w:tbl>
      <w:tblPr>
        <w:tblStyle w:val="TableGrid"/>
        <w:tblW w:w="46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501"/>
        <w:gridCol w:w="1897"/>
        <w:gridCol w:w="1545"/>
        <w:gridCol w:w="1563"/>
        <w:gridCol w:w="1559"/>
      </w:tblGrid>
      <w:tr w:rsidR="00127E03" w:rsidRPr="008A7A35" w14:paraId="196B7912" w14:textId="77777777" w:rsidTr="00391CE4">
        <w:trPr>
          <w:trHeight w:val="942"/>
        </w:trPr>
        <w:tc>
          <w:tcPr>
            <w:tcW w:w="1379" w:type="pct"/>
            <w:tcBorders>
              <w:top w:val="nil"/>
              <w:left w:val="nil"/>
              <w:bottom w:val="single" w:sz="4" w:space="0" w:color="000000" w:themeColor="text1"/>
              <w:right w:val="nil"/>
            </w:tcBorders>
            <w:vAlign w:val="bottom"/>
            <w:hideMark/>
          </w:tcPr>
          <w:p w14:paraId="7BD62793" w14:textId="77777777" w:rsidR="00127E03" w:rsidRPr="008A7A35" w:rsidRDefault="00127E03" w:rsidP="002E692B">
            <w:pPr>
              <w:rPr>
                <w:rFonts w:ascii="Arial" w:hAnsi="Arial" w:cs="Arial"/>
                <w:sz w:val="20"/>
                <w:szCs w:val="20"/>
              </w:rPr>
            </w:pPr>
            <w:r w:rsidRPr="008A7A35">
              <w:rPr>
                <w:rFonts w:ascii="Arial" w:hAnsi="Arial" w:cs="Arial"/>
                <w:sz w:val="20"/>
                <w:szCs w:val="20"/>
              </w:rPr>
              <w:t>Director</w:t>
            </w:r>
          </w:p>
        </w:tc>
        <w:tc>
          <w:tcPr>
            <w:tcW w:w="1046" w:type="pct"/>
            <w:tcBorders>
              <w:top w:val="nil"/>
              <w:left w:val="nil"/>
              <w:bottom w:val="single" w:sz="4" w:space="0" w:color="000000" w:themeColor="text1"/>
              <w:right w:val="nil"/>
            </w:tcBorders>
            <w:vAlign w:val="bottom"/>
            <w:hideMark/>
          </w:tcPr>
          <w:p w14:paraId="61B935E6"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Ordinary</w:t>
            </w:r>
          </w:p>
          <w:p w14:paraId="1955B05E"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Shares held</w:t>
            </w:r>
          </w:p>
          <w:p w14:paraId="075BCAA3" w14:textId="3156F1B2" w:rsidR="00127E03" w:rsidRPr="008A7A35" w:rsidRDefault="00127E03" w:rsidP="002E692B">
            <w:pPr>
              <w:jc w:val="right"/>
              <w:rPr>
                <w:rFonts w:ascii="Arial" w:hAnsi="Arial" w:cs="Arial"/>
                <w:sz w:val="20"/>
                <w:szCs w:val="20"/>
              </w:rPr>
            </w:pPr>
            <w:r w:rsidRPr="008A7A35">
              <w:rPr>
                <w:rFonts w:ascii="Arial" w:hAnsi="Arial" w:cs="Arial"/>
                <w:sz w:val="20"/>
                <w:szCs w:val="20"/>
              </w:rPr>
              <w:t>3</w:t>
            </w:r>
            <w:r w:rsidR="00C632C6" w:rsidRPr="008A7A35">
              <w:rPr>
                <w:rFonts w:ascii="Arial" w:hAnsi="Arial" w:cs="Arial"/>
                <w:sz w:val="20"/>
                <w:szCs w:val="20"/>
              </w:rPr>
              <w:t>0</w:t>
            </w:r>
            <w:r w:rsidRPr="008A7A35">
              <w:rPr>
                <w:rFonts w:ascii="Arial" w:hAnsi="Arial" w:cs="Arial"/>
                <w:sz w:val="20"/>
                <w:szCs w:val="20"/>
              </w:rPr>
              <w:t xml:space="preserve"> June</w:t>
            </w:r>
          </w:p>
          <w:p w14:paraId="67798370" w14:textId="0DBB9C8A" w:rsidR="00127E03" w:rsidRPr="008A7A35" w:rsidRDefault="00127E03" w:rsidP="002E692B">
            <w:pPr>
              <w:jc w:val="right"/>
              <w:rPr>
                <w:rFonts w:ascii="Arial" w:hAnsi="Arial" w:cs="Arial"/>
                <w:sz w:val="20"/>
                <w:szCs w:val="20"/>
              </w:rPr>
            </w:pPr>
            <w:r w:rsidRPr="008A7A35">
              <w:rPr>
                <w:rFonts w:ascii="Arial" w:hAnsi="Arial" w:cs="Arial"/>
                <w:sz w:val="20"/>
                <w:szCs w:val="20"/>
              </w:rPr>
              <w:t>202</w:t>
            </w:r>
            <w:r w:rsidR="000F4707" w:rsidRPr="008A7A35">
              <w:rPr>
                <w:rFonts w:ascii="Arial" w:hAnsi="Arial" w:cs="Arial"/>
                <w:sz w:val="20"/>
                <w:szCs w:val="20"/>
              </w:rPr>
              <w:t>5</w:t>
            </w:r>
          </w:p>
        </w:tc>
        <w:tc>
          <w:tcPr>
            <w:tcW w:w="852" w:type="pct"/>
            <w:tcBorders>
              <w:top w:val="nil"/>
              <w:left w:val="nil"/>
              <w:bottom w:val="single" w:sz="4" w:space="0" w:color="000000" w:themeColor="text1"/>
              <w:right w:val="nil"/>
            </w:tcBorders>
            <w:vAlign w:val="bottom"/>
            <w:hideMark/>
          </w:tcPr>
          <w:p w14:paraId="3BB450AE"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Per cent.</w:t>
            </w:r>
          </w:p>
          <w:p w14:paraId="0F87F9C2"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Holding at</w:t>
            </w:r>
          </w:p>
          <w:p w14:paraId="6E853315" w14:textId="6F1252D5" w:rsidR="00127E03" w:rsidRPr="008A7A35" w:rsidRDefault="00127E03" w:rsidP="002E692B">
            <w:pPr>
              <w:jc w:val="right"/>
              <w:rPr>
                <w:rFonts w:ascii="Arial" w:hAnsi="Arial" w:cs="Arial"/>
                <w:sz w:val="20"/>
                <w:szCs w:val="20"/>
              </w:rPr>
            </w:pPr>
            <w:r w:rsidRPr="008A7A35">
              <w:rPr>
                <w:rFonts w:ascii="Arial" w:hAnsi="Arial" w:cs="Arial"/>
                <w:sz w:val="20"/>
                <w:szCs w:val="20"/>
              </w:rPr>
              <w:t>3</w:t>
            </w:r>
            <w:r w:rsidR="00C632C6" w:rsidRPr="008A7A35">
              <w:rPr>
                <w:rFonts w:ascii="Arial" w:hAnsi="Arial" w:cs="Arial"/>
                <w:sz w:val="20"/>
                <w:szCs w:val="20"/>
              </w:rPr>
              <w:t>0</w:t>
            </w:r>
            <w:r w:rsidRPr="008A7A35">
              <w:rPr>
                <w:rFonts w:ascii="Arial" w:hAnsi="Arial" w:cs="Arial"/>
                <w:sz w:val="20"/>
                <w:szCs w:val="20"/>
              </w:rPr>
              <w:t xml:space="preserve"> </w:t>
            </w:r>
            <w:r w:rsidR="00C632C6" w:rsidRPr="008A7A35">
              <w:rPr>
                <w:rFonts w:ascii="Arial" w:hAnsi="Arial" w:cs="Arial"/>
                <w:sz w:val="20"/>
                <w:szCs w:val="20"/>
              </w:rPr>
              <w:t>June</w:t>
            </w:r>
          </w:p>
          <w:p w14:paraId="0705A1E5" w14:textId="717123C9" w:rsidR="00127E03" w:rsidRPr="008A7A35" w:rsidRDefault="00127E03" w:rsidP="002E692B">
            <w:pPr>
              <w:jc w:val="right"/>
              <w:rPr>
                <w:rFonts w:ascii="Arial" w:hAnsi="Arial" w:cs="Arial"/>
                <w:sz w:val="20"/>
                <w:szCs w:val="20"/>
              </w:rPr>
            </w:pPr>
            <w:r w:rsidRPr="008A7A35">
              <w:rPr>
                <w:rFonts w:ascii="Arial" w:hAnsi="Arial" w:cs="Arial"/>
                <w:sz w:val="20"/>
                <w:szCs w:val="20"/>
              </w:rPr>
              <w:t>202</w:t>
            </w:r>
            <w:r w:rsidR="000F4707" w:rsidRPr="008A7A35">
              <w:rPr>
                <w:rFonts w:ascii="Arial" w:hAnsi="Arial" w:cs="Arial"/>
                <w:sz w:val="20"/>
                <w:szCs w:val="20"/>
              </w:rPr>
              <w:t>5</w:t>
            </w:r>
          </w:p>
        </w:tc>
        <w:tc>
          <w:tcPr>
            <w:tcW w:w="862" w:type="pct"/>
            <w:tcBorders>
              <w:top w:val="nil"/>
              <w:left w:val="nil"/>
              <w:bottom w:val="single" w:sz="4" w:space="0" w:color="000000" w:themeColor="text1"/>
              <w:right w:val="nil"/>
            </w:tcBorders>
            <w:vAlign w:val="bottom"/>
            <w:hideMark/>
          </w:tcPr>
          <w:p w14:paraId="7E208C01"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Ordinary</w:t>
            </w:r>
          </w:p>
          <w:p w14:paraId="41A7FCF2"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Shares held</w:t>
            </w:r>
          </w:p>
          <w:p w14:paraId="649FB00C"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31 December</w:t>
            </w:r>
          </w:p>
          <w:p w14:paraId="5D3197EC" w14:textId="1C76C511" w:rsidR="00127E03" w:rsidRPr="008A7A35" w:rsidRDefault="00127E03" w:rsidP="002E692B">
            <w:pPr>
              <w:jc w:val="right"/>
              <w:rPr>
                <w:rFonts w:ascii="Arial" w:hAnsi="Arial" w:cs="Arial"/>
                <w:sz w:val="20"/>
                <w:szCs w:val="20"/>
              </w:rPr>
            </w:pPr>
            <w:r w:rsidRPr="008A7A35">
              <w:rPr>
                <w:rFonts w:ascii="Arial" w:hAnsi="Arial" w:cs="Arial"/>
                <w:sz w:val="20"/>
                <w:szCs w:val="20"/>
              </w:rPr>
              <w:t>202</w:t>
            </w:r>
            <w:r w:rsidR="000F4707" w:rsidRPr="008A7A35">
              <w:rPr>
                <w:rFonts w:ascii="Arial" w:hAnsi="Arial" w:cs="Arial"/>
                <w:sz w:val="20"/>
                <w:szCs w:val="20"/>
              </w:rPr>
              <w:t>4</w:t>
            </w:r>
          </w:p>
        </w:tc>
        <w:tc>
          <w:tcPr>
            <w:tcW w:w="860" w:type="pct"/>
            <w:tcBorders>
              <w:top w:val="nil"/>
              <w:left w:val="nil"/>
              <w:bottom w:val="single" w:sz="4" w:space="0" w:color="000000" w:themeColor="text1"/>
              <w:right w:val="nil"/>
            </w:tcBorders>
            <w:vAlign w:val="bottom"/>
            <w:hideMark/>
          </w:tcPr>
          <w:p w14:paraId="529E1139"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Per cent.</w:t>
            </w:r>
          </w:p>
          <w:p w14:paraId="1507A568"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Holding at</w:t>
            </w:r>
          </w:p>
          <w:p w14:paraId="61613742" w14:textId="77777777" w:rsidR="00127E03" w:rsidRPr="008A7A35" w:rsidRDefault="00127E03" w:rsidP="002E692B">
            <w:pPr>
              <w:jc w:val="right"/>
              <w:rPr>
                <w:rFonts w:ascii="Arial" w:hAnsi="Arial" w:cs="Arial"/>
                <w:sz w:val="20"/>
                <w:szCs w:val="20"/>
              </w:rPr>
            </w:pPr>
            <w:r w:rsidRPr="008A7A35">
              <w:rPr>
                <w:rFonts w:ascii="Arial" w:hAnsi="Arial" w:cs="Arial"/>
                <w:sz w:val="20"/>
                <w:szCs w:val="20"/>
              </w:rPr>
              <w:t>31 December</w:t>
            </w:r>
          </w:p>
          <w:p w14:paraId="6991CCD2" w14:textId="1372D826" w:rsidR="00127E03" w:rsidRPr="008A7A35" w:rsidRDefault="00127E03" w:rsidP="002E692B">
            <w:pPr>
              <w:jc w:val="right"/>
              <w:rPr>
                <w:rFonts w:ascii="Arial" w:hAnsi="Arial" w:cs="Arial"/>
                <w:sz w:val="20"/>
                <w:szCs w:val="20"/>
              </w:rPr>
            </w:pPr>
            <w:r w:rsidRPr="008A7A35">
              <w:rPr>
                <w:rFonts w:ascii="Arial" w:hAnsi="Arial" w:cs="Arial"/>
                <w:sz w:val="20"/>
                <w:szCs w:val="20"/>
              </w:rPr>
              <w:t>202</w:t>
            </w:r>
            <w:r w:rsidR="000F4707" w:rsidRPr="008A7A35">
              <w:rPr>
                <w:rFonts w:ascii="Arial" w:hAnsi="Arial" w:cs="Arial"/>
                <w:sz w:val="20"/>
                <w:szCs w:val="20"/>
              </w:rPr>
              <w:t>4</w:t>
            </w:r>
          </w:p>
        </w:tc>
      </w:tr>
      <w:tr w:rsidR="000F4707" w:rsidRPr="008A7A35" w14:paraId="29A2D2AA" w14:textId="77777777" w:rsidTr="00391CE4">
        <w:trPr>
          <w:trHeight w:val="227"/>
        </w:trPr>
        <w:tc>
          <w:tcPr>
            <w:tcW w:w="1379" w:type="pct"/>
            <w:vAlign w:val="center"/>
            <w:hideMark/>
          </w:tcPr>
          <w:p w14:paraId="2D736DC7" w14:textId="77777777" w:rsidR="000F4707" w:rsidRPr="008A7A35" w:rsidRDefault="000F4707" w:rsidP="000F4707">
            <w:pPr>
              <w:rPr>
                <w:rFonts w:ascii="Arial" w:hAnsi="Arial" w:cs="Arial"/>
                <w:sz w:val="20"/>
                <w:szCs w:val="20"/>
                <w:vertAlign w:val="superscript"/>
              </w:rPr>
            </w:pPr>
            <w:bookmarkStart w:id="13" w:name="_Hlk125972292"/>
            <w:r w:rsidRPr="008A7A35">
              <w:rPr>
                <w:rFonts w:ascii="Arial" w:hAnsi="Arial" w:cs="Arial"/>
                <w:sz w:val="20"/>
                <w:szCs w:val="20"/>
              </w:rPr>
              <w:t xml:space="preserve">Richard </w:t>
            </w:r>
            <w:proofErr w:type="gramStart"/>
            <w:r w:rsidRPr="008A7A35">
              <w:rPr>
                <w:rFonts w:ascii="Arial" w:hAnsi="Arial" w:cs="Arial"/>
                <w:sz w:val="20"/>
                <w:szCs w:val="20"/>
              </w:rPr>
              <w:t>Horlick</w:t>
            </w:r>
            <w:r w:rsidRPr="008A7A35">
              <w:rPr>
                <w:rFonts w:ascii="Arial" w:hAnsi="Arial" w:cs="Arial"/>
                <w:sz w:val="20"/>
                <w:szCs w:val="20"/>
                <w:vertAlign w:val="superscript"/>
              </w:rPr>
              <w:t>(</w:t>
            </w:r>
            <w:proofErr w:type="gramEnd"/>
            <w:r w:rsidRPr="008A7A35">
              <w:rPr>
                <w:rFonts w:ascii="Arial" w:hAnsi="Arial" w:cs="Arial"/>
                <w:sz w:val="20"/>
                <w:szCs w:val="20"/>
                <w:vertAlign w:val="superscript"/>
              </w:rPr>
              <w:t>1)</w:t>
            </w:r>
          </w:p>
        </w:tc>
        <w:tc>
          <w:tcPr>
            <w:tcW w:w="1046" w:type="pct"/>
          </w:tcPr>
          <w:p w14:paraId="40473DDD" w14:textId="169851E9" w:rsidR="000F4707" w:rsidRPr="008A7A35" w:rsidRDefault="00A96DFA" w:rsidP="000F4707">
            <w:pPr>
              <w:jc w:val="right"/>
              <w:rPr>
                <w:rFonts w:ascii="Arial" w:hAnsi="Arial" w:cs="Arial"/>
                <w:sz w:val="20"/>
                <w:szCs w:val="20"/>
              </w:rPr>
            </w:pPr>
            <w:r w:rsidRPr="008A7A35">
              <w:rPr>
                <w:rFonts w:ascii="Arial" w:hAnsi="Arial" w:cs="Arial"/>
                <w:sz w:val="20"/>
                <w:szCs w:val="20"/>
              </w:rPr>
              <w:t>10,000</w:t>
            </w:r>
          </w:p>
        </w:tc>
        <w:tc>
          <w:tcPr>
            <w:tcW w:w="852" w:type="pct"/>
          </w:tcPr>
          <w:p w14:paraId="081D2792" w14:textId="2BFD2408" w:rsidR="000F4707" w:rsidRPr="008A7A35" w:rsidRDefault="00D42F25" w:rsidP="000F4707">
            <w:pPr>
              <w:jc w:val="right"/>
              <w:rPr>
                <w:rFonts w:ascii="Arial" w:hAnsi="Arial" w:cs="Arial"/>
                <w:sz w:val="20"/>
                <w:szCs w:val="20"/>
              </w:rPr>
            </w:pPr>
            <w:r w:rsidRPr="008A7A35">
              <w:rPr>
                <w:rFonts w:ascii="Arial" w:hAnsi="Arial" w:cs="Arial"/>
                <w:sz w:val="20"/>
                <w:szCs w:val="20"/>
              </w:rPr>
              <w:t>0.041</w:t>
            </w:r>
          </w:p>
        </w:tc>
        <w:tc>
          <w:tcPr>
            <w:tcW w:w="862" w:type="pct"/>
            <w:hideMark/>
          </w:tcPr>
          <w:p w14:paraId="6183CF2C" w14:textId="039746F4" w:rsidR="000F4707" w:rsidRPr="008A7A35" w:rsidRDefault="000F4707" w:rsidP="000F4707">
            <w:pPr>
              <w:jc w:val="right"/>
              <w:rPr>
                <w:rFonts w:ascii="Arial" w:hAnsi="Arial" w:cs="Arial"/>
                <w:sz w:val="20"/>
                <w:szCs w:val="20"/>
              </w:rPr>
            </w:pPr>
            <w:r w:rsidRPr="008A7A35">
              <w:rPr>
                <w:rFonts w:ascii="Arial" w:hAnsi="Arial" w:cs="Arial"/>
                <w:sz w:val="20"/>
                <w:szCs w:val="20"/>
              </w:rPr>
              <w:t>10,000</w:t>
            </w:r>
          </w:p>
        </w:tc>
        <w:tc>
          <w:tcPr>
            <w:tcW w:w="860" w:type="pct"/>
            <w:hideMark/>
          </w:tcPr>
          <w:p w14:paraId="18AFC199" w14:textId="3055E642" w:rsidR="000F4707" w:rsidRPr="008A7A35" w:rsidRDefault="000F4707" w:rsidP="000F4707">
            <w:pPr>
              <w:jc w:val="right"/>
              <w:rPr>
                <w:rFonts w:ascii="Arial" w:hAnsi="Arial" w:cs="Arial"/>
                <w:sz w:val="20"/>
                <w:szCs w:val="20"/>
              </w:rPr>
            </w:pPr>
            <w:r w:rsidRPr="008A7A35">
              <w:rPr>
                <w:rFonts w:ascii="Arial" w:hAnsi="Arial" w:cs="Arial"/>
                <w:sz w:val="20"/>
                <w:szCs w:val="20"/>
              </w:rPr>
              <w:t>0.039</w:t>
            </w:r>
          </w:p>
        </w:tc>
      </w:tr>
      <w:tr w:rsidR="000F4707" w:rsidRPr="008A7A35" w14:paraId="70EAF77E" w14:textId="77777777" w:rsidTr="00391CE4">
        <w:trPr>
          <w:trHeight w:val="227"/>
        </w:trPr>
        <w:tc>
          <w:tcPr>
            <w:tcW w:w="1379" w:type="pct"/>
            <w:vAlign w:val="center"/>
            <w:hideMark/>
          </w:tcPr>
          <w:p w14:paraId="21561FF7" w14:textId="7D564785" w:rsidR="000F4707" w:rsidRPr="008A7A35" w:rsidRDefault="000F4707" w:rsidP="000F4707">
            <w:pPr>
              <w:rPr>
                <w:rFonts w:ascii="Arial" w:hAnsi="Arial" w:cs="Arial"/>
                <w:sz w:val="20"/>
                <w:szCs w:val="20"/>
              </w:rPr>
            </w:pPr>
            <w:r w:rsidRPr="008A7A35">
              <w:rPr>
                <w:rFonts w:ascii="Arial" w:hAnsi="Arial" w:cs="Arial"/>
                <w:sz w:val="20"/>
                <w:szCs w:val="20"/>
              </w:rPr>
              <w:t xml:space="preserve">Jeremy </w:t>
            </w:r>
            <w:proofErr w:type="gramStart"/>
            <w:r w:rsidRPr="008A7A35">
              <w:rPr>
                <w:rFonts w:ascii="Arial" w:hAnsi="Arial" w:cs="Arial"/>
                <w:sz w:val="20"/>
                <w:szCs w:val="20"/>
              </w:rPr>
              <w:t>Thompson</w:t>
            </w:r>
            <w:r w:rsidRPr="008A7A35">
              <w:rPr>
                <w:rFonts w:ascii="Arial" w:hAnsi="Arial" w:cs="Arial"/>
                <w:sz w:val="20"/>
                <w:szCs w:val="20"/>
                <w:vertAlign w:val="superscript"/>
              </w:rPr>
              <w:t>(</w:t>
            </w:r>
            <w:proofErr w:type="gramEnd"/>
            <w:r w:rsidRPr="008A7A35">
              <w:rPr>
                <w:rFonts w:ascii="Arial" w:hAnsi="Arial" w:cs="Arial"/>
                <w:sz w:val="20"/>
                <w:szCs w:val="20"/>
                <w:vertAlign w:val="superscript"/>
              </w:rPr>
              <w:t>2)</w:t>
            </w:r>
          </w:p>
        </w:tc>
        <w:tc>
          <w:tcPr>
            <w:tcW w:w="1046" w:type="pct"/>
          </w:tcPr>
          <w:p w14:paraId="001502C1" w14:textId="4CA664F9" w:rsidR="000F4707" w:rsidRPr="008A7A35" w:rsidRDefault="00CB3DE2" w:rsidP="000F4707">
            <w:pPr>
              <w:jc w:val="right"/>
              <w:rPr>
                <w:rFonts w:ascii="Arial" w:hAnsi="Arial" w:cs="Arial"/>
                <w:sz w:val="20"/>
                <w:szCs w:val="20"/>
              </w:rPr>
            </w:pPr>
            <w:r w:rsidRPr="008A7A35">
              <w:rPr>
                <w:rFonts w:ascii="Arial" w:hAnsi="Arial" w:cs="Arial"/>
                <w:sz w:val="20"/>
                <w:szCs w:val="20"/>
              </w:rPr>
              <w:t>3,751</w:t>
            </w:r>
          </w:p>
        </w:tc>
        <w:tc>
          <w:tcPr>
            <w:tcW w:w="852" w:type="pct"/>
          </w:tcPr>
          <w:p w14:paraId="4117462F" w14:textId="1413D81C" w:rsidR="000F4707" w:rsidRPr="008A7A35" w:rsidRDefault="00B43D30" w:rsidP="000F4707">
            <w:pPr>
              <w:jc w:val="right"/>
              <w:rPr>
                <w:rFonts w:ascii="Arial" w:hAnsi="Arial" w:cs="Arial"/>
                <w:sz w:val="20"/>
                <w:szCs w:val="20"/>
              </w:rPr>
            </w:pPr>
            <w:r w:rsidRPr="008A7A35">
              <w:rPr>
                <w:rFonts w:ascii="Arial" w:hAnsi="Arial" w:cs="Arial"/>
                <w:sz w:val="20"/>
                <w:szCs w:val="20"/>
              </w:rPr>
              <w:t>0.015</w:t>
            </w:r>
          </w:p>
        </w:tc>
        <w:tc>
          <w:tcPr>
            <w:tcW w:w="862" w:type="pct"/>
            <w:hideMark/>
          </w:tcPr>
          <w:p w14:paraId="34EC4906" w14:textId="77777777" w:rsidR="000F4707" w:rsidRPr="008A7A35" w:rsidRDefault="000F4707" w:rsidP="000F4707">
            <w:pPr>
              <w:jc w:val="right"/>
              <w:rPr>
                <w:rFonts w:ascii="Arial" w:hAnsi="Arial" w:cs="Arial"/>
                <w:sz w:val="20"/>
                <w:szCs w:val="20"/>
              </w:rPr>
            </w:pPr>
            <w:r w:rsidRPr="008A7A35">
              <w:rPr>
                <w:rFonts w:ascii="Arial" w:hAnsi="Arial" w:cs="Arial"/>
                <w:sz w:val="20"/>
                <w:szCs w:val="20"/>
              </w:rPr>
              <w:t>3,751</w:t>
            </w:r>
          </w:p>
        </w:tc>
        <w:tc>
          <w:tcPr>
            <w:tcW w:w="860" w:type="pct"/>
            <w:vAlign w:val="center"/>
            <w:hideMark/>
          </w:tcPr>
          <w:p w14:paraId="67BA4B63" w14:textId="5ED1F07D" w:rsidR="000F4707" w:rsidRPr="008A7A35" w:rsidRDefault="000F4707" w:rsidP="000F4707">
            <w:pPr>
              <w:jc w:val="right"/>
              <w:rPr>
                <w:rFonts w:ascii="Arial" w:hAnsi="Arial" w:cs="Arial"/>
                <w:sz w:val="20"/>
                <w:szCs w:val="20"/>
              </w:rPr>
            </w:pPr>
            <w:r w:rsidRPr="008A7A35">
              <w:rPr>
                <w:rFonts w:ascii="Arial" w:hAnsi="Arial" w:cs="Arial"/>
                <w:sz w:val="20"/>
                <w:szCs w:val="20"/>
              </w:rPr>
              <w:t>0.015</w:t>
            </w:r>
          </w:p>
        </w:tc>
      </w:tr>
      <w:tr w:rsidR="000F4707" w:rsidRPr="008A7A35" w14:paraId="0DF71D4E" w14:textId="77777777" w:rsidTr="00391CE4">
        <w:trPr>
          <w:trHeight w:val="227"/>
        </w:trPr>
        <w:tc>
          <w:tcPr>
            <w:tcW w:w="1379" w:type="pct"/>
            <w:vAlign w:val="center"/>
          </w:tcPr>
          <w:p w14:paraId="500EDE63" w14:textId="77777777" w:rsidR="000F4707" w:rsidRPr="008A7A35" w:rsidRDefault="000F4707" w:rsidP="000F4707">
            <w:pPr>
              <w:rPr>
                <w:rFonts w:ascii="Arial" w:hAnsi="Arial" w:cs="Arial"/>
                <w:sz w:val="20"/>
                <w:szCs w:val="20"/>
              </w:rPr>
            </w:pPr>
            <w:r w:rsidRPr="008A7A35">
              <w:rPr>
                <w:rFonts w:ascii="Arial" w:hAnsi="Arial" w:cs="Arial"/>
                <w:sz w:val="20"/>
                <w:szCs w:val="20"/>
              </w:rPr>
              <w:t xml:space="preserve">John </w:t>
            </w:r>
            <w:proofErr w:type="gramStart"/>
            <w:r w:rsidRPr="008A7A35">
              <w:rPr>
                <w:rFonts w:ascii="Arial" w:hAnsi="Arial" w:cs="Arial"/>
                <w:sz w:val="20"/>
                <w:szCs w:val="20"/>
              </w:rPr>
              <w:t>Roche</w:t>
            </w:r>
            <w:r w:rsidRPr="008A7A35">
              <w:rPr>
                <w:rFonts w:ascii="Arial" w:hAnsi="Arial" w:cs="Arial"/>
                <w:sz w:val="20"/>
                <w:szCs w:val="20"/>
                <w:vertAlign w:val="superscript"/>
              </w:rPr>
              <w:t>(</w:t>
            </w:r>
            <w:proofErr w:type="gramEnd"/>
            <w:r w:rsidRPr="008A7A35">
              <w:rPr>
                <w:rFonts w:ascii="Arial" w:hAnsi="Arial" w:cs="Arial"/>
                <w:sz w:val="20"/>
                <w:szCs w:val="20"/>
                <w:vertAlign w:val="superscript"/>
              </w:rPr>
              <w:t>1)</w:t>
            </w:r>
            <w:r w:rsidRPr="008A7A35">
              <w:rPr>
                <w:rFonts w:ascii="Arial" w:hAnsi="Arial" w:cs="Arial"/>
                <w:sz w:val="20"/>
                <w:szCs w:val="20"/>
              </w:rPr>
              <w:t xml:space="preserve"> </w:t>
            </w:r>
          </w:p>
        </w:tc>
        <w:tc>
          <w:tcPr>
            <w:tcW w:w="1046" w:type="pct"/>
          </w:tcPr>
          <w:p w14:paraId="65765308" w14:textId="03004A3E" w:rsidR="000F4707" w:rsidRPr="008A7A35" w:rsidRDefault="00CB3DE2" w:rsidP="000F4707">
            <w:pPr>
              <w:jc w:val="right"/>
              <w:rPr>
                <w:rFonts w:ascii="Arial" w:hAnsi="Arial" w:cs="Arial"/>
                <w:sz w:val="20"/>
                <w:szCs w:val="20"/>
              </w:rPr>
            </w:pPr>
            <w:r w:rsidRPr="008A7A35">
              <w:rPr>
                <w:rFonts w:ascii="Arial" w:hAnsi="Arial" w:cs="Arial"/>
                <w:sz w:val="20"/>
                <w:szCs w:val="20"/>
              </w:rPr>
              <w:t>2,201</w:t>
            </w:r>
          </w:p>
        </w:tc>
        <w:tc>
          <w:tcPr>
            <w:tcW w:w="852" w:type="pct"/>
          </w:tcPr>
          <w:p w14:paraId="075C364C" w14:textId="7BABC7EA" w:rsidR="000F4707" w:rsidRPr="008A7A35" w:rsidRDefault="004B5A90" w:rsidP="000F4707">
            <w:pPr>
              <w:jc w:val="right"/>
              <w:rPr>
                <w:rFonts w:ascii="Arial" w:hAnsi="Arial" w:cs="Arial"/>
                <w:sz w:val="20"/>
                <w:szCs w:val="20"/>
              </w:rPr>
            </w:pPr>
            <w:r w:rsidRPr="008A7A35">
              <w:rPr>
                <w:rFonts w:ascii="Arial" w:hAnsi="Arial" w:cs="Arial"/>
                <w:sz w:val="20"/>
                <w:szCs w:val="20"/>
              </w:rPr>
              <w:t>0.0</w:t>
            </w:r>
            <w:r w:rsidR="00197CA7" w:rsidRPr="008A7A35">
              <w:rPr>
                <w:rFonts w:ascii="Arial" w:hAnsi="Arial" w:cs="Arial"/>
                <w:sz w:val="20"/>
                <w:szCs w:val="20"/>
              </w:rPr>
              <w:t>0</w:t>
            </w:r>
            <w:r w:rsidRPr="008A7A35">
              <w:rPr>
                <w:rFonts w:ascii="Arial" w:hAnsi="Arial" w:cs="Arial"/>
                <w:sz w:val="20"/>
                <w:szCs w:val="20"/>
              </w:rPr>
              <w:t>9</w:t>
            </w:r>
          </w:p>
        </w:tc>
        <w:tc>
          <w:tcPr>
            <w:tcW w:w="862" w:type="pct"/>
          </w:tcPr>
          <w:p w14:paraId="779BB3A9" w14:textId="0567600C" w:rsidR="000F4707" w:rsidRPr="008A7A35" w:rsidRDefault="000F4707" w:rsidP="000F4707">
            <w:pPr>
              <w:jc w:val="right"/>
              <w:rPr>
                <w:rFonts w:ascii="Arial" w:hAnsi="Arial" w:cs="Arial"/>
                <w:sz w:val="20"/>
                <w:szCs w:val="20"/>
              </w:rPr>
            </w:pPr>
            <w:r w:rsidRPr="008A7A35">
              <w:rPr>
                <w:rFonts w:ascii="Arial" w:hAnsi="Arial" w:cs="Arial"/>
                <w:sz w:val="20"/>
                <w:szCs w:val="20"/>
              </w:rPr>
              <w:t>2,201</w:t>
            </w:r>
          </w:p>
        </w:tc>
        <w:tc>
          <w:tcPr>
            <w:tcW w:w="860" w:type="pct"/>
            <w:vAlign w:val="center"/>
          </w:tcPr>
          <w:p w14:paraId="2B48411F" w14:textId="0DF01575" w:rsidR="000F4707" w:rsidRPr="008A7A35" w:rsidRDefault="000F4707" w:rsidP="000F4707">
            <w:pPr>
              <w:jc w:val="right"/>
              <w:rPr>
                <w:rFonts w:ascii="Arial" w:hAnsi="Arial" w:cs="Arial"/>
                <w:sz w:val="20"/>
                <w:szCs w:val="20"/>
              </w:rPr>
            </w:pPr>
            <w:r w:rsidRPr="008A7A35">
              <w:rPr>
                <w:rFonts w:ascii="Arial" w:hAnsi="Arial" w:cs="Arial"/>
                <w:sz w:val="20"/>
                <w:szCs w:val="20"/>
              </w:rPr>
              <w:t>0.010</w:t>
            </w:r>
          </w:p>
        </w:tc>
      </w:tr>
      <w:tr w:rsidR="000F4707" w:rsidRPr="008A7A35" w14:paraId="3E136EB6" w14:textId="77777777" w:rsidTr="00391CE4">
        <w:trPr>
          <w:trHeight w:val="227"/>
        </w:trPr>
        <w:tc>
          <w:tcPr>
            <w:tcW w:w="1379" w:type="pct"/>
            <w:vAlign w:val="center"/>
          </w:tcPr>
          <w:p w14:paraId="05FDCAF7" w14:textId="2413CF57" w:rsidR="000F4707" w:rsidRPr="008A7A35" w:rsidRDefault="000F4707" w:rsidP="000F4707">
            <w:pPr>
              <w:rPr>
                <w:rFonts w:ascii="Arial" w:hAnsi="Arial" w:cs="Arial"/>
                <w:sz w:val="20"/>
                <w:szCs w:val="20"/>
              </w:rPr>
            </w:pPr>
            <w:r w:rsidRPr="008A7A35">
              <w:rPr>
                <w:rFonts w:ascii="Arial" w:hAnsi="Arial" w:cs="Arial"/>
                <w:sz w:val="20"/>
                <w:szCs w:val="20"/>
              </w:rPr>
              <w:t xml:space="preserve">Karen </w:t>
            </w:r>
            <w:proofErr w:type="gramStart"/>
            <w:r w:rsidRPr="008A7A35">
              <w:rPr>
                <w:rFonts w:ascii="Arial" w:hAnsi="Arial" w:cs="Arial"/>
                <w:sz w:val="20"/>
                <w:szCs w:val="20"/>
              </w:rPr>
              <w:t>McClellan</w:t>
            </w:r>
            <w:r w:rsidRPr="008A7A35">
              <w:rPr>
                <w:rFonts w:ascii="Arial" w:hAnsi="Arial" w:cs="Arial"/>
                <w:sz w:val="20"/>
                <w:szCs w:val="20"/>
                <w:vertAlign w:val="superscript"/>
              </w:rPr>
              <w:t>(</w:t>
            </w:r>
            <w:proofErr w:type="gramEnd"/>
            <w:r w:rsidRPr="008A7A35">
              <w:rPr>
                <w:rFonts w:ascii="Arial" w:hAnsi="Arial" w:cs="Arial"/>
                <w:sz w:val="20"/>
                <w:szCs w:val="20"/>
                <w:vertAlign w:val="superscript"/>
              </w:rPr>
              <w:t>1)</w:t>
            </w:r>
          </w:p>
        </w:tc>
        <w:tc>
          <w:tcPr>
            <w:tcW w:w="1046" w:type="pct"/>
          </w:tcPr>
          <w:p w14:paraId="74600D37" w14:textId="033A3106" w:rsidR="000F4707" w:rsidRPr="008A7A35" w:rsidRDefault="00CB3DE2" w:rsidP="000F4707">
            <w:pPr>
              <w:jc w:val="right"/>
              <w:rPr>
                <w:rFonts w:ascii="Arial" w:hAnsi="Arial" w:cs="Arial"/>
                <w:sz w:val="20"/>
                <w:szCs w:val="20"/>
              </w:rPr>
            </w:pPr>
            <w:r w:rsidRPr="008A7A35">
              <w:rPr>
                <w:rFonts w:ascii="Arial" w:hAnsi="Arial" w:cs="Arial"/>
                <w:sz w:val="20"/>
                <w:szCs w:val="20"/>
              </w:rPr>
              <w:t>-</w:t>
            </w:r>
          </w:p>
        </w:tc>
        <w:tc>
          <w:tcPr>
            <w:tcW w:w="852" w:type="pct"/>
          </w:tcPr>
          <w:p w14:paraId="23E7EC9F" w14:textId="04368F5A" w:rsidR="000F4707" w:rsidRPr="008A7A35" w:rsidRDefault="00A15059" w:rsidP="000F4707">
            <w:pPr>
              <w:jc w:val="right"/>
              <w:rPr>
                <w:rFonts w:ascii="Arial" w:hAnsi="Arial" w:cs="Arial"/>
                <w:sz w:val="20"/>
                <w:szCs w:val="20"/>
              </w:rPr>
            </w:pPr>
            <w:r w:rsidRPr="008A7A35">
              <w:rPr>
                <w:rFonts w:ascii="Arial" w:hAnsi="Arial" w:cs="Arial"/>
                <w:sz w:val="20"/>
                <w:szCs w:val="20"/>
              </w:rPr>
              <w:t>-</w:t>
            </w:r>
          </w:p>
        </w:tc>
        <w:tc>
          <w:tcPr>
            <w:tcW w:w="862" w:type="pct"/>
          </w:tcPr>
          <w:p w14:paraId="136D4A22" w14:textId="61E4DD6E" w:rsidR="000F4707" w:rsidRPr="008A7A35" w:rsidRDefault="000F4707" w:rsidP="000F4707">
            <w:pPr>
              <w:jc w:val="right"/>
              <w:rPr>
                <w:rFonts w:ascii="Arial" w:hAnsi="Arial" w:cs="Arial"/>
                <w:sz w:val="20"/>
                <w:szCs w:val="20"/>
              </w:rPr>
            </w:pPr>
            <w:r w:rsidRPr="008A7A35">
              <w:rPr>
                <w:rFonts w:ascii="Arial" w:hAnsi="Arial" w:cs="Arial"/>
                <w:sz w:val="20"/>
                <w:szCs w:val="20"/>
              </w:rPr>
              <w:t>-</w:t>
            </w:r>
          </w:p>
        </w:tc>
        <w:tc>
          <w:tcPr>
            <w:tcW w:w="860" w:type="pct"/>
          </w:tcPr>
          <w:p w14:paraId="62C1C0EF" w14:textId="6C3FC5BF" w:rsidR="000F4707" w:rsidRPr="008A7A35" w:rsidRDefault="000F4707" w:rsidP="000F4707">
            <w:pPr>
              <w:jc w:val="right"/>
              <w:rPr>
                <w:rFonts w:ascii="Arial" w:hAnsi="Arial" w:cs="Arial"/>
                <w:sz w:val="20"/>
                <w:szCs w:val="20"/>
              </w:rPr>
            </w:pPr>
            <w:r w:rsidRPr="008A7A35">
              <w:rPr>
                <w:rFonts w:ascii="Arial" w:hAnsi="Arial" w:cs="Arial"/>
                <w:sz w:val="20"/>
                <w:szCs w:val="20"/>
              </w:rPr>
              <w:t>-</w:t>
            </w:r>
          </w:p>
        </w:tc>
      </w:tr>
      <w:tr w:rsidR="00F342D9" w:rsidRPr="008A7A35" w14:paraId="337CB0DA" w14:textId="77777777" w:rsidTr="00391CE4">
        <w:trPr>
          <w:trHeight w:val="227"/>
        </w:trPr>
        <w:tc>
          <w:tcPr>
            <w:tcW w:w="1379" w:type="pct"/>
            <w:vAlign w:val="center"/>
            <w:hideMark/>
          </w:tcPr>
          <w:p w14:paraId="0F154872" w14:textId="20F9EB70" w:rsidR="00F342D9" w:rsidRPr="008A7A35" w:rsidRDefault="00F342D9">
            <w:pPr>
              <w:rPr>
                <w:rFonts w:ascii="Arial" w:hAnsi="Arial" w:cs="Arial"/>
                <w:sz w:val="20"/>
                <w:szCs w:val="20"/>
                <w:vertAlign w:val="superscript"/>
              </w:rPr>
            </w:pPr>
            <w:r w:rsidRPr="008A7A35">
              <w:rPr>
                <w:rFonts w:ascii="Arial" w:hAnsi="Arial" w:cs="Arial"/>
                <w:sz w:val="20"/>
                <w:szCs w:val="20"/>
              </w:rPr>
              <w:t xml:space="preserve">Claire </w:t>
            </w:r>
            <w:proofErr w:type="gramStart"/>
            <w:r w:rsidRPr="008A7A35">
              <w:rPr>
                <w:rFonts w:ascii="Arial" w:hAnsi="Arial" w:cs="Arial"/>
                <w:sz w:val="20"/>
                <w:szCs w:val="20"/>
              </w:rPr>
              <w:t>Whittet</w:t>
            </w:r>
            <w:r w:rsidRPr="008A7A35">
              <w:rPr>
                <w:rFonts w:ascii="Arial" w:hAnsi="Arial" w:cs="Arial"/>
                <w:sz w:val="20"/>
                <w:szCs w:val="20"/>
                <w:vertAlign w:val="superscript"/>
              </w:rPr>
              <w:t>(</w:t>
            </w:r>
            <w:proofErr w:type="gramEnd"/>
            <w:r w:rsidR="00227D93">
              <w:rPr>
                <w:rFonts w:ascii="Arial" w:hAnsi="Arial" w:cs="Arial"/>
                <w:sz w:val="20"/>
                <w:szCs w:val="20"/>
                <w:vertAlign w:val="superscript"/>
              </w:rPr>
              <w:t>3</w:t>
            </w:r>
            <w:r w:rsidR="00CE2592">
              <w:rPr>
                <w:rFonts w:ascii="Arial" w:hAnsi="Arial" w:cs="Arial"/>
                <w:sz w:val="20"/>
                <w:szCs w:val="20"/>
                <w:vertAlign w:val="superscript"/>
              </w:rPr>
              <w:t>,</w:t>
            </w:r>
            <w:r w:rsidRPr="008A7A35">
              <w:rPr>
                <w:rFonts w:ascii="Arial" w:hAnsi="Arial" w:cs="Arial"/>
                <w:sz w:val="20"/>
                <w:szCs w:val="20"/>
                <w:vertAlign w:val="superscript"/>
              </w:rPr>
              <w:t>4)</w:t>
            </w:r>
          </w:p>
        </w:tc>
        <w:tc>
          <w:tcPr>
            <w:tcW w:w="1046" w:type="pct"/>
          </w:tcPr>
          <w:p w14:paraId="3E88F250" w14:textId="77777777" w:rsidR="00F342D9" w:rsidRPr="008A7A35" w:rsidRDefault="00F342D9">
            <w:pPr>
              <w:jc w:val="right"/>
              <w:rPr>
                <w:rFonts w:ascii="Arial" w:hAnsi="Arial" w:cs="Arial"/>
                <w:sz w:val="20"/>
                <w:szCs w:val="20"/>
              </w:rPr>
            </w:pPr>
            <w:r w:rsidRPr="008A7A35">
              <w:rPr>
                <w:rFonts w:ascii="Arial" w:hAnsi="Arial" w:cs="Arial"/>
                <w:sz w:val="20"/>
                <w:szCs w:val="20"/>
              </w:rPr>
              <w:t>-</w:t>
            </w:r>
          </w:p>
        </w:tc>
        <w:tc>
          <w:tcPr>
            <w:tcW w:w="852" w:type="pct"/>
          </w:tcPr>
          <w:p w14:paraId="26C4CA0B" w14:textId="77777777" w:rsidR="00F342D9" w:rsidRPr="008A7A35" w:rsidRDefault="00F342D9">
            <w:pPr>
              <w:jc w:val="right"/>
              <w:rPr>
                <w:rFonts w:ascii="Arial" w:hAnsi="Arial" w:cs="Arial"/>
                <w:sz w:val="20"/>
                <w:szCs w:val="20"/>
              </w:rPr>
            </w:pPr>
            <w:r w:rsidRPr="008A7A35">
              <w:rPr>
                <w:rFonts w:ascii="Arial" w:hAnsi="Arial" w:cs="Arial"/>
                <w:sz w:val="20"/>
                <w:szCs w:val="20"/>
              </w:rPr>
              <w:t>-</w:t>
            </w:r>
          </w:p>
        </w:tc>
        <w:tc>
          <w:tcPr>
            <w:tcW w:w="862" w:type="pct"/>
            <w:hideMark/>
          </w:tcPr>
          <w:p w14:paraId="6687DFCF" w14:textId="77777777" w:rsidR="00F342D9" w:rsidRPr="008A7A35" w:rsidRDefault="00F342D9">
            <w:pPr>
              <w:jc w:val="right"/>
              <w:rPr>
                <w:rFonts w:ascii="Arial" w:hAnsi="Arial" w:cs="Arial"/>
                <w:sz w:val="20"/>
                <w:szCs w:val="20"/>
              </w:rPr>
            </w:pPr>
            <w:r w:rsidRPr="008A7A35">
              <w:rPr>
                <w:rFonts w:ascii="Arial" w:hAnsi="Arial" w:cs="Arial"/>
                <w:sz w:val="20"/>
                <w:szCs w:val="20"/>
              </w:rPr>
              <w:t>2,250</w:t>
            </w:r>
          </w:p>
        </w:tc>
        <w:tc>
          <w:tcPr>
            <w:tcW w:w="860" w:type="pct"/>
            <w:vAlign w:val="center"/>
            <w:hideMark/>
          </w:tcPr>
          <w:p w14:paraId="05A203E9" w14:textId="77777777" w:rsidR="00F342D9" w:rsidRPr="008A7A35" w:rsidRDefault="00F342D9">
            <w:pPr>
              <w:jc w:val="right"/>
              <w:rPr>
                <w:rFonts w:ascii="Arial" w:hAnsi="Arial" w:cs="Arial"/>
                <w:sz w:val="20"/>
                <w:szCs w:val="20"/>
              </w:rPr>
            </w:pPr>
            <w:r w:rsidRPr="008A7A35">
              <w:rPr>
                <w:rFonts w:ascii="Arial" w:hAnsi="Arial" w:cs="Arial"/>
                <w:sz w:val="20"/>
                <w:szCs w:val="20"/>
              </w:rPr>
              <w:t>0.010</w:t>
            </w:r>
          </w:p>
        </w:tc>
      </w:tr>
      <w:tr w:rsidR="00F342D9" w:rsidRPr="008A7A35" w14:paraId="52801420" w14:textId="77777777" w:rsidTr="00391CE4">
        <w:trPr>
          <w:trHeight w:val="227"/>
        </w:trPr>
        <w:tc>
          <w:tcPr>
            <w:tcW w:w="1379" w:type="pct"/>
            <w:vAlign w:val="center"/>
          </w:tcPr>
          <w:p w14:paraId="4F163595" w14:textId="77777777" w:rsidR="00F342D9" w:rsidRPr="008A7A35" w:rsidRDefault="00F342D9" w:rsidP="000F4707">
            <w:pPr>
              <w:rPr>
                <w:rFonts w:ascii="Arial" w:hAnsi="Arial" w:cs="Arial"/>
                <w:sz w:val="20"/>
                <w:szCs w:val="20"/>
              </w:rPr>
            </w:pPr>
          </w:p>
        </w:tc>
        <w:tc>
          <w:tcPr>
            <w:tcW w:w="1046" w:type="pct"/>
          </w:tcPr>
          <w:p w14:paraId="221262FB" w14:textId="77777777" w:rsidR="00F342D9" w:rsidRPr="008A7A35" w:rsidRDefault="00F342D9" w:rsidP="000F4707">
            <w:pPr>
              <w:jc w:val="right"/>
              <w:rPr>
                <w:rFonts w:ascii="Arial" w:hAnsi="Arial" w:cs="Arial"/>
                <w:sz w:val="20"/>
                <w:szCs w:val="20"/>
              </w:rPr>
            </w:pPr>
          </w:p>
        </w:tc>
        <w:tc>
          <w:tcPr>
            <w:tcW w:w="852" w:type="pct"/>
          </w:tcPr>
          <w:p w14:paraId="366C0675" w14:textId="77777777" w:rsidR="00F342D9" w:rsidRPr="008A7A35" w:rsidRDefault="00F342D9" w:rsidP="000F4707">
            <w:pPr>
              <w:jc w:val="right"/>
              <w:rPr>
                <w:rFonts w:ascii="Arial" w:hAnsi="Arial" w:cs="Arial"/>
                <w:sz w:val="20"/>
                <w:szCs w:val="20"/>
              </w:rPr>
            </w:pPr>
          </w:p>
        </w:tc>
        <w:tc>
          <w:tcPr>
            <w:tcW w:w="862" w:type="pct"/>
          </w:tcPr>
          <w:p w14:paraId="69409716" w14:textId="77777777" w:rsidR="00F342D9" w:rsidRPr="008A7A35" w:rsidRDefault="00F342D9" w:rsidP="000F4707">
            <w:pPr>
              <w:jc w:val="right"/>
              <w:rPr>
                <w:rFonts w:ascii="Arial" w:hAnsi="Arial" w:cs="Arial"/>
                <w:sz w:val="20"/>
                <w:szCs w:val="20"/>
              </w:rPr>
            </w:pPr>
          </w:p>
        </w:tc>
        <w:tc>
          <w:tcPr>
            <w:tcW w:w="860" w:type="pct"/>
          </w:tcPr>
          <w:p w14:paraId="6DF10600" w14:textId="77777777" w:rsidR="00F342D9" w:rsidRPr="008A7A35" w:rsidRDefault="00F342D9" w:rsidP="000F4707">
            <w:pPr>
              <w:jc w:val="right"/>
              <w:rPr>
                <w:rFonts w:ascii="Arial" w:hAnsi="Arial" w:cs="Arial"/>
                <w:sz w:val="20"/>
                <w:szCs w:val="20"/>
              </w:rPr>
            </w:pPr>
          </w:p>
        </w:tc>
      </w:tr>
    </w:tbl>
    <w:bookmarkEnd w:id="13"/>
    <w:p w14:paraId="40281B5A" w14:textId="266176C6" w:rsidR="00127E03" w:rsidRPr="008A7A35" w:rsidRDefault="00127E03" w:rsidP="00A0110A">
      <w:pPr>
        <w:pStyle w:val="Footnote"/>
        <w:jc w:val="both"/>
        <w:rPr>
          <w:rFonts w:cs="Arial"/>
        </w:rPr>
      </w:pPr>
      <w:r w:rsidRPr="008A7A35">
        <w:rPr>
          <w:rFonts w:cs="Arial"/>
          <w:vertAlign w:val="superscript"/>
        </w:rPr>
        <w:t>(1)</w:t>
      </w:r>
      <w:r w:rsidRPr="008A7A35">
        <w:rPr>
          <w:rFonts w:cs="Arial"/>
          <w:vertAlign w:val="superscript"/>
        </w:rPr>
        <w:tab/>
      </w:r>
      <w:r w:rsidRPr="008A7A35">
        <w:rPr>
          <w:rFonts w:cs="Arial"/>
        </w:rPr>
        <w:t xml:space="preserve">Non-executive </w:t>
      </w:r>
      <w:r w:rsidR="001440FE" w:rsidRPr="008A7A35">
        <w:rPr>
          <w:rFonts w:cs="Arial"/>
        </w:rPr>
        <w:t>Independent</w:t>
      </w:r>
      <w:r w:rsidRPr="008A7A35">
        <w:rPr>
          <w:rFonts w:cs="Arial"/>
        </w:rPr>
        <w:t xml:space="preserve"> Director.</w:t>
      </w:r>
    </w:p>
    <w:p w14:paraId="5DAE2BD4" w14:textId="58FF2DA0" w:rsidR="00127E03" w:rsidRPr="008A7A35" w:rsidRDefault="00127E03" w:rsidP="00127E03">
      <w:pPr>
        <w:pStyle w:val="Footnote"/>
        <w:jc w:val="both"/>
        <w:rPr>
          <w:rFonts w:cs="Arial"/>
        </w:rPr>
      </w:pPr>
      <w:r w:rsidRPr="008A7A35">
        <w:rPr>
          <w:rFonts w:cs="Arial"/>
          <w:vertAlign w:val="superscript"/>
        </w:rPr>
        <w:t>(</w:t>
      </w:r>
      <w:r w:rsidR="00A0110A" w:rsidRPr="008A7A35">
        <w:rPr>
          <w:rFonts w:cs="Arial"/>
          <w:vertAlign w:val="superscript"/>
        </w:rPr>
        <w:t>2</w:t>
      </w:r>
      <w:r w:rsidRPr="008A7A35">
        <w:rPr>
          <w:rFonts w:cs="Arial"/>
          <w:vertAlign w:val="superscript"/>
        </w:rPr>
        <w:t>)</w:t>
      </w:r>
      <w:r w:rsidRPr="008A7A35">
        <w:rPr>
          <w:rFonts w:cs="Arial"/>
          <w:vertAlign w:val="superscript"/>
        </w:rPr>
        <w:tab/>
      </w:r>
      <w:r w:rsidR="00C063A1">
        <w:rPr>
          <w:rFonts w:cs="Arial"/>
        </w:rPr>
        <w:t>Non-executive S</w:t>
      </w:r>
      <w:r w:rsidRPr="008A7A35">
        <w:rPr>
          <w:rFonts w:cs="Arial"/>
        </w:rPr>
        <w:t>enior Independent Director</w:t>
      </w:r>
      <w:r w:rsidR="00553EFD" w:rsidRPr="008A7A35">
        <w:rPr>
          <w:rFonts w:cs="Arial"/>
        </w:rPr>
        <w:t xml:space="preserve"> (</w:t>
      </w:r>
      <w:r w:rsidR="006C5101" w:rsidRPr="008A7A35">
        <w:rPr>
          <w:rFonts w:cs="Arial"/>
        </w:rPr>
        <w:t>from</w:t>
      </w:r>
      <w:r w:rsidR="00553EFD" w:rsidRPr="008A7A35">
        <w:rPr>
          <w:rFonts w:cs="Arial"/>
        </w:rPr>
        <w:t xml:space="preserve"> </w:t>
      </w:r>
      <w:r w:rsidR="000F4707" w:rsidRPr="008A7A35">
        <w:rPr>
          <w:rFonts w:cs="Arial"/>
        </w:rPr>
        <w:t>2</w:t>
      </w:r>
      <w:r w:rsidR="006C5101" w:rsidRPr="008A7A35">
        <w:rPr>
          <w:rFonts w:cs="Arial"/>
        </w:rPr>
        <w:t>1</w:t>
      </w:r>
      <w:r w:rsidR="00553EFD" w:rsidRPr="008A7A35">
        <w:rPr>
          <w:rFonts w:cs="Arial"/>
        </w:rPr>
        <w:t xml:space="preserve"> </w:t>
      </w:r>
      <w:r w:rsidR="000F4707" w:rsidRPr="008A7A35">
        <w:rPr>
          <w:rFonts w:cs="Arial"/>
        </w:rPr>
        <w:t xml:space="preserve">May </w:t>
      </w:r>
      <w:r w:rsidR="00553EFD" w:rsidRPr="008A7A35">
        <w:rPr>
          <w:rFonts w:cs="Arial"/>
        </w:rPr>
        <w:t>202</w:t>
      </w:r>
      <w:r w:rsidR="00227D93">
        <w:rPr>
          <w:rFonts w:cs="Arial"/>
        </w:rPr>
        <w:t>4</w:t>
      </w:r>
      <w:r w:rsidR="00553EFD" w:rsidRPr="008A7A35">
        <w:rPr>
          <w:rFonts w:cs="Arial"/>
        </w:rPr>
        <w:t>)</w:t>
      </w:r>
      <w:r w:rsidR="006C5101" w:rsidRPr="008A7A35">
        <w:rPr>
          <w:rFonts w:cs="Arial"/>
        </w:rPr>
        <w:t>.</w:t>
      </w:r>
    </w:p>
    <w:p w14:paraId="264C2AA7" w14:textId="4C778515" w:rsidR="006C5101" w:rsidRPr="008A7A35" w:rsidRDefault="00127E03" w:rsidP="00B93D5E">
      <w:pPr>
        <w:pStyle w:val="Footnote"/>
        <w:jc w:val="both"/>
        <w:rPr>
          <w:rFonts w:cs="Arial"/>
        </w:rPr>
      </w:pPr>
      <w:r w:rsidRPr="008A7A35">
        <w:rPr>
          <w:rFonts w:cs="Arial"/>
          <w:vertAlign w:val="superscript"/>
        </w:rPr>
        <w:t>(</w:t>
      </w:r>
      <w:r w:rsidR="00A0110A" w:rsidRPr="008A7A35">
        <w:rPr>
          <w:rFonts w:cs="Arial"/>
          <w:vertAlign w:val="superscript"/>
        </w:rPr>
        <w:t>3</w:t>
      </w:r>
      <w:r w:rsidRPr="008A7A35">
        <w:rPr>
          <w:rFonts w:cs="Arial"/>
          <w:vertAlign w:val="superscript"/>
        </w:rPr>
        <w:t xml:space="preserve">) </w:t>
      </w:r>
      <w:r w:rsidRPr="008A7A35">
        <w:rPr>
          <w:rFonts w:cs="Arial"/>
        </w:rPr>
        <w:tab/>
        <w:t>Ordinary Shares held indirectly with spouse.</w:t>
      </w:r>
    </w:p>
    <w:p w14:paraId="0F4CA2EF" w14:textId="50863FB2" w:rsidR="007D69E8" w:rsidRPr="008A7A35" w:rsidRDefault="007D69E8" w:rsidP="007D69E8">
      <w:pPr>
        <w:pStyle w:val="Footnote"/>
        <w:jc w:val="both"/>
        <w:rPr>
          <w:rFonts w:cs="Arial"/>
        </w:rPr>
      </w:pPr>
      <w:r w:rsidRPr="008A7A35">
        <w:rPr>
          <w:rFonts w:cs="Arial"/>
          <w:vertAlign w:val="superscript"/>
        </w:rPr>
        <w:t>(</w:t>
      </w:r>
      <w:r w:rsidR="00227D93">
        <w:rPr>
          <w:rFonts w:cs="Arial"/>
          <w:vertAlign w:val="superscript"/>
        </w:rPr>
        <w:t>3</w:t>
      </w:r>
      <w:r w:rsidRPr="008A7A35">
        <w:rPr>
          <w:rFonts w:cs="Arial"/>
          <w:vertAlign w:val="superscript"/>
        </w:rPr>
        <w:t xml:space="preserve">) </w:t>
      </w:r>
      <w:r w:rsidRPr="008A7A35">
        <w:rPr>
          <w:rFonts w:cs="Arial"/>
        </w:rPr>
        <w:tab/>
        <w:t>Retired from the Board on 20 May 202</w:t>
      </w:r>
      <w:r w:rsidR="00F342D9" w:rsidRPr="008A7A35">
        <w:rPr>
          <w:rFonts w:cs="Arial"/>
        </w:rPr>
        <w:t>5</w:t>
      </w:r>
      <w:r w:rsidRPr="008A7A35">
        <w:rPr>
          <w:rFonts w:cs="Arial"/>
        </w:rPr>
        <w:t>.</w:t>
      </w:r>
    </w:p>
    <w:p w14:paraId="00EA2806" w14:textId="058C21D2" w:rsidR="00630D44" w:rsidRPr="008A7A35" w:rsidRDefault="00630D44" w:rsidP="00C615DD">
      <w:pPr>
        <w:pStyle w:val="Footnote"/>
        <w:ind w:left="0" w:firstLine="0"/>
        <w:jc w:val="both"/>
        <w:rPr>
          <w:rFonts w:cs="Arial"/>
        </w:rPr>
      </w:pPr>
    </w:p>
    <w:p w14:paraId="5297E941" w14:textId="7611FCCD" w:rsidR="00127E03" w:rsidRPr="008A7A35" w:rsidRDefault="00630D44" w:rsidP="00127E03">
      <w:pPr>
        <w:pStyle w:val="Bodytext"/>
        <w:jc w:val="both"/>
        <w:rPr>
          <w:rFonts w:eastAsia="Calibri" w:cs="Arial"/>
          <w:kern w:val="2"/>
          <w:szCs w:val="20"/>
          <w14:ligatures w14:val="standardContextual"/>
        </w:rPr>
      </w:pPr>
      <w:r w:rsidRPr="008A7A35">
        <w:rPr>
          <w:rFonts w:eastAsia="Calibri" w:cs="Arial"/>
          <w:kern w:val="2"/>
          <w:szCs w:val="20"/>
          <w14:ligatures w14:val="standardContextual"/>
        </w:rPr>
        <w:t xml:space="preserve">There have been no changes to the </w:t>
      </w:r>
      <w:r w:rsidR="00E71B47" w:rsidRPr="008A7A35">
        <w:rPr>
          <w:rFonts w:eastAsia="Calibri" w:cs="Arial"/>
          <w:kern w:val="2"/>
          <w:szCs w:val="20"/>
          <w14:ligatures w14:val="standardContextual"/>
        </w:rPr>
        <w:t xml:space="preserve">current </w:t>
      </w:r>
      <w:r w:rsidRPr="008A7A35">
        <w:rPr>
          <w:rFonts w:eastAsia="Calibri" w:cs="Arial"/>
          <w:kern w:val="2"/>
          <w:szCs w:val="20"/>
          <w14:ligatures w14:val="standardContextual"/>
        </w:rPr>
        <w:t>Directors</w:t>
      </w:r>
      <w:r w:rsidR="00E71B47" w:rsidRPr="008A7A35">
        <w:rPr>
          <w:rFonts w:eastAsia="Calibri" w:cs="Arial"/>
          <w:kern w:val="2"/>
          <w:szCs w:val="20"/>
          <w14:ligatures w14:val="standardContextual"/>
        </w:rPr>
        <w:t>’</w:t>
      </w:r>
      <w:r w:rsidRPr="008A7A35">
        <w:rPr>
          <w:rFonts w:eastAsia="Calibri" w:cs="Arial"/>
          <w:kern w:val="2"/>
          <w:szCs w:val="20"/>
          <w14:ligatures w14:val="standardContextual"/>
        </w:rPr>
        <w:t xml:space="preserve"> shareholdings post period end.</w:t>
      </w:r>
    </w:p>
    <w:p w14:paraId="7D7EDFB7" w14:textId="77777777" w:rsidR="00630D44" w:rsidRPr="008A7A35" w:rsidRDefault="00630D44" w:rsidP="00127E03">
      <w:pPr>
        <w:pStyle w:val="Bodytext"/>
        <w:jc w:val="both"/>
        <w:rPr>
          <w:rFonts w:cs="Arial"/>
        </w:rPr>
      </w:pPr>
    </w:p>
    <w:p w14:paraId="0DC2588A" w14:textId="10627068" w:rsidR="00127E03" w:rsidRPr="008A7A35" w:rsidRDefault="00127E03" w:rsidP="00BE0416">
      <w:pPr>
        <w:pStyle w:val="Footnote"/>
        <w:ind w:left="0" w:firstLine="0"/>
        <w:jc w:val="both"/>
        <w:rPr>
          <w:rFonts w:eastAsia="Calibri" w:cs="Arial"/>
          <w:b/>
          <w:kern w:val="2"/>
          <w:sz w:val="20"/>
          <w:szCs w:val="20"/>
          <w14:ligatures w14:val="standardContextual"/>
        </w:rPr>
      </w:pPr>
      <w:r w:rsidRPr="008A7A35">
        <w:rPr>
          <w:rFonts w:eastAsia="Calibri" w:cs="Arial"/>
          <w:b/>
          <w:kern w:val="2"/>
          <w:sz w:val="20"/>
          <w:szCs w:val="20"/>
          <w14:ligatures w14:val="standardContextual"/>
        </w:rPr>
        <w:t>Going Concern</w:t>
      </w:r>
      <w:r w:rsidR="002C3F2E">
        <w:rPr>
          <w:rFonts w:eastAsia="Calibri" w:cs="Arial"/>
          <w:b/>
          <w:kern w:val="2"/>
          <w:sz w:val="20"/>
          <w:szCs w:val="20"/>
          <w14:ligatures w14:val="standardContextual"/>
        </w:rPr>
        <w:t xml:space="preserve"> Statement</w:t>
      </w:r>
      <w:r w:rsidRPr="008A7A35">
        <w:rPr>
          <w:rFonts w:eastAsia="Calibri" w:cs="Arial"/>
          <w:b/>
          <w:kern w:val="2"/>
          <w:sz w:val="20"/>
          <w:szCs w:val="20"/>
          <w14:ligatures w14:val="standardContextual"/>
        </w:rPr>
        <w:t xml:space="preserve">  </w:t>
      </w:r>
    </w:p>
    <w:p w14:paraId="075739A2" w14:textId="77777777" w:rsidR="002C3F2E" w:rsidRDefault="0062079D" w:rsidP="008A7A35">
      <w:pPr>
        <w:spacing w:after="160"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The Directors, as at the date of this report, are required to consider whether they have a reasonable expectation that the Company has adequate resources to continue in operational existence for the foreseeable future. </w:t>
      </w:r>
    </w:p>
    <w:p w14:paraId="08E7B340" w14:textId="20AD4E1D" w:rsidR="0062079D" w:rsidRPr="008A7A35" w:rsidRDefault="0062079D" w:rsidP="008A7A35">
      <w:pPr>
        <w:spacing w:after="160"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Following the EGM held on 22 August 2025 at which </w:t>
      </w:r>
      <w:r w:rsidR="00BC6676">
        <w:rPr>
          <w:rFonts w:ascii="Arial" w:eastAsia="Calibri" w:hAnsi="Arial" w:cs="Arial"/>
          <w:kern w:val="2"/>
          <w:sz w:val="20"/>
          <w:szCs w:val="20"/>
          <w14:ligatures w14:val="standardContextual"/>
        </w:rPr>
        <w:t>S</w:t>
      </w:r>
      <w:r w:rsidRPr="008A7A35">
        <w:rPr>
          <w:rFonts w:ascii="Arial" w:eastAsia="Calibri" w:hAnsi="Arial" w:cs="Arial"/>
          <w:kern w:val="2"/>
          <w:sz w:val="20"/>
          <w:szCs w:val="20"/>
          <w14:ligatures w14:val="standardContextual"/>
        </w:rPr>
        <w:t xml:space="preserve">hareholders unanimously voted in favour of a change in the Company’s investment objective and policy to </w:t>
      </w:r>
      <w:r w:rsidR="002C3F2E">
        <w:rPr>
          <w:rFonts w:ascii="Arial" w:eastAsia="Calibri" w:hAnsi="Arial" w:cs="Arial"/>
          <w:kern w:val="2"/>
          <w:sz w:val="20"/>
          <w:szCs w:val="20"/>
          <w14:ligatures w14:val="standardContextual"/>
        </w:rPr>
        <w:t xml:space="preserve">move to an orderly realisation of the Company’s assets and </w:t>
      </w:r>
      <w:r w:rsidRPr="008A7A35">
        <w:rPr>
          <w:rFonts w:ascii="Arial" w:eastAsia="Calibri" w:hAnsi="Arial" w:cs="Arial"/>
          <w:kern w:val="2"/>
          <w:sz w:val="20"/>
          <w:szCs w:val="20"/>
          <w14:ligatures w14:val="standardContextual"/>
        </w:rPr>
        <w:t>a Managed Wind-Down</w:t>
      </w:r>
      <w:r w:rsidR="002C3F2E">
        <w:rPr>
          <w:rFonts w:ascii="Arial" w:eastAsia="Calibri" w:hAnsi="Arial" w:cs="Arial"/>
          <w:kern w:val="2"/>
          <w:sz w:val="20"/>
          <w:szCs w:val="20"/>
          <w14:ligatures w14:val="standardContextual"/>
        </w:rPr>
        <w:t xml:space="preserve"> process, the </w:t>
      </w:r>
      <w:r w:rsidRPr="008A7A35">
        <w:rPr>
          <w:rFonts w:ascii="Arial" w:eastAsia="Calibri" w:hAnsi="Arial" w:cs="Arial"/>
          <w:kern w:val="2"/>
          <w:sz w:val="20"/>
          <w:szCs w:val="20"/>
          <w14:ligatures w14:val="standardContextual"/>
        </w:rPr>
        <w:t xml:space="preserve">Company’s </w:t>
      </w:r>
      <w:r w:rsidR="002C3F2E">
        <w:rPr>
          <w:rFonts w:ascii="Arial" w:eastAsia="Calibri" w:hAnsi="Arial" w:cs="Arial"/>
          <w:kern w:val="2"/>
          <w:sz w:val="20"/>
          <w:szCs w:val="20"/>
          <w14:ligatures w14:val="standardContextual"/>
        </w:rPr>
        <w:t>i</w:t>
      </w:r>
      <w:r w:rsidRPr="008A7A35">
        <w:rPr>
          <w:rFonts w:ascii="Arial" w:eastAsia="Calibri" w:hAnsi="Arial" w:cs="Arial"/>
          <w:kern w:val="2"/>
          <w:sz w:val="20"/>
          <w:szCs w:val="20"/>
          <w14:ligatures w14:val="standardContextual"/>
        </w:rPr>
        <w:t xml:space="preserve">nvestment objective is </w:t>
      </w:r>
      <w:r w:rsidR="002C3F2E">
        <w:rPr>
          <w:rFonts w:ascii="Arial" w:eastAsia="Calibri" w:hAnsi="Arial" w:cs="Arial"/>
          <w:kern w:val="2"/>
          <w:sz w:val="20"/>
          <w:szCs w:val="20"/>
          <w14:ligatures w14:val="standardContextual"/>
        </w:rPr>
        <w:t xml:space="preserve">now </w:t>
      </w:r>
      <w:r w:rsidRPr="008A7A35">
        <w:rPr>
          <w:rFonts w:ascii="Arial" w:eastAsia="Calibri" w:hAnsi="Arial" w:cs="Arial"/>
          <w:kern w:val="2"/>
          <w:sz w:val="20"/>
          <w:szCs w:val="20"/>
          <w14:ligatures w14:val="standardContextual"/>
        </w:rPr>
        <w:t>to “</w:t>
      </w:r>
      <w:r w:rsidR="002C3F2E">
        <w:rPr>
          <w:rFonts w:ascii="Arial" w:eastAsia="Calibri" w:hAnsi="Arial" w:cs="Arial"/>
          <w:kern w:val="2"/>
          <w:sz w:val="20"/>
          <w:szCs w:val="20"/>
          <w14:ligatures w14:val="standardContextual"/>
        </w:rPr>
        <w:t>realise all existing investments in the Company’s portfolio in an orderly manner and make timely returns of cash to Shareholders</w:t>
      </w:r>
      <w:r w:rsidRPr="008A7A35">
        <w:rPr>
          <w:rFonts w:ascii="Arial" w:eastAsia="Calibri" w:hAnsi="Arial" w:cs="Arial"/>
          <w:kern w:val="2"/>
          <w:sz w:val="20"/>
          <w:szCs w:val="20"/>
          <w14:ligatures w14:val="standardContextual"/>
        </w:rPr>
        <w:t xml:space="preserve">.” The Company is therefore </w:t>
      </w:r>
      <w:r w:rsidR="002C3F2E">
        <w:rPr>
          <w:rFonts w:ascii="Arial" w:eastAsia="Calibri" w:hAnsi="Arial" w:cs="Arial"/>
          <w:kern w:val="2"/>
          <w:sz w:val="20"/>
          <w:szCs w:val="20"/>
          <w14:ligatures w14:val="standardContextual"/>
        </w:rPr>
        <w:t xml:space="preserve">now </w:t>
      </w:r>
      <w:r w:rsidRPr="008A7A35">
        <w:rPr>
          <w:rFonts w:ascii="Arial" w:eastAsia="Calibri" w:hAnsi="Arial" w:cs="Arial"/>
          <w:kern w:val="2"/>
          <w:sz w:val="20"/>
          <w:szCs w:val="20"/>
          <w14:ligatures w14:val="standardContextual"/>
        </w:rPr>
        <w:t xml:space="preserve">preparing its financial statements on a basis other than going concern due to the </w:t>
      </w:r>
      <w:r w:rsidR="002C3F2E">
        <w:rPr>
          <w:rFonts w:ascii="Arial" w:eastAsia="Calibri" w:hAnsi="Arial" w:cs="Arial"/>
          <w:kern w:val="2"/>
          <w:sz w:val="20"/>
          <w:szCs w:val="20"/>
          <w14:ligatures w14:val="standardContextual"/>
        </w:rPr>
        <w:t>C</w:t>
      </w:r>
      <w:r w:rsidRPr="008A7A35">
        <w:rPr>
          <w:rFonts w:ascii="Arial" w:eastAsia="Calibri" w:hAnsi="Arial" w:cs="Arial"/>
          <w:kern w:val="2"/>
          <w:sz w:val="20"/>
          <w:szCs w:val="20"/>
          <w14:ligatures w14:val="standardContextual"/>
        </w:rPr>
        <w:t>ompany being in a Managed Wind-Down</w:t>
      </w:r>
      <w:r w:rsidR="002C3F2E">
        <w:rPr>
          <w:rFonts w:ascii="Arial" w:eastAsia="Calibri" w:hAnsi="Arial" w:cs="Arial"/>
          <w:kern w:val="2"/>
          <w:sz w:val="20"/>
          <w:szCs w:val="20"/>
          <w14:ligatures w14:val="standardContextual"/>
        </w:rPr>
        <w:t xml:space="preserve"> process</w:t>
      </w:r>
      <w:r w:rsidR="00434751">
        <w:rPr>
          <w:rFonts w:ascii="Arial" w:eastAsia="Calibri" w:hAnsi="Arial" w:cs="Arial"/>
          <w:kern w:val="2"/>
          <w:sz w:val="20"/>
          <w:szCs w:val="20"/>
          <w14:ligatures w14:val="standardContextual"/>
        </w:rPr>
        <w:t xml:space="preserve">. No material differences arise from this new basis of preparation when compared to the previously adopted going concern basis of preparation. </w:t>
      </w:r>
    </w:p>
    <w:p w14:paraId="5E910A5E" w14:textId="1D757881" w:rsidR="0062079D" w:rsidRPr="008A7A35" w:rsidRDefault="0062079D" w:rsidP="0062079D">
      <w:pPr>
        <w:spacing w:after="160" w:line="256" w:lineRule="auto"/>
        <w:jc w:val="both"/>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The Company will continue to carry on its investment business during the </w:t>
      </w:r>
      <w:r w:rsidR="002C3F2E">
        <w:rPr>
          <w:rFonts w:ascii="Arial" w:eastAsia="Calibri" w:hAnsi="Arial" w:cs="Arial"/>
          <w:kern w:val="2"/>
          <w:sz w:val="20"/>
          <w:szCs w:val="20"/>
          <w14:ligatures w14:val="standardContextual"/>
        </w:rPr>
        <w:t>M</w:t>
      </w:r>
      <w:r w:rsidRPr="008A7A35">
        <w:rPr>
          <w:rFonts w:ascii="Arial" w:eastAsia="Calibri" w:hAnsi="Arial" w:cs="Arial"/>
          <w:kern w:val="2"/>
          <w:sz w:val="20"/>
          <w:szCs w:val="20"/>
          <w14:ligatures w14:val="standardContextual"/>
        </w:rPr>
        <w:t xml:space="preserve">anaged </w:t>
      </w:r>
      <w:r w:rsidR="002C3F2E">
        <w:rPr>
          <w:rFonts w:ascii="Arial" w:eastAsia="Calibri" w:hAnsi="Arial" w:cs="Arial"/>
          <w:kern w:val="2"/>
          <w:sz w:val="20"/>
          <w:szCs w:val="20"/>
          <w14:ligatures w14:val="standardContextual"/>
        </w:rPr>
        <w:t>W</w:t>
      </w:r>
      <w:r w:rsidRPr="008A7A35">
        <w:rPr>
          <w:rFonts w:ascii="Arial" w:eastAsia="Calibri" w:hAnsi="Arial" w:cs="Arial"/>
          <w:kern w:val="2"/>
          <w:sz w:val="20"/>
          <w:szCs w:val="20"/>
          <w14:ligatures w14:val="standardContextual"/>
        </w:rPr>
        <w:t>ind-</w:t>
      </w:r>
      <w:r w:rsidR="002C3F2E">
        <w:rPr>
          <w:rFonts w:ascii="Arial" w:eastAsia="Calibri" w:hAnsi="Arial" w:cs="Arial"/>
          <w:kern w:val="2"/>
          <w:sz w:val="20"/>
          <w:szCs w:val="20"/>
          <w14:ligatures w14:val="standardContextual"/>
        </w:rPr>
        <w:t>D</w:t>
      </w:r>
      <w:r w:rsidRPr="008A7A35">
        <w:rPr>
          <w:rFonts w:ascii="Arial" w:eastAsia="Calibri" w:hAnsi="Arial" w:cs="Arial"/>
          <w:kern w:val="2"/>
          <w:sz w:val="20"/>
          <w:szCs w:val="20"/>
          <w14:ligatures w14:val="standardContextual"/>
        </w:rPr>
        <w:t>own and with the expectation of realising the Company’s assets and returning of capital to its Shareholders.</w:t>
      </w:r>
    </w:p>
    <w:p w14:paraId="4A9BD54A" w14:textId="4C225A4F" w:rsidR="002C3F2E" w:rsidRDefault="002C3F2E" w:rsidP="00830133">
      <w:pPr>
        <w:pStyle w:val="Bodytext"/>
        <w:jc w:val="both"/>
        <w:rPr>
          <w:rFonts w:eastAsia="Calibri" w:cs="Arial"/>
          <w:kern w:val="2"/>
          <w:szCs w:val="20"/>
          <w14:ligatures w14:val="standardContextual"/>
        </w:rPr>
      </w:pPr>
      <w:r w:rsidRPr="002C3F2E">
        <w:rPr>
          <w:rFonts w:eastAsia="Calibri" w:cs="Arial"/>
          <w:kern w:val="2"/>
          <w:szCs w:val="20"/>
          <w14:ligatures w14:val="standardContextual"/>
        </w:rPr>
        <w:t>The Directors have assessed the Company’s</w:t>
      </w:r>
      <w:r>
        <w:rPr>
          <w:rFonts w:eastAsia="Calibri" w:cs="Arial"/>
          <w:kern w:val="2"/>
          <w:szCs w:val="20"/>
          <w14:ligatures w14:val="standardContextual"/>
        </w:rPr>
        <w:t xml:space="preserve"> </w:t>
      </w:r>
      <w:r w:rsidRPr="002C3F2E">
        <w:rPr>
          <w:rFonts w:eastAsia="Calibri" w:cs="Arial"/>
          <w:kern w:val="2"/>
          <w:szCs w:val="20"/>
          <w14:ligatures w14:val="standardContextual"/>
        </w:rPr>
        <w:t>ability to continue as a going</w:t>
      </w:r>
      <w:r w:rsidR="00434751">
        <w:rPr>
          <w:rFonts w:eastAsia="Calibri" w:cs="Arial"/>
          <w:kern w:val="2"/>
          <w:szCs w:val="20"/>
          <w14:ligatures w14:val="standardContextual"/>
        </w:rPr>
        <w:t xml:space="preserve"> concern</w:t>
      </w:r>
      <w:r w:rsidRPr="002C3F2E">
        <w:rPr>
          <w:rFonts w:eastAsia="Calibri" w:cs="Arial"/>
          <w:kern w:val="2"/>
          <w:szCs w:val="20"/>
          <w14:ligatures w14:val="standardContextual"/>
        </w:rPr>
        <w:t>,</w:t>
      </w:r>
      <w:r>
        <w:rPr>
          <w:rFonts w:eastAsia="Calibri" w:cs="Arial"/>
          <w:kern w:val="2"/>
          <w:szCs w:val="20"/>
          <w14:ligatures w14:val="standardContextual"/>
        </w:rPr>
        <w:t xml:space="preserve"> </w:t>
      </w:r>
      <w:r w:rsidRPr="002C3F2E">
        <w:rPr>
          <w:rFonts w:eastAsia="Calibri" w:cs="Arial"/>
          <w:kern w:val="2"/>
          <w:szCs w:val="20"/>
          <w14:ligatures w14:val="standardContextual"/>
        </w:rPr>
        <w:t>having considered the liquidity of the</w:t>
      </w:r>
      <w:r>
        <w:rPr>
          <w:rFonts w:eastAsia="Calibri" w:cs="Arial"/>
          <w:kern w:val="2"/>
          <w:szCs w:val="20"/>
          <w14:ligatures w14:val="standardContextual"/>
        </w:rPr>
        <w:t xml:space="preserve"> Company’s Public Portfolio </w:t>
      </w:r>
      <w:r w:rsidRPr="002C3F2E">
        <w:rPr>
          <w:rFonts w:eastAsia="Calibri" w:cs="Arial"/>
          <w:kern w:val="2"/>
          <w:szCs w:val="20"/>
          <w14:ligatures w14:val="standardContextual"/>
        </w:rPr>
        <w:t>and the</w:t>
      </w:r>
      <w:r>
        <w:rPr>
          <w:rFonts w:eastAsia="Calibri" w:cs="Arial"/>
          <w:kern w:val="2"/>
          <w:szCs w:val="20"/>
          <w14:ligatures w14:val="standardContextual"/>
        </w:rPr>
        <w:t xml:space="preserve"> </w:t>
      </w:r>
      <w:r w:rsidRPr="002C3F2E">
        <w:rPr>
          <w:rFonts w:eastAsia="Calibri" w:cs="Arial"/>
          <w:kern w:val="2"/>
          <w:szCs w:val="20"/>
          <w14:ligatures w14:val="standardContextual"/>
        </w:rPr>
        <w:t>Company’s financial position in respect of its</w:t>
      </w:r>
      <w:r>
        <w:rPr>
          <w:rFonts w:eastAsia="Calibri" w:cs="Arial"/>
          <w:kern w:val="2"/>
          <w:szCs w:val="20"/>
          <w14:ligatures w14:val="standardContextual"/>
        </w:rPr>
        <w:t xml:space="preserve"> </w:t>
      </w:r>
      <w:r w:rsidRPr="002C3F2E">
        <w:rPr>
          <w:rFonts w:eastAsia="Calibri" w:cs="Arial"/>
          <w:kern w:val="2"/>
          <w:szCs w:val="20"/>
          <w14:ligatures w14:val="standardContextual"/>
        </w:rPr>
        <w:t>level of cash as well as its forecasted future</w:t>
      </w:r>
      <w:r>
        <w:rPr>
          <w:rFonts w:eastAsia="Calibri" w:cs="Arial"/>
          <w:kern w:val="2"/>
          <w:szCs w:val="20"/>
          <w14:ligatures w14:val="standardContextual"/>
        </w:rPr>
        <w:t xml:space="preserve"> </w:t>
      </w:r>
      <w:r w:rsidRPr="002C3F2E">
        <w:rPr>
          <w:rFonts w:eastAsia="Calibri" w:cs="Arial"/>
          <w:kern w:val="2"/>
          <w:szCs w:val="20"/>
          <w14:ligatures w14:val="standardContextual"/>
        </w:rPr>
        <w:t>cash flows</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After making enquiries of the Investment</w:t>
      </w:r>
      <w:r>
        <w:rPr>
          <w:rFonts w:eastAsia="Calibri" w:cs="Arial"/>
          <w:kern w:val="2"/>
          <w:szCs w:val="20"/>
          <w14:ligatures w14:val="standardContextual"/>
        </w:rPr>
        <w:t xml:space="preserve"> </w:t>
      </w:r>
      <w:r w:rsidRPr="002C3F2E">
        <w:rPr>
          <w:rFonts w:eastAsia="Calibri" w:cs="Arial"/>
          <w:kern w:val="2"/>
          <w:szCs w:val="20"/>
          <w14:ligatures w14:val="standardContextual"/>
        </w:rPr>
        <w:t>Manager on the forecast</w:t>
      </w:r>
      <w:r w:rsidR="00227D93">
        <w:rPr>
          <w:rFonts w:eastAsia="Calibri" w:cs="Arial"/>
          <w:kern w:val="2"/>
          <w:szCs w:val="20"/>
          <w14:ligatures w14:val="standardContextual"/>
        </w:rPr>
        <w:t>ed</w:t>
      </w:r>
      <w:r w:rsidRPr="002C3F2E">
        <w:rPr>
          <w:rFonts w:eastAsia="Calibri" w:cs="Arial"/>
          <w:kern w:val="2"/>
          <w:szCs w:val="20"/>
          <w14:ligatures w14:val="standardContextual"/>
        </w:rPr>
        <w:t xml:space="preserve"> cash</w:t>
      </w:r>
      <w:r>
        <w:rPr>
          <w:rFonts w:eastAsia="Calibri" w:cs="Arial"/>
          <w:kern w:val="2"/>
          <w:szCs w:val="20"/>
          <w14:ligatures w14:val="standardContextual"/>
        </w:rPr>
        <w:t xml:space="preserve"> </w:t>
      </w:r>
      <w:proofErr w:type="gramStart"/>
      <w:r w:rsidRPr="002C3F2E">
        <w:rPr>
          <w:rFonts w:eastAsia="Calibri" w:cs="Arial"/>
          <w:kern w:val="2"/>
          <w:szCs w:val="20"/>
          <w14:ligatures w14:val="standardContextual"/>
        </w:rPr>
        <w:t>flows, and</w:t>
      </w:r>
      <w:proofErr w:type="gramEnd"/>
      <w:r w:rsidRPr="002C3F2E">
        <w:rPr>
          <w:rFonts w:eastAsia="Calibri" w:cs="Arial"/>
          <w:kern w:val="2"/>
          <w:szCs w:val="20"/>
          <w14:ligatures w14:val="standardContextual"/>
        </w:rPr>
        <w:t xml:space="preserve"> having reassessed the principal</w:t>
      </w:r>
      <w:r>
        <w:rPr>
          <w:rFonts w:eastAsia="Calibri" w:cs="Arial"/>
          <w:kern w:val="2"/>
          <w:szCs w:val="20"/>
          <w14:ligatures w14:val="standardContextual"/>
        </w:rPr>
        <w:t xml:space="preserve"> </w:t>
      </w:r>
      <w:r w:rsidRPr="002C3F2E">
        <w:rPr>
          <w:rFonts w:eastAsia="Calibri" w:cs="Arial"/>
          <w:kern w:val="2"/>
          <w:szCs w:val="20"/>
          <w14:ligatures w14:val="standardContextual"/>
        </w:rPr>
        <w:t xml:space="preserve">risks </w:t>
      </w:r>
      <w:proofErr w:type="gramStart"/>
      <w:r w:rsidRPr="002C3F2E">
        <w:rPr>
          <w:rFonts w:eastAsia="Calibri" w:cs="Arial"/>
          <w:kern w:val="2"/>
          <w:szCs w:val="20"/>
          <w14:ligatures w14:val="standardContextual"/>
        </w:rPr>
        <w:t>in light of</w:t>
      </w:r>
      <w:proofErr w:type="gramEnd"/>
      <w:r w:rsidRPr="002C3F2E">
        <w:rPr>
          <w:rFonts w:eastAsia="Calibri" w:cs="Arial"/>
          <w:kern w:val="2"/>
          <w:szCs w:val="20"/>
          <w14:ligatures w14:val="standardContextual"/>
        </w:rPr>
        <w:t xml:space="preserve"> the recent changes to</w:t>
      </w:r>
      <w:r>
        <w:rPr>
          <w:rFonts w:eastAsia="Calibri" w:cs="Arial"/>
          <w:kern w:val="2"/>
          <w:szCs w:val="20"/>
          <w14:ligatures w14:val="standardContextual"/>
        </w:rPr>
        <w:t xml:space="preserve"> </w:t>
      </w:r>
      <w:r w:rsidRPr="002C3F2E">
        <w:rPr>
          <w:rFonts w:eastAsia="Calibri" w:cs="Arial"/>
          <w:kern w:val="2"/>
          <w:szCs w:val="20"/>
          <w14:ligatures w14:val="standardContextual"/>
        </w:rPr>
        <w:t>the Company’s investment objective and</w:t>
      </w:r>
      <w:r>
        <w:rPr>
          <w:rFonts w:eastAsia="Calibri" w:cs="Arial"/>
          <w:kern w:val="2"/>
          <w:szCs w:val="20"/>
          <w14:ligatures w14:val="standardContextual"/>
        </w:rPr>
        <w:t xml:space="preserve"> </w:t>
      </w:r>
      <w:r w:rsidRPr="002C3F2E">
        <w:rPr>
          <w:rFonts w:eastAsia="Calibri" w:cs="Arial"/>
          <w:kern w:val="2"/>
          <w:szCs w:val="20"/>
          <w14:ligatures w14:val="standardContextual"/>
        </w:rPr>
        <w:t>strategy, the Directors are satisfied that</w:t>
      </w:r>
      <w:r>
        <w:rPr>
          <w:rFonts w:eastAsia="Calibri" w:cs="Arial"/>
          <w:kern w:val="2"/>
          <w:szCs w:val="20"/>
          <w14:ligatures w14:val="standardContextual"/>
        </w:rPr>
        <w:t xml:space="preserve"> </w:t>
      </w:r>
      <w:r w:rsidRPr="002C3F2E">
        <w:rPr>
          <w:rFonts w:eastAsia="Calibri" w:cs="Arial"/>
          <w:kern w:val="2"/>
          <w:szCs w:val="20"/>
          <w14:ligatures w14:val="standardContextual"/>
        </w:rPr>
        <w:t>the Company has adequate resources to</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 xml:space="preserve">continue in operational existence </w:t>
      </w:r>
      <w:r w:rsidR="00434751">
        <w:rPr>
          <w:rFonts w:eastAsia="Calibri" w:cs="Arial"/>
          <w:kern w:val="2"/>
          <w:szCs w:val="20"/>
          <w14:ligatures w14:val="standardContextual"/>
        </w:rPr>
        <w:t xml:space="preserve">and meet all its obligations as they fall due </w:t>
      </w:r>
      <w:r w:rsidR="005376B6">
        <w:rPr>
          <w:rFonts w:eastAsia="Calibri" w:cs="Arial"/>
          <w:kern w:val="2"/>
          <w:szCs w:val="20"/>
          <w14:ligatures w14:val="standardContextual"/>
        </w:rPr>
        <w:t>over the Managed Wind-Down period</w:t>
      </w:r>
      <w:r w:rsidRPr="002C3F2E">
        <w:rPr>
          <w:rFonts w:eastAsia="Calibri" w:cs="Arial"/>
          <w:kern w:val="2"/>
          <w:szCs w:val="20"/>
          <w14:ligatures w14:val="standardContextual"/>
        </w:rPr>
        <w:t xml:space="preserve">. Based </w:t>
      </w:r>
      <w:r w:rsidRPr="002C3F2E">
        <w:rPr>
          <w:rFonts w:eastAsia="Calibri" w:cs="Arial"/>
          <w:kern w:val="2"/>
          <w:szCs w:val="20"/>
          <w14:ligatures w14:val="standardContextual"/>
        </w:rPr>
        <w:lastRenderedPageBreak/>
        <w:t>on the</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above</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assessment</w:t>
      </w:r>
      <w:r w:rsidR="00434751">
        <w:rPr>
          <w:rFonts w:eastAsia="Calibri" w:cs="Arial"/>
          <w:kern w:val="2"/>
          <w:szCs w:val="20"/>
          <w14:ligatures w14:val="standardContextual"/>
        </w:rPr>
        <w:t xml:space="preserve"> and primarily driven by the new investment objective</w:t>
      </w:r>
      <w:r w:rsidRPr="002C3F2E">
        <w:rPr>
          <w:rFonts w:eastAsia="Calibri" w:cs="Arial"/>
          <w:kern w:val="2"/>
          <w:szCs w:val="20"/>
          <w14:ligatures w14:val="standardContextual"/>
        </w:rPr>
        <w:t>, the Directors have</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concluded that the financial statements</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 xml:space="preserve">of the Company should </w:t>
      </w:r>
      <w:r w:rsidR="00434751">
        <w:rPr>
          <w:rFonts w:eastAsia="Calibri" w:cs="Arial"/>
          <w:kern w:val="2"/>
          <w:szCs w:val="20"/>
          <w14:ligatures w14:val="standardContextual"/>
        </w:rPr>
        <w:t xml:space="preserve">now be prepared on a basis other than </w:t>
      </w:r>
      <w:r w:rsidRPr="002C3F2E">
        <w:rPr>
          <w:rFonts w:eastAsia="Calibri" w:cs="Arial"/>
          <w:kern w:val="2"/>
          <w:szCs w:val="20"/>
          <w14:ligatures w14:val="standardContextual"/>
        </w:rPr>
        <w:t>going concern and the</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financial statements have been prepared</w:t>
      </w:r>
      <w:r w:rsidR="00434751">
        <w:rPr>
          <w:rFonts w:eastAsia="Calibri" w:cs="Arial"/>
          <w:kern w:val="2"/>
          <w:szCs w:val="20"/>
          <w14:ligatures w14:val="standardContextual"/>
        </w:rPr>
        <w:t xml:space="preserve"> </w:t>
      </w:r>
      <w:r w:rsidRPr="002C3F2E">
        <w:rPr>
          <w:rFonts w:eastAsia="Calibri" w:cs="Arial"/>
          <w:kern w:val="2"/>
          <w:szCs w:val="20"/>
          <w14:ligatures w14:val="standardContextual"/>
        </w:rPr>
        <w:t>accordingly.</w:t>
      </w:r>
    </w:p>
    <w:p w14:paraId="4D628B65" w14:textId="77777777" w:rsidR="002C3F2E" w:rsidRDefault="002C3F2E" w:rsidP="008A7A35">
      <w:pPr>
        <w:spacing w:after="160" w:line="256" w:lineRule="auto"/>
        <w:jc w:val="both"/>
        <w:rPr>
          <w:rFonts w:ascii="Arial" w:eastAsia="Calibri" w:hAnsi="Arial" w:cs="Arial"/>
          <w:kern w:val="2"/>
          <w:sz w:val="20"/>
          <w:szCs w:val="20"/>
          <w14:ligatures w14:val="standardContextual"/>
        </w:rPr>
      </w:pPr>
    </w:p>
    <w:p w14:paraId="4AF0F892" w14:textId="77777777" w:rsidR="00127E03" w:rsidRPr="008A7A35" w:rsidRDefault="00127E03" w:rsidP="00830133">
      <w:pPr>
        <w:spacing w:line="256" w:lineRule="auto"/>
        <w:jc w:val="both"/>
        <w:rPr>
          <w:rFonts w:ascii="Arial" w:eastAsia="Calibri" w:hAnsi="Arial" w:cs="Arial"/>
          <w:b/>
          <w:bCs/>
          <w:kern w:val="2"/>
          <w:sz w:val="20"/>
          <w:szCs w:val="20"/>
          <w14:ligatures w14:val="standardContextual"/>
        </w:rPr>
      </w:pPr>
      <w:r w:rsidRPr="008A7A35">
        <w:rPr>
          <w:rFonts w:ascii="Arial" w:eastAsia="Calibri" w:hAnsi="Arial" w:cs="Arial"/>
          <w:b/>
          <w:bCs/>
          <w:kern w:val="2"/>
          <w:sz w:val="20"/>
          <w:szCs w:val="20"/>
          <w14:ligatures w14:val="standardContextual"/>
        </w:rPr>
        <w:t>Post Period End Updates</w:t>
      </w:r>
    </w:p>
    <w:p w14:paraId="47F44195" w14:textId="594A1DA2" w:rsidR="00B273F3" w:rsidRPr="008A7A35" w:rsidRDefault="00B273F3" w:rsidP="005039AC">
      <w:pPr>
        <w:pStyle w:val="CommentText"/>
        <w:jc w:val="both"/>
        <w:rPr>
          <w:rFonts w:ascii="Arial" w:hAnsi="Arial" w:cs="Arial"/>
        </w:rPr>
      </w:pPr>
      <w:r w:rsidRPr="008A7A35">
        <w:rPr>
          <w:rFonts w:ascii="Arial" w:hAnsi="Arial" w:cs="Arial"/>
        </w:rPr>
        <w:t xml:space="preserve">As discussed above, </w:t>
      </w:r>
      <w:proofErr w:type="gramStart"/>
      <w:r w:rsidRPr="008A7A35">
        <w:rPr>
          <w:rFonts w:ascii="Arial" w:hAnsi="Arial" w:cs="Arial"/>
        </w:rPr>
        <w:t>as a result of</w:t>
      </w:r>
      <w:proofErr w:type="gramEnd"/>
      <w:r w:rsidRPr="008A7A35">
        <w:rPr>
          <w:rFonts w:ascii="Arial" w:hAnsi="Arial" w:cs="Arial"/>
        </w:rPr>
        <w:t xml:space="preserve"> discussions between the Investment Manager and the Board as to the strategic direction of the Company, the Company and the Investment Manager agreed the key terms of a proposal for a Managed Wind-Down of the Company</w:t>
      </w:r>
      <w:r w:rsidR="00434751">
        <w:rPr>
          <w:rFonts w:ascii="Arial" w:hAnsi="Arial" w:cs="Arial"/>
        </w:rPr>
        <w:t>.</w:t>
      </w:r>
    </w:p>
    <w:p w14:paraId="0084D576" w14:textId="77777777" w:rsidR="00B273F3" w:rsidRPr="008A7A35" w:rsidRDefault="00B273F3" w:rsidP="00B273F3">
      <w:pPr>
        <w:pStyle w:val="CommentText"/>
        <w:jc w:val="both"/>
        <w:rPr>
          <w:rFonts w:ascii="Arial" w:hAnsi="Arial" w:cs="Arial"/>
        </w:rPr>
      </w:pPr>
    </w:p>
    <w:p w14:paraId="388605A2" w14:textId="339A7DF6" w:rsidR="00DE4E0D" w:rsidRPr="008A7A35" w:rsidRDefault="00B273F3" w:rsidP="004672F8">
      <w:pPr>
        <w:pStyle w:val="CommentText"/>
        <w:jc w:val="both"/>
        <w:rPr>
          <w:rFonts w:ascii="Arial" w:hAnsi="Arial" w:cs="Arial"/>
        </w:rPr>
      </w:pPr>
      <w:r w:rsidRPr="008A7A35">
        <w:rPr>
          <w:rFonts w:ascii="Arial" w:hAnsi="Arial" w:cs="Arial"/>
        </w:rPr>
        <w:t xml:space="preserve">Following Shareholder approval at </w:t>
      </w:r>
      <w:r w:rsidR="000877CD">
        <w:rPr>
          <w:rFonts w:ascii="Arial" w:hAnsi="Arial" w:cs="Arial"/>
        </w:rPr>
        <w:t>that</w:t>
      </w:r>
      <w:r w:rsidRPr="008A7A35">
        <w:rPr>
          <w:rFonts w:ascii="Arial" w:hAnsi="Arial" w:cs="Arial"/>
        </w:rPr>
        <w:t xml:space="preserve"> EGM, the Company’s investment objective and policy </w:t>
      </w:r>
      <w:r w:rsidR="000877CD">
        <w:rPr>
          <w:rFonts w:ascii="Arial" w:hAnsi="Arial" w:cs="Arial"/>
        </w:rPr>
        <w:t>were</w:t>
      </w:r>
      <w:r w:rsidRPr="008A7A35">
        <w:rPr>
          <w:rFonts w:ascii="Arial" w:hAnsi="Arial" w:cs="Arial"/>
        </w:rPr>
        <w:t xml:space="preserve"> amended to facilitate the orderly realisation</w:t>
      </w:r>
      <w:r w:rsidR="00227D93">
        <w:rPr>
          <w:rFonts w:ascii="Arial" w:hAnsi="Arial" w:cs="Arial"/>
        </w:rPr>
        <w:t xml:space="preserve"> of</w:t>
      </w:r>
      <w:r w:rsidRPr="008A7A35">
        <w:rPr>
          <w:rFonts w:ascii="Arial" w:hAnsi="Arial" w:cs="Arial"/>
        </w:rPr>
        <w:t xml:space="preserve"> </w:t>
      </w:r>
      <w:r w:rsidR="000877CD">
        <w:rPr>
          <w:rFonts w:ascii="Arial" w:hAnsi="Arial" w:cs="Arial"/>
        </w:rPr>
        <w:t>the</w:t>
      </w:r>
      <w:r w:rsidRPr="008A7A35">
        <w:rPr>
          <w:rFonts w:ascii="Arial" w:hAnsi="Arial" w:cs="Arial"/>
        </w:rPr>
        <w:t xml:space="preserve"> existing investments and </w:t>
      </w:r>
      <w:r w:rsidR="000877CD">
        <w:rPr>
          <w:rFonts w:ascii="Arial" w:hAnsi="Arial" w:cs="Arial"/>
        </w:rPr>
        <w:t xml:space="preserve">the </w:t>
      </w:r>
      <w:r w:rsidRPr="008A7A35">
        <w:rPr>
          <w:rFonts w:ascii="Arial" w:hAnsi="Arial" w:cs="Arial"/>
        </w:rPr>
        <w:t>return</w:t>
      </w:r>
      <w:r w:rsidR="000877CD">
        <w:rPr>
          <w:rFonts w:ascii="Arial" w:hAnsi="Arial" w:cs="Arial"/>
        </w:rPr>
        <w:t xml:space="preserve"> of</w:t>
      </w:r>
      <w:r w:rsidRPr="008A7A35">
        <w:rPr>
          <w:rFonts w:ascii="Arial" w:hAnsi="Arial" w:cs="Arial"/>
        </w:rPr>
        <w:t xml:space="preserve"> capital to </w:t>
      </w:r>
      <w:r w:rsidR="00BC6676">
        <w:rPr>
          <w:rFonts w:ascii="Arial" w:hAnsi="Arial" w:cs="Arial"/>
        </w:rPr>
        <w:t>S</w:t>
      </w:r>
      <w:r w:rsidRPr="008A7A35">
        <w:rPr>
          <w:rFonts w:ascii="Arial" w:hAnsi="Arial" w:cs="Arial"/>
        </w:rPr>
        <w:t>hareholders through compulsory redemptions</w:t>
      </w:r>
      <w:r w:rsidR="000877CD">
        <w:rPr>
          <w:rFonts w:ascii="Arial" w:hAnsi="Arial" w:cs="Arial"/>
        </w:rPr>
        <w:t xml:space="preserve"> of the Company’s ordinary shares</w:t>
      </w:r>
      <w:r w:rsidRPr="008A7A35">
        <w:rPr>
          <w:rFonts w:ascii="Arial" w:hAnsi="Arial" w:cs="Arial"/>
        </w:rPr>
        <w:t>,</w:t>
      </w:r>
      <w:r w:rsidR="000877CD">
        <w:rPr>
          <w:rFonts w:ascii="Arial" w:hAnsi="Arial" w:cs="Arial"/>
        </w:rPr>
        <w:t xml:space="preserve"> such compulsory redemptions being at the discretion of the Company,</w:t>
      </w:r>
      <w:r w:rsidRPr="008A7A35">
        <w:rPr>
          <w:rFonts w:ascii="Arial" w:hAnsi="Arial" w:cs="Arial"/>
        </w:rPr>
        <w:t xml:space="preserve"> while ceasing new investments</w:t>
      </w:r>
      <w:r w:rsidR="008E0A18">
        <w:rPr>
          <w:rFonts w:ascii="Arial" w:hAnsi="Arial" w:cs="Arial"/>
        </w:rPr>
        <w:t>.</w:t>
      </w:r>
      <w:r w:rsidR="004672F8">
        <w:rPr>
          <w:rFonts w:ascii="Arial" w:hAnsi="Arial" w:cs="Arial"/>
        </w:rPr>
        <w:t xml:space="preserve"> Material revisions were also implemented to the IMA with the Investment Manager as referred to in Note 7.</w:t>
      </w:r>
    </w:p>
    <w:p w14:paraId="5D7AEA49" w14:textId="77777777" w:rsidR="00B273F3" w:rsidRPr="008A7A35" w:rsidRDefault="00B273F3" w:rsidP="00B273F3">
      <w:pPr>
        <w:pStyle w:val="CommentText"/>
        <w:jc w:val="both"/>
        <w:rPr>
          <w:rFonts w:ascii="Arial" w:hAnsi="Arial" w:cs="Arial"/>
        </w:rPr>
      </w:pPr>
    </w:p>
    <w:p w14:paraId="6711581F" w14:textId="591373B4" w:rsidR="00127E03" w:rsidRPr="008A7A35" w:rsidRDefault="00127E03" w:rsidP="003C67B6">
      <w:pPr>
        <w:jc w:val="both"/>
        <w:rPr>
          <w:rFonts w:ascii="Arial" w:eastAsia="Calibri" w:hAnsi="Arial" w:cs="Arial"/>
          <w:kern w:val="2"/>
          <w:sz w:val="20"/>
          <w:szCs w:val="20"/>
          <w14:ligatures w14:val="standardContextual"/>
        </w:rPr>
      </w:pPr>
      <w:proofErr w:type="gramStart"/>
      <w:r w:rsidRPr="008A7A35">
        <w:rPr>
          <w:rFonts w:ascii="Arial" w:eastAsia="Calibri" w:hAnsi="Arial" w:cs="Arial"/>
          <w:kern w:val="2"/>
          <w:sz w:val="20"/>
          <w:szCs w:val="20"/>
          <w14:ligatures w14:val="standardContextual"/>
        </w:rPr>
        <w:t>Subsequent to</w:t>
      </w:r>
      <w:proofErr w:type="gramEnd"/>
      <w:r w:rsidRPr="008A7A35">
        <w:rPr>
          <w:rFonts w:ascii="Arial" w:eastAsia="Calibri" w:hAnsi="Arial" w:cs="Arial"/>
          <w:kern w:val="2"/>
          <w:sz w:val="20"/>
          <w:szCs w:val="20"/>
          <w14:ligatures w14:val="standardContextual"/>
        </w:rPr>
        <w:t xml:space="preserve"> the period end, there have been no </w:t>
      </w:r>
      <w:r w:rsidR="00033A70" w:rsidRPr="008A7A35">
        <w:rPr>
          <w:rFonts w:ascii="Arial" w:eastAsia="Calibri" w:hAnsi="Arial" w:cs="Arial"/>
          <w:kern w:val="2"/>
          <w:sz w:val="20"/>
          <w:szCs w:val="20"/>
          <w14:ligatures w14:val="standardContextual"/>
        </w:rPr>
        <w:t xml:space="preserve">other </w:t>
      </w:r>
      <w:r w:rsidRPr="008A7A35">
        <w:rPr>
          <w:rFonts w:ascii="Arial" w:eastAsia="Calibri" w:hAnsi="Arial" w:cs="Arial"/>
          <w:kern w:val="2"/>
          <w:sz w:val="20"/>
          <w:szCs w:val="20"/>
          <w14:ligatures w14:val="standardContextual"/>
        </w:rPr>
        <w:t>material updates noted for the Company.</w:t>
      </w:r>
    </w:p>
    <w:p w14:paraId="58DD36BD" w14:textId="77777777" w:rsidR="00033A70" w:rsidRPr="008A7A35" w:rsidRDefault="00033A70" w:rsidP="00127E03">
      <w:pPr>
        <w:spacing w:after="160" w:line="256" w:lineRule="auto"/>
        <w:rPr>
          <w:rFonts w:ascii="Arial" w:eastAsia="Calibri" w:hAnsi="Arial" w:cs="Arial"/>
          <w:kern w:val="2"/>
          <w:sz w:val="20"/>
          <w:szCs w:val="20"/>
          <w14:ligatures w14:val="standardContextual"/>
        </w:rPr>
      </w:pPr>
    </w:p>
    <w:p w14:paraId="1F6E8377" w14:textId="015F6A4C" w:rsidR="00127E03" w:rsidRPr="008A7A35" w:rsidRDefault="00127E03" w:rsidP="00127E03">
      <w:pPr>
        <w:spacing w:after="160" w:line="256" w:lineRule="auto"/>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 xml:space="preserve">By order of the Board    </w:t>
      </w:r>
    </w:p>
    <w:p w14:paraId="6DB63CC7" w14:textId="77777777" w:rsidR="00127E03" w:rsidRPr="008A7A35" w:rsidRDefault="00127E03" w:rsidP="00127E03">
      <w:pPr>
        <w:spacing w:after="160" w:line="256" w:lineRule="auto"/>
        <w:rPr>
          <w:rFonts w:ascii="Arial" w:eastAsia="Calibri" w:hAnsi="Arial" w:cs="Arial"/>
          <w:kern w:val="2"/>
          <w:sz w:val="20"/>
          <w:szCs w:val="20"/>
          <w14:ligatures w14:val="standardContextual"/>
        </w:rPr>
      </w:pPr>
      <w:r w:rsidRPr="008A7A35">
        <w:rPr>
          <w:rFonts w:ascii="Arial" w:eastAsia="Calibri" w:hAnsi="Arial" w:cs="Arial"/>
          <w:kern w:val="2"/>
          <w:sz w:val="20"/>
          <w:szCs w:val="20"/>
          <w14:ligatures w14:val="standardContextual"/>
        </w:rPr>
        <w:t>Richard Horlick</w:t>
      </w:r>
      <w:r w:rsidRPr="008A7A35">
        <w:rPr>
          <w:rFonts w:ascii="Arial" w:eastAsia="Calibri" w:hAnsi="Arial" w:cs="Arial"/>
          <w:kern w:val="2"/>
          <w:sz w:val="20"/>
          <w:szCs w:val="20"/>
          <w14:ligatures w14:val="standardContextual"/>
        </w:rPr>
        <w:br/>
        <w:t>Chair of the Board</w:t>
      </w:r>
    </w:p>
    <w:p w14:paraId="2CEF5C1C" w14:textId="73443F23" w:rsidR="00175998" w:rsidRDefault="00782415" w:rsidP="00043EEC">
      <w:pPr>
        <w:spacing w:after="160" w:line="256" w:lineRule="auto"/>
        <w:rPr>
          <w:rFonts w:ascii="Arial" w:hAnsi="Arial" w:cs="Arial"/>
          <w:b/>
          <w:bCs/>
          <w:sz w:val="30"/>
          <w:szCs w:val="30"/>
        </w:rPr>
      </w:pPr>
      <w:r w:rsidRPr="008A7A35">
        <w:rPr>
          <w:rFonts w:ascii="Arial" w:hAnsi="Arial" w:cs="Arial"/>
          <w:sz w:val="20"/>
          <w:szCs w:val="20"/>
        </w:rPr>
        <w:t>2</w:t>
      </w:r>
      <w:r w:rsidR="00C95DEE">
        <w:rPr>
          <w:rFonts w:ascii="Arial" w:hAnsi="Arial" w:cs="Arial"/>
          <w:sz w:val="20"/>
          <w:szCs w:val="20"/>
        </w:rPr>
        <w:t>6</w:t>
      </w:r>
      <w:r w:rsidR="000F4707" w:rsidRPr="008A7A35">
        <w:rPr>
          <w:rFonts w:ascii="Arial" w:hAnsi="Arial" w:cs="Arial"/>
          <w:sz w:val="20"/>
          <w:szCs w:val="20"/>
        </w:rPr>
        <w:t xml:space="preserve"> </w:t>
      </w:r>
      <w:r w:rsidR="00127E03" w:rsidRPr="008A7A35">
        <w:rPr>
          <w:rFonts w:ascii="Arial" w:eastAsia="Calibri" w:hAnsi="Arial" w:cs="Arial"/>
          <w:bCs/>
          <w:kern w:val="2"/>
          <w:sz w:val="20"/>
          <w:szCs w:val="20"/>
          <w14:ligatures w14:val="standardContextual"/>
        </w:rPr>
        <w:t>A</w:t>
      </w:r>
      <w:r w:rsidR="00127E03" w:rsidRPr="008A7A35">
        <w:rPr>
          <w:rFonts w:ascii="Arial" w:eastAsia="Calibri" w:hAnsi="Arial" w:cs="Arial"/>
          <w:kern w:val="2"/>
          <w:sz w:val="20"/>
          <w:szCs w:val="20"/>
          <w14:ligatures w14:val="standardContextual"/>
        </w:rPr>
        <w:t>ugust 202</w:t>
      </w:r>
      <w:r w:rsidR="000F4707" w:rsidRPr="008A7A35">
        <w:rPr>
          <w:rFonts w:ascii="Arial" w:eastAsia="Calibri" w:hAnsi="Arial" w:cs="Arial"/>
          <w:kern w:val="2"/>
          <w:sz w:val="20"/>
          <w:szCs w:val="20"/>
          <w14:ligatures w14:val="standardContextual"/>
        </w:rPr>
        <w:t>5</w:t>
      </w:r>
      <w:bookmarkEnd w:id="11"/>
    </w:p>
    <w:p w14:paraId="305AFEEC" w14:textId="77777777" w:rsidR="005039AC" w:rsidRDefault="005039AC" w:rsidP="00BD73CE">
      <w:pPr>
        <w:rPr>
          <w:rFonts w:ascii="Arial" w:hAnsi="Arial" w:cs="Arial"/>
          <w:b/>
          <w:bCs/>
          <w:sz w:val="30"/>
          <w:szCs w:val="30"/>
        </w:rPr>
      </w:pPr>
    </w:p>
    <w:p w14:paraId="67674C98" w14:textId="21C5D596" w:rsidR="00D33AA7" w:rsidRPr="008A7A35" w:rsidRDefault="00BD73CE" w:rsidP="00BD73CE">
      <w:pPr>
        <w:rPr>
          <w:rFonts w:ascii="Arial" w:hAnsi="Arial" w:cs="Arial"/>
          <w:b/>
          <w:bCs/>
          <w:sz w:val="30"/>
          <w:szCs w:val="30"/>
        </w:rPr>
      </w:pPr>
      <w:r w:rsidRPr="008A7A35">
        <w:rPr>
          <w:rFonts w:ascii="Arial" w:hAnsi="Arial" w:cs="Arial"/>
          <w:b/>
          <w:bCs/>
          <w:sz w:val="30"/>
          <w:szCs w:val="30"/>
        </w:rPr>
        <w:t>D</w:t>
      </w:r>
      <w:bookmarkEnd w:id="1"/>
      <w:r w:rsidR="00D33AA7" w:rsidRPr="008A7A35">
        <w:rPr>
          <w:rFonts w:ascii="Arial" w:hAnsi="Arial" w:cs="Arial"/>
          <w:b/>
          <w:bCs/>
          <w:sz w:val="30"/>
          <w:szCs w:val="30"/>
        </w:rPr>
        <w:t>irectors’ Responsibilities Statement</w:t>
      </w:r>
    </w:p>
    <w:p w14:paraId="00F2454E" w14:textId="77777777" w:rsidR="00D33AA7" w:rsidRPr="008A7A35" w:rsidRDefault="00D33AA7">
      <w:pPr>
        <w:rPr>
          <w:rFonts w:ascii="Arial" w:hAnsi="Arial" w:cs="Arial"/>
        </w:rPr>
      </w:pPr>
    </w:p>
    <w:p w14:paraId="24D72359" w14:textId="77777777" w:rsidR="002D61AF" w:rsidRPr="008A7A35" w:rsidRDefault="002D61AF" w:rsidP="00712872">
      <w:pPr>
        <w:jc w:val="both"/>
        <w:rPr>
          <w:rFonts w:ascii="Arial" w:hAnsi="Arial" w:cs="Arial"/>
          <w:sz w:val="20"/>
          <w:szCs w:val="20"/>
        </w:rPr>
      </w:pPr>
      <w:r w:rsidRPr="008A7A35">
        <w:rPr>
          <w:rFonts w:ascii="Arial" w:hAnsi="Arial" w:cs="Arial"/>
          <w:sz w:val="20"/>
          <w:szCs w:val="20"/>
        </w:rPr>
        <w:t>The Directors are responsible for preparing this Interim Report in accordance with applicable law and regulations. The Directors confirm that to the best of their knowledge:</w:t>
      </w:r>
    </w:p>
    <w:p w14:paraId="6C73D7E2" w14:textId="77777777" w:rsidR="002D61AF" w:rsidRPr="008A7A35" w:rsidRDefault="002D61AF" w:rsidP="00712872">
      <w:pPr>
        <w:jc w:val="both"/>
        <w:rPr>
          <w:rFonts w:ascii="Arial" w:hAnsi="Arial" w:cs="Arial"/>
          <w:sz w:val="20"/>
          <w:szCs w:val="20"/>
        </w:rPr>
      </w:pPr>
    </w:p>
    <w:p w14:paraId="332DEF0A" w14:textId="5CC0DC6A" w:rsidR="002D61AF" w:rsidRDefault="002D61AF" w:rsidP="00331C35">
      <w:pPr>
        <w:pStyle w:val="ListParagraph"/>
        <w:numPr>
          <w:ilvl w:val="0"/>
          <w:numId w:val="10"/>
        </w:numPr>
        <w:jc w:val="both"/>
        <w:rPr>
          <w:rFonts w:ascii="Arial" w:hAnsi="Arial" w:cs="Arial"/>
          <w:sz w:val="20"/>
          <w:szCs w:val="20"/>
        </w:rPr>
      </w:pPr>
      <w:r w:rsidRPr="008A7A35">
        <w:rPr>
          <w:rFonts w:ascii="Arial" w:hAnsi="Arial" w:cs="Arial"/>
          <w:sz w:val="20"/>
          <w:szCs w:val="20"/>
        </w:rPr>
        <w:t>The unaudited interim condensed financial statements have been prepared in accordance with IAS 34 Interim Financial Reporting as adopted by the EU; and</w:t>
      </w:r>
    </w:p>
    <w:p w14:paraId="34EB2A53" w14:textId="15D4E8EA" w:rsidR="008F61A9" w:rsidRPr="008A7A35" w:rsidRDefault="008F61A9" w:rsidP="00331C35">
      <w:pPr>
        <w:pStyle w:val="ListParagraph"/>
        <w:numPr>
          <w:ilvl w:val="0"/>
          <w:numId w:val="10"/>
        </w:numPr>
        <w:jc w:val="both"/>
        <w:rPr>
          <w:rFonts w:ascii="Arial" w:hAnsi="Arial" w:cs="Arial"/>
          <w:sz w:val="20"/>
          <w:szCs w:val="20"/>
        </w:rPr>
      </w:pPr>
      <w:r w:rsidRPr="008F61A9">
        <w:rPr>
          <w:rFonts w:ascii="Arial" w:hAnsi="Arial" w:cs="Arial"/>
          <w:sz w:val="20"/>
          <w:szCs w:val="20"/>
        </w:rPr>
        <w:t xml:space="preserve">For the reasons stated in the Report of the Board of Directors for the period ended 30 June 2025, and Note 1, the financial statements have been prepared on a </w:t>
      </w:r>
      <w:r w:rsidR="009B6647">
        <w:rPr>
          <w:rFonts w:ascii="Arial" w:hAnsi="Arial" w:cs="Arial"/>
          <w:sz w:val="20"/>
          <w:szCs w:val="20"/>
        </w:rPr>
        <w:t xml:space="preserve">basis other than </w:t>
      </w:r>
      <w:r w:rsidRPr="008F61A9">
        <w:rPr>
          <w:rFonts w:ascii="Arial" w:hAnsi="Arial" w:cs="Arial"/>
          <w:sz w:val="20"/>
          <w:szCs w:val="20"/>
        </w:rPr>
        <w:t>going concern</w:t>
      </w:r>
      <w:r>
        <w:rPr>
          <w:rFonts w:ascii="Arial" w:hAnsi="Arial" w:cs="Arial"/>
          <w:sz w:val="20"/>
          <w:szCs w:val="20"/>
        </w:rPr>
        <w:t>; and</w:t>
      </w:r>
    </w:p>
    <w:p w14:paraId="043828E1" w14:textId="211425B6" w:rsidR="002D61AF" w:rsidRPr="008A7A35" w:rsidRDefault="002D61AF" w:rsidP="00331C35">
      <w:pPr>
        <w:pStyle w:val="ListParagraph"/>
        <w:numPr>
          <w:ilvl w:val="0"/>
          <w:numId w:val="10"/>
        </w:numPr>
        <w:jc w:val="both"/>
        <w:rPr>
          <w:rFonts w:ascii="Arial" w:hAnsi="Arial" w:cs="Arial"/>
          <w:sz w:val="20"/>
          <w:szCs w:val="20"/>
        </w:rPr>
      </w:pPr>
      <w:r w:rsidRPr="008A7A35">
        <w:rPr>
          <w:rFonts w:ascii="Arial" w:hAnsi="Arial" w:cs="Arial"/>
          <w:sz w:val="20"/>
          <w:szCs w:val="20"/>
        </w:rPr>
        <w:t xml:space="preserve">The </w:t>
      </w:r>
      <w:r w:rsidR="001D0EB8" w:rsidRPr="008A7A35">
        <w:rPr>
          <w:rFonts w:ascii="Arial" w:hAnsi="Arial" w:cs="Arial"/>
          <w:sz w:val="20"/>
          <w:szCs w:val="20"/>
        </w:rPr>
        <w:t>Chair</w:t>
      </w:r>
      <w:r w:rsidRPr="008A7A35">
        <w:rPr>
          <w:rFonts w:ascii="Arial" w:hAnsi="Arial" w:cs="Arial"/>
          <w:sz w:val="20"/>
          <w:szCs w:val="20"/>
        </w:rPr>
        <w:t>’s Statement</w:t>
      </w:r>
      <w:r w:rsidR="008E50D4" w:rsidRPr="008A7A35">
        <w:rPr>
          <w:rFonts w:ascii="Arial" w:hAnsi="Arial" w:cs="Arial"/>
          <w:sz w:val="20"/>
          <w:szCs w:val="20"/>
        </w:rPr>
        <w:t xml:space="preserve">, the </w:t>
      </w:r>
      <w:r w:rsidRPr="008A7A35">
        <w:rPr>
          <w:rFonts w:ascii="Arial" w:hAnsi="Arial" w:cs="Arial"/>
          <w:sz w:val="20"/>
          <w:szCs w:val="20"/>
        </w:rPr>
        <w:t xml:space="preserve">Investment Manager’s Report </w:t>
      </w:r>
      <w:r w:rsidR="008E50D4" w:rsidRPr="008A7A35">
        <w:rPr>
          <w:rFonts w:ascii="Arial" w:hAnsi="Arial" w:cs="Arial"/>
          <w:sz w:val="20"/>
          <w:szCs w:val="20"/>
        </w:rPr>
        <w:t xml:space="preserve">and the Report of the </w:t>
      </w:r>
      <w:r w:rsidR="00B472AF" w:rsidRPr="008A7A35">
        <w:rPr>
          <w:rFonts w:ascii="Arial" w:hAnsi="Arial" w:cs="Arial"/>
          <w:sz w:val="20"/>
          <w:szCs w:val="20"/>
        </w:rPr>
        <w:t xml:space="preserve">Board of </w:t>
      </w:r>
      <w:r w:rsidR="008E50D4" w:rsidRPr="008A7A35">
        <w:rPr>
          <w:rFonts w:ascii="Arial" w:hAnsi="Arial" w:cs="Arial"/>
          <w:sz w:val="20"/>
          <w:szCs w:val="20"/>
        </w:rPr>
        <w:t xml:space="preserve">Directors </w:t>
      </w:r>
      <w:r w:rsidRPr="008A7A35">
        <w:rPr>
          <w:rFonts w:ascii="Arial" w:hAnsi="Arial" w:cs="Arial"/>
          <w:sz w:val="20"/>
          <w:szCs w:val="20"/>
        </w:rPr>
        <w:t>include a fair review of the information required by:</w:t>
      </w:r>
    </w:p>
    <w:p w14:paraId="5D0A4A62" w14:textId="77777777" w:rsidR="002D61AF" w:rsidRPr="008A7A35" w:rsidRDefault="002D61AF" w:rsidP="00331C35">
      <w:pPr>
        <w:pStyle w:val="ListParagraph"/>
        <w:numPr>
          <w:ilvl w:val="1"/>
          <w:numId w:val="9"/>
        </w:numPr>
        <w:jc w:val="both"/>
        <w:rPr>
          <w:rFonts w:ascii="Arial" w:hAnsi="Arial" w:cs="Arial"/>
          <w:sz w:val="20"/>
          <w:szCs w:val="20"/>
        </w:rPr>
      </w:pPr>
      <w:r w:rsidRPr="008A7A35">
        <w:rPr>
          <w:rFonts w:ascii="Arial" w:hAnsi="Arial" w:cs="Arial"/>
          <w:sz w:val="20"/>
          <w:szCs w:val="20"/>
        </w:rPr>
        <w:t>DTR 4.2.7R of the Disclosure Guidance and Transparency Rules, being an indication of important events that have occurred during the first six months of the financial year and their impact on the unaudited interim condensed financial statements; and a description of the principal risks and uncertainties for the remaining six months of the year; and</w:t>
      </w:r>
    </w:p>
    <w:p w14:paraId="7CD7F21F" w14:textId="41870064" w:rsidR="002D61AF" w:rsidRDefault="002D61AF" w:rsidP="00331C35">
      <w:pPr>
        <w:pStyle w:val="ListParagraph"/>
        <w:numPr>
          <w:ilvl w:val="1"/>
          <w:numId w:val="9"/>
        </w:numPr>
        <w:jc w:val="both"/>
        <w:rPr>
          <w:rFonts w:ascii="Arial" w:hAnsi="Arial" w:cs="Arial"/>
          <w:sz w:val="20"/>
          <w:szCs w:val="20"/>
        </w:rPr>
      </w:pPr>
      <w:r w:rsidRPr="008A7A35">
        <w:rPr>
          <w:rFonts w:ascii="Arial" w:hAnsi="Arial" w:cs="Arial"/>
          <w:sz w:val="20"/>
          <w:szCs w:val="20"/>
        </w:rPr>
        <w:t>DTR 4.2.8R of the Disclosure Guidance and Transparency Rules, being related party transactions that have taken place in the first six months of the financial year and that have materially affected the financial position and performance of the entity during that period; and any changes in the related party transactions described in the last annual report that could do so.</w:t>
      </w:r>
      <w:r w:rsidR="008F61A9">
        <w:rPr>
          <w:rFonts w:ascii="Arial" w:hAnsi="Arial" w:cs="Arial"/>
          <w:sz w:val="20"/>
          <w:szCs w:val="20"/>
        </w:rPr>
        <w:t xml:space="preserve"> </w:t>
      </w:r>
    </w:p>
    <w:p w14:paraId="1052FA85" w14:textId="15A52546" w:rsidR="008F61A9" w:rsidRPr="009B1684" w:rsidRDefault="008F61A9" w:rsidP="009B1684">
      <w:pPr>
        <w:jc w:val="both"/>
        <w:rPr>
          <w:rFonts w:ascii="Arial" w:hAnsi="Arial" w:cs="Arial"/>
          <w:sz w:val="20"/>
          <w:szCs w:val="20"/>
        </w:rPr>
      </w:pPr>
      <w:r w:rsidRPr="009B1684">
        <w:rPr>
          <w:rFonts w:ascii="Arial" w:hAnsi="Arial" w:cs="Arial"/>
          <w:sz w:val="20"/>
          <w:szCs w:val="20"/>
        </w:rPr>
        <w:br/>
      </w:r>
    </w:p>
    <w:p w14:paraId="32278D4E" w14:textId="77777777" w:rsidR="00D33AA7" w:rsidRPr="008A7A35" w:rsidRDefault="00D33AA7" w:rsidP="00712872">
      <w:pPr>
        <w:jc w:val="both"/>
        <w:rPr>
          <w:rFonts w:ascii="Arial" w:hAnsi="Arial" w:cs="Arial"/>
          <w:sz w:val="20"/>
          <w:szCs w:val="20"/>
        </w:rPr>
      </w:pPr>
      <w:r w:rsidRPr="008A7A35">
        <w:rPr>
          <w:rFonts w:ascii="Arial" w:hAnsi="Arial" w:cs="Arial"/>
          <w:sz w:val="20"/>
          <w:szCs w:val="20"/>
        </w:rPr>
        <w:t>On behalf of the Board</w:t>
      </w:r>
    </w:p>
    <w:p w14:paraId="3264C0EE" w14:textId="77777777" w:rsidR="00D33AA7" w:rsidRPr="008A7A35" w:rsidRDefault="00D33AA7">
      <w:pPr>
        <w:rPr>
          <w:rFonts w:ascii="Arial" w:hAnsi="Arial" w:cs="Arial"/>
          <w:sz w:val="20"/>
          <w:szCs w:val="20"/>
        </w:rPr>
      </w:pPr>
    </w:p>
    <w:p w14:paraId="5FD5BB7F" w14:textId="77777777" w:rsidR="00C23BA9" w:rsidRPr="008A7A35" w:rsidRDefault="00C23BA9">
      <w:pPr>
        <w:rPr>
          <w:rFonts w:ascii="Arial" w:hAnsi="Arial" w:cs="Arial"/>
          <w:b/>
          <w:sz w:val="20"/>
          <w:szCs w:val="20"/>
        </w:rPr>
      </w:pPr>
    </w:p>
    <w:p w14:paraId="21C5CD66" w14:textId="64FCF19F" w:rsidR="00D33AA7" w:rsidRPr="008A7A35" w:rsidRDefault="00D33AA7">
      <w:pPr>
        <w:rPr>
          <w:rFonts w:ascii="Arial" w:hAnsi="Arial" w:cs="Arial"/>
          <w:b/>
          <w:sz w:val="20"/>
          <w:szCs w:val="20"/>
        </w:rPr>
      </w:pPr>
      <w:r w:rsidRPr="008A7A35">
        <w:rPr>
          <w:rFonts w:ascii="Arial" w:hAnsi="Arial" w:cs="Arial"/>
          <w:b/>
          <w:sz w:val="20"/>
          <w:szCs w:val="20"/>
        </w:rPr>
        <w:t xml:space="preserve">Richard </w:t>
      </w:r>
      <w:r w:rsidR="00326F38" w:rsidRPr="008A7A35">
        <w:rPr>
          <w:rFonts w:ascii="Arial" w:hAnsi="Arial" w:cs="Arial"/>
          <w:b/>
          <w:sz w:val="20"/>
          <w:szCs w:val="20"/>
        </w:rPr>
        <w:t>Horlick</w:t>
      </w:r>
    </w:p>
    <w:p w14:paraId="3C65845E" w14:textId="1CF1AC88" w:rsidR="00D33AA7" w:rsidRPr="008A7A35" w:rsidRDefault="001D0EB8">
      <w:pPr>
        <w:rPr>
          <w:rFonts w:ascii="Arial" w:hAnsi="Arial" w:cs="Arial"/>
          <w:sz w:val="20"/>
          <w:szCs w:val="20"/>
        </w:rPr>
      </w:pPr>
      <w:r w:rsidRPr="008A7A35">
        <w:rPr>
          <w:rFonts w:ascii="Arial" w:hAnsi="Arial" w:cs="Arial"/>
          <w:sz w:val="20"/>
          <w:szCs w:val="20"/>
        </w:rPr>
        <w:t>Chair</w:t>
      </w:r>
    </w:p>
    <w:p w14:paraId="1EA1CC68" w14:textId="033D6A68" w:rsidR="00395149" w:rsidRPr="008A7A35" w:rsidRDefault="00782415" w:rsidP="00043EEC">
      <w:pPr>
        <w:pStyle w:val="Bodytext"/>
        <w:rPr>
          <w:rFonts w:cs="Arial"/>
          <w:b/>
          <w:caps/>
          <w:sz w:val="30"/>
          <w:szCs w:val="30"/>
        </w:rPr>
      </w:pPr>
      <w:r w:rsidRPr="008A7A35">
        <w:rPr>
          <w:rFonts w:cs="Arial"/>
          <w:szCs w:val="20"/>
        </w:rPr>
        <w:t>2</w:t>
      </w:r>
      <w:r w:rsidR="00C95DEE">
        <w:rPr>
          <w:rFonts w:cs="Arial"/>
          <w:szCs w:val="20"/>
        </w:rPr>
        <w:t>6</w:t>
      </w:r>
      <w:r w:rsidR="000F4707" w:rsidRPr="008A7A35">
        <w:rPr>
          <w:rFonts w:cs="Arial"/>
          <w:szCs w:val="20"/>
        </w:rPr>
        <w:t xml:space="preserve"> </w:t>
      </w:r>
      <w:r w:rsidR="00BD73CE" w:rsidRPr="008A7A35">
        <w:rPr>
          <w:rFonts w:cs="Arial"/>
          <w:szCs w:val="20"/>
        </w:rPr>
        <w:t xml:space="preserve">August </w:t>
      </w:r>
      <w:r w:rsidR="002D61AF" w:rsidRPr="008A7A35">
        <w:rPr>
          <w:rFonts w:cs="Arial"/>
          <w:szCs w:val="20"/>
        </w:rPr>
        <w:t>202</w:t>
      </w:r>
      <w:r w:rsidR="000F4707" w:rsidRPr="008A7A35">
        <w:rPr>
          <w:rFonts w:cs="Arial"/>
          <w:szCs w:val="20"/>
        </w:rPr>
        <w:t>5</w:t>
      </w:r>
    </w:p>
    <w:p w14:paraId="384CC3B6" w14:textId="77777777" w:rsidR="00CC6603" w:rsidRPr="008A7A35" w:rsidRDefault="00CC6603" w:rsidP="00326F38">
      <w:pPr>
        <w:pStyle w:val="Bodytext"/>
        <w:rPr>
          <w:rFonts w:cs="Arial"/>
          <w:szCs w:val="20"/>
        </w:rPr>
      </w:pPr>
    </w:p>
    <w:p w14:paraId="5459684A" w14:textId="77777777" w:rsidR="00B10266" w:rsidRPr="008A7A35" w:rsidRDefault="00B10266" w:rsidP="00326F38">
      <w:pPr>
        <w:pStyle w:val="Bodytext"/>
        <w:rPr>
          <w:rFonts w:cs="Arial"/>
          <w:szCs w:val="20"/>
        </w:rPr>
      </w:pPr>
    </w:p>
    <w:p w14:paraId="1C71724E" w14:textId="4E045A79" w:rsidR="00E41A2E" w:rsidRPr="008A7A35" w:rsidRDefault="00E41A2E">
      <w:pPr>
        <w:outlineLvl w:val="0"/>
        <w:rPr>
          <w:rFonts w:ascii="Arial" w:hAnsi="Arial" w:cs="Arial"/>
          <w:b/>
          <w:caps/>
          <w:sz w:val="30"/>
          <w:szCs w:val="30"/>
        </w:rPr>
      </w:pPr>
      <w:r w:rsidRPr="008A7A35">
        <w:rPr>
          <w:rFonts w:ascii="Arial" w:hAnsi="Arial" w:cs="Arial"/>
          <w:b/>
          <w:caps/>
          <w:sz w:val="30"/>
          <w:szCs w:val="30"/>
        </w:rPr>
        <w:t>Condensed Statement of Financial Position</w:t>
      </w:r>
    </w:p>
    <w:p w14:paraId="473ADCCC" w14:textId="7906B442" w:rsidR="00E41A2E" w:rsidRPr="008A7A35" w:rsidRDefault="001100E2">
      <w:pPr>
        <w:rPr>
          <w:rFonts w:ascii="Arial" w:hAnsi="Arial" w:cs="Arial"/>
          <w:sz w:val="20"/>
          <w:szCs w:val="20"/>
        </w:rPr>
      </w:pPr>
      <w:r w:rsidRPr="008A7A35">
        <w:rPr>
          <w:rFonts w:ascii="Arial" w:hAnsi="Arial" w:cs="Arial"/>
          <w:sz w:val="20"/>
          <w:szCs w:val="20"/>
        </w:rPr>
        <w:t xml:space="preserve">As </w:t>
      </w:r>
      <w:proofErr w:type="gramStart"/>
      <w:r w:rsidRPr="008A7A35">
        <w:rPr>
          <w:rFonts w:ascii="Arial" w:hAnsi="Arial" w:cs="Arial"/>
          <w:sz w:val="20"/>
          <w:szCs w:val="20"/>
        </w:rPr>
        <w:t>at</w:t>
      </w:r>
      <w:proofErr w:type="gramEnd"/>
      <w:r w:rsidRPr="008A7A35">
        <w:rPr>
          <w:rFonts w:ascii="Arial" w:hAnsi="Arial" w:cs="Arial"/>
          <w:sz w:val="20"/>
          <w:szCs w:val="20"/>
        </w:rPr>
        <w:t xml:space="preserve"> 30 June 202</w:t>
      </w:r>
      <w:r w:rsidR="002F5C32" w:rsidRPr="008A7A35">
        <w:rPr>
          <w:rFonts w:ascii="Arial" w:hAnsi="Arial" w:cs="Arial"/>
          <w:sz w:val="20"/>
          <w:szCs w:val="20"/>
        </w:rPr>
        <w:t>5</w:t>
      </w:r>
      <w:r w:rsidR="00BC4F38" w:rsidRPr="008A7A35">
        <w:rPr>
          <w:rFonts w:ascii="Arial" w:hAnsi="Arial" w:cs="Arial"/>
          <w:sz w:val="20"/>
          <w:szCs w:val="20"/>
        </w:rPr>
        <w:t xml:space="preserve"> (Unaudited)</w:t>
      </w:r>
    </w:p>
    <w:p w14:paraId="38355C5F" w14:textId="17B0BE39" w:rsidR="00E41A2E" w:rsidRPr="008A7A35" w:rsidRDefault="00E41A2E">
      <w:pPr>
        <w:rPr>
          <w:rFonts w:ascii="Arial" w:hAnsi="Arial" w:cs="Arial"/>
          <w:sz w:val="20"/>
          <w:szCs w:val="20"/>
        </w:rPr>
      </w:pPr>
    </w:p>
    <w:p w14:paraId="727E5244" w14:textId="389E6C4C" w:rsidR="000D255E" w:rsidRPr="008A7A35" w:rsidRDefault="000D255E">
      <w:pPr>
        <w:rPr>
          <w:rFonts w:ascii="Arial" w:hAnsi="Arial" w:cs="Arial"/>
          <w:sz w:val="20"/>
          <w:szCs w:val="20"/>
        </w:rPr>
      </w:pPr>
    </w:p>
    <w:tbl>
      <w:tblPr>
        <w:tblW w:w="9781" w:type="dxa"/>
        <w:tblLook w:val="04A0" w:firstRow="1" w:lastRow="0" w:firstColumn="1" w:lastColumn="0" w:noHBand="0" w:noVBand="1"/>
      </w:tblPr>
      <w:tblGrid>
        <w:gridCol w:w="4958"/>
        <w:gridCol w:w="854"/>
        <w:gridCol w:w="1810"/>
        <w:gridCol w:w="2159"/>
      </w:tblGrid>
      <w:tr w:rsidR="007B0BCD" w:rsidRPr="008A7A35" w14:paraId="225ABBDD" w14:textId="77777777" w:rsidTr="00BB03B1">
        <w:trPr>
          <w:trHeight w:val="284"/>
        </w:trPr>
        <w:tc>
          <w:tcPr>
            <w:tcW w:w="4958" w:type="dxa"/>
            <w:tcBorders>
              <w:top w:val="nil"/>
              <w:left w:val="nil"/>
              <w:bottom w:val="nil"/>
              <w:right w:val="nil"/>
            </w:tcBorders>
            <w:shd w:val="clear" w:color="000000" w:fill="FFFFFF"/>
            <w:noWrap/>
            <w:vAlign w:val="bottom"/>
            <w:hideMark/>
          </w:tcPr>
          <w:p w14:paraId="37560210" w14:textId="77777777" w:rsidR="0001571C" w:rsidRPr="008A7A35" w:rsidRDefault="0001571C" w:rsidP="0001571C">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799A0291" w14:textId="77777777" w:rsidR="0001571C" w:rsidRPr="008A7A35" w:rsidRDefault="0001571C" w:rsidP="0001571C">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hideMark/>
          </w:tcPr>
          <w:p w14:paraId="24615DF4" w14:textId="77777777" w:rsidR="0001571C" w:rsidRPr="008A7A35" w:rsidRDefault="0001571C" w:rsidP="0001571C">
            <w:pPr>
              <w:jc w:val="right"/>
              <w:rPr>
                <w:rFonts w:ascii="Arial" w:hAnsi="Arial" w:cs="Arial"/>
                <w:b/>
                <w:bCs/>
                <w:sz w:val="20"/>
                <w:szCs w:val="20"/>
                <w:lang w:eastAsia="en-GB"/>
              </w:rPr>
            </w:pPr>
            <w:r w:rsidRPr="008A7A35">
              <w:rPr>
                <w:rFonts w:ascii="Arial" w:hAnsi="Arial" w:cs="Arial"/>
                <w:b/>
                <w:bCs/>
                <w:sz w:val="20"/>
                <w:szCs w:val="20"/>
                <w:lang w:eastAsia="en-GB"/>
              </w:rPr>
              <w:t xml:space="preserve">30 June </w:t>
            </w:r>
          </w:p>
        </w:tc>
        <w:tc>
          <w:tcPr>
            <w:tcW w:w="2159" w:type="dxa"/>
            <w:tcBorders>
              <w:top w:val="nil"/>
              <w:left w:val="nil"/>
              <w:bottom w:val="nil"/>
              <w:right w:val="nil"/>
            </w:tcBorders>
            <w:shd w:val="clear" w:color="000000" w:fill="FFFFFF"/>
            <w:noWrap/>
            <w:vAlign w:val="bottom"/>
            <w:hideMark/>
          </w:tcPr>
          <w:p w14:paraId="465E150F" w14:textId="77777777" w:rsidR="0001571C" w:rsidRPr="008A7A35" w:rsidRDefault="0001571C" w:rsidP="0001571C">
            <w:pPr>
              <w:jc w:val="right"/>
              <w:rPr>
                <w:rFonts w:ascii="Arial" w:hAnsi="Arial" w:cs="Arial"/>
                <w:sz w:val="20"/>
                <w:szCs w:val="20"/>
                <w:lang w:eastAsia="en-GB"/>
              </w:rPr>
            </w:pPr>
            <w:r w:rsidRPr="008A7A35">
              <w:rPr>
                <w:rFonts w:ascii="Arial" w:hAnsi="Arial" w:cs="Arial"/>
                <w:sz w:val="20"/>
                <w:szCs w:val="20"/>
                <w:lang w:eastAsia="en-GB"/>
              </w:rPr>
              <w:t>31 December</w:t>
            </w:r>
          </w:p>
        </w:tc>
      </w:tr>
      <w:tr w:rsidR="007B0BCD" w:rsidRPr="008A7A35" w14:paraId="24D8408D" w14:textId="77777777" w:rsidTr="00BB03B1">
        <w:trPr>
          <w:trHeight w:val="284"/>
        </w:trPr>
        <w:tc>
          <w:tcPr>
            <w:tcW w:w="4958" w:type="dxa"/>
            <w:tcBorders>
              <w:top w:val="nil"/>
              <w:left w:val="nil"/>
              <w:bottom w:val="nil"/>
              <w:right w:val="nil"/>
            </w:tcBorders>
            <w:shd w:val="clear" w:color="000000" w:fill="FFFFFF"/>
            <w:noWrap/>
            <w:vAlign w:val="bottom"/>
            <w:hideMark/>
          </w:tcPr>
          <w:p w14:paraId="0DE5D7D8" w14:textId="77777777" w:rsidR="0001571C" w:rsidRPr="008A7A35" w:rsidRDefault="0001571C" w:rsidP="0001571C">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459622AE" w14:textId="77777777" w:rsidR="0001571C" w:rsidRPr="008A7A35" w:rsidRDefault="0001571C" w:rsidP="0001571C">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hideMark/>
          </w:tcPr>
          <w:p w14:paraId="2BBD434E" w14:textId="113E5359" w:rsidR="0001571C" w:rsidRPr="008A7A35" w:rsidRDefault="0001571C" w:rsidP="0001571C">
            <w:pPr>
              <w:jc w:val="right"/>
              <w:rPr>
                <w:rFonts w:ascii="Arial" w:hAnsi="Arial" w:cs="Arial"/>
                <w:b/>
                <w:bCs/>
                <w:sz w:val="20"/>
                <w:szCs w:val="20"/>
                <w:lang w:eastAsia="en-GB"/>
              </w:rPr>
            </w:pPr>
            <w:r w:rsidRPr="008A7A35">
              <w:rPr>
                <w:rFonts w:ascii="Arial" w:hAnsi="Arial" w:cs="Arial"/>
                <w:b/>
                <w:bCs/>
                <w:sz w:val="20"/>
                <w:szCs w:val="20"/>
                <w:lang w:eastAsia="en-GB"/>
              </w:rPr>
              <w:t>202</w:t>
            </w:r>
            <w:r w:rsidR="002F5C32" w:rsidRPr="008A7A35">
              <w:rPr>
                <w:rFonts w:ascii="Arial" w:hAnsi="Arial" w:cs="Arial"/>
                <w:b/>
                <w:bCs/>
                <w:sz w:val="20"/>
                <w:szCs w:val="20"/>
                <w:lang w:eastAsia="en-GB"/>
              </w:rPr>
              <w:t>5</w:t>
            </w:r>
          </w:p>
        </w:tc>
        <w:tc>
          <w:tcPr>
            <w:tcW w:w="2159" w:type="dxa"/>
            <w:tcBorders>
              <w:top w:val="nil"/>
              <w:left w:val="nil"/>
              <w:bottom w:val="nil"/>
              <w:right w:val="nil"/>
            </w:tcBorders>
            <w:shd w:val="clear" w:color="000000" w:fill="FFFFFF"/>
            <w:noWrap/>
            <w:vAlign w:val="bottom"/>
            <w:hideMark/>
          </w:tcPr>
          <w:p w14:paraId="16CBD5DD" w14:textId="1F102B1E" w:rsidR="0001571C" w:rsidRPr="008A7A35" w:rsidRDefault="0001571C" w:rsidP="0001571C">
            <w:pPr>
              <w:jc w:val="right"/>
              <w:rPr>
                <w:rFonts w:ascii="Arial" w:hAnsi="Arial" w:cs="Arial"/>
                <w:sz w:val="20"/>
                <w:szCs w:val="20"/>
                <w:lang w:eastAsia="en-GB"/>
              </w:rPr>
            </w:pPr>
            <w:r w:rsidRPr="008A7A35">
              <w:rPr>
                <w:rFonts w:ascii="Arial" w:hAnsi="Arial" w:cs="Arial"/>
                <w:sz w:val="20"/>
                <w:szCs w:val="20"/>
                <w:lang w:eastAsia="en-GB"/>
              </w:rPr>
              <w:t>202</w:t>
            </w:r>
            <w:r w:rsidR="002F5C32" w:rsidRPr="008A7A35">
              <w:rPr>
                <w:rFonts w:ascii="Arial" w:hAnsi="Arial" w:cs="Arial"/>
                <w:sz w:val="20"/>
                <w:szCs w:val="20"/>
                <w:lang w:eastAsia="en-GB"/>
              </w:rPr>
              <w:t>4</w:t>
            </w:r>
          </w:p>
        </w:tc>
      </w:tr>
      <w:tr w:rsidR="007B0BCD" w:rsidRPr="008A7A35" w14:paraId="4BD43E51" w14:textId="77777777" w:rsidTr="00BB03B1">
        <w:trPr>
          <w:trHeight w:val="528"/>
        </w:trPr>
        <w:tc>
          <w:tcPr>
            <w:tcW w:w="4958" w:type="dxa"/>
            <w:tcBorders>
              <w:top w:val="nil"/>
              <w:left w:val="nil"/>
              <w:bottom w:val="single" w:sz="4" w:space="0" w:color="auto"/>
              <w:right w:val="nil"/>
            </w:tcBorders>
            <w:shd w:val="clear" w:color="000000" w:fill="FFFFFF"/>
            <w:noWrap/>
            <w:vAlign w:val="bottom"/>
            <w:hideMark/>
          </w:tcPr>
          <w:p w14:paraId="17311CB8" w14:textId="77777777" w:rsidR="0001571C" w:rsidRPr="008A7A35" w:rsidRDefault="0001571C" w:rsidP="0001571C">
            <w:pPr>
              <w:rPr>
                <w:rFonts w:ascii="Arial" w:hAnsi="Arial" w:cs="Arial"/>
                <w:sz w:val="20"/>
                <w:szCs w:val="20"/>
                <w:lang w:eastAsia="en-GB"/>
              </w:rPr>
            </w:pPr>
            <w:r w:rsidRPr="008A7A35">
              <w:rPr>
                <w:rFonts w:ascii="Arial" w:hAnsi="Arial" w:cs="Arial"/>
                <w:sz w:val="20"/>
                <w:szCs w:val="20"/>
                <w:lang w:eastAsia="en-GB"/>
              </w:rPr>
              <w:lastRenderedPageBreak/>
              <w:t> </w:t>
            </w:r>
          </w:p>
        </w:tc>
        <w:tc>
          <w:tcPr>
            <w:tcW w:w="854" w:type="dxa"/>
            <w:tcBorders>
              <w:top w:val="nil"/>
              <w:left w:val="nil"/>
              <w:bottom w:val="single" w:sz="4" w:space="0" w:color="auto"/>
              <w:right w:val="nil"/>
            </w:tcBorders>
            <w:shd w:val="clear" w:color="000000" w:fill="FFFFFF"/>
            <w:noWrap/>
            <w:vAlign w:val="bottom"/>
            <w:hideMark/>
          </w:tcPr>
          <w:p w14:paraId="52277ADC" w14:textId="77777777" w:rsidR="0001571C" w:rsidRPr="008A7A35" w:rsidRDefault="0001571C" w:rsidP="0001571C">
            <w:pPr>
              <w:jc w:val="center"/>
              <w:rPr>
                <w:rFonts w:ascii="Arial" w:hAnsi="Arial" w:cs="Arial"/>
                <w:i/>
                <w:iCs/>
                <w:sz w:val="20"/>
                <w:szCs w:val="20"/>
                <w:lang w:eastAsia="en-GB"/>
              </w:rPr>
            </w:pPr>
            <w:r w:rsidRPr="008A7A35">
              <w:rPr>
                <w:rFonts w:ascii="Arial" w:hAnsi="Arial" w:cs="Arial"/>
                <w:i/>
                <w:iCs/>
                <w:sz w:val="20"/>
                <w:szCs w:val="20"/>
                <w:lang w:eastAsia="en-GB"/>
              </w:rPr>
              <w:t>Notes</w:t>
            </w:r>
          </w:p>
        </w:tc>
        <w:tc>
          <w:tcPr>
            <w:tcW w:w="1810" w:type="dxa"/>
            <w:tcBorders>
              <w:top w:val="nil"/>
              <w:left w:val="nil"/>
              <w:bottom w:val="single" w:sz="4" w:space="0" w:color="auto"/>
              <w:right w:val="nil"/>
            </w:tcBorders>
            <w:shd w:val="clear" w:color="000000" w:fill="FFFFFF"/>
            <w:vAlign w:val="bottom"/>
            <w:hideMark/>
          </w:tcPr>
          <w:p w14:paraId="4FA136B8" w14:textId="77777777" w:rsidR="0001571C" w:rsidRPr="008A7A35" w:rsidRDefault="0001571C" w:rsidP="0001571C">
            <w:pPr>
              <w:jc w:val="right"/>
              <w:rPr>
                <w:rFonts w:ascii="Arial" w:hAnsi="Arial" w:cs="Arial"/>
                <w:b/>
                <w:bCs/>
                <w:sz w:val="20"/>
                <w:szCs w:val="20"/>
                <w:lang w:eastAsia="en-GB"/>
              </w:rPr>
            </w:pPr>
            <w:r w:rsidRPr="008A7A35">
              <w:rPr>
                <w:rFonts w:ascii="Arial" w:hAnsi="Arial" w:cs="Arial"/>
                <w:b/>
                <w:bCs/>
                <w:sz w:val="20"/>
                <w:szCs w:val="20"/>
                <w:lang w:eastAsia="en-GB"/>
              </w:rPr>
              <w:t>$’000</w:t>
            </w:r>
            <w:r w:rsidRPr="008A7A35">
              <w:rPr>
                <w:rFonts w:ascii="Arial" w:hAnsi="Arial" w:cs="Arial"/>
                <w:b/>
                <w:bCs/>
                <w:sz w:val="20"/>
                <w:szCs w:val="20"/>
                <w:lang w:eastAsia="en-GB"/>
              </w:rPr>
              <w:br/>
              <w:t>(Unaudited)</w:t>
            </w:r>
          </w:p>
        </w:tc>
        <w:tc>
          <w:tcPr>
            <w:tcW w:w="2159" w:type="dxa"/>
            <w:tcBorders>
              <w:top w:val="nil"/>
              <w:left w:val="nil"/>
              <w:bottom w:val="single" w:sz="4" w:space="0" w:color="auto"/>
              <w:right w:val="nil"/>
            </w:tcBorders>
            <w:shd w:val="clear" w:color="000000" w:fill="FFFFFF"/>
            <w:vAlign w:val="bottom"/>
            <w:hideMark/>
          </w:tcPr>
          <w:p w14:paraId="76BD00CA" w14:textId="77777777" w:rsidR="0001571C" w:rsidRPr="008A7A35" w:rsidRDefault="0001571C" w:rsidP="0001571C">
            <w:pPr>
              <w:jc w:val="right"/>
              <w:rPr>
                <w:rFonts w:ascii="Arial" w:hAnsi="Arial" w:cs="Arial"/>
                <w:sz w:val="20"/>
                <w:szCs w:val="20"/>
                <w:lang w:eastAsia="en-GB"/>
              </w:rPr>
            </w:pPr>
            <w:r w:rsidRPr="008A7A35">
              <w:rPr>
                <w:rFonts w:ascii="Arial" w:hAnsi="Arial" w:cs="Arial"/>
                <w:sz w:val="20"/>
                <w:szCs w:val="20"/>
                <w:lang w:eastAsia="en-GB"/>
              </w:rPr>
              <w:t>$’000</w:t>
            </w:r>
            <w:r w:rsidRPr="008A7A35">
              <w:rPr>
                <w:rFonts w:ascii="Arial" w:hAnsi="Arial" w:cs="Arial"/>
                <w:sz w:val="20"/>
                <w:szCs w:val="20"/>
                <w:lang w:eastAsia="en-GB"/>
              </w:rPr>
              <w:br/>
              <w:t>(Audited)</w:t>
            </w:r>
          </w:p>
        </w:tc>
      </w:tr>
      <w:tr w:rsidR="007B0BCD" w:rsidRPr="008A7A35" w14:paraId="7470DDAF" w14:textId="77777777" w:rsidTr="00BB03B1">
        <w:trPr>
          <w:trHeight w:val="294"/>
        </w:trPr>
        <w:tc>
          <w:tcPr>
            <w:tcW w:w="4958" w:type="dxa"/>
            <w:tcBorders>
              <w:top w:val="nil"/>
              <w:left w:val="nil"/>
              <w:bottom w:val="nil"/>
              <w:right w:val="nil"/>
            </w:tcBorders>
            <w:shd w:val="clear" w:color="000000" w:fill="FFFFFF"/>
            <w:noWrap/>
            <w:vAlign w:val="bottom"/>
            <w:hideMark/>
          </w:tcPr>
          <w:p w14:paraId="286789DC" w14:textId="77777777" w:rsidR="0001571C" w:rsidRPr="008A7A35" w:rsidRDefault="0001571C" w:rsidP="0001571C">
            <w:pPr>
              <w:rPr>
                <w:rFonts w:ascii="Arial" w:hAnsi="Arial" w:cs="Arial"/>
                <w:b/>
                <w:bCs/>
                <w:sz w:val="20"/>
                <w:szCs w:val="20"/>
                <w:lang w:eastAsia="en-GB"/>
              </w:rPr>
            </w:pPr>
            <w:r w:rsidRPr="008A7A35">
              <w:rPr>
                <w:rFonts w:ascii="Arial" w:hAnsi="Arial" w:cs="Arial"/>
                <w:b/>
                <w:bCs/>
                <w:sz w:val="20"/>
                <w:szCs w:val="20"/>
                <w:lang w:eastAsia="en-GB"/>
              </w:rPr>
              <w:t>Assets</w:t>
            </w:r>
          </w:p>
        </w:tc>
        <w:tc>
          <w:tcPr>
            <w:tcW w:w="854" w:type="dxa"/>
            <w:tcBorders>
              <w:top w:val="nil"/>
              <w:left w:val="nil"/>
              <w:bottom w:val="nil"/>
              <w:right w:val="nil"/>
            </w:tcBorders>
            <w:shd w:val="clear" w:color="000000" w:fill="FFFFFF"/>
            <w:noWrap/>
            <w:vAlign w:val="center"/>
            <w:hideMark/>
          </w:tcPr>
          <w:p w14:paraId="27208DFF" w14:textId="77777777" w:rsidR="0001571C" w:rsidRPr="008A7A35" w:rsidRDefault="0001571C" w:rsidP="0001571C">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hideMark/>
          </w:tcPr>
          <w:p w14:paraId="26F437A5" w14:textId="77777777" w:rsidR="0001571C" w:rsidRPr="008A7A35" w:rsidRDefault="0001571C" w:rsidP="0001571C">
            <w:pPr>
              <w:rPr>
                <w:rFonts w:ascii="Arial" w:hAnsi="Arial" w:cs="Arial"/>
                <w:b/>
                <w:bCs/>
                <w:sz w:val="20"/>
                <w:szCs w:val="20"/>
                <w:lang w:eastAsia="en-GB"/>
              </w:rPr>
            </w:pPr>
            <w:r w:rsidRPr="008A7A35">
              <w:rPr>
                <w:rFonts w:ascii="Arial" w:hAnsi="Arial" w:cs="Arial"/>
                <w:b/>
                <w:bCs/>
                <w:sz w:val="20"/>
                <w:szCs w:val="20"/>
                <w:lang w:eastAsia="en-GB"/>
              </w:rPr>
              <w:t> </w:t>
            </w:r>
          </w:p>
        </w:tc>
        <w:tc>
          <w:tcPr>
            <w:tcW w:w="2159" w:type="dxa"/>
            <w:tcBorders>
              <w:top w:val="nil"/>
              <w:left w:val="nil"/>
              <w:bottom w:val="nil"/>
              <w:right w:val="nil"/>
            </w:tcBorders>
            <w:shd w:val="clear" w:color="000000" w:fill="FFFFFF"/>
            <w:noWrap/>
            <w:vAlign w:val="bottom"/>
            <w:hideMark/>
          </w:tcPr>
          <w:p w14:paraId="02077DC7" w14:textId="77777777" w:rsidR="0001571C" w:rsidRPr="008A7A35" w:rsidRDefault="0001571C" w:rsidP="0001571C">
            <w:pPr>
              <w:rPr>
                <w:rFonts w:ascii="Arial" w:hAnsi="Arial" w:cs="Arial"/>
                <w:sz w:val="20"/>
                <w:szCs w:val="20"/>
                <w:lang w:eastAsia="en-GB"/>
              </w:rPr>
            </w:pPr>
            <w:r w:rsidRPr="008A7A35">
              <w:rPr>
                <w:rFonts w:ascii="Arial" w:hAnsi="Arial" w:cs="Arial"/>
                <w:sz w:val="20"/>
                <w:szCs w:val="20"/>
                <w:lang w:eastAsia="en-GB"/>
              </w:rPr>
              <w:t> </w:t>
            </w:r>
          </w:p>
        </w:tc>
      </w:tr>
      <w:tr w:rsidR="007B0BCD" w:rsidRPr="008A7A35" w14:paraId="64E4953D" w14:textId="77777777" w:rsidTr="00BB03B1">
        <w:trPr>
          <w:trHeight w:val="284"/>
        </w:trPr>
        <w:tc>
          <w:tcPr>
            <w:tcW w:w="4958" w:type="dxa"/>
            <w:tcBorders>
              <w:top w:val="nil"/>
              <w:left w:val="nil"/>
              <w:bottom w:val="nil"/>
              <w:right w:val="nil"/>
            </w:tcBorders>
            <w:shd w:val="clear" w:color="000000" w:fill="FFFFFF"/>
            <w:noWrap/>
            <w:vAlign w:val="bottom"/>
            <w:hideMark/>
          </w:tcPr>
          <w:p w14:paraId="28F56ABB" w14:textId="77777777" w:rsidR="0001571C" w:rsidRPr="008A7A35" w:rsidRDefault="0001571C" w:rsidP="0001571C">
            <w:pPr>
              <w:rPr>
                <w:rFonts w:ascii="Arial" w:hAnsi="Arial" w:cs="Arial"/>
                <w:b/>
                <w:bCs/>
                <w:sz w:val="20"/>
                <w:szCs w:val="20"/>
                <w:lang w:eastAsia="en-GB"/>
              </w:rPr>
            </w:pPr>
            <w:r w:rsidRPr="008A7A35">
              <w:rPr>
                <w:rFonts w:ascii="Arial" w:hAnsi="Arial" w:cs="Arial"/>
                <w:b/>
                <w:bCs/>
                <w:sz w:val="20"/>
                <w:szCs w:val="20"/>
                <w:lang w:eastAsia="en-GB"/>
              </w:rPr>
              <w:t>Non-current assets</w:t>
            </w:r>
          </w:p>
        </w:tc>
        <w:tc>
          <w:tcPr>
            <w:tcW w:w="854" w:type="dxa"/>
            <w:tcBorders>
              <w:top w:val="nil"/>
              <w:left w:val="nil"/>
              <w:bottom w:val="nil"/>
              <w:right w:val="nil"/>
            </w:tcBorders>
            <w:shd w:val="clear" w:color="000000" w:fill="FFFFFF"/>
            <w:noWrap/>
            <w:vAlign w:val="center"/>
            <w:hideMark/>
          </w:tcPr>
          <w:p w14:paraId="6A0C3E8E" w14:textId="77777777" w:rsidR="0001571C" w:rsidRPr="008A7A35" w:rsidRDefault="0001571C" w:rsidP="0001571C">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hideMark/>
          </w:tcPr>
          <w:p w14:paraId="72C8B762" w14:textId="77777777" w:rsidR="0001571C" w:rsidRPr="008A7A35" w:rsidRDefault="0001571C" w:rsidP="00401ACF">
            <w:pPr>
              <w:jc w:val="right"/>
              <w:rPr>
                <w:rFonts w:ascii="Arial" w:hAnsi="Arial" w:cs="Arial"/>
                <w:b/>
                <w:bCs/>
                <w:sz w:val="20"/>
                <w:szCs w:val="20"/>
                <w:lang w:eastAsia="en-GB"/>
              </w:rPr>
            </w:pPr>
            <w:r w:rsidRPr="008A7A35">
              <w:rPr>
                <w:rFonts w:ascii="Arial" w:hAnsi="Arial" w:cs="Arial"/>
                <w:b/>
                <w:bCs/>
                <w:sz w:val="20"/>
                <w:szCs w:val="20"/>
                <w:lang w:eastAsia="en-GB"/>
              </w:rPr>
              <w:t> </w:t>
            </w:r>
          </w:p>
        </w:tc>
        <w:tc>
          <w:tcPr>
            <w:tcW w:w="2159" w:type="dxa"/>
            <w:tcBorders>
              <w:top w:val="nil"/>
              <w:left w:val="nil"/>
              <w:bottom w:val="nil"/>
              <w:right w:val="nil"/>
            </w:tcBorders>
            <w:shd w:val="clear" w:color="000000" w:fill="FFFFFF"/>
            <w:noWrap/>
            <w:vAlign w:val="bottom"/>
            <w:hideMark/>
          </w:tcPr>
          <w:p w14:paraId="193016BA" w14:textId="77777777" w:rsidR="0001571C" w:rsidRPr="008A7A35" w:rsidRDefault="0001571C" w:rsidP="0001571C">
            <w:pPr>
              <w:rPr>
                <w:rFonts w:ascii="Arial" w:hAnsi="Arial" w:cs="Arial"/>
                <w:sz w:val="20"/>
                <w:szCs w:val="20"/>
                <w:lang w:eastAsia="en-GB"/>
              </w:rPr>
            </w:pPr>
            <w:r w:rsidRPr="008A7A35">
              <w:rPr>
                <w:rFonts w:ascii="Arial" w:hAnsi="Arial" w:cs="Arial"/>
                <w:sz w:val="20"/>
                <w:szCs w:val="20"/>
                <w:lang w:eastAsia="en-GB"/>
              </w:rPr>
              <w:t> </w:t>
            </w:r>
          </w:p>
        </w:tc>
      </w:tr>
      <w:tr w:rsidR="00053788" w:rsidRPr="008A7A35" w14:paraId="1801AFE1" w14:textId="77777777" w:rsidTr="00391CE4">
        <w:trPr>
          <w:trHeight w:val="284"/>
        </w:trPr>
        <w:tc>
          <w:tcPr>
            <w:tcW w:w="4958" w:type="dxa"/>
            <w:tcBorders>
              <w:top w:val="nil"/>
              <w:left w:val="nil"/>
              <w:bottom w:val="nil"/>
              <w:right w:val="nil"/>
            </w:tcBorders>
            <w:shd w:val="clear" w:color="000000" w:fill="FFFFFF"/>
            <w:noWrap/>
            <w:vAlign w:val="bottom"/>
            <w:hideMark/>
          </w:tcPr>
          <w:p w14:paraId="303E43CA" w14:textId="2AF4F667" w:rsidR="00053788" w:rsidRPr="008A7A35" w:rsidRDefault="00053788" w:rsidP="00053788">
            <w:pPr>
              <w:rPr>
                <w:rFonts w:ascii="Arial" w:hAnsi="Arial" w:cs="Arial"/>
                <w:sz w:val="20"/>
                <w:szCs w:val="20"/>
                <w:lang w:eastAsia="en-GB"/>
              </w:rPr>
            </w:pPr>
            <w:r w:rsidRPr="008A7A35">
              <w:rPr>
                <w:rFonts w:ascii="Arial" w:hAnsi="Arial" w:cs="Arial"/>
                <w:sz w:val="20"/>
                <w:szCs w:val="20"/>
                <w:lang w:eastAsia="en-GB"/>
              </w:rPr>
              <w:t>Investment at fair value through profit or loss</w:t>
            </w:r>
          </w:p>
        </w:tc>
        <w:tc>
          <w:tcPr>
            <w:tcW w:w="854" w:type="dxa"/>
            <w:tcBorders>
              <w:top w:val="nil"/>
              <w:left w:val="nil"/>
              <w:bottom w:val="nil"/>
              <w:right w:val="nil"/>
            </w:tcBorders>
            <w:shd w:val="clear" w:color="000000" w:fill="FFFFFF"/>
            <w:noWrap/>
            <w:vAlign w:val="center"/>
            <w:hideMark/>
          </w:tcPr>
          <w:p w14:paraId="5FBB752C" w14:textId="77777777" w:rsidR="00053788" w:rsidRPr="008A7A35" w:rsidRDefault="00053788" w:rsidP="00053788">
            <w:pPr>
              <w:jc w:val="center"/>
              <w:rPr>
                <w:rFonts w:ascii="Arial" w:hAnsi="Arial" w:cs="Arial"/>
                <w:i/>
                <w:iCs/>
                <w:sz w:val="20"/>
                <w:szCs w:val="20"/>
                <w:lang w:eastAsia="en-GB"/>
              </w:rPr>
            </w:pPr>
            <w:r w:rsidRPr="008A7A35">
              <w:rPr>
                <w:rFonts w:ascii="Arial" w:hAnsi="Arial" w:cs="Arial"/>
                <w:i/>
                <w:iCs/>
                <w:sz w:val="20"/>
                <w:szCs w:val="20"/>
                <w:lang w:eastAsia="en-GB"/>
              </w:rPr>
              <w:t>6</w:t>
            </w:r>
          </w:p>
        </w:tc>
        <w:tc>
          <w:tcPr>
            <w:tcW w:w="1810" w:type="dxa"/>
            <w:tcBorders>
              <w:top w:val="nil"/>
              <w:left w:val="nil"/>
              <w:bottom w:val="nil"/>
              <w:right w:val="nil"/>
            </w:tcBorders>
            <w:shd w:val="clear" w:color="000000" w:fill="FFFFFF"/>
            <w:noWrap/>
            <w:vAlign w:val="bottom"/>
          </w:tcPr>
          <w:p w14:paraId="358AFC31" w14:textId="271BF093" w:rsidR="00053788" w:rsidRPr="008A7A35" w:rsidRDefault="004732BE" w:rsidP="004910A8">
            <w:pPr>
              <w:jc w:val="right"/>
              <w:rPr>
                <w:rFonts w:ascii="Arial" w:hAnsi="Arial" w:cs="Arial"/>
                <w:b/>
                <w:bCs/>
                <w:sz w:val="20"/>
                <w:szCs w:val="20"/>
              </w:rPr>
            </w:pPr>
            <w:r>
              <w:rPr>
                <w:rFonts w:ascii="Arial" w:hAnsi="Arial" w:cs="Arial"/>
                <w:b/>
                <w:bCs/>
                <w:sz w:val="20"/>
                <w:szCs w:val="20"/>
              </w:rPr>
              <w:t>370,934</w:t>
            </w:r>
          </w:p>
        </w:tc>
        <w:tc>
          <w:tcPr>
            <w:tcW w:w="2159" w:type="dxa"/>
            <w:tcBorders>
              <w:top w:val="nil"/>
              <w:left w:val="nil"/>
              <w:bottom w:val="nil"/>
              <w:right w:val="nil"/>
            </w:tcBorders>
            <w:shd w:val="clear" w:color="000000" w:fill="FFFFFF"/>
            <w:noWrap/>
            <w:vAlign w:val="bottom"/>
          </w:tcPr>
          <w:p w14:paraId="2FF9AA29" w14:textId="0B95183D" w:rsidR="0005378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372,564</w:t>
            </w:r>
          </w:p>
        </w:tc>
      </w:tr>
      <w:tr w:rsidR="00053788" w:rsidRPr="008A7A35" w14:paraId="7A6CA540" w14:textId="77777777" w:rsidTr="00391CE4">
        <w:trPr>
          <w:trHeight w:val="284"/>
        </w:trPr>
        <w:tc>
          <w:tcPr>
            <w:tcW w:w="4958" w:type="dxa"/>
            <w:tcBorders>
              <w:top w:val="single" w:sz="4" w:space="0" w:color="auto"/>
              <w:left w:val="nil"/>
              <w:bottom w:val="single" w:sz="4" w:space="0" w:color="auto"/>
              <w:right w:val="nil"/>
            </w:tcBorders>
            <w:shd w:val="clear" w:color="000000" w:fill="FFFFFF"/>
            <w:noWrap/>
            <w:vAlign w:val="bottom"/>
            <w:hideMark/>
          </w:tcPr>
          <w:p w14:paraId="13C4FB12" w14:textId="77777777" w:rsidR="00053788" w:rsidRPr="008A7A35" w:rsidRDefault="00053788" w:rsidP="00053788">
            <w:pPr>
              <w:rPr>
                <w:rFonts w:ascii="Arial" w:hAnsi="Arial" w:cs="Arial"/>
                <w:b/>
                <w:bCs/>
                <w:sz w:val="20"/>
                <w:szCs w:val="20"/>
                <w:lang w:eastAsia="en-GB"/>
              </w:rPr>
            </w:pPr>
            <w:r w:rsidRPr="008A7A35">
              <w:rPr>
                <w:rFonts w:ascii="Arial" w:hAnsi="Arial" w:cs="Arial"/>
                <w:b/>
                <w:bCs/>
                <w:sz w:val="20"/>
                <w:szCs w:val="20"/>
                <w:lang w:eastAsia="en-GB"/>
              </w:rPr>
              <w:t>Total non-current assets</w:t>
            </w:r>
          </w:p>
        </w:tc>
        <w:tc>
          <w:tcPr>
            <w:tcW w:w="854" w:type="dxa"/>
            <w:tcBorders>
              <w:top w:val="single" w:sz="4" w:space="0" w:color="auto"/>
              <w:left w:val="nil"/>
              <w:bottom w:val="single" w:sz="4" w:space="0" w:color="auto"/>
              <w:right w:val="nil"/>
            </w:tcBorders>
            <w:shd w:val="clear" w:color="000000" w:fill="FFFFFF"/>
            <w:noWrap/>
            <w:vAlign w:val="center"/>
            <w:hideMark/>
          </w:tcPr>
          <w:p w14:paraId="06E09B16" w14:textId="77777777" w:rsidR="00053788" w:rsidRPr="008A7A35" w:rsidRDefault="00053788" w:rsidP="00053788">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single" w:sz="4" w:space="0" w:color="auto"/>
              <w:left w:val="nil"/>
              <w:bottom w:val="single" w:sz="4" w:space="0" w:color="auto"/>
              <w:right w:val="nil"/>
            </w:tcBorders>
            <w:shd w:val="clear" w:color="000000" w:fill="FFFFFF"/>
            <w:noWrap/>
            <w:vAlign w:val="bottom"/>
          </w:tcPr>
          <w:p w14:paraId="71AA61A6" w14:textId="75E8F91D" w:rsidR="00053788" w:rsidRPr="008A7A35" w:rsidRDefault="004732BE" w:rsidP="004910A8">
            <w:pPr>
              <w:jc w:val="right"/>
              <w:rPr>
                <w:rFonts w:ascii="Arial" w:hAnsi="Arial" w:cs="Arial"/>
                <w:b/>
                <w:bCs/>
                <w:sz w:val="20"/>
                <w:szCs w:val="20"/>
                <w:lang w:eastAsia="en-GB"/>
              </w:rPr>
            </w:pPr>
            <w:r>
              <w:rPr>
                <w:rFonts w:ascii="Arial" w:hAnsi="Arial" w:cs="Arial"/>
                <w:b/>
                <w:bCs/>
                <w:sz w:val="20"/>
                <w:szCs w:val="20"/>
              </w:rPr>
              <w:t>370,934</w:t>
            </w:r>
          </w:p>
        </w:tc>
        <w:tc>
          <w:tcPr>
            <w:tcW w:w="2159" w:type="dxa"/>
            <w:tcBorders>
              <w:top w:val="single" w:sz="4" w:space="0" w:color="auto"/>
              <w:left w:val="nil"/>
              <w:bottom w:val="single" w:sz="4" w:space="0" w:color="auto"/>
              <w:right w:val="nil"/>
            </w:tcBorders>
            <w:shd w:val="clear" w:color="000000" w:fill="FFFFFF"/>
            <w:noWrap/>
            <w:vAlign w:val="bottom"/>
          </w:tcPr>
          <w:p w14:paraId="30710229" w14:textId="2171F0E0" w:rsidR="0005378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372,564</w:t>
            </w:r>
          </w:p>
        </w:tc>
      </w:tr>
      <w:tr w:rsidR="007B0BCD" w:rsidRPr="008A7A35" w14:paraId="5631B7C8" w14:textId="77777777" w:rsidTr="00391CE4">
        <w:trPr>
          <w:trHeight w:val="284"/>
        </w:trPr>
        <w:tc>
          <w:tcPr>
            <w:tcW w:w="4958" w:type="dxa"/>
            <w:tcBorders>
              <w:top w:val="nil"/>
              <w:left w:val="nil"/>
              <w:bottom w:val="nil"/>
              <w:right w:val="nil"/>
            </w:tcBorders>
            <w:shd w:val="clear" w:color="000000" w:fill="FFFFFF"/>
            <w:noWrap/>
            <w:vAlign w:val="bottom"/>
            <w:hideMark/>
          </w:tcPr>
          <w:p w14:paraId="350C7798" w14:textId="77777777" w:rsidR="0001571C" w:rsidRPr="008A7A35" w:rsidRDefault="0001571C" w:rsidP="0001571C">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3A54D910" w14:textId="77777777" w:rsidR="0001571C" w:rsidRPr="008A7A35" w:rsidRDefault="0001571C" w:rsidP="0001571C">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6418024B" w14:textId="51E8B22B" w:rsidR="0001571C" w:rsidRPr="008A7A35" w:rsidRDefault="0001571C" w:rsidP="004910A8">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081CDC07" w14:textId="6707EE57" w:rsidR="0001571C" w:rsidRPr="008A7A35" w:rsidRDefault="0001571C" w:rsidP="00391CE4">
            <w:pPr>
              <w:jc w:val="right"/>
              <w:rPr>
                <w:rFonts w:ascii="Arial" w:hAnsi="Arial" w:cs="Arial"/>
                <w:sz w:val="20"/>
                <w:szCs w:val="20"/>
                <w:lang w:eastAsia="en-GB"/>
              </w:rPr>
            </w:pPr>
          </w:p>
        </w:tc>
      </w:tr>
      <w:tr w:rsidR="007B0BCD" w:rsidRPr="008A7A35" w14:paraId="3AC8E9F2" w14:textId="77777777" w:rsidTr="00391CE4">
        <w:trPr>
          <w:trHeight w:val="284"/>
        </w:trPr>
        <w:tc>
          <w:tcPr>
            <w:tcW w:w="4958" w:type="dxa"/>
            <w:tcBorders>
              <w:top w:val="nil"/>
              <w:left w:val="nil"/>
              <w:bottom w:val="nil"/>
              <w:right w:val="nil"/>
            </w:tcBorders>
            <w:shd w:val="clear" w:color="000000" w:fill="FFFFFF"/>
            <w:noWrap/>
            <w:vAlign w:val="bottom"/>
            <w:hideMark/>
          </w:tcPr>
          <w:p w14:paraId="4C64592F" w14:textId="77777777" w:rsidR="0001571C" w:rsidRPr="008A7A35" w:rsidRDefault="0001571C" w:rsidP="0001571C">
            <w:pPr>
              <w:rPr>
                <w:rFonts w:ascii="Arial" w:hAnsi="Arial" w:cs="Arial"/>
                <w:b/>
                <w:bCs/>
                <w:sz w:val="20"/>
                <w:szCs w:val="20"/>
                <w:lang w:eastAsia="en-GB"/>
              </w:rPr>
            </w:pPr>
            <w:r w:rsidRPr="008A7A35">
              <w:rPr>
                <w:rFonts w:ascii="Arial" w:hAnsi="Arial" w:cs="Arial"/>
                <w:b/>
                <w:bCs/>
                <w:sz w:val="20"/>
                <w:szCs w:val="20"/>
                <w:lang w:eastAsia="en-GB"/>
              </w:rPr>
              <w:t>Current assets</w:t>
            </w:r>
          </w:p>
        </w:tc>
        <w:tc>
          <w:tcPr>
            <w:tcW w:w="854" w:type="dxa"/>
            <w:tcBorders>
              <w:top w:val="nil"/>
              <w:left w:val="nil"/>
              <w:bottom w:val="nil"/>
              <w:right w:val="nil"/>
            </w:tcBorders>
            <w:shd w:val="clear" w:color="000000" w:fill="FFFFFF"/>
            <w:noWrap/>
            <w:vAlign w:val="center"/>
            <w:hideMark/>
          </w:tcPr>
          <w:p w14:paraId="40BE3EA2" w14:textId="77777777" w:rsidR="0001571C" w:rsidRPr="008A7A35" w:rsidRDefault="0001571C" w:rsidP="0001571C">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5D75AF88" w14:textId="364F6DD3" w:rsidR="0001571C" w:rsidRPr="008A7A35" w:rsidRDefault="0001571C" w:rsidP="004910A8">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06DBD6B7" w14:textId="203518E9" w:rsidR="0001571C" w:rsidRPr="008A7A35" w:rsidRDefault="0001571C" w:rsidP="00391CE4">
            <w:pPr>
              <w:jc w:val="right"/>
              <w:rPr>
                <w:rFonts w:ascii="Arial" w:hAnsi="Arial" w:cs="Arial"/>
                <w:sz w:val="20"/>
                <w:szCs w:val="20"/>
                <w:lang w:eastAsia="en-GB"/>
              </w:rPr>
            </w:pPr>
          </w:p>
        </w:tc>
      </w:tr>
      <w:tr w:rsidR="00B273F3" w:rsidRPr="008A7A35" w14:paraId="1DC12DDB" w14:textId="77777777" w:rsidTr="00391CE4">
        <w:trPr>
          <w:trHeight w:val="284"/>
        </w:trPr>
        <w:tc>
          <w:tcPr>
            <w:tcW w:w="4958" w:type="dxa"/>
            <w:tcBorders>
              <w:top w:val="nil"/>
              <w:left w:val="nil"/>
              <w:bottom w:val="nil"/>
              <w:right w:val="nil"/>
            </w:tcBorders>
            <w:shd w:val="clear" w:color="000000" w:fill="FFFFFF"/>
            <w:noWrap/>
            <w:vAlign w:val="bottom"/>
            <w:hideMark/>
          </w:tcPr>
          <w:p w14:paraId="48C3BCFC"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Trade and other receivables</w:t>
            </w:r>
          </w:p>
        </w:tc>
        <w:tc>
          <w:tcPr>
            <w:tcW w:w="854" w:type="dxa"/>
            <w:tcBorders>
              <w:top w:val="nil"/>
              <w:left w:val="nil"/>
              <w:bottom w:val="nil"/>
              <w:right w:val="nil"/>
            </w:tcBorders>
            <w:shd w:val="clear" w:color="000000" w:fill="FFFFFF"/>
            <w:noWrap/>
            <w:vAlign w:val="center"/>
            <w:hideMark/>
          </w:tcPr>
          <w:p w14:paraId="1835E1BF"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662219D3" w14:textId="05A9B2D8"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6</w:t>
            </w:r>
            <w:r w:rsidR="002E4766">
              <w:rPr>
                <w:rFonts w:ascii="Arial" w:hAnsi="Arial" w:cs="Arial"/>
                <w:b/>
                <w:bCs/>
                <w:sz w:val="20"/>
                <w:szCs w:val="20"/>
              </w:rPr>
              <w:t>4</w:t>
            </w:r>
          </w:p>
        </w:tc>
        <w:tc>
          <w:tcPr>
            <w:tcW w:w="2159" w:type="dxa"/>
            <w:tcBorders>
              <w:top w:val="nil"/>
              <w:left w:val="nil"/>
              <w:bottom w:val="nil"/>
              <w:right w:val="nil"/>
            </w:tcBorders>
            <w:shd w:val="clear" w:color="000000" w:fill="FFFFFF"/>
            <w:noWrap/>
            <w:vAlign w:val="bottom"/>
          </w:tcPr>
          <w:p w14:paraId="4545B1C2" w14:textId="227DFE07"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2,447</w:t>
            </w:r>
          </w:p>
        </w:tc>
      </w:tr>
      <w:tr w:rsidR="00B273F3" w:rsidRPr="008A7A35" w14:paraId="10458476" w14:textId="77777777" w:rsidTr="00391CE4">
        <w:trPr>
          <w:trHeight w:val="284"/>
        </w:trPr>
        <w:tc>
          <w:tcPr>
            <w:tcW w:w="4958" w:type="dxa"/>
            <w:tcBorders>
              <w:top w:val="nil"/>
              <w:left w:val="nil"/>
              <w:bottom w:val="nil"/>
              <w:right w:val="nil"/>
            </w:tcBorders>
            <w:shd w:val="clear" w:color="000000" w:fill="FFFFFF"/>
            <w:noWrap/>
            <w:vAlign w:val="bottom"/>
            <w:hideMark/>
          </w:tcPr>
          <w:p w14:paraId="1708DDE3"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Cash and cash equivalents</w:t>
            </w:r>
          </w:p>
        </w:tc>
        <w:tc>
          <w:tcPr>
            <w:tcW w:w="854" w:type="dxa"/>
            <w:tcBorders>
              <w:top w:val="nil"/>
              <w:left w:val="nil"/>
              <w:bottom w:val="nil"/>
              <w:right w:val="nil"/>
            </w:tcBorders>
            <w:shd w:val="clear" w:color="000000" w:fill="FFFFFF"/>
            <w:noWrap/>
            <w:vAlign w:val="center"/>
            <w:hideMark/>
          </w:tcPr>
          <w:p w14:paraId="4A351133" w14:textId="53454470" w:rsidR="00B273F3" w:rsidRPr="008A7A35" w:rsidRDefault="00B273F3" w:rsidP="00B273F3">
            <w:pPr>
              <w:jc w:val="center"/>
              <w:rPr>
                <w:rFonts w:ascii="Arial" w:hAnsi="Arial" w:cs="Arial"/>
                <w:i/>
                <w:iCs/>
                <w:sz w:val="20"/>
                <w:szCs w:val="20"/>
                <w:lang w:eastAsia="en-GB"/>
              </w:rPr>
            </w:pPr>
          </w:p>
        </w:tc>
        <w:tc>
          <w:tcPr>
            <w:tcW w:w="1810" w:type="dxa"/>
            <w:tcBorders>
              <w:top w:val="nil"/>
              <w:left w:val="nil"/>
              <w:bottom w:val="nil"/>
              <w:right w:val="nil"/>
            </w:tcBorders>
            <w:shd w:val="clear" w:color="000000" w:fill="FFFFFF"/>
            <w:noWrap/>
            <w:vAlign w:val="bottom"/>
          </w:tcPr>
          <w:p w14:paraId="70E1B328" w14:textId="1657AFF9"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1,314</w:t>
            </w:r>
          </w:p>
        </w:tc>
        <w:tc>
          <w:tcPr>
            <w:tcW w:w="2159" w:type="dxa"/>
            <w:tcBorders>
              <w:top w:val="nil"/>
              <w:left w:val="nil"/>
              <w:bottom w:val="nil"/>
              <w:right w:val="nil"/>
            </w:tcBorders>
            <w:shd w:val="clear" w:color="000000" w:fill="FFFFFF"/>
            <w:noWrap/>
            <w:vAlign w:val="bottom"/>
          </w:tcPr>
          <w:p w14:paraId="1DA2F95F" w14:textId="3D069AAE"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1,459</w:t>
            </w:r>
          </w:p>
        </w:tc>
      </w:tr>
      <w:tr w:rsidR="00B273F3" w:rsidRPr="008A7A35" w14:paraId="0C8003F0" w14:textId="77777777" w:rsidTr="00391CE4">
        <w:trPr>
          <w:trHeight w:val="284"/>
        </w:trPr>
        <w:tc>
          <w:tcPr>
            <w:tcW w:w="4958" w:type="dxa"/>
            <w:tcBorders>
              <w:top w:val="single" w:sz="4" w:space="0" w:color="auto"/>
              <w:left w:val="nil"/>
              <w:bottom w:val="single" w:sz="4" w:space="0" w:color="auto"/>
              <w:right w:val="nil"/>
            </w:tcBorders>
            <w:shd w:val="clear" w:color="000000" w:fill="FFFFFF"/>
            <w:noWrap/>
            <w:vAlign w:val="bottom"/>
            <w:hideMark/>
          </w:tcPr>
          <w:p w14:paraId="55F75944"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Total current assets</w:t>
            </w:r>
          </w:p>
        </w:tc>
        <w:tc>
          <w:tcPr>
            <w:tcW w:w="854" w:type="dxa"/>
            <w:tcBorders>
              <w:top w:val="single" w:sz="4" w:space="0" w:color="auto"/>
              <w:left w:val="nil"/>
              <w:bottom w:val="single" w:sz="4" w:space="0" w:color="auto"/>
              <w:right w:val="nil"/>
            </w:tcBorders>
            <w:shd w:val="clear" w:color="000000" w:fill="FFFFFF"/>
            <w:noWrap/>
            <w:vAlign w:val="center"/>
            <w:hideMark/>
          </w:tcPr>
          <w:p w14:paraId="0D285A9A"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single" w:sz="4" w:space="0" w:color="auto"/>
              <w:left w:val="nil"/>
              <w:bottom w:val="single" w:sz="4" w:space="0" w:color="auto"/>
              <w:right w:val="nil"/>
            </w:tcBorders>
            <w:shd w:val="clear" w:color="000000" w:fill="FFFFFF"/>
            <w:noWrap/>
            <w:vAlign w:val="bottom"/>
          </w:tcPr>
          <w:p w14:paraId="602871B4" w14:textId="5A3EABC2" w:rsidR="00B273F3" w:rsidRPr="008A7A35" w:rsidRDefault="002E4766" w:rsidP="00B273F3">
            <w:pPr>
              <w:jc w:val="right"/>
              <w:rPr>
                <w:rFonts w:ascii="Arial" w:hAnsi="Arial" w:cs="Arial"/>
                <w:b/>
                <w:bCs/>
                <w:sz w:val="20"/>
                <w:szCs w:val="20"/>
                <w:lang w:eastAsia="en-GB"/>
              </w:rPr>
            </w:pPr>
            <w:r>
              <w:rPr>
                <w:rFonts w:ascii="Arial" w:hAnsi="Arial" w:cs="Arial"/>
                <w:b/>
                <w:bCs/>
                <w:sz w:val="20"/>
                <w:szCs w:val="20"/>
              </w:rPr>
              <w:t>1,378</w:t>
            </w:r>
          </w:p>
        </w:tc>
        <w:tc>
          <w:tcPr>
            <w:tcW w:w="2159" w:type="dxa"/>
            <w:tcBorders>
              <w:top w:val="single" w:sz="4" w:space="0" w:color="auto"/>
              <w:left w:val="nil"/>
              <w:bottom w:val="single" w:sz="4" w:space="0" w:color="auto"/>
              <w:right w:val="nil"/>
            </w:tcBorders>
            <w:shd w:val="clear" w:color="000000" w:fill="FFFFFF"/>
            <w:noWrap/>
            <w:vAlign w:val="bottom"/>
          </w:tcPr>
          <w:p w14:paraId="0A9EE33B" w14:textId="6D1D9067"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3,906</w:t>
            </w:r>
          </w:p>
        </w:tc>
      </w:tr>
      <w:tr w:rsidR="00B273F3" w:rsidRPr="008A7A35" w14:paraId="096BE457" w14:textId="77777777" w:rsidTr="00391CE4">
        <w:trPr>
          <w:trHeight w:val="284"/>
        </w:trPr>
        <w:tc>
          <w:tcPr>
            <w:tcW w:w="4958" w:type="dxa"/>
            <w:tcBorders>
              <w:top w:val="nil"/>
              <w:left w:val="nil"/>
              <w:bottom w:val="nil"/>
              <w:right w:val="nil"/>
            </w:tcBorders>
            <w:shd w:val="clear" w:color="000000" w:fill="FFFFFF"/>
            <w:noWrap/>
            <w:vAlign w:val="bottom"/>
            <w:hideMark/>
          </w:tcPr>
          <w:p w14:paraId="2623B5D4"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43033CDD"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6E42C2A0" w14:textId="560CAE55"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123153E3" w14:textId="3F88CA05" w:rsidR="00B273F3" w:rsidRPr="008A7A35" w:rsidRDefault="00B273F3" w:rsidP="00B273F3">
            <w:pPr>
              <w:jc w:val="right"/>
              <w:rPr>
                <w:rFonts w:ascii="Arial" w:hAnsi="Arial" w:cs="Arial"/>
                <w:sz w:val="20"/>
                <w:szCs w:val="20"/>
                <w:lang w:eastAsia="en-GB"/>
              </w:rPr>
            </w:pPr>
          </w:p>
        </w:tc>
      </w:tr>
      <w:tr w:rsidR="00B273F3" w:rsidRPr="008A7A35" w14:paraId="63832761" w14:textId="77777777" w:rsidTr="00391CE4">
        <w:trPr>
          <w:trHeight w:val="284"/>
        </w:trPr>
        <w:tc>
          <w:tcPr>
            <w:tcW w:w="4958" w:type="dxa"/>
            <w:tcBorders>
              <w:top w:val="nil"/>
              <w:left w:val="nil"/>
              <w:bottom w:val="single" w:sz="4" w:space="0" w:color="auto"/>
              <w:right w:val="nil"/>
            </w:tcBorders>
            <w:shd w:val="clear" w:color="000000" w:fill="FFFFFF"/>
            <w:noWrap/>
            <w:vAlign w:val="bottom"/>
            <w:hideMark/>
          </w:tcPr>
          <w:p w14:paraId="0B238BEA"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Total assets</w:t>
            </w:r>
          </w:p>
        </w:tc>
        <w:tc>
          <w:tcPr>
            <w:tcW w:w="854" w:type="dxa"/>
            <w:tcBorders>
              <w:top w:val="nil"/>
              <w:left w:val="nil"/>
              <w:bottom w:val="single" w:sz="4" w:space="0" w:color="auto"/>
              <w:right w:val="nil"/>
            </w:tcBorders>
            <w:shd w:val="clear" w:color="000000" w:fill="FFFFFF"/>
            <w:noWrap/>
            <w:vAlign w:val="center"/>
            <w:hideMark/>
          </w:tcPr>
          <w:p w14:paraId="6DBB4D39"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single" w:sz="4" w:space="0" w:color="auto"/>
              <w:right w:val="nil"/>
            </w:tcBorders>
            <w:shd w:val="clear" w:color="000000" w:fill="FFFFFF"/>
            <w:noWrap/>
            <w:vAlign w:val="bottom"/>
          </w:tcPr>
          <w:p w14:paraId="458E6CE8" w14:textId="31502086" w:rsidR="00B273F3" w:rsidRPr="008A7A35" w:rsidRDefault="00C414EF" w:rsidP="00B273F3">
            <w:pPr>
              <w:jc w:val="right"/>
              <w:rPr>
                <w:rFonts w:ascii="Arial" w:hAnsi="Arial" w:cs="Arial"/>
                <w:b/>
                <w:bCs/>
                <w:sz w:val="20"/>
                <w:szCs w:val="20"/>
                <w:lang w:eastAsia="en-GB"/>
              </w:rPr>
            </w:pPr>
            <w:r>
              <w:rPr>
                <w:rFonts w:ascii="Arial" w:hAnsi="Arial" w:cs="Arial"/>
                <w:b/>
                <w:bCs/>
                <w:sz w:val="20"/>
                <w:szCs w:val="20"/>
              </w:rPr>
              <w:t>372,312</w:t>
            </w:r>
          </w:p>
        </w:tc>
        <w:tc>
          <w:tcPr>
            <w:tcW w:w="2159" w:type="dxa"/>
            <w:tcBorders>
              <w:top w:val="nil"/>
              <w:left w:val="nil"/>
              <w:bottom w:val="single" w:sz="4" w:space="0" w:color="auto"/>
              <w:right w:val="nil"/>
            </w:tcBorders>
            <w:shd w:val="clear" w:color="000000" w:fill="FFFFFF"/>
            <w:noWrap/>
            <w:vAlign w:val="bottom"/>
          </w:tcPr>
          <w:p w14:paraId="03F4DB06" w14:textId="407D2077"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376,470</w:t>
            </w:r>
          </w:p>
        </w:tc>
      </w:tr>
      <w:tr w:rsidR="00B273F3" w:rsidRPr="008A7A35" w14:paraId="4B098720" w14:textId="77777777" w:rsidTr="00391CE4">
        <w:trPr>
          <w:trHeight w:val="284"/>
        </w:trPr>
        <w:tc>
          <w:tcPr>
            <w:tcW w:w="4958" w:type="dxa"/>
            <w:tcBorders>
              <w:top w:val="nil"/>
              <w:left w:val="nil"/>
              <w:bottom w:val="nil"/>
              <w:right w:val="nil"/>
            </w:tcBorders>
            <w:shd w:val="clear" w:color="000000" w:fill="FFFFFF"/>
            <w:noWrap/>
            <w:vAlign w:val="bottom"/>
            <w:hideMark/>
          </w:tcPr>
          <w:p w14:paraId="398AA8E7"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 </w:t>
            </w:r>
          </w:p>
        </w:tc>
        <w:tc>
          <w:tcPr>
            <w:tcW w:w="854" w:type="dxa"/>
            <w:tcBorders>
              <w:top w:val="nil"/>
              <w:left w:val="nil"/>
              <w:bottom w:val="nil"/>
              <w:right w:val="nil"/>
            </w:tcBorders>
            <w:shd w:val="clear" w:color="000000" w:fill="FFFFFF"/>
            <w:noWrap/>
            <w:vAlign w:val="center"/>
            <w:hideMark/>
          </w:tcPr>
          <w:p w14:paraId="177E78A4"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69E6F36F" w14:textId="58B5B3F8"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5C15CA94" w14:textId="4DC60F81" w:rsidR="00B273F3" w:rsidRPr="008A7A35" w:rsidRDefault="00B273F3" w:rsidP="00B273F3">
            <w:pPr>
              <w:jc w:val="right"/>
              <w:rPr>
                <w:rFonts w:ascii="Arial" w:hAnsi="Arial" w:cs="Arial"/>
                <w:sz w:val="20"/>
                <w:szCs w:val="20"/>
                <w:lang w:eastAsia="en-GB"/>
              </w:rPr>
            </w:pPr>
          </w:p>
        </w:tc>
      </w:tr>
      <w:tr w:rsidR="00B273F3" w:rsidRPr="008A7A35" w14:paraId="4E5D86A3" w14:textId="77777777" w:rsidTr="00391CE4">
        <w:trPr>
          <w:trHeight w:val="284"/>
        </w:trPr>
        <w:tc>
          <w:tcPr>
            <w:tcW w:w="4958" w:type="dxa"/>
            <w:tcBorders>
              <w:top w:val="nil"/>
              <w:left w:val="nil"/>
              <w:bottom w:val="nil"/>
              <w:right w:val="nil"/>
            </w:tcBorders>
            <w:shd w:val="clear" w:color="000000" w:fill="FFFFFF"/>
            <w:noWrap/>
            <w:vAlign w:val="bottom"/>
            <w:hideMark/>
          </w:tcPr>
          <w:p w14:paraId="4791BE07"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Current liabilities</w:t>
            </w:r>
          </w:p>
        </w:tc>
        <w:tc>
          <w:tcPr>
            <w:tcW w:w="854" w:type="dxa"/>
            <w:tcBorders>
              <w:top w:val="nil"/>
              <w:left w:val="nil"/>
              <w:bottom w:val="nil"/>
              <w:right w:val="nil"/>
            </w:tcBorders>
            <w:shd w:val="clear" w:color="000000" w:fill="FFFFFF"/>
            <w:noWrap/>
            <w:vAlign w:val="center"/>
            <w:hideMark/>
          </w:tcPr>
          <w:p w14:paraId="3D33DF7F"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0A11D385" w14:textId="424D9C9B"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68EC5A9F" w14:textId="367DD0DC" w:rsidR="00B273F3" w:rsidRPr="008A7A35" w:rsidRDefault="00B273F3" w:rsidP="00B273F3">
            <w:pPr>
              <w:jc w:val="right"/>
              <w:rPr>
                <w:rFonts w:ascii="Arial" w:hAnsi="Arial" w:cs="Arial"/>
                <w:sz w:val="20"/>
                <w:szCs w:val="20"/>
                <w:lang w:eastAsia="en-GB"/>
              </w:rPr>
            </w:pPr>
          </w:p>
        </w:tc>
      </w:tr>
      <w:tr w:rsidR="00B273F3" w:rsidRPr="008A7A35" w14:paraId="45598C9D" w14:textId="77777777" w:rsidTr="00391CE4">
        <w:trPr>
          <w:trHeight w:val="284"/>
        </w:trPr>
        <w:tc>
          <w:tcPr>
            <w:tcW w:w="4958" w:type="dxa"/>
            <w:tcBorders>
              <w:top w:val="nil"/>
              <w:left w:val="nil"/>
              <w:bottom w:val="nil"/>
              <w:right w:val="nil"/>
            </w:tcBorders>
            <w:shd w:val="clear" w:color="000000" w:fill="FFFFFF"/>
            <w:noWrap/>
            <w:vAlign w:val="bottom"/>
            <w:hideMark/>
          </w:tcPr>
          <w:p w14:paraId="7503053C"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Trade and other payables</w:t>
            </w:r>
          </w:p>
        </w:tc>
        <w:tc>
          <w:tcPr>
            <w:tcW w:w="854" w:type="dxa"/>
            <w:tcBorders>
              <w:top w:val="nil"/>
              <w:left w:val="nil"/>
              <w:bottom w:val="nil"/>
              <w:right w:val="nil"/>
            </w:tcBorders>
            <w:shd w:val="clear" w:color="000000" w:fill="FFFFFF"/>
            <w:noWrap/>
            <w:vAlign w:val="center"/>
            <w:hideMark/>
          </w:tcPr>
          <w:p w14:paraId="0FECCFD4"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0AEDA367" w14:textId="62D43C53"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629</w:t>
            </w:r>
          </w:p>
        </w:tc>
        <w:tc>
          <w:tcPr>
            <w:tcW w:w="2159" w:type="dxa"/>
            <w:tcBorders>
              <w:top w:val="nil"/>
              <w:left w:val="nil"/>
              <w:bottom w:val="nil"/>
              <w:right w:val="nil"/>
            </w:tcBorders>
            <w:shd w:val="clear" w:color="000000" w:fill="FFFFFF"/>
            <w:noWrap/>
            <w:vAlign w:val="bottom"/>
          </w:tcPr>
          <w:p w14:paraId="59A26069" w14:textId="031B3564"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626</w:t>
            </w:r>
          </w:p>
        </w:tc>
      </w:tr>
      <w:tr w:rsidR="00B273F3" w:rsidRPr="008A7A35" w14:paraId="59BE2D0C" w14:textId="77777777" w:rsidTr="00391CE4">
        <w:trPr>
          <w:trHeight w:val="284"/>
        </w:trPr>
        <w:tc>
          <w:tcPr>
            <w:tcW w:w="4958" w:type="dxa"/>
            <w:tcBorders>
              <w:top w:val="single" w:sz="4" w:space="0" w:color="auto"/>
              <w:left w:val="nil"/>
              <w:bottom w:val="single" w:sz="4" w:space="0" w:color="auto"/>
              <w:right w:val="nil"/>
            </w:tcBorders>
            <w:shd w:val="clear" w:color="000000" w:fill="FFFFFF"/>
            <w:noWrap/>
            <w:vAlign w:val="bottom"/>
            <w:hideMark/>
          </w:tcPr>
          <w:p w14:paraId="17742F2A"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Total current liabilities</w:t>
            </w:r>
          </w:p>
        </w:tc>
        <w:tc>
          <w:tcPr>
            <w:tcW w:w="854" w:type="dxa"/>
            <w:tcBorders>
              <w:top w:val="single" w:sz="4" w:space="0" w:color="auto"/>
              <w:left w:val="nil"/>
              <w:bottom w:val="single" w:sz="4" w:space="0" w:color="auto"/>
              <w:right w:val="nil"/>
            </w:tcBorders>
            <w:shd w:val="clear" w:color="000000" w:fill="FFFFFF"/>
            <w:noWrap/>
            <w:vAlign w:val="center"/>
            <w:hideMark/>
          </w:tcPr>
          <w:p w14:paraId="5F4226B6"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single" w:sz="4" w:space="0" w:color="auto"/>
              <w:left w:val="nil"/>
              <w:bottom w:val="single" w:sz="4" w:space="0" w:color="auto"/>
              <w:right w:val="nil"/>
            </w:tcBorders>
            <w:shd w:val="clear" w:color="000000" w:fill="FFFFFF"/>
            <w:noWrap/>
            <w:vAlign w:val="bottom"/>
          </w:tcPr>
          <w:p w14:paraId="07D406C3" w14:textId="2116A77F"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629</w:t>
            </w:r>
          </w:p>
        </w:tc>
        <w:tc>
          <w:tcPr>
            <w:tcW w:w="2159" w:type="dxa"/>
            <w:tcBorders>
              <w:top w:val="single" w:sz="4" w:space="0" w:color="auto"/>
              <w:left w:val="nil"/>
              <w:bottom w:val="single" w:sz="4" w:space="0" w:color="auto"/>
              <w:right w:val="nil"/>
            </w:tcBorders>
            <w:shd w:val="clear" w:color="000000" w:fill="FFFFFF"/>
            <w:noWrap/>
            <w:vAlign w:val="bottom"/>
          </w:tcPr>
          <w:p w14:paraId="6C1416DE" w14:textId="7D247585"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626</w:t>
            </w:r>
          </w:p>
        </w:tc>
      </w:tr>
      <w:tr w:rsidR="00B273F3" w:rsidRPr="008A7A35" w14:paraId="0612B6D6" w14:textId="77777777" w:rsidTr="00391CE4">
        <w:trPr>
          <w:trHeight w:val="284"/>
        </w:trPr>
        <w:tc>
          <w:tcPr>
            <w:tcW w:w="4958" w:type="dxa"/>
            <w:tcBorders>
              <w:top w:val="nil"/>
              <w:left w:val="nil"/>
              <w:bottom w:val="nil"/>
              <w:right w:val="nil"/>
            </w:tcBorders>
            <w:shd w:val="clear" w:color="000000" w:fill="FFFFFF"/>
            <w:noWrap/>
            <w:vAlign w:val="bottom"/>
            <w:hideMark/>
          </w:tcPr>
          <w:p w14:paraId="6FD2FC80"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0C2D9DDC"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4D0DAF01" w14:textId="79CB0851"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20FF880A" w14:textId="7D0B0E66" w:rsidR="00B273F3" w:rsidRPr="008A7A35" w:rsidRDefault="00B273F3" w:rsidP="00B273F3">
            <w:pPr>
              <w:jc w:val="right"/>
              <w:rPr>
                <w:rFonts w:ascii="Arial" w:hAnsi="Arial" w:cs="Arial"/>
                <w:sz w:val="20"/>
                <w:szCs w:val="20"/>
                <w:lang w:eastAsia="en-GB"/>
              </w:rPr>
            </w:pPr>
          </w:p>
        </w:tc>
      </w:tr>
      <w:tr w:rsidR="00B273F3" w:rsidRPr="008A7A35" w14:paraId="5358910D" w14:textId="77777777" w:rsidTr="00391CE4">
        <w:trPr>
          <w:trHeight w:val="284"/>
        </w:trPr>
        <w:tc>
          <w:tcPr>
            <w:tcW w:w="4958" w:type="dxa"/>
            <w:tcBorders>
              <w:top w:val="nil"/>
              <w:left w:val="nil"/>
              <w:bottom w:val="single" w:sz="4" w:space="0" w:color="auto"/>
              <w:right w:val="nil"/>
            </w:tcBorders>
            <w:shd w:val="clear" w:color="000000" w:fill="FFFFFF"/>
            <w:noWrap/>
            <w:vAlign w:val="bottom"/>
            <w:hideMark/>
          </w:tcPr>
          <w:p w14:paraId="16FCE2FF"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Total liabilities</w:t>
            </w:r>
          </w:p>
        </w:tc>
        <w:tc>
          <w:tcPr>
            <w:tcW w:w="854" w:type="dxa"/>
            <w:tcBorders>
              <w:top w:val="nil"/>
              <w:left w:val="nil"/>
              <w:bottom w:val="single" w:sz="4" w:space="0" w:color="auto"/>
              <w:right w:val="nil"/>
            </w:tcBorders>
            <w:shd w:val="clear" w:color="000000" w:fill="FFFFFF"/>
            <w:noWrap/>
            <w:vAlign w:val="center"/>
            <w:hideMark/>
          </w:tcPr>
          <w:p w14:paraId="7E9D0D66"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single" w:sz="4" w:space="0" w:color="auto"/>
              <w:right w:val="nil"/>
            </w:tcBorders>
            <w:shd w:val="clear" w:color="000000" w:fill="FFFFFF"/>
            <w:noWrap/>
            <w:vAlign w:val="bottom"/>
          </w:tcPr>
          <w:p w14:paraId="6A180E2B" w14:textId="500A5776"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629</w:t>
            </w:r>
          </w:p>
        </w:tc>
        <w:tc>
          <w:tcPr>
            <w:tcW w:w="2159" w:type="dxa"/>
            <w:tcBorders>
              <w:top w:val="nil"/>
              <w:left w:val="nil"/>
              <w:bottom w:val="single" w:sz="4" w:space="0" w:color="auto"/>
              <w:right w:val="nil"/>
            </w:tcBorders>
            <w:shd w:val="clear" w:color="000000" w:fill="FFFFFF"/>
            <w:noWrap/>
            <w:vAlign w:val="bottom"/>
          </w:tcPr>
          <w:p w14:paraId="37E47B3C" w14:textId="37CA1CF7"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626</w:t>
            </w:r>
          </w:p>
        </w:tc>
      </w:tr>
      <w:tr w:rsidR="00B273F3" w:rsidRPr="008A7A35" w14:paraId="3E80A1E7" w14:textId="77777777" w:rsidTr="00391CE4">
        <w:trPr>
          <w:trHeight w:val="284"/>
        </w:trPr>
        <w:tc>
          <w:tcPr>
            <w:tcW w:w="4958" w:type="dxa"/>
            <w:tcBorders>
              <w:top w:val="nil"/>
              <w:left w:val="nil"/>
              <w:bottom w:val="nil"/>
              <w:right w:val="nil"/>
            </w:tcBorders>
            <w:shd w:val="clear" w:color="000000" w:fill="FFFFFF"/>
            <w:noWrap/>
            <w:vAlign w:val="bottom"/>
            <w:hideMark/>
          </w:tcPr>
          <w:p w14:paraId="07C17AEA"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249518A9"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06DFC0F9" w14:textId="0437B51F"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50FABF10" w14:textId="682C1ED5" w:rsidR="00B273F3" w:rsidRPr="008A7A35" w:rsidRDefault="00B273F3" w:rsidP="00B273F3">
            <w:pPr>
              <w:jc w:val="right"/>
              <w:rPr>
                <w:rFonts w:ascii="Arial" w:hAnsi="Arial" w:cs="Arial"/>
                <w:sz w:val="20"/>
                <w:szCs w:val="20"/>
                <w:lang w:eastAsia="en-GB"/>
              </w:rPr>
            </w:pPr>
          </w:p>
        </w:tc>
      </w:tr>
      <w:tr w:rsidR="00B273F3" w:rsidRPr="008A7A35" w14:paraId="5268908B" w14:textId="77777777" w:rsidTr="00391CE4">
        <w:trPr>
          <w:trHeight w:val="284"/>
        </w:trPr>
        <w:tc>
          <w:tcPr>
            <w:tcW w:w="4958" w:type="dxa"/>
            <w:tcBorders>
              <w:top w:val="nil"/>
              <w:left w:val="nil"/>
              <w:bottom w:val="single" w:sz="4" w:space="0" w:color="auto"/>
              <w:right w:val="nil"/>
            </w:tcBorders>
            <w:shd w:val="clear" w:color="000000" w:fill="FFFFFF"/>
            <w:noWrap/>
            <w:vAlign w:val="bottom"/>
            <w:hideMark/>
          </w:tcPr>
          <w:p w14:paraId="67CFF3A2"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Net assets</w:t>
            </w:r>
          </w:p>
        </w:tc>
        <w:tc>
          <w:tcPr>
            <w:tcW w:w="854" w:type="dxa"/>
            <w:tcBorders>
              <w:top w:val="nil"/>
              <w:left w:val="nil"/>
              <w:bottom w:val="single" w:sz="4" w:space="0" w:color="auto"/>
              <w:right w:val="nil"/>
            </w:tcBorders>
            <w:shd w:val="clear" w:color="000000" w:fill="FFFFFF"/>
            <w:noWrap/>
            <w:vAlign w:val="center"/>
            <w:hideMark/>
          </w:tcPr>
          <w:p w14:paraId="2FC26A17"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single" w:sz="4" w:space="0" w:color="auto"/>
              <w:right w:val="nil"/>
            </w:tcBorders>
            <w:shd w:val="clear" w:color="000000" w:fill="FFFFFF"/>
            <w:noWrap/>
            <w:vAlign w:val="bottom"/>
          </w:tcPr>
          <w:p w14:paraId="506CBED5" w14:textId="69FC6F7F" w:rsidR="00B273F3" w:rsidRPr="008A7A35" w:rsidRDefault="00C414EF" w:rsidP="00B273F3">
            <w:pPr>
              <w:jc w:val="right"/>
              <w:rPr>
                <w:rFonts w:ascii="Arial" w:hAnsi="Arial" w:cs="Arial"/>
                <w:b/>
                <w:bCs/>
                <w:sz w:val="20"/>
                <w:szCs w:val="20"/>
                <w:lang w:eastAsia="en-GB"/>
              </w:rPr>
            </w:pPr>
            <w:r>
              <w:rPr>
                <w:rFonts w:ascii="Arial" w:hAnsi="Arial" w:cs="Arial"/>
                <w:b/>
                <w:bCs/>
                <w:sz w:val="20"/>
                <w:szCs w:val="20"/>
              </w:rPr>
              <w:t>371,683</w:t>
            </w:r>
          </w:p>
        </w:tc>
        <w:tc>
          <w:tcPr>
            <w:tcW w:w="2159" w:type="dxa"/>
            <w:tcBorders>
              <w:top w:val="nil"/>
              <w:left w:val="nil"/>
              <w:bottom w:val="single" w:sz="4" w:space="0" w:color="auto"/>
              <w:right w:val="nil"/>
            </w:tcBorders>
            <w:shd w:val="clear" w:color="000000" w:fill="FFFFFF"/>
            <w:noWrap/>
            <w:vAlign w:val="bottom"/>
          </w:tcPr>
          <w:p w14:paraId="76E1E058" w14:textId="1A6023E4"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375,844</w:t>
            </w:r>
          </w:p>
        </w:tc>
      </w:tr>
      <w:tr w:rsidR="00B273F3" w:rsidRPr="008A7A35" w14:paraId="05F10C46" w14:textId="77777777" w:rsidTr="00391CE4">
        <w:trPr>
          <w:trHeight w:val="284"/>
        </w:trPr>
        <w:tc>
          <w:tcPr>
            <w:tcW w:w="4958" w:type="dxa"/>
            <w:tcBorders>
              <w:top w:val="nil"/>
              <w:left w:val="nil"/>
              <w:bottom w:val="nil"/>
              <w:right w:val="nil"/>
            </w:tcBorders>
            <w:shd w:val="clear" w:color="000000" w:fill="FFFFFF"/>
            <w:noWrap/>
            <w:vAlign w:val="bottom"/>
            <w:hideMark/>
          </w:tcPr>
          <w:p w14:paraId="107E1903"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50924CE0"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179BFD7A" w14:textId="4631B228"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5657EB77" w14:textId="7B8C71F5" w:rsidR="00B273F3" w:rsidRPr="008A7A35" w:rsidRDefault="00B273F3" w:rsidP="00B273F3">
            <w:pPr>
              <w:jc w:val="right"/>
              <w:rPr>
                <w:rFonts w:ascii="Arial" w:hAnsi="Arial" w:cs="Arial"/>
                <w:sz w:val="20"/>
                <w:szCs w:val="20"/>
                <w:lang w:eastAsia="en-GB"/>
              </w:rPr>
            </w:pPr>
          </w:p>
        </w:tc>
      </w:tr>
      <w:tr w:rsidR="00B273F3" w:rsidRPr="008A7A35" w14:paraId="3C80EDEA" w14:textId="77777777" w:rsidTr="00391CE4">
        <w:trPr>
          <w:trHeight w:val="284"/>
        </w:trPr>
        <w:tc>
          <w:tcPr>
            <w:tcW w:w="4958" w:type="dxa"/>
            <w:tcBorders>
              <w:top w:val="nil"/>
              <w:left w:val="nil"/>
              <w:bottom w:val="nil"/>
              <w:right w:val="nil"/>
            </w:tcBorders>
            <w:shd w:val="clear" w:color="000000" w:fill="FFFFFF"/>
            <w:noWrap/>
            <w:vAlign w:val="bottom"/>
            <w:hideMark/>
          </w:tcPr>
          <w:p w14:paraId="0B709D51"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Equity</w:t>
            </w:r>
          </w:p>
        </w:tc>
        <w:tc>
          <w:tcPr>
            <w:tcW w:w="854" w:type="dxa"/>
            <w:tcBorders>
              <w:top w:val="nil"/>
              <w:left w:val="nil"/>
              <w:bottom w:val="nil"/>
              <w:right w:val="nil"/>
            </w:tcBorders>
            <w:shd w:val="clear" w:color="000000" w:fill="FFFFFF"/>
            <w:noWrap/>
            <w:vAlign w:val="center"/>
            <w:hideMark/>
          </w:tcPr>
          <w:p w14:paraId="7A4FF5A1"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688F0D15" w14:textId="769926D7"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52F5D889" w14:textId="5D0B767B" w:rsidR="00B273F3" w:rsidRPr="008A7A35" w:rsidRDefault="00B273F3" w:rsidP="00B273F3">
            <w:pPr>
              <w:jc w:val="right"/>
              <w:rPr>
                <w:rFonts w:ascii="Arial" w:hAnsi="Arial" w:cs="Arial"/>
                <w:sz w:val="20"/>
                <w:szCs w:val="20"/>
                <w:lang w:eastAsia="en-GB"/>
              </w:rPr>
            </w:pPr>
          </w:p>
        </w:tc>
      </w:tr>
      <w:tr w:rsidR="00B273F3" w:rsidRPr="008A7A35" w14:paraId="28BCCE13" w14:textId="77777777" w:rsidTr="00391CE4">
        <w:trPr>
          <w:trHeight w:val="284"/>
        </w:trPr>
        <w:tc>
          <w:tcPr>
            <w:tcW w:w="4958" w:type="dxa"/>
            <w:tcBorders>
              <w:top w:val="nil"/>
              <w:left w:val="nil"/>
              <w:bottom w:val="nil"/>
              <w:right w:val="nil"/>
            </w:tcBorders>
            <w:shd w:val="clear" w:color="000000" w:fill="FFFFFF"/>
            <w:noWrap/>
            <w:vAlign w:val="bottom"/>
            <w:hideMark/>
          </w:tcPr>
          <w:p w14:paraId="3934044C"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Share capital</w:t>
            </w:r>
          </w:p>
        </w:tc>
        <w:tc>
          <w:tcPr>
            <w:tcW w:w="854" w:type="dxa"/>
            <w:tcBorders>
              <w:top w:val="nil"/>
              <w:left w:val="nil"/>
              <w:bottom w:val="nil"/>
              <w:right w:val="nil"/>
            </w:tcBorders>
            <w:shd w:val="clear" w:color="000000" w:fill="FFFFFF"/>
            <w:noWrap/>
            <w:vAlign w:val="center"/>
            <w:hideMark/>
          </w:tcPr>
          <w:p w14:paraId="1B95ACBB" w14:textId="235F68BC" w:rsidR="00B273F3" w:rsidRPr="008A7A35" w:rsidRDefault="00B273F3" w:rsidP="00B273F3">
            <w:pPr>
              <w:jc w:val="center"/>
              <w:rPr>
                <w:rFonts w:ascii="Arial" w:hAnsi="Arial" w:cs="Arial"/>
                <w:i/>
                <w:iCs/>
                <w:sz w:val="20"/>
                <w:szCs w:val="20"/>
                <w:lang w:eastAsia="en-GB"/>
              </w:rPr>
            </w:pPr>
          </w:p>
        </w:tc>
        <w:tc>
          <w:tcPr>
            <w:tcW w:w="1810" w:type="dxa"/>
            <w:tcBorders>
              <w:top w:val="nil"/>
              <w:left w:val="nil"/>
              <w:bottom w:val="nil"/>
              <w:right w:val="nil"/>
            </w:tcBorders>
            <w:shd w:val="clear" w:color="000000" w:fill="FFFFFF"/>
            <w:noWrap/>
            <w:vAlign w:val="bottom"/>
          </w:tcPr>
          <w:p w14:paraId="58104298" w14:textId="3BCA69FE"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813,471</w:t>
            </w:r>
          </w:p>
        </w:tc>
        <w:tc>
          <w:tcPr>
            <w:tcW w:w="2159" w:type="dxa"/>
            <w:tcBorders>
              <w:top w:val="nil"/>
              <w:left w:val="nil"/>
              <w:bottom w:val="nil"/>
              <w:right w:val="nil"/>
            </w:tcBorders>
            <w:shd w:val="clear" w:color="000000" w:fill="FFFFFF"/>
            <w:noWrap/>
            <w:vAlign w:val="bottom"/>
          </w:tcPr>
          <w:p w14:paraId="02D7B80F" w14:textId="5F510705"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820,665</w:t>
            </w:r>
          </w:p>
        </w:tc>
      </w:tr>
      <w:tr w:rsidR="00B273F3" w:rsidRPr="008A7A35" w14:paraId="0517DA85" w14:textId="77777777" w:rsidTr="00391CE4">
        <w:trPr>
          <w:trHeight w:val="284"/>
        </w:trPr>
        <w:tc>
          <w:tcPr>
            <w:tcW w:w="4958" w:type="dxa"/>
            <w:tcBorders>
              <w:top w:val="nil"/>
              <w:left w:val="nil"/>
              <w:bottom w:val="nil"/>
              <w:right w:val="nil"/>
            </w:tcBorders>
            <w:shd w:val="clear" w:color="000000" w:fill="FFFFFF"/>
            <w:noWrap/>
            <w:vAlign w:val="bottom"/>
            <w:hideMark/>
          </w:tcPr>
          <w:p w14:paraId="6E3A7256"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Retained deficit</w:t>
            </w:r>
          </w:p>
        </w:tc>
        <w:tc>
          <w:tcPr>
            <w:tcW w:w="854" w:type="dxa"/>
            <w:tcBorders>
              <w:top w:val="nil"/>
              <w:left w:val="nil"/>
              <w:bottom w:val="nil"/>
              <w:right w:val="nil"/>
            </w:tcBorders>
            <w:shd w:val="clear" w:color="000000" w:fill="FFFFFF"/>
            <w:noWrap/>
            <w:vAlign w:val="center"/>
            <w:hideMark/>
          </w:tcPr>
          <w:p w14:paraId="5341505E"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0BB4FB32" w14:textId="144E4B88"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w:t>
            </w:r>
            <w:r w:rsidR="00C414EF">
              <w:rPr>
                <w:rFonts w:ascii="Arial" w:hAnsi="Arial" w:cs="Arial"/>
                <w:b/>
                <w:bCs/>
                <w:sz w:val="20"/>
                <w:szCs w:val="20"/>
              </w:rPr>
              <w:t>441,788</w:t>
            </w:r>
            <w:r w:rsidRPr="008A7A35">
              <w:rPr>
                <w:rFonts w:ascii="Arial" w:hAnsi="Arial" w:cs="Arial"/>
                <w:b/>
                <w:bCs/>
                <w:sz w:val="20"/>
                <w:szCs w:val="20"/>
              </w:rPr>
              <w:t>)</w:t>
            </w:r>
          </w:p>
        </w:tc>
        <w:tc>
          <w:tcPr>
            <w:tcW w:w="2159" w:type="dxa"/>
            <w:tcBorders>
              <w:top w:val="nil"/>
              <w:left w:val="nil"/>
              <w:bottom w:val="nil"/>
              <w:right w:val="nil"/>
            </w:tcBorders>
            <w:shd w:val="clear" w:color="000000" w:fill="FFFFFF"/>
            <w:noWrap/>
            <w:vAlign w:val="bottom"/>
          </w:tcPr>
          <w:p w14:paraId="391566DC" w14:textId="73465944"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(444,821)</w:t>
            </w:r>
          </w:p>
        </w:tc>
      </w:tr>
      <w:tr w:rsidR="00B273F3" w:rsidRPr="008A7A35" w14:paraId="58A36EF8" w14:textId="77777777" w:rsidTr="00391CE4">
        <w:trPr>
          <w:trHeight w:val="284"/>
        </w:trPr>
        <w:tc>
          <w:tcPr>
            <w:tcW w:w="4958" w:type="dxa"/>
            <w:tcBorders>
              <w:top w:val="single" w:sz="4" w:space="0" w:color="auto"/>
              <w:left w:val="nil"/>
              <w:bottom w:val="single" w:sz="4" w:space="0" w:color="auto"/>
              <w:right w:val="nil"/>
            </w:tcBorders>
            <w:shd w:val="clear" w:color="000000" w:fill="FFFFFF"/>
            <w:noWrap/>
            <w:vAlign w:val="bottom"/>
            <w:hideMark/>
          </w:tcPr>
          <w:p w14:paraId="7F26D690"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Total equity</w:t>
            </w:r>
          </w:p>
        </w:tc>
        <w:tc>
          <w:tcPr>
            <w:tcW w:w="854" w:type="dxa"/>
            <w:tcBorders>
              <w:top w:val="single" w:sz="4" w:space="0" w:color="auto"/>
              <w:left w:val="nil"/>
              <w:bottom w:val="single" w:sz="4" w:space="0" w:color="auto"/>
              <w:right w:val="nil"/>
            </w:tcBorders>
            <w:shd w:val="clear" w:color="000000" w:fill="FFFFFF"/>
            <w:noWrap/>
            <w:vAlign w:val="center"/>
            <w:hideMark/>
          </w:tcPr>
          <w:p w14:paraId="10023FA3"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single" w:sz="4" w:space="0" w:color="auto"/>
              <w:left w:val="nil"/>
              <w:bottom w:val="single" w:sz="4" w:space="0" w:color="auto"/>
              <w:right w:val="nil"/>
            </w:tcBorders>
            <w:shd w:val="clear" w:color="000000" w:fill="FFFFFF"/>
            <w:noWrap/>
            <w:vAlign w:val="bottom"/>
          </w:tcPr>
          <w:p w14:paraId="4150044A" w14:textId="1AB46591" w:rsidR="00B273F3" w:rsidRPr="008A7A35" w:rsidRDefault="00C414EF" w:rsidP="00B273F3">
            <w:pPr>
              <w:jc w:val="right"/>
              <w:rPr>
                <w:rFonts w:ascii="Arial" w:hAnsi="Arial" w:cs="Arial"/>
                <w:b/>
                <w:bCs/>
                <w:sz w:val="20"/>
                <w:szCs w:val="20"/>
                <w:lang w:eastAsia="en-GB"/>
              </w:rPr>
            </w:pPr>
            <w:r>
              <w:rPr>
                <w:rFonts w:ascii="Arial" w:hAnsi="Arial" w:cs="Arial"/>
                <w:b/>
                <w:bCs/>
                <w:sz w:val="20"/>
                <w:szCs w:val="20"/>
              </w:rPr>
              <w:t>371,683</w:t>
            </w:r>
          </w:p>
        </w:tc>
        <w:tc>
          <w:tcPr>
            <w:tcW w:w="2159" w:type="dxa"/>
            <w:tcBorders>
              <w:top w:val="single" w:sz="4" w:space="0" w:color="auto"/>
              <w:left w:val="nil"/>
              <w:bottom w:val="single" w:sz="4" w:space="0" w:color="auto"/>
              <w:right w:val="nil"/>
            </w:tcBorders>
            <w:shd w:val="clear" w:color="000000" w:fill="FFFFFF"/>
            <w:noWrap/>
            <w:vAlign w:val="bottom"/>
          </w:tcPr>
          <w:p w14:paraId="35C16DF0" w14:textId="266CB3DA"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375,844</w:t>
            </w:r>
          </w:p>
        </w:tc>
      </w:tr>
      <w:tr w:rsidR="00B273F3" w:rsidRPr="008A7A35" w14:paraId="70A1814F" w14:textId="77777777" w:rsidTr="00391CE4">
        <w:trPr>
          <w:trHeight w:val="284"/>
        </w:trPr>
        <w:tc>
          <w:tcPr>
            <w:tcW w:w="4958" w:type="dxa"/>
            <w:tcBorders>
              <w:top w:val="nil"/>
              <w:left w:val="nil"/>
              <w:bottom w:val="nil"/>
              <w:right w:val="nil"/>
            </w:tcBorders>
            <w:shd w:val="clear" w:color="000000" w:fill="FFFFFF"/>
            <w:noWrap/>
            <w:vAlign w:val="bottom"/>
            <w:hideMark/>
          </w:tcPr>
          <w:p w14:paraId="10E517AF" w14:textId="77777777" w:rsidR="00B273F3" w:rsidRPr="008A7A35" w:rsidRDefault="00B273F3" w:rsidP="00B273F3">
            <w:pPr>
              <w:rPr>
                <w:rFonts w:ascii="Arial" w:hAnsi="Arial" w:cs="Arial"/>
                <w:sz w:val="20"/>
                <w:szCs w:val="20"/>
                <w:lang w:eastAsia="en-GB"/>
              </w:rPr>
            </w:pPr>
            <w:r w:rsidRPr="008A7A35">
              <w:rPr>
                <w:rFonts w:ascii="Arial" w:hAnsi="Arial" w:cs="Arial"/>
                <w:sz w:val="20"/>
                <w:szCs w:val="20"/>
                <w:lang w:eastAsia="en-GB"/>
              </w:rPr>
              <w:t> </w:t>
            </w:r>
          </w:p>
        </w:tc>
        <w:tc>
          <w:tcPr>
            <w:tcW w:w="854" w:type="dxa"/>
            <w:tcBorders>
              <w:top w:val="nil"/>
              <w:left w:val="nil"/>
              <w:bottom w:val="nil"/>
              <w:right w:val="nil"/>
            </w:tcBorders>
            <w:shd w:val="clear" w:color="000000" w:fill="FFFFFF"/>
            <w:noWrap/>
            <w:vAlign w:val="center"/>
            <w:hideMark/>
          </w:tcPr>
          <w:p w14:paraId="3FCA4427"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1810" w:type="dxa"/>
            <w:tcBorders>
              <w:top w:val="nil"/>
              <w:left w:val="nil"/>
              <w:bottom w:val="nil"/>
              <w:right w:val="nil"/>
            </w:tcBorders>
            <w:shd w:val="clear" w:color="000000" w:fill="FFFFFF"/>
            <w:noWrap/>
            <w:vAlign w:val="bottom"/>
          </w:tcPr>
          <w:p w14:paraId="4DA5731E" w14:textId="157F25E0" w:rsidR="00B273F3" w:rsidRPr="008A7A35" w:rsidRDefault="00B273F3" w:rsidP="00B273F3">
            <w:pPr>
              <w:jc w:val="right"/>
              <w:rPr>
                <w:rFonts w:ascii="Arial" w:hAnsi="Arial" w:cs="Arial"/>
                <w:b/>
                <w:bCs/>
                <w:sz w:val="20"/>
                <w:szCs w:val="20"/>
                <w:lang w:eastAsia="en-GB"/>
              </w:rPr>
            </w:pPr>
          </w:p>
        </w:tc>
        <w:tc>
          <w:tcPr>
            <w:tcW w:w="2159" w:type="dxa"/>
            <w:tcBorders>
              <w:top w:val="nil"/>
              <w:left w:val="nil"/>
              <w:bottom w:val="nil"/>
              <w:right w:val="nil"/>
            </w:tcBorders>
            <w:shd w:val="clear" w:color="000000" w:fill="FFFFFF"/>
            <w:noWrap/>
            <w:vAlign w:val="bottom"/>
          </w:tcPr>
          <w:p w14:paraId="5F3E35C4" w14:textId="49DCB241" w:rsidR="00B273F3" w:rsidRPr="008A7A35" w:rsidRDefault="00B273F3" w:rsidP="00B273F3">
            <w:pPr>
              <w:jc w:val="right"/>
              <w:rPr>
                <w:rFonts w:ascii="Arial" w:hAnsi="Arial" w:cs="Arial"/>
                <w:sz w:val="20"/>
                <w:szCs w:val="20"/>
                <w:lang w:eastAsia="en-GB"/>
              </w:rPr>
            </w:pPr>
          </w:p>
        </w:tc>
      </w:tr>
      <w:tr w:rsidR="00B273F3" w:rsidRPr="008A7A35" w14:paraId="57461935" w14:textId="77777777" w:rsidTr="00391CE4">
        <w:trPr>
          <w:trHeight w:val="294"/>
        </w:trPr>
        <w:tc>
          <w:tcPr>
            <w:tcW w:w="4958" w:type="dxa"/>
            <w:tcBorders>
              <w:top w:val="nil"/>
              <w:left w:val="nil"/>
              <w:bottom w:val="single" w:sz="8" w:space="0" w:color="auto"/>
              <w:right w:val="nil"/>
            </w:tcBorders>
            <w:shd w:val="clear" w:color="000000" w:fill="FFFFFF"/>
            <w:noWrap/>
            <w:vAlign w:val="bottom"/>
            <w:hideMark/>
          </w:tcPr>
          <w:p w14:paraId="7EEA9D1F"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Number of Shares in issue at period/year end</w:t>
            </w:r>
          </w:p>
        </w:tc>
        <w:tc>
          <w:tcPr>
            <w:tcW w:w="854" w:type="dxa"/>
            <w:tcBorders>
              <w:top w:val="nil"/>
              <w:left w:val="nil"/>
              <w:bottom w:val="single" w:sz="8" w:space="0" w:color="auto"/>
              <w:right w:val="nil"/>
            </w:tcBorders>
            <w:shd w:val="clear" w:color="000000" w:fill="FFFFFF"/>
            <w:noWrap/>
            <w:vAlign w:val="center"/>
            <w:hideMark/>
          </w:tcPr>
          <w:p w14:paraId="099A9DFC"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9</w:t>
            </w:r>
          </w:p>
        </w:tc>
        <w:tc>
          <w:tcPr>
            <w:tcW w:w="1810" w:type="dxa"/>
            <w:tcBorders>
              <w:top w:val="nil"/>
              <w:left w:val="nil"/>
              <w:bottom w:val="single" w:sz="8" w:space="0" w:color="auto"/>
              <w:right w:val="nil"/>
            </w:tcBorders>
            <w:shd w:val="clear" w:color="000000" w:fill="FFFFFF"/>
            <w:noWrap/>
            <w:vAlign w:val="bottom"/>
          </w:tcPr>
          <w:p w14:paraId="0BAB796F" w14:textId="33DDD211" w:rsidR="00B273F3" w:rsidRPr="008A7A35" w:rsidRDefault="00B273F3" w:rsidP="00B273F3">
            <w:pPr>
              <w:jc w:val="right"/>
              <w:rPr>
                <w:rFonts w:ascii="Arial" w:hAnsi="Arial" w:cs="Arial"/>
                <w:b/>
                <w:bCs/>
                <w:sz w:val="20"/>
                <w:szCs w:val="20"/>
                <w:lang w:eastAsia="en-GB"/>
              </w:rPr>
            </w:pPr>
            <w:r w:rsidRPr="008A7A35">
              <w:rPr>
                <w:rFonts w:ascii="Arial" w:hAnsi="Arial" w:cs="Arial"/>
                <w:b/>
                <w:bCs/>
                <w:sz w:val="20"/>
                <w:szCs w:val="20"/>
              </w:rPr>
              <w:t>24,591,380</w:t>
            </w:r>
          </w:p>
        </w:tc>
        <w:tc>
          <w:tcPr>
            <w:tcW w:w="2159" w:type="dxa"/>
            <w:tcBorders>
              <w:top w:val="nil"/>
              <w:left w:val="nil"/>
              <w:bottom w:val="single" w:sz="8" w:space="0" w:color="auto"/>
              <w:right w:val="nil"/>
            </w:tcBorders>
            <w:shd w:val="clear" w:color="000000" w:fill="FFFFFF"/>
            <w:noWrap/>
            <w:vAlign w:val="bottom"/>
          </w:tcPr>
          <w:p w14:paraId="4C5E433B" w14:textId="5FD09257"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25,342,691</w:t>
            </w:r>
          </w:p>
        </w:tc>
      </w:tr>
      <w:tr w:rsidR="00B273F3" w:rsidRPr="008A7A35" w14:paraId="6725D667" w14:textId="77777777" w:rsidTr="00391CE4">
        <w:trPr>
          <w:trHeight w:val="294"/>
        </w:trPr>
        <w:tc>
          <w:tcPr>
            <w:tcW w:w="4958" w:type="dxa"/>
            <w:tcBorders>
              <w:top w:val="single" w:sz="4" w:space="0" w:color="auto"/>
              <w:left w:val="nil"/>
              <w:bottom w:val="single" w:sz="8" w:space="0" w:color="auto"/>
              <w:right w:val="nil"/>
            </w:tcBorders>
            <w:shd w:val="clear" w:color="000000" w:fill="FFFFFF"/>
            <w:noWrap/>
            <w:vAlign w:val="bottom"/>
            <w:hideMark/>
          </w:tcPr>
          <w:p w14:paraId="3741D9E0" w14:textId="77777777" w:rsidR="00B273F3" w:rsidRPr="008A7A35" w:rsidRDefault="00B273F3" w:rsidP="00B273F3">
            <w:pPr>
              <w:rPr>
                <w:rFonts w:ascii="Arial" w:hAnsi="Arial" w:cs="Arial"/>
                <w:b/>
                <w:bCs/>
                <w:sz w:val="20"/>
                <w:szCs w:val="20"/>
                <w:lang w:eastAsia="en-GB"/>
              </w:rPr>
            </w:pPr>
            <w:r w:rsidRPr="008A7A35">
              <w:rPr>
                <w:rFonts w:ascii="Arial" w:hAnsi="Arial" w:cs="Arial"/>
                <w:b/>
                <w:bCs/>
                <w:sz w:val="20"/>
                <w:szCs w:val="20"/>
                <w:lang w:eastAsia="en-GB"/>
              </w:rPr>
              <w:t xml:space="preserve">Net Asset Value per Share ($) </w:t>
            </w:r>
          </w:p>
        </w:tc>
        <w:tc>
          <w:tcPr>
            <w:tcW w:w="854" w:type="dxa"/>
            <w:tcBorders>
              <w:top w:val="single" w:sz="4" w:space="0" w:color="auto"/>
              <w:left w:val="nil"/>
              <w:bottom w:val="single" w:sz="8" w:space="0" w:color="auto"/>
              <w:right w:val="nil"/>
            </w:tcBorders>
            <w:shd w:val="clear" w:color="000000" w:fill="FFFFFF"/>
            <w:noWrap/>
            <w:vAlign w:val="center"/>
            <w:hideMark/>
          </w:tcPr>
          <w:p w14:paraId="7450351F" w14:textId="77777777" w:rsidR="00B273F3" w:rsidRPr="008A7A35" w:rsidRDefault="00B273F3" w:rsidP="00B273F3">
            <w:pPr>
              <w:jc w:val="center"/>
              <w:rPr>
                <w:rFonts w:ascii="Arial" w:hAnsi="Arial" w:cs="Arial"/>
                <w:i/>
                <w:iCs/>
                <w:sz w:val="20"/>
                <w:szCs w:val="20"/>
                <w:lang w:eastAsia="en-GB"/>
              </w:rPr>
            </w:pPr>
            <w:r w:rsidRPr="008A7A35">
              <w:rPr>
                <w:rFonts w:ascii="Arial" w:hAnsi="Arial" w:cs="Arial"/>
                <w:i/>
                <w:iCs/>
                <w:sz w:val="20"/>
                <w:szCs w:val="20"/>
                <w:lang w:eastAsia="en-GB"/>
              </w:rPr>
              <w:t>9</w:t>
            </w:r>
          </w:p>
        </w:tc>
        <w:tc>
          <w:tcPr>
            <w:tcW w:w="1810" w:type="dxa"/>
            <w:tcBorders>
              <w:top w:val="single" w:sz="4" w:space="0" w:color="auto"/>
              <w:left w:val="nil"/>
              <w:bottom w:val="single" w:sz="8" w:space="0" w:color="auto"/>
              <w:right w:val="nil"/>
            </w:tcBorders>
            <w:shd w:val="clear" w:color="000000" w:fill="FFFFFF"/>
            <w:noWrap/>
            <w:vAlign w:val="bottom"/>
          </w:tcPr>
          <w:p w14:paraId="4412E2CB" w14:textId="15A93841" w:rsidR="00B273F3" w:rsidRPr="008A7A35" w:rsidRDefault="002E4766" w:rsidP="00B273F3">
            <w:pPr>
              <w:jc w:val="right"/>
              <w:rPr>
                <w:rFonts w:ascii="Arial" w:hAnsi="Arial" w:cs="Arial"/>
                <w:b/>
                <w:bCs/>
                <w:sz w:val="20"/>
                <w:szCs w:val="20"/>
                <w:lang w:eastAsia="en-GB"/>
              </w:rPr>
            </w:pPr>
            <w:r>
              <w:rPr>
                <w:rFonts w:ascii="Arial" w:hAnsi="Arial" w:cs="Arial"/>
                <w:b/>
                <w:bCs/>
                <w:sz w:val="20"/>
                <w:szCs w:val="20"/>
              </w:rPr>
              <w:t>15.11</w:t>
            </w:r>
          </w:p>
        </w:tc>
        <w:tc>
          <w:tcPr>
            <w:tcW w:w="2159" w:type="dxa"/>
            <w:tcBorders>
              <w:top w:val="single" w:sz="4" w:space="0" w:color="auto"/>
              <w:left w:val="nil"/>
              <w:bottom w:val="single" w:sz="8" w:space="0" w:color="auto"/>
              <w:right w:val="nil"/>
            </w:tcBorders>
            <w:shd w:val="clear" w:color="000000" w:fill="FFFFFF"/>
            <w:noWrap/>
            <w:vAlign w:val="bottom"/>
          </w:tcPr>
          <w:p w14:paraId="23935B64" w14:textId="6803BB61" w:rsidR="00B273F3" w:rsidRPr="008A7A35" w:rsidRDefault="00B273F3" w:rsidP="00B273F3">
            <w:pPr>
              <w:jc w:val="right"/>
              <w:rPr>
                <w:rFonts w:ascii="Arial" w:hAnsi="Arial" w:cs="Arial"/>
                <w:sz w:val="20"/>
                <w:szCs w:val="20"/>
                <w:lang w:eastAsia="en-GB"/>
              </w:rPr>
            </w:pPr>
            <w:r w:rsidRPr="008A7A35">
              <w:rPr>
                <w:rFonts w:ascii="Arial" w:hAnsi="Arial" w:cs="Arial"/>
                <w:sz w:val="20"/>
                <w:szCs w:val="20"/>
                <w:lang w:eastAsia="en-GB"/>
              </w:rPr>
              <w:t>14.83</w:t>
            </w:r>
          </w:p>
        </w:tc>
      </w:tr>
    </w:tbl>
    <w:p w14:paraId="636FEC4B" w14:textId="097B9BF0" w:rsidR="000D255E" w:rsidRPr="008A7A35" w:rsidRDefault="000D255E">
      <w:pPr>
        <w:rPr>
          <w:rFonts w:ascii="Arial" w:hAnsi="Arial" w:cs="Arial"/>
          <w:sz w:val="20"/>
          <w:szCs w:val="20"/>
        </w:rPr>
      </w:pPr>
    </w:p>
    <w:p w14:paraId="7FA02906" w14:textId="77777777" w:rsidR="000D255E" w:rsidRPr="008A7A35" w:rsidRDefault="000D255E">
      <w:pPr>
        <w:rPr>
          <w:rFonts w:ascii="Arial" w:hAnsi="Arial" w:cs="Arial"/>
          <w:sz w:val="20"/>
          <w:szCs w:val="20"/>
        </w:rPr>
      </w:pPr>
    </w:p>
    <w:p w14:paraId="657963CD" w14:textId="17FC372B" w:rsidR="00E41A2E" w:rsidRPr="008A7A35" w:rsidRDefault="00E41A2E" w:rsidP="00712872">
      <w:pPr>
        <w:pStyle w:val="CommentText"/>
        <w:jc w:val="both"/>
      </w:pPr>
      <w:r w:rsidRPr="008A7A35">
        <w:rPr>
          <w:rFonts w:ascii="Arial" w:hAnsi="Arial" w:cs="Arial"/>
        </w:rPr>
        <w:t>The</w:t>
      </w:r>
      <w:r w:rsidR="000452F7" w:rsidRPr="008A7A35">
        <w:rPr>
          <w:rFonts w:ascii="Arial" w:hAnsi="Arial" w:cs="Arial"/>
        </w:rPr>
        <w:t xml:space="preserve"> unaudited</w:t>
      </w:r>
      <w:r w:rsidRPr="008A7A35">
        <w:rPr>
          <w:rFonts w:ascii="Arial" w:hAnsi="Arial" w:cs="Arial"/>
        </w:rPr>
        <w:t xml:space="preserve"> interim condensed financial statements</w:t>
      </w:r>
      <w:r w:rsidR="00015E09" w:rsidRPr="008A7A35">
        <w:rPr>
          <w:rFonts w:ascii="Arial" w:hAnsi="Arial" w:cs="Arial"/>
        </w:rPr>
        <w:t xml:space="preserve"> </w:t>
      </w:r>
      <w:r w:rsidRPr="008A7A35">
        <w:rPr>
          <w:rFonts w:ascii="Arial" w:hAnsi="Arial" w:cs="Arial"/>
        </w:rPr>
        <w:t xml:space="preserve">were approved and authorised for issue by the Board of Directors on </w:t>
      </w:r>
      <w:r w:rsidR="001C52B2">
        <w:rPr>
          <w:rFonts w:ascii="Arial" w:hAnsi="Arial" w:cs="Arial"/>
        </w:rPr>
        <w:t>26 August</w:t>
      </w:r>
      <w:r w:rsidR="00E52728" w:rsidRPr="008A7A35">
        <w:rPr>
          <w:rFonts w:ascii="Arial" w:hAnsi="Arial" w:cs="Arial"/>
        </w:rPr>
        <w:t xml:space="preserve"> </w:t>
      </w:r>
      <w:r w:rsidR="002D61AF" w:rsidRPr="008A7A35">
        <w:rPr>
          <w:rFonts w:ascii="Arial" w:hAnsi="Arial" w:cs="Arial"/>
        </w:rPr>
        <w:t>202</w:t>
      </w:r>
      <w:r w:rsidR="002F5C32" w:rsidRPr="008A7A35">
        <w:rPr>
          <w:rFonts w:ascii="Arial" w:hAnsi="Arial" w:cs="Arial"/>
        </w:rPr>
        <w:t>5</w:t>
      </w:r>
      <w:r w:rsidR="002D61AF" w:rsidRPr="008A7A35">
        <w:rPr>
          <w:rFonts w:ascii="Arial" w:hAnsi="Arial" w:cs="Arial"/>
        </w:rPr>
        <w:t xml:space="preserve"> </w:t>
      </w:r>
      <w:r w:rsidRPr="008A7A35">
        <w:rPr>
          <w:rFonts w:ascii="Arial" w:hAnsi="Arial" w:cs="Arial"/>
        </w:rPr>
        <w:t>and signed on their behalf by:</w:t>
      </w:r>
    </w:p>
    <w:p w14:paraId="5BC0C1E7" w14:textId="0CDB9596" w:rsidR="00D66B76" w:rsidRPr="008A7A35" w:rsidRDefault="00D66B76">
      <w:pPr>
        <w:rPr>
          <w:rFonts w:ascii="Arial" w:hAnsi="Arial" w:cs="Arial"/>
          <w:sz w:val="20"/>
          <w:szCs w:val="20"/>
        </w:rPr>
      </w:pPr>
    </w:p>
    <w:p w14:paraId="7CF69632" w14:textId="77777777" w:rsidR="00E41A2E" w:rsidRPr="008A7A35" w:rsidRDefault="00E41A2E">
      <w:pPr>
        <w:rPr>
          <w:rFonts w:ascii="Arial" w:hAnsi="Arial" w:cs="Arial"/>
          <w:sz w:val="20"/>
          <w:szCs w:val="20"/>
        </w:rPr>
      </w:pPr>
    </w:p>
    <w:tbl>
      <w:tblPr>
        <w:tblStyle w:val="TableRangedleft1"/>
        <w:tblW w:w="0" w:type="auto"/>
        <w:tblLook w:val="04A0" w:firstRow="1" w:lastRow="0" w:firstColumn="1" w:lastColumn="0" w:noHBand="0" w:noVBand="1"/>
      </w:tblPr>
      <w:tblGrid>
        <w:gridCol w:w="4890"/>
        <w:gridCol w:w="4891"/>
      </w:tblGrid>
      <w:tr w:rsidR="00E41A2E" w:rsidRPr="008A7A35" w14:paraId="5E244282" w14:textId="77777777" w:rsidTr="00B6309A">
        <w:tc>
          <w:tcPr>
            <w:tcW w:w="4923" w:type="dxa"/>
            <w:tcMar>
              <w:top w:w="108" w:type="dxa"/>
              <w:bottom w:w="108" w:type="dxa"/>
            </w:tcMar>
          </w:tcPr>
          <w:p w14:paraId="10C591E2" w14:textId="77777777" w:rsidR="00E41A2E" w:rsidRPr="008A7A35" w:rsidRDefault="00E41A2E">
            <w:pPr>
              <w:rPr>
                <w:rFonts w:ascii="Arial" w:hAnsi="Arial" w:cs="Arial"/>
                <w:b/>
                <w:sz w:val="20"/>
                <w:szCs w:val="20"/>
              </w:rPr>
            </w:pPr>
          </w:p>
          <w:p w14:paraId="067A4D0B" w14:textId="3FDB4B3F" w:rsidR="00E41A2E" w:rsidRPr="008A7A35" w:rsidRDefault="00E41A2E">
            <w:pPr>
              <w:rPr>
                <w:rFonts w:ascii="Arial" w:hAnsi="Arial" w:cs="Arial"/>
                <w:b/>
                <w:sz w:val="20"/>
                <w:szCs w:val="20"/>
              </w:rPr>
            </w:pPr>
            <w:r w:rsidRPr="008A7A35">
              <w:rPr>
                <w:rFonts w:ascii="Arial" w:hAnsi="Arial" w:cs="Arial"/>
                <w:b/>
                <w:sz w:val="20"/>
                <w:szCs w:val="20"/>
              </w:rPr>
              <w:t xml:space="preserve">Richard </w:t>
            </w:r>
            <w:r w:rsidR="009A02A5" w:rsidRPr="008A7A35">
              <w:rPr>
                <w:rFonts w:ascii="Arial" w:hAnsi="Arial" w:cs="Arial"/>
                <w:b/>
                <w:sz w:val="20"/>
                <w:szCs w:val="20"/>
              </w:rPr>
              <w:t>Horlick</w:t>
            </w:r>
          </w:p>
          <w:p w14:paraId="1CEA4C7B" w14:textId="7E74AB3E" w:rsidR="00E41A2E" w:rsidRPr="008A7A35" w:rsidRDefault="00AA1294">
            <w:pPr>
              <w:rPr>
                <w:rFonts w:ascii="Arial" w:hAnsi="Arial" w:cs="Arial"/>
                <w:sz w:val="20"/>
                <w:szCs w:val="20"/>
              </w:rPr>
            </w:pPr>
            <w:r w:rsidRPr="008A7A35">
              <w:rPr>
                <w:rFonts w:ascii="Arial" w:hAnsi="Arial" w:cs="Arial"/>
                <w:sz w:val="20"/>
                <w:szCs w:val="20"/>
              </w:rPr>
              <w:t>Chair</w:t>
            </w:r>
          </w:p>
        </w:tc>
        <w:tc>
          <w:tcPr>
            <w:tcW w:w="4924" w:type="dxa"/>
            <w:tcMar>
              <w:top w:w="108" w:type="dxa"/>
              <w:bottom w:w="108" w:type="dxa"/>
            </w:tcMar>
          </w:tcPr>
          <w:p w14:paraId="77F88B9F" w14:textId="77777777" w:rsidR="00E41A2E" w:rsidRPr="008A7A35" w:rsidRDefault="00E41A2E">
            <w:pPr>
              <w:rPr>
                <w:rFonts w:ascii="Arial" w:hAnsi="Arial" w:cs="Arial"/>
                <w:b/>
                <w:sz w:val="20"/>
                <w:szCs w:val="20"/>
              </w:rPr>
            </w:pPr>
          </w:p>
          <w:p w14:paraId="15114FBF" w14:textId="7A992EB6" w:rsidR="00E41A2E" w:rsidRPr="008A7A35" w:rsidRDefault="003B450C">
            <w:pPr>
              <w:rPr>
                <w:rFonts w:ascii="Arial" w:hAnsi="Arial" w:cs="Arial"/>
                <w:b/>
                <w:sz w:val="20"/>
                <w:szCs w:val="20"/>
              </w:rPr>
            </w:pPr>
            <w:r w:rsidRPr="008A7A35">
              <w:rPr>
                <w:rFonts w:ascii="Arial" w:hAnsi="Arial" w:cs="Arial"/>
                <w:b/>
                <w:sz w:val="20"/>
                <w:szCs w:val="20"/>
              </w:rPr>
              <w:t>John Roche</w:t>
            </w:r>
          </w:p>
          <w:p w14:paraId="542D04F6" w14:textId="77777777" w:rsidR="00E41A2E" w:rsidRPr="008A7A35" w:rsidRDefault="00E41A2E">
            <w:pPr>
              <w:rPr>
                <w:rFonts w:ascii="Arial" w:hAnsi="Arial" w:cs="Arial"/>
                <w:sz w:val="20"/>
                <w:szCs w:val="20"/>
              </w:rPr>
            </w:pPr>
            <w:r w:rsidRPr="008A7A35">
              <w:rPr>
                <w:rFonts w:ascii="Arial" w:hAnsi="Arial" w:cs="Arial"/>
                <w:sz w:val="20"/>
                <w:szCs w:val="20"/>
              </w:rPr>
              <w:t>Director</w:t>
            </w:r>
          </w:p>
        </w:tc>
      </w:tr>
    </w:tbl>
    <w:p w14:paraId="74A691D5" w14:textId="77777777" w:rsidR="00AA1294" w:rsidRPr="008A7A35" w:rsidRDefault="00AA1294" w:rsidP="00381DB6">
      <w:pPr>
        <w:rPr>
          <w:rFonts w:ascii="Arial" w:hAnsi="Arial" w:cs="Arial"/>
          <w:sz w:val="20"/>
          <w:szCs w:val="20"/>
        </w:rPr>
      </w:pPr>
    </w:p>
    <w:p w14:paraId="58FD0E4F" w14:textId="77777777" w:rsidR="00AA1294" w:rsidRPr="008A7A35" w:rsidRDefault="00AA1294" w:rsidP="00381DB6">
      <w:pPr>
        <w:rPr>
          <w:rFonts w:ascii="Arial" w:hAnsi="Arial" w:cs="Arial"/>
          <w:sz w:val="20"/>
          <w:szCs w:val="20"/>
        </w:rPr>
      </w:pPr>
    </w:p>
    <w:p w14:paraId="63559E8F" w14:textId="57A30D80" w:rsidR="00E5574B" w:rsidRPr="008A7A35" w:rsidRDefault="00E41A2E" w:rsidP="00381DB6">
      <w:pPr>
        <w:rPr>
          <w:rFonts w:ascii="Arial" w:hAnsi="Arial" w:cs="Arial"/>
          <w:b/>
          <w:caps/>
          <w:sz w:val="30"/>
          <w:szCs w:val="30"/>
        </w:rPr>
      </w:pPr>
      <w:r w:rsidRPr="008A7A35">
        <w:rPr>
          <w:rFonts w:ascii="Arial" w:hAnsi="Arial" w:cs="Arial"/>
          <w:sz w:val="20"/>
          <w:szCs w:val="20"/>
        </w:rPr>
        <w:t>The accompanying notes form an integral part of these</w:t>
      </w:r>
      <w:r w:rsidR="000452F7" w:rsidRPr="008A7A35">
        <w:rPr>
          <w:rFonts w:ascii="Arial" w:hAnsi="Arial" w:cs="Arial"/>
          <w:sz w:val="20"/>
          <w:szCs w:val="20"/>
        </w:rPr>
        <w:t xml:space="preserve"> unaudited</w:t>
      </w:r>
      <w:r w:rsidRPr="008A7A35">
        <w:rPr>
          <w:rFonts w:ascii="Arial" w:hAnsi="Arial" w:cs="Arial"/>
          <w:sz w:val="20"/>
          <w:szCs w:val="20"/>
        </w:rPr>
        <w:t xml:space="preserve"> interim condensed financial statements.</w:t>
      </w:r>
    </w:p>
    <w:p w14:paraId="7534C074" w14:textId="5B87AF26" w:rsidR="00E41A2E" w:rsidRPr="008A7A35" w:rsidRDefault="00E41A2E" w:rsidP="00381DB6">
      <w:pPr>
        <w:rPr>
          <w:rFonts w:ascii="Arial" w:hAnsi="Arial" w:cs="Arial"/>
          <w:sz w:val="20"/>
          <w:szCs w:val="20"/>
        </w:rPr>
      </w:pPr>
      <w:r w:rsidRPr="008A7A35">
        <w:rPr>
          <w:rFonts w:ascii="Arial" w:hAnsi="Arial" w:cs="Arial"/>
          <w:b/>
          <w:caps/>
          <w:sz w:val="30"/>
          <w:szCs w:val="30"/>
        </w:rPr>
        <w:t>Condensed Statement of Comprehensive Income</w:t>
      </w:r>
    </w:p>
    <w:p w14:paraId="03C826D8" w14:textId="7B5A59C1" w:rsidR="00E41A2E" w:rsidRPr="008A7A35" w:rsidRDefault="00E41A2E">
      <w:pPr>
        <w:rPr>
          <w:rFonts w:ascii="Arial" w:hAnsi="Arial" w:cs="Arial"/>
          <w:sz w:val="20"/>
          <w:szCs w:val="20"/>
        </w:rPr>
      </w:pPr>
      <w:r w:rsidRPr="008A7A35">
        <w:rPr>
          <w:rFonts w:ascii="Arial" w:hAnsi="Arial" w:cs="Arial"/>
          <w:sz w:val="20"/>
          <w:szCs w:val="20"/>
        </w:rPr>
        <w:t xml:space="preserve">For </w:t>
      </w:r>
      <w:r w:rsidR="00C75564" w:rsidRPr="008A7A35">
        <w:rPr>
          <w:rFonts w:ascii="Arial" w:hAnsi="Arial" w:cs="Arial"/>
          <w:sz w:val="20"/>
          <w:szCs w:val="20"/>
        </w:rPr>
        <w:t>the six months ended 30 June 202</w:t>
      </w:r>
      <w:r w:rsidR="002F5C32" w:rsidRPr="008A7A35">
        <w:rPr>
          <w:rFonts w:ascii="Arial" w:hAnsi="Arial" w:cs="Arial"/>
          <w:sz w:val="20"/>
          <w:szCs w:val="20"/>
        </w:rPr>
        <w:t>5</w:t>
      </w:r>
      <w:r w:rsidRPr="008A7A35">
        <w:rPr>
          <w:rFonts w:ascii="Arial" w:hAnsi="Arial" w:cs="Arial"/>
          <w:sz w:val="20"/>
          <w:szCs w:val="20"/>
        </w:rPr>
        <w:t xml:space="preserve"> (Unaudited)</w:t>
      </w:r>
    </w:p>
    <w:p w14:paraId="548DE808" w14:textId="77777777" w:rsidR="00760681" w:rsidRPr="008A7A35" w:rsidRDefault="00760681">
      <w:pPr>
        <w:rPr>
          <w:rFonts w:ascii="Arial" w:hAnsi="Arial" w:cs="Arial"/>
          <w:sz w:val="20"/>
          <w:szCs w:val="20"/>
        </w:rPr>
      </w:pPr>
    </w:p>
    <w:p w14:paraId="3086D3F5" w14:textId="11D2EB9F" w:rsidR="00E41A2E" w:rsidRPr="008A7A35" w:rsidRDefault="00E41A2E">
      <w:pPr>
        <w:rPr>
          <w:rFonts w:ascii="Arial" w:hAnsi="Arial" w:cs="Arial"/>
          <w:sz w:val="20"/>
          <w:szCs w:val="20"/>
        </w:rPr>
      </w:pPr>
    </w:p>
    <w:tbl>
      <w:tblPr>
        <w:tblW w:w="10329" w:type="dxa"/>
        <w:tblLook w:val="04A0" w:firstRow="1" w:lastRow="0" w:firstColumn="1" w:lastColumn="0" w:noHBand="0" w:noVBand="1"/>
      </w:tblPr>
      <w:tblGrid>
        <w:gridCol w:w="4834"/>
        <w:gridCol w:w="766"/>
        <w:gridCol w:w="2590"/>
        <w:gridCol w:w="2139"/>
      </w:tblGrid>
      <w:tr w:rsidR="003B450C" w:rsidRPr="008A7A35" w14:paraId="56BB48F9" w14:textId="77777777" w:rsidTr="003B450C">
        <w:trPr>
          <w:trHeight w:val="425"/>
        </w:trPr>
        <w:tc>
          <w:tcPr>
            <w:tcW w:w="4834" w:type="dxa"/>
            <w:tcBorders>
              <w:top w:val="nil"/>
              <w:left w:val="nil"/>
              <w:bottom w:val="nil"/>
              <w:right w:val="nil"/>
            </w:tcBorders>
            <w:shd w:val="clear" w:color="000000" w:fill="FFFFFF"/>
            <w:noWrap/>
            <w:vAlign w:val="bottom"/>
            <w:hideMark/>
          </w:tcPr>
          <w:p w14:paraId="71CBD34A" w14:textId="77777777" w:rsidR="002512F0" w:rsidRPr="008A7A35" w:rsidRDefault="002512F0" w:rsidP="001066E1">
            <w:pPr>
              <w:rPr>
                <w:rFonts w:ascii="Arial" w:hAnsi="Arial" w:cs="Arial"/>
                <w:sz w:val="20"/>
                <w:szCs w:val="20"/>
                <w:lang w:eastAsia="en-GB"/>
              </w:rPr>
            </w:pPr>
            <w:r w:rsidRPr="008A7A35">
              <w:rPr>
                <w:rFonts w:ascii="Arial" w:hAnsi="Arial" w:cs="Arial"/>
                <w:sz w:val="20"/>
                <w:szCs w:val="20"/>
                <w:lang w:eastAsia="en-GB"/>
              </w:rPr>
              <w:t> </w:t>
            </w:r>
          </w:p>
        </w:tc>
        <w:tc>
          <w:tcPr>
            <w:tcW w:w="766" w:type="dxa"/>
            <w:tcBorders>
              <w:top w:val="nil"/>
              <w:left w:val="nil"/>
              <w:bottom w:val="nil"/>
              <w:right w:val="nil"/>
            </w:tcBorders>
            <w:shd w:val="clear" w:color="000000" w:fill="FFFFFF"/>
            <w:noWrap/>
            <w:vAlign w:val="center"/>
            <w:hideMark/>
          </w:tcPr>
          <w:p w14:paraId="3375A9A1" w14:textId="77777777" w:rsidR="002512F0" w:rsidRPr="008A7A35" w:rsidRDefault="002512F0" w:rsidP="001066E1">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2590" w:type="dxa"/>
            <w:tcBorders>
              <w:top w:val="nil"/>
              <w:left w:val="nil"/>
              <w:bottom w:val="nil"/>
              <w:right w:val="nil"/>
            </w:tcBorders>
            <w:shd w:val="clear" w:color="000000" w:fill="FFFFFF"/>
            <w:noWrap/>
            <w:vAlign w:val="center"/>
            <w:hideMark/>
          </w:tcPr>
          <w:p w14:paraId="43F9671F" w14:textId="54323B9F" w:rsidR="002512F0" w:rsidRPr="008A7A35" w:rsidRDefault="002512F0" w:rsidP="001066E1">
            <w:pPr>
              <w:jc w:val="right"/>
              <w:rPr>
                <w:rFonts w:ascii="Arial" w:hAnsi="Arial" w:cs="Arial"/>
                <w:b/>
                <w:bCs/>
                <w:sz w:val="20"/>
                <w:szCs w:val="20"/>
                <w:lang w:eastAsia="en-GB"/>
              </w:rPr>
            </w:pPr>
            <w:r w:rsidRPr="008A7A35">
              <w:rPr>
                <w:rFonts w:ascii="Arial" w:hAnsi="Arial" w:cs="Arial"/>
                <w:b/>
                <w:bCs/>
                <w:sz w:val="20"/>
                <w:szCs w:val="20"/>
                <w:lang w:eastAsia="en-GB"/>
              </w:rPr>
              <w:t>1 January 202</w:t>
            </w:r>
            <w:r w:rsidR="002F5C32" w:rsidRPr="008A7A35">
              <w:rPr>
                <w:rFonts w:ascii="Arial" w:hAnsi="Arial" w:cs="Arial"/>
                <w:b/>
                <w:bCs/>
                <w:sz w:val="20"/>
                <w:szCs w:val="20"/>
                <w:lang w:eastAsia="en-GB"/>
              </w:rPr>
              <w:t>5</w:t>
            </w:r>
          </w:p>
        </w:tc>
        <w:tc>
          <w:tcPr>
            <w:tcW w:w="2139" w:type="dxa"/>
            <w:tcBorders>
              <w:top w:val="nil"/>
              <w:left w:val="nil"/>
              <w:bottom w:val="nil"/>
              <w:right w:val="nil"/>
            </w:tcBorders>
            <w:shd w:val="clear" w:color="000000" w:fill="FFFFFF"/>
            <w:noWrap/>
            <w:vAlign w:val="center"/>
            <w:hideMark/>
          </w:tcPr>
          <w:p w14:paraId="51F5DDBD" w14:textId="26261C01" w:rsidR="002512F0" w:rsidRPr="008A7A35" w:rsidRDefault="002512F0" w:rsidP="001066E1">
            <w:pPr>
              <w:jc w:val="right"/>
              <w:rPr>
                <w:rFonts w:ascii="Arial" w:hAnsi="Arial" w:cs="Arial"/>
                <w:sz w:val="20"/>
                <w:szCs w:val="20"/>
                <w:lang w:eastAsia="en-GB"/>
              </w:rPr>
            </w:pPr>
            <w:r w:rsidRPr="008A7A35">
              <w:rPr>
                <w:rFonts w:ascii="Arial" w:hAnsi="Arial" w:cs="Arial"/>
                <w:sz w:val="20"/>
                <w:szCs w:val="20"/>
                <w:lang w:eastAsia="en-GB"/>
              </w:rPr>
              <w:t>1 January 202</w:t>
            </w:r>
            <w:r w:rsidR="002F5C32" w:rsidRPr="008A7A35">
              <w:rPr>
                <w:rFonts w:ascii="Arial" w:hAnsi="Arial" w:cs="Arial"/>
                <w:sz w:val="20"/>
                <w:szCs w:val="20"/>
                <w:lang w:eastAsia="en-GB"/>
              </w:rPr>
              <w:t>4</w:t>
            </w:r>
          </w:p>
        </w:tc>
      </w:tr>
      <w:tr w:rsidR="003B450C" w:rsidRPr="008A7A35" w14:paraId="690589E1" w14:textId="77777777" w:rsidTr="003B450C">
        <w:trPr>
          <w:trHeight w:val="425"/>
        </w:trPr>
        <w:tc>
          <w:tcPr>
            <w:tcW w:w="4834" w:type="dxa"/>
            <w:tcBorders>
              <w:top w:val="nil"/>
              <w:left w:val="nil"/>
              <w:bottom w:val="nil"/>
              <w:right w:val="nil"/>
            </w:tcBorders>
            <w:shd w:val="clear" w:color="000000" w:fill="FFFFFF"/>
            <w:noWrap/>
            <w:vAlign w:val="bottom"/>
            <w:hideMark/>
          </w:tcPr>
          <w:p w14:paraId="55C24D54" w14:textId="77777777" w:rsidR="002512F0" w:rsidRPr="008A7A35" w:rsidRDefault="002512F0" w:rsidP="001066E1">
            <w:pPr>
              <w:rPr>
                <w:rFonts w:ascii="Arial" w:hAnsi="Arial" w:cs="Arial"/>
                <w:sz w:val="20"/>
                <w:szCs w:val="20"/>
                <w:lang w:eastAsia="en-GB"/>
              </w:rPr>
            </w:pPr>
            <w:r w:rsidRPr="008A7A35">
              <w:rPr>
                <w:rFonts w:ascii="Arial" w:hAnsi="Arial" w:cs="Arial"/>
                <w:sz w:val="20"/>
                <w:szCs w:val="20"/>
                <w:lang w:eastAsia="en-GB"/>
              </w:rPr>
              <w:t> </w:t>
            </w:r>
          </w:p>
        </w:tc>
        <w:tc>
          <w:tcPr>
            <w:tcW w:w="766" w:type="dxa"/>
            <w:tcBorders>
              <w:top w:val="nil"/>
              <w:left w:val="nil"/>
              <w:bottom w:val="nil"/>
              <w:right w:val="nil"/>
            </w:tcBorders>
            <w:shd w:val="clear" w:color="000000" w:fill="FFFFFF"/>
            <w:noWrap/>
            <w:vAlign w:val="center"/>
            <w:hideMark/>
          </w:tcPr>
          <w:p w14:paraId="1A1D6CA7" w14:textId="77777777" w:rsidR="002512F0" w:rsidRPr="008A7A35" w:rsidRDefault="002512F0" w:rsidP="001066E1">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2590" w:type="dxa"/>
            <w:tcBorders>
              <w:top w:val="nil"/>
              <w:left w:val="nil"/>
              <w:bottom w:val="nil"/>
              <w:right w:val="nil"/>
            </w:tcBorders>
            <w:shd w:val="clear" w:color="000000" w:fill="FFFFFF"/>
            <w:noWrap/>
            <w:vAlign w:val="center"/>
            <w:hideMark/>
          </w:tcPr>
          <w:p w14:paraId="75DE140A" w14:textId="1F0D12A7" w:rsidR="002512F0" w:rsidRPr="008A7A35" w:rsidRDefault="002512F0" w:rsidP="001066E1">
            <w:pPr>
              <w:jc w:val="right"/>
              <w:rPr>
                <w:rFonts w:ascii="Arial" w:hAnsi="Arial" w:cs="Arial"/>
                <w:b/>
                <w:bCs/>
                <w:sz w:val="20"/>
                <w:szCs w:val="20"/>
                <w:lang w:eastAsia="en-GB"/>
              </w:rPr>
            </w:pPr>
            <w:r w:rsidRPr="008A7A35">
              <w:rPr>
                <w:rFonts w:ascii="Arial" w:hAnsi="Arial" w:cs="Arial"/>
                <w:b/>
                <w:bCs/>
                <w:sz w:val="20"/>
                <w:szCs w:val="20"/>
                <w:lang w:eastAsia="en-GB"/>
              </w:rPr>
              <w:t>to 30 June 202</w:t>
            </w:r>
            <w:r w:rsidR="002F5C32" w:rsidRPr="008A7A35">
              <w:rPr>
                <w:rFonts w:ascii="Arial" w:hAnsi="Arial" w:cs="Arial"/>
                <w:b/>
                <w:bCs/>
                <w:sz w:val="20"/>
                <w:szCs w:val="20"/>
                <w:lang w:eastAsia="en-GB"/>
              </w:rPr>
              <w:t>5</w:t>
            </w:r>
          </w:p>
        </w:tc>
        <w:tc>
          <w:tcPr>
            <w:tcW w:w="2139" w:type="dxa"/>
            <w:tcBorders>
              <w:top w:val="nil"/>
              <w:left w:val="nil"/>
              <w:bottom w:val="nil"/>
              <w:right w:val="nil"/>
            </w:tcBorders>
            <w:shd w:val="clear" w:color="000000" w:fill="FFFFFF"/>
            <w:noWrap/>
            <w:vAlign w:val="center"/>
            <w:hideMark/>
          </w:tcPr>
          <w:p w14:paraId="63B3A783" w14:textId="539164A9" w:rsidR="002512F0" w:rsidRPr="008A7A35" w:rsidRDefault="002512F0" w:rsidP="001066E1">
            <w:pPr>
              <w:jc w:val="right"/>
              <w:rPr>
                <w:rFonts w:ascii="Arial" w:hAnsi="Arial" w:cs="Arial"/>
                <w:sz w:val="20"/>
                <w:szCs w:val="20"/>
                <w:lang w:eastAsia="en-GB"/>
              </w:rPr>
            </w:pPr>
            <w:r w:rsidRPr="008A7A35">
              <w:rPr>
                <w:rFonts w:ascii="Arial" w:hAnsi="Arial" w:cs="Arial"/>
                <w:sz w:val="20"/>
                <w:szCs w:val="20"/>
                <w:lang w:eastAsia="en-GB"/>
              </w:rPr>
              <w:t>to 30 June 202</w:t>
            </w:r>
            <w:r w:rsidR="002F5C32" w:rsidRPr="008A7A35">
              <w:rPr>
                <w:rFonts w:ascii="Arial" w:hAnsi="Arial" w:cs="Arial"/>
                <w:sz w:val="20"/>
                <w:szCs w:val="20"/>
                <w:lang w:eastAsia="en-GB"/>
              </w:rPr>
              <w:t>4</w:t>
            </w:r>
          </w:p>
        </w:tc>
      </w:tr>
      <w:tr w:rsidR="003B450C" w:rsidRPr="008A7A35" w14:paraId="378945F3" w14:textId="77777777" w:rsidTr="003B450C">
        <w:trPr>
          <w:trHeight w:val="793"/>
        </w:trPr>
        <w:tc>
          <w:tcPr>
            <w:tcW w:w="4834" w:type="dxa"/>
            <w:tcBorders>
              <w:top w:val="nil"/>
              <w:left w:val="nil"/>
              <w:bottom w:val="single" w:sz="4" w:space="0" w:color="auto"/>
              <w:right w:val="nil"/>
            </w:tcBorders>
            <w:shd w:val="clear" w:color="000000" w:fill="FFFFFF"/>
            <w:noWrap/>
            <w:vAlign w:val="center"/>
            <w:hideMark/>
          </w:tcPr>
          <w:p w14:paraId="4C42D319" w14:textId="77777777" w:rsidR="002512F0" w:rsidRPr="008A7A35" w:rsidRDefault="002512F0" w:rsidP="001066E1">
            <w:pPr>
              <w:jc w:val="both"/>
              <w:rPr>
                <w:rFonts w:ascii="Arial" w:hAnsi="Arial" w:cs="Arial"/>
                <w:b/>
                <w:bCs/>
                <w:sz w:val="20"/>
                <w:szCs w:val="20"/>
                <w:lang w:eastAsia="en-GB"/>
              </w:rPr>
            </w:pPr>
            <w:r w:rsidRPr="008A7A35">
              <w:rPr>
                <w:rFonts w:ascii="Arial" w:hAnsi="Arial" w:cs="Arial"/>
                <w:b/>
                <w:bCs/>
                <w:sz w:val="20"/>
                <w:szCs w:val="20"/>
                <w:lang w:eastAsia="en-GB"/>
              </w:rPr>
              <w:t> </w:t>
            </w:r>
          </w:p>
        </w:tc>
        <w:tc>
          <w:tcPr>
            <w:tcW w:w="766" w:type="dxa"/>
            <w:tcBorders>
              <w:top w:val="nil"/>
              <w:left w:val="nil"/>
              <w:bottom w:val="single" w:sz="4" w:space="0" w:color="auto"/>
              <w:right w:val="nil"/>
            </w:tcBorders>
            <w:shd w:val="clear" w:color="000000" w:fill="FFFFFF"/>
            <w:noWrap/>
            <w:vAlign w:val="center"/>
            <w:hideMark/>
          </w:tcPr>
          <w:p w14:paraId="3AA93C07" w14:textId="77777777" w:rsidR="002512F0" w:rsidRPr="008A7A35" w:rsidRDefault="002512F0" w:rsidP="001066E1">
            <w:pPr>
              <w:jc w:val="center"/>
              <w:rPr>
                <w:rFonts w:ascii="Arial" w:hAnsi="Arial" w:cs="Arial"/>
                <w:i/>
                <w:iCs/>
                <w:sz w:val="20"/>
                <w:szCs w:val="20"/>
                <w:lang w:eastAsia="en-GB"/>
              </w:rPr>
            </w:pPr>
            <w:r w:rsidRPr="008A7A35">
              <w:rPr>
                <w:rFonts w:ascii="Arial" w:hAnsi="Arial" w:cs="Arial"/>
                <w:i/>
                <w:iCs/>
                <w:sz w:val="20"/>
                <w:szCs w:val="20"/>
                <w:lang w:eastAsia="en-GB"/>
              </w:rPr>
              <w:t>Notes</w:t>
            </w:r>
          </w:p>
        </w:tc>
        <w:tc>
          <w:tcPr>
            <w:tcW w:w="2590" w:type="dxa"/>
            <w:tcBorders>
              <w:top w:val="nil"/>
              <w:left w:val="nil"/>
              <w:bottom w:val="single" w:sz="4" w:space="0" w:color="auto"/>
              <w:right w:val="nil"/>
            </w:tcBorders>
            <w:shd w:val="clear" w:color="000000" w:fill="FFFFFF"/>
            <w:noWrap/>
            <w:vAlign w:val="bottom"/>
            <w:hideMark/>
          </w:tcPr>
          <w:p w14:paraId="65FB3929" w14:textId="77777777" w:rsidR="002512F0" w:rsidRPr="008A7A35" w:rsidRDefault="002512F0" w:rsidP="001066E1">
            <w:pPr>
              <w:jc w:val="right"/>
              <w:rPr>
                <w:rFonts w:ascii="Arial" w:hAnsi="Arial" w:cs="Arial"/>
                <w:b/>
                <w:bCs/>
                <w:sz w:val="20"/>
                <w:szCs w:val="20"/>
                <w:lang w:eastAsia="en-GB"/>
              </w:rPr>
            </w:pPr>
            <w:r w:rsidRPr="008A7A35">
              <w:rPr>
                <w:rFonts w:ascii="Arial" w:hAnsi="Arial" w:cs="Arial"/>
                <w:b/>
                <w:bCs/>
                <w:sz w:val="20"/>
                <w:szCs w:val="20"/>
                <w:lang w:eastAsia="en-GB"/>
              </w:rPr>
              <w:t>$’000</w:t>
            </w:r>
          </w:p>
          <w:p w14:paraId="09709923" w14:textId="4C82EFF6" w:rsidR="00F304F5" w:rsidRPr="008A7A35" w:rsidRDefault="00F304F5" w:rsidP="001066E1">
            <w:pPr>
              <w:jc w:val="right"/>
              <w:rPr>
                <w:rFonts w:ascii="Arial" w:hAnsi="Arial" w:cs="Arial"/>
                <w:b/>
                <w:bCs/>
                <w:sz w:val="20"/>
                <w:szCs w:val="20"/>
                <w:lang w:eastAsia="en-GB"/>
              </w:rPr>
            </w:pPr>
            <w:r w:rsidRPr="008A7A35">
              <w:rPr>
                <w:rFonts w:ascii="Arial" w:hAnsi="Arial" w:cs="Arial"/>
                <w:b/>
                <w:bCs/>
                <w:sz w:val="20"/>
                <w:szCs w:val="20"/>
                <w:lang w:eastAsia="en-GB"/>
              </w:rPr>
              <w:t>Unaudited</w:t>
            </w:r>
          </w:p>
        </w:tc>
        <w:tc>
          <w:tcPr>
            <w:tcW w:w="2139" w:type="dxa"/>
            <w:tcBorders>
              <w:top w:val="nil"/>
              <w:left w:val="nil"/>
              <w:bottom w:val="single" w:sz="4" w:space="0" w:color="auto"/>
              <w:right w:val="nil"/>
            </w:tcBorders>
            <w:shd w:val="clear" w:color="000000" w:fill="FFFFFF"/>
            <w:noWrap/>
            <w:vAlign w:val="bottom"/>
            <w:hideMark/>
          </w:tcPr>
          <w:p w14:paraId="0676CF98" w14:textId="77777777" w:rsidR="002512F0" w:rsidRPr="008A7A35" w:rsidRDefault="002512F0" w:rsidP="001066E1">
            <w:pPr>
              <w:jc w:val="right"/>
              <w:rPr>
                <w:rFonts w:ascii="Arial" w:hAnsi="Arial" w:cs="Arial"/>
                <w:sz w:val="20"/>
                <w:szCs w:val="20"/>
                <w:lang w:eastAsia="en-GB"/>
              </w:rPr>
            </w:pPr>
            <w:r w:rsidRPr="008A7A35">
              <w:rPr>
                <w:rFonts w:ascii="Arial" w:hAnsi="Arial" w:cs="Arial"/>
                <w:sz w:val="20"/>
                <w:szCs w:val="20"/>
                <w:lang w:eastAsia="en-GB"/>
              </w:rPr>
              <w:t>$’000</w:t>
            </w:r>
          </w:p>
          <w:p w14:paraId="3FAF76DB" w14:textId="3BA552F4" w:rsidR="00F304F5" w:rsidRPr="008A7A35" w:rsidRDefault="00F304F5" w:rsidP="001066E1">
            <w:pPr>
              <w:jc w:val="right"/>
              <w:rPr>
                <w:rFonts w:ascii="Arial" w:hAnsi="Arial" w:cs="Arial"/>
                <w:sz w:val="20"/>
                <w:szCs w:val="20"/>
                <w:lang w:eastAsia="en-GB"/>
              </w:rPr>
            </w:pPr>
            <w:r w:rsidRPr="008A7A35">
              <w:rPr>
                <w:rFonts w:ascii="Arial" w:hAnsi="Arial" w:cs="Arial"/>
                <w:sz w:val="20"/>
                <w:szCs w:val="20"/>
                <w:lang w:eastAsia="en-GB"/>
              </w:rPr>
              <w:t>Unaudited</w:t>
            </w:r>
          </w:p>
        </w:tc>
      </w:tr>
      <w:tr w:rsidR="003B450C" w:rsidRPr="008A7A35" w14:paraId="44C6E170" w14:textId="77777777" w:rsidTr="00391CE4">
        <w:trPr>
          <w:trHeight w:val="364"/>
        </w:trPr>
        <w:tc>
          <w:tcPr>
            <w:tcW w:w="4834" w:type="dxa"/>
            <w:tcBorders>
              <w:top w:val="nil"/>
              <w:left w:val="nil"/>
              <w:bottom w:val="nil"/>
              <w:right w:val="nil"/>
            </w:tcBorders>
            <w:shd w:val="clear" w:color="000000" w:fill="FFFFFF"/>
            <w:noWrap/>
            <w:vAlign w:val="bottom"/>
            <w:hideMark/>
          </w:tcPr>
          <w:p w14:paraId="580DB32E" w14:textId="59BCD5C7" w:rsidR="002512F0" w:rsidRPr="008A7A35" w:rsidRDefault="002512F0" w:rsidP="00391CE4">
            <w:pPr>
              <w:rPr>
                <w:rFonts w:ascii="Arial" w:hAnsi="Arial" w:cs="Arial"/>
                <w:b/>
                <w:bCs/>
                <w:sz w:val="20"/>
                <w:szCs w:val="20"/>
                <w:lang w:eastAsia="en-GB"/>
              </w:rPr>
            </w:pPr>
            <w:r w:rsidRPr="008A7A35">
              <w:rPr>
                <w:rFonts w:ascii="Arial" w:hAnsi="Arial" w:cs="Arial"/>
                <w:b/>
                <w:bCs/>
                <w:sz w:val="20"/>
                <w:szCs w:val="20"/>
                <w:lang w:eastAsia="en-GB"/>
              </w:rPr>
              <w:t>Investment</w:t>
            </w:r>
            <w:r w:rsidR="00CC3539" w:rsidRPr="008A7A35">
              <w:rPr>
                <w:rFonts w:ascii="Arial" w:hAnsi="Arial" w:cs="Arial"/>
                <w:b/>
                <w:bCs/>
                <w:sz w:val="20"/>
                <w:szCs w:val="20"/>
                <w:lang w:eastAsia="en-GB"/>
              </w:rPr>
              <w:t xml:space="preserve"> </w:t>
            </w:r>
            <w:r w:rsidR="00E76ABE" w:rsidRPr="008A7A35">
              <w:rPr>
                <w:rFonts w:ascii="Arial" w:hAnsi="Arial" w:cs="Arial"/>
                <w:b/>
                <w:bCs/>
                <w:sz w:val="20"/>
                <w:szCs w:val="20"/>
                <w:lang w:eastAsia="en-GB"/>
              </w:rPr>
              <w:t>loss</w:t>
            </w:r>
          </w:p>
        </w:tc>
        <w:tc>
          <w:tcPr>
            <w:tcW w:w="766" w:type="dxa"/>
            <w:tcBorders>
              <w:top w:val="nil"/>
              <w:left w:val="nil"/>
              <w:bottom w:val="nil"/>
              <w:right w:val="nil"/>
            </w:tcBorders>
            <w:shd w:val="clear" w:color="000000" w:fill="FFFFFF"/>
            <w:noWrap/>
            <w:vAlign w:val="center"/>
            <w:hideMark/>
          </w:tcPr>
          <w:p w14:paraId="209FDB5B" w14:textId="77777777" w:rsidR="002512F0" w:rsidRPr="008A7A35" w:rsidRDefault="002512F0" w:rsidP="001066E1">
            <w:pPr>
              <w:jc w:val="center"/>
              <w:rPr>
                <w:rFonts w:ascii="Arial" w:hAnsi="Arial" w:cs="Arial"/>
                <w:i/>
                <w:iCs/>
                <w:sz w:val="20"/>
                <w:szCs w:val="20"/>
                <w:lang w:eastAsia="en-GB"/>
              </w:rPr>
            </w:pPr>
            <w:r w:rsidRPr="008A7A35">
              <w:rPr>
                <w:rFonts w:ascii="Arial" w:hAnsi="Arial" w:cs="Arial"/>
                <w:i/>
                <w:iCs/>
                <w:sz w:val="20"/>
                <w:szCs w:val="20"/>
                <w:lang w:eastAsia="en-GB"/>
              </w:rPr>
              <w:t> </w:t>
            </w:r>
          </w:p>
        </w:tc>
        <w:tc>
          <w:tcPr>
            <w:tcW w:w="2590" w:type="dxa"/>
            <w:tcBorders>
              <w:top w:val="nil"/>
              <w:left w:val="nil"/>
              <w:bottom w:val="nil"/>
              <w:right w:val="nil"/>
            </w:tcBorders>
            <w:shd w:val="clear" w:color="000000" w:fill="FFFFFF"/>
            <w:noWrap/>
            <w:vAlign w:val="center"/>
            <w:hideMark/>
          </w:tcPr>
          <w:p w14:paraId="2FAEFE43" w14:textId="5C774453" w:rsidR="002512F0" w:rsidRPr="008A7A35" w:rsidRDefault="002512F0" w:rsidP="003C0CD4">
            <w:pPr>
              <w:jc w:val="right"/>
              <w:rPr>
                <w:rFonts w:ascii="Arial" w:hAnsi="Arial" w:cs="Arial"/>
                <w:b/>
                <w:bCs/>
                <w:sz w:val="20"/>
                <w:szCs w:val="20"/>
                <w:lang w:eastAsia="en-GB"/>
              </w:rPr>
            </w:pPr>
          </w:p>
        </w:tc>
        <w:tc>
          <w:tcPr>
            <w:tcW w:w="2139" w:type="dxa"/>
            <w:tcBorders>
              <w:top w:val="nil"/>
              <w:left w:val="nil"/>
              <w:bottom w:val="nil"/>
              <w:right w:val="nil"/>
            </w:tcBorders>
            <w:shd w:val="clear" w:color="000000" w:fill="FFFFFF"/>
            <w:noWrap/>
            <w:vAlign w:val="center"/>
            <w:hideMark/>
          </w:tcPr>
          <w:p w14:paraId="675D1FC3" w14:textId="66851E5C" w:rsidR="002512F0" w:rsidRPr="008A7A35" w:rsidRDefault="002512F0" w:rsidP="003C0CD4">
            <w:pPr>
              <w:jc w:val="right"/>
              <w:rPr>
                <w:rFonts w:ascii="Arial" w:hAnsi="Arial" w:cs="Arial"/>
                <w:sz w:val="20"/>
                <w:szCs w:val="20"/>
                <w:lang w:eastAsia="en-GB"/>
              </w:rPr>
            </w:pPr>
          </w:p>
        </w:tc>
      </w:tr>
      <w:tr w:rsidR="002F5C32" w:rsidRPr="008A7A35" w14:paraId="573F68CF" w14:textId="77777777" w:rsidTr="00391CE4">
        <w:trPr>
          <w:trHeight w:val="364"/>
        </w:trPr>
        <w:tc>
          <w:tcPr>
            <w:tcW w:w="4834" w:type="dxa"/>
            <w:tcBorders>
              <w:top w:val="nil"/>
              <w:left w:val="nil"/>
              <w:bottom w:val="single" w:sz="4" w:space="0" w:color="auto"/>
              <w:right w:val="nil"/>
            </w:tcBorders>
            <w:shd w:val="clear" w:color="000000" w:fill="FFFFFF"/>
            <w:noWrap/>
            <w:vAlign w:val="bottom"/>
            <w:hideMark/>
          </w:tcPr>
          <w:p w14:paraId="44352230" w14:textId="77777777" w:rsidR="002F5C32" w:rsidRPr="008A7A35" w:rsidRDefault="002F5C32" w:rsidP="00391CE4">
            <w:pPr>
              <w:rPr>
                <w:rFonts w:ascii="Arial" w:hAnsi="Arial" w:cs="Arial"/>
                <w:sz w:val="20"/>
                <w:szCs w:val="20"/>
                <w:lang w:eastAsia="en-GB"/>
              </w:rPr>
            </w:pPr>
            <w:r w:rsidRPr="008A7A35">
              <w:rPr>
                <w:rFonts w:ascii="Arial" w:hAnsi="Arial" w:cs="Arial"/>
                <w:sz w:val="20"/>
                <w:szCs w:val="20"/>
                <w:lang w:eastAsia="en-GB"/>
              </w:rPr>
              <w:t>Change in fair value of investment at fair value through profit or loss</w:t>
            </w:r>
          </w:p>
        </w:tc>
        <w:tc>
          <w:tcPr>
            <w:tcW w:w="766" w:type="dxa"/>
            <w:tcBorders>
              <w:top w:val="nil"/>
              <w:left w:val="nil"/>
              <w:bottom w:val="single" w:sz="4" w:space="0" w:color="auto"/>
              <w:right w:val="nil"/>
            </w:tcBorders>
            <w:shd w:val="clear" w:color="000000" w:fill="FFFFFF"/>
            <w:noWrap/>
            <w:vAlign w:val="center"/>
            <w:hideMark/>
          </w:tcPr>
          <w:p w14:paraId="456D7277" w14:textId="77777777" w:rsidR="002F5C32" w:rsidRPr="008A7A35" w:rsidRDefault="002F5C32" w:rsidP="002F5C32">
            <w:pPr>
              <w:jc w:val="center"/>
              <w:rPr>
                <w:rFonts w:ascii="Arial" w:hAnsi="Arial" w:cs="Arial"/>
                <w:i/>
                <w:iCs/>
                <w:sz w:val="20"/>
                <w:szCs w:val="20"/>
                <w:lang w:eastAsia="en-GB"/>
              </w:rPr>
            </w:pPr>
            <w:r w:rsidRPr="008A7A35">
              <w:rPr>
                <w:rFonts w:ascii="Arial" w:hAnsi="Arial" w:cs="Arial"/>
                <w:i/>
                <w:iCs/>
                <w:sz w:val="20"/>
                <w:szCs w:val="20"/>
                <w:lang w:eastAsia="en-GB"/>
              </w:rPr>
              <w:t>6</w:t>
            </w:r>
          </w:p>
        </w:tc>
        <w:tc>
          <w:tcPr>
            <w:tcW w:w="2590" w:type="dxa"/>
            <w:tcBorders>
              <w:top w:val="nil"/>
              <w:left w:val="nil"/>
              <w:bottom w:val="single" w:sz="4" w:space="0" w:color="auto"/>
              <w:right w:val="nil"/>
            </w:tcBorders>
            <w:shd w:val="clear" w:color="000000" w:fill="FFFFFF"/>
            <w:noWrap/>
            <w:vAlign w:val="bottom"/>
          </w:tcPr>
          <w:p w14:paraId="12CD0FB5" w14:textId="17DFE185" w:rsidR="002F5C32" w:rsidRPr="008A7A35" w:rsidRDefault="000573BD" w:rsidP="004910A8">
            <w:pPr>
              <w:jc w:val="right"/>
              <w:rPr>
                <w:rFonts w:ascii="Arial" w:hAnsi="Arial" w:cs="Arial"/>
                <w:b/>
                <w:bCs/>
                <w:sz w:val="20"/>
                <w:szCs w:val="20"/>
                <w:lang w:eastAsia="en-GB"/>
              </w:rPr>
            </w:pPr>
            <w:r>
              <w:rPr>
                <w:rFonts w:ascii="Arial" w:hAnsi="Arial" w:cs="Arial"/>
                <w:b/>
                <w:bCs/>
                <w:sz w:val="20"/>
                <w:szCs w:val="20"/>
              </w:rPr>
              <w:t>4,953</w:t>
            </w:r>
          </w:p>
        </w:tc>
        <w:tc>
          <w:tcPr>
            <w:tcW w:w="2139" w:type="dxa"/>
            <w:tcBorders>
              <w:top w:val="nil"/>
              <w:left w:val="nil"/>
              <w:bottom w:val="single" w:sz="4" w:space="0" w:color="auto"/>
              <w:right w:val="nil"/>
            </w:tcBorders>
            <w:shd w:val="clear" w:color="000000" w:fill="FFFFFF"/>
            <w:noWrap/>
            <w:vAlign w:val="bottom"/>
            <w:hideMark/>
          </w:tcPr>
          <w:p w14:paraId="5FE04960" w14:textId="1824F20D"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(12,778)</w:t>
            </w:r>
          </w:p>
        </w:tc>
      </w:tr>
      <w:tr w:rsidR="002F5C32" w:rsidRPr="008A7A35" w14:paraId="55E4F070" w14:textId="77777777" w:rsidTr="00391CE4">
        <w:trPr>
          <w:trHeight w:val="364"/>
        </w:trPr>
        <w:tc>
          <w:tcPr>
            <w:tcW w:w="4834" w:type="dxa"/>
            <w:tcBorders>
              <w:top w:val="nil"/>
              <w:left w:val="nil"/>
              <w:bottom w:val="nil"/>
              <w:right w:val="nil"/>
            </w:tcBorders>
            <w:shd w:val="clear" w:color="000000" w:fill="FFFFFF"/>
            <w:noWrap/>
            <w:vAlign w:val="bottom"/>
            <w:hideMark/>
          </w:tcPr>
          <w:p w14:paraId="5365F933" w14:textId="77777777" w:rsidR="002F5C32" w:rsidRPr="008A7A35" w:rsidRDefault="002F5C32" w:rsidP="00391CE4">
            <w:pPr>
              <w:rPr>
                <w:rFonts w:ascii="Arial" w:hAnsi="Arial" w:cs="Arial"/>
                <w:b/>
                <w:bCs/>
                <w:sz w:val="20"/>
                <w:szCs w:val="20"/>
                <w:lang w:eastAsia="en-GB"/>
              </w:rPr>
            </w:pPr>
            <w:r w:rsidRPr="008A7A35">
              <w:rPr>
                <w:rFonts w:ascii="Arial" w:hAnsi="Arial" w:cs="Arial"/>
                <w:b/>
                <w:bCs/>
                <w:sz w:val="20"/>
                <w:szCs w:val="20"/>
                <w:lang w:eastAsia="en-GB"/>
              </w:rPr>
              <w:lastRenderedPageBreak/>
              <w:t>Expenses</w:t>
            </w:r>
          </w:p>
          <w:p w14:paraId="55579F9B" w14:textId="3CB3A8F8" w:rsidR="002F5C32" w:rsidRPr="008A7A35" w:rsidRDefault="002F5C32" w:rsidP="00391CE4">
            <w:pPr>
              <w:rPr>
                <w:rFonts w:ascii="Arial" w:hAnsi="Arial" w:cs="Arial"/>
                <w:b/>
                <w:bCs/>
                <w:sz w:val="20"/>
                <w:szCs w:val="20"/>
                <w:lang w:eastAsia="en-GB"/>
              </w:rPr>
            </w:pPr>
          </w:p>
        </w:tc>
        <w:tc>
          <w:tcPr>
            <w:tcW w:w="766" w:type="dxa"/>
            <w:tcBorders>
              <w:top w:val="nil"/>
              <w:left w:val="nil"/>
              <w:bottom w:val="nil"/>
              <w:right w:val="nil"/>
            </w:tcBorders>
            <w:shd w:val="clear" w:color="000000" w:fill="FFFFFF"/>
            <w:noWrap/>
            <w:vAlign w:val="center"/>
            <w:hideMark/>
          </w:tcPr>
          <w:p w14:paraId="1D92DB45" w14:textId="16DA9214" w:rsidR="002F5C32" w:rsidRPr="008A7A35" w:rsidRDefault="002F5C32" w:rsidP="002F5C32">
            <w:pPr>
              <w:jc w:val="center"/>
              <w:rPr>
                <w:rFonts w:ascii="Arial" w:hAnsi="Arial" w:cs="Arial"/>
                <w:i/>
                <w:iCs/>
                <w:sz w:val="20"/>
                <w:szCs w:val="20"/>
                <w:lang w:eastAsia="en-GB"/>
              </w:rPr>
            </w:pPr>
          </w:p>
        </w:tc>
        <w:tc>
          <w:tcPr>
            <w:tcW w:w="2590" w:type="dxa"/>
            <w:tcBorders>
              <w:top w:val="nil"/>
              <w:left w:val="nil"/>
              <w:bottom w:val="nil"/>
              <w:right w:val="nil"/>
            </w:tcBorders>
            <w:shd w:val="clear" w:color="000000" w:fill="FFFFFF"/>
            <w:noWrap/>
            <w:vAlign w:val="bottom"/>
          </w:tcPr>
          <w:p w14:paraId="25F2B75E" w14:textId="3E3688BC" w:rsidR="002F5C32" w:rsidRPr="008A7A35" w:rsidRDefault="002F5C32" w:rsidP="004910A8">
            <w:pPr>
              <w:jc w:val="right"/>
              <w:rPr>
                <w:rFonts w:ascii="Arial" w:hAnsi="Arial" w:cs="Arial"/>
                <w:b/>
                <w:bCs/>
                <w:sz w:val="20"/>
                <w:szCs w:val="20"/>
                <w:lang w:eastAsia="en-GB"/>
              </w:rPr>
            </w:pPr>
          </w:p>
        </w:tc>
        <w:tc>
          <w:tcPr>
            <w:tcW w:w="2139" w:type="dxa"/>
            <w:tcBorders>
              <w:top w:val="nil"/>
              <w:left w:val="nil"/>
              <w:bottom w:val="nil"/>
              <w:right w:val="nil"/>
            </w:tcBorders>
            <w:shd w:val="clear" w:color="000000" w:fill="FFFFFF"/>
            <w:noWrap/>
            <w:vAlign w:val="bottom"/>
            <w:hideMark/>
          </w:tcPr>
          <w:p w14:paraId="6B7147B2" w14:textId="4D2878C6" w:rsidR="002F5C32" w:rsidRPr="00A360D0" w:rsidRDefault="002F5C32" w:rsidP="004910A8">
            <w:pPr>
              <w:jc w:val="right"/>
              <w:rPr>
                <w:rFonts w:ascii="Arial" w:hAnsi="Arial" w:cs="Arial"/>
                <w:sz w:val="20"/>
                <w:szCs w:val="20"/>
                <w:lang w:eastAsia="en-GB"/>
              </w:rPr>
            </w:pPr>
          </w:p>
        </w:tc>
      </w:tr>
      <w:tr w:rsidR="002F5C32" w:rsidRPr="008A7A35" w14:paraId="227DBEB5" w14:textId="77777777" w:rsidTr="00391CE4">
        <w:trPr>
          <w:trHeight w:val="364"/>
        </w:trPr>
        <w:tc>
          <w:tcPr>
            <w:tcW w:w="4834" w:type="dxa"/>
            <w:tcBorders>
              <w:top w:val="nil"/>
              <w:left w:val="nil"/>
              <w:bottom w:val="nil"/>
              <w:right w:val="nil"/>
            </w:tcBorders>
            <w:shd w:val="clear" w:color="000000" w:fill="FFFFFF"/>
            <w:noWrap/>
            <w:vAlign w:val="bottom"/>
          </w:tcPr>
          <w:p w14:paraId="023D6C4B" w14:textId="68A7CE2C" w:rsidR="002F5C32" w:rsidRPr="008A7A35" w:rsidRDefault="002F5C32" w:rsidP="00391CE4">
            <w:pPr>
              <w:rPr>
                <w:rFonts w:ascii="Arial" w:hAnsi="Arial" w:cs="Arial"/>
                <w:b/>
                <w:bCs/>
                <w:sz w:val="20"/>
                <w:szCs w:val="20"/>
                <w:lang w:eastAsia="en-GB"/>
              </w:rPr>
            </w:pPr>
            <w:r w:rsidRPr="008A7A35">
              <w:rPr>
                <w:rFonts w:ascii="Arial" w:hAnsi="Arial" w:cs="Arial"/>
                <w:sz w:val="20"/>
                <w:szCs w:val="20"/>
                <w:lang w:eastAsia="en-GB"/>
              </w:rPr>
              <w:t>Directors’ fees and expenses</w:t>
            </w:r>
          </w:p>
        </w:tc>
        <w:tc>
          <w:tcPr>
            <w:tcW w:w="766" w:type="dxa"/>
            <w:tcBorders>
              <w:top w:val="nil"/>
              <w:left w:val="nil"/>
              <w:bottom w:val="nil"/>
              <w:right w:val="nil"/>
            </w:tcBorders>
            <w:shd w:val="clear" w:color="000000" w:fill="FFFFFF"/>
            <w:noWrap/>
            <w:vAlign w:val="center"/>
          </w:tcPr>
          <w:p w14:paraId="09702682" w14:textId="78E191B9" w:rsidR="002F5C32" w:rsidRPr="008A7A35" w:rsidRDefault="002F5C32" w:rsidP="002F5C32">
            <w:pPr>
              <w:jc w:val="center"/>
              <w:rPr>
                <w:rFonts w:ascii="Arial" w:hAnsi="Arial" w:cs="Arial"/>
                <w:i/>
                <w:iCs/>
                <w:sz w:val="20"/>
                <w:szCs w:val="20"/>
                <w:lang w:eastAsia="en-GB"/>
              </w:rPr>
            </w:pPr>
            <w:r w:rsidRPr="008A7A35">
              <w:rPr>
                <w:rFonts w:ascii="Arial" w:hAnsi="Arial" w:cs="Arial"/>
                <w:i/>
                <w:iCs/>
                <w:sz w:val="20"/>
                <w:szCs w:val="20"/>
                <w:lang w:eastAsia="en-GB"/>
              </w:rPr>
              <w:t>7</w:t>
            </w:r>
          </w:p>
        </w:tc>
        <w:tc>
          <w:tcPr>
            <w:tcW w:w="2590" w:type="dxa"/>
            <w:tcBorders>
              <w:top w:val="nil"/>
              <w:left w:val="nil"/>
              <w:bottom w:val="nil"/>
              <w:right w:val="nil"/>
            </w:tcBorders>
            <w:shd w:val="clear" w:color="000000" w:fill="FFFFFF"/>
            <w:noWrap/>
            <w:vAlign w:val="bottom"/>
          </w:tcPr>
          <w:p w14:paraId="2E81F19E" w14:textId="373BC1F6" w:rsidR="002F5C32"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(316)</w:t>
            </w:r>
          </w:p>
        </w:tc>
        <w:tc>
          <w:tcPr>
            <w:tcW w:w="2139" w:type="dxa"/>
            <w:tcBorders>
              <w:top w:val="nil"/>
              <w:left w:val="nil"/>
              <w:bottom w:val="nil"/>
              <w:right w:val="nil"/>
            </w:tcBorders>
            <w:shd w:val="clear" w:color="000000" w:fill="FFFFFF"/>
            <w:noWrap/>
            <w:vAlign w:val="bottom"/>
          </w:tcPr>
          <w:p w14:paraId="4A1F0132" w14:textId="0A8CBC28"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(352)</w:t>
            </w:r>
          </w:p>
        </w:tc>
      </w:tr>
      <w:tr w:rsidR="002F5C32" w:rsidRPr="008A7A35" w14:paraId="2A61C1C1" w14:textId="77777777" w:rsidTr="00391CE4">
        <w:trPr>
          <w:trHeight w:val="364"/>
        </w:trPr>
        <w:tc>
          <w:tcPr>
            <w:tcW w:w="4834" w:type="dxa"/>
            <w:tcBorders>
              <w:top w:val="nil"/>
              <w:left w:val="nil"/>
              <w:right w:val="nil"/>
            </w:tcBorders>
            <w:shd w:val="clear" w:color="000000" w:fill="FFFFFF"/>
            <w:noWrap/>
            <w:vAlign w:val="bottom"/>
          </w:tcPr>
          <w:p w14:paraId="3EFD1BBA" w14:textId="509B24AE" w:rsidR="002F5C32" w:rsidRPr="008A7A35" w:rsidRDefault="002F5C32" w:rsidP="00391CE4">
            <w:pPr>
              <w:rPr>
                <w:rFonts w:ascii="Arial" w:hAnsi="Arial" w:cs="Arial"/>
                <w:b/>
                <w:bCs/>
                <w:sz w:val="20"/>
                <w:szCs w:val="20"/>
                <w:lang w:eastAsia="en-GB"/>
              </w:rPr>
            </w:pPr>
            <w:r w:rsidRPr="008A7A35">
              <w:rPr>
                <w:rFonts w:ascii="Arial" w:hAnsi="Arial" w:cs="Arial"/>
                <w:sz w:val="20"/>
                <w:szCs w:val="20"/>
                <w:lang w:eastAsia="en-GB"/>
              </w:rPr>
              <w:t>Legal and professional fees</w:t>
            </w:r>
          </w:p>
        </w:tc>
        <w:tc>
          <w:tcPr>
            <w:tcW w:w="766" w:type="dxa"/>
            <w:tcBorders>
              <w:top w:val="nil"/>
              <w:left w:val="nil"/>
              <w:right w:val="nil"/>
            </w:tcBorders>
            <w:shd w:val="clear" w:color="000000" w:fill="FFFFFF"/>
            <w:noWrap/>
            <w:vAlign w:val="center"/>
          </w:tcPr>
          <w:p w14:paraId="0F1D77B4" w14:textId="07B6C2E5" w:rsidR="002F5C32" w:rsidRPr="008A7A35" w:rsidRDefault="002F5C32" w:rsidP="002F5C32">
            <w:pPr>
              <w:jc w:val="center"/>
              <w:rPr>
                <w:rFonts w:ascii="Arial" w:hAnsi="Arial" w:cs="Arial"/>
                <w:i/>
                <w:iCs/>
                <w:sz w:val="20"/>
                <w:szCs w:val="20"/>
                <w:lang w:eastAsia="en-GB"/>
              </w:rPr>
            </w:pPr>
          </w:p>
        </w:tc>
        <w:tc>
          <w:tcPr>
            <w:tcW w:w="2590" w:type="dxa"/>
            <w:tcBorders>
              <w:top w:val="nil"/>
              <w:left w:val="nil"/>
              <w:right w:val="nil"/>
            </w:tcBorders>
            <w:shd w:val="clear" w:color="000000" w:fill="FFFFFF"/>
            <w:noWrap/>
            <w:vAlign w:val="bottom"/>
          </w:tcPr>
          <w:p w14:paraId="7885F2A7" w14:textId="2D528496" w:rsidR="002F5C32"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(269)</w:t>
            </w:r>
          </w:p>
        </w:tc>
        <w:tc>
          <w:tcPr>
            <w:tcW w:w="2139" w:type="dxa"/>
            <w:tcBorders>
              <w:top w:val="nil"/>
              <w:left w:val="nil"/>
              <w:right w:val="nil"/>
            </w:tcBorders>
            <w:shd w:val="clear" w:color="000000" w:fill="FFFFFF"/>
            <w:noWrap/>
            <w:vAlign w:val="bottom"/>
          </w:tcPr>
          <w:p w14:paraId="45BAEEB3" w14:textId="51B5378C"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(410)</w:t>
            </w:r>
          </w:p>
        </w:tc>
      </w:tr>
      <w:tr w:rsidR="002F5C32" w:rsidRPr="008A7A35" w14:paraId="71866DAE" w14:textId="77777777" w:rsidTr="00391CE4">
        <w:trPr>
          <w:trHeight w:val="364"/>
        </w:trPr>
        <w:tc>
          <w:tcPr>
            <w:tcW w:w="4834" w:type="dxa"/>
            <w:tcBorders>
              <w:top w:val="nil"/>
              <w:left w:val="nil"/>
              <w:bottom w:val="single" w:sz="4" w:space="0" w:color="auto"/>
              <w:right w:val="nil"/>
            </w:tcBorders>
            <w:shd w:val="clear" w:color="000000" w:fill="FFFFFF"/>
            <w:noWrap/>
            <w:vAlign w:val="bottom"/>
          </w:tcPr>
          <w:p w14:paraId="4541D4EA" w14:textId="387A7815" w:rsidR="002F5C32" w:rsidRPr="008A7A35" w:rsidRDefault="002F5C32" w:rsidP="00391CE4">
            <w:pPr>
              <w:rPr>
                <w:rFonts w:ascii="Arial" w:hAnsi="Arial" w:cs="Arial"/>
                <w:sz w:val="20"/>
                <w:szCs w:val="20"/>
                <w:lang w:eastAsia="en-GB"/>
              </w:rPr>
            </w:pPr>
            <w:r w:rsidRPr="008A7A35">
              <w:rPr>
                <w:rFonts w:ascii="Arial" w:hAnsi="Arial" w:cs="Arial"/>
                <w:sz w:val="20"/>
                <w:szCs w:val="20"/>
                <w:lang w:eastAsia="en-GB"/>
              </w:rPr>
              <w:t>Other operating expenses</w:t>
            </w:r>
          </w:p>
        </w:tc>
        <w:tc>
          <w:tcPr>
            <w:tcW w:w="766" w:type="dxa"/>
            <w:tcBorders>
              <w:top w:val="nil"/>
              <w:left w:val="nil"/>
              <w:bottom w:val="single" w:sz="4" w:space="0" w:color="auto"/>
              <w:right w:val="nil"/>
            </w:tcBorders>
            <w:shd w:val="clear" w:color="000000" w:fill="FFFFFF"/>
            <w:noWrap/>
            <w:vAlign w:val="center"/>
          </w:tcPr>
          <w:p w14:paraId="0991EC27" w14:textId="3CC7D9E5" w:rsidR="002F5C32" w:rsidRPr="008A7A35" w:rsidRDefault="002F5C32" w:rsidP="002F5C32">
            <w:pPr>
              <w:jc w:val="center"/>
              <w:rPr>
                <w:rFonts w:ascii="Arial" w:hAnsi="Arial" w:cs="Arial"/>
                <w:i/>
                <w:iCs/>
                <w:sz w:val="20"/>
                <w:szCs w:val="20"/>
                <w:lang w:eastAsia="en-GB"/>
              </w:rPr>
            </w:pPr>
          </w:p>
        </w:tc>
        <w:tc>
          <w:tcPr>
            <w:tcW w:w="2590" w:type="dxa"/>
            <w:tcBorders>
              <w:top w:val="nil"/>
              <w:left w:val="nil"/>
              <w:bottom w:val="single" w:sz="4" w:space="0" w:color="auto"/>
              <w:right w:val="nil"/>
            </w:tcBorders>
            <w:shd w:val="clear" w:color="000000" w:fill="FFFFFF"/>
            <w:noWrap/>
            <w:vAlign w:val="bottom"/>
          </w:tcPr>
          <w:p w14:paraId="3E1D5129" w14:textId="765F711A" w:rsidR="002F5C32"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(1,347)</w:t>
            </w:r>
          </w:p>
        </w:tc>
        <w:tc>
          <w:tcPr>
            <w:tcW w:w="2139" w:type="dxa"/>
            <w:tcBorders>
              <w:top w:val="nil"/>
              <w:left w:val="nil"/>
              <w:bottom w:val="single" w:sz="4" w:space="0" w:color="auto"/>
              <w:right w:val="nil"/>
            </w:tcBorders>
            <w:shd w:val="clear" w:color="000000" w:fill="FFFFFF"/>
            <w:noWrap/>
            <w:vAlign w:val="bottom"/>
          </w:tcPr>
          <w:p w14:paraId="05BF6631" w14:textId="4682DFD7"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(2,314)</w:t>
            </w:r>
          </w:p>
        </w:tc>
      </w:tr>
      <w:tr w:rsidR="002F5C32" w:rsidRPr="008A7A35" w14:paraId="6AFFAFF7" w14:textId="77777777" w:rsidTr="00391CE4">
        <w:trPr>
          <w:trHeight w:val="364"/>
        </w:trPr>
        <w:tc>
          <w:tcPr>
            <w:tcW w:w="4834" w:type="dxa"/>
            <w:tcBorders>
              <w:top w:val="single" w:sz="4" w:space="0" w:color="auto"/>
              <w:left w:val="nil"/>
              <w:bottom w:val="single" w:sz="4" w:space="0" w:color="auto"/>
              <w:right w:val="nil"/>
            </w:tcBorders>
            <w:shd w:val="clear" w:color="000000" w:fill="FFFFFF"/>
            <w:noWrap/>
            <w:vAlign w:val="bottom"/>
          </w:tcPr>
          <w:p w14:paraId="3DDD9895" w14:textId="1ADEE463" w:rsidR="002F5C32" w:rsidRPr="008A7A35" w:rsidRDefault="002F5C32" w:rsidP="00391CE4">
            <w:pPr>
              <w:rPr>
                <w:rFonts w:ascii="Arial" w:hAnsi="Arial" w:cs="Arial"/>
                <w:sz w:val="20"/>
                <w:szCs w:val="20"/>
                <w:lang w:eastAsia="en-GB"/>
              </w:rPr>
            </w:pPr>
            <w:r w:rsidRPr="008A7A35">
              <w:rPr>
                <w:rFonts w:ascii="Arial" w:hAnsi="Arial" w:cs="Arial"/>
                <w:b/>
                <w:bCs/>
                <w:sz w:val="20"/>
                <w:szCs w:val="20"/>
                <w:lang w:eastAsia="en-GB"/>
              </w:rPr>
              <w:t>Total expenses</w:t>
            </w:r>
          </w:p>
        </w:tc>
        <w:tc>
          <w:tcPr>
            <w:tcW w:w="766" w:type="dxa"/>
            <w:tcBorders>
              <w:top w:val="single" w:sz="4" w:space="0" w:color="auto"/>
              <w:left w:val="nil"/>
              <w:bottom w:val="single" w:sz="4" w:space="0" w:color="auto"/>
              <w:right w:val="nil"/>
            </w:tcBorders>
            <w:shd w:val="clear" w:color="000000" w:fill="FFFFFF"/>
            <w:noWrap/>
            <w:vAlign w:val="center"/>
          </w:tcPr>
          <w:p w14:paraId="79335C99" w14:textId="77777777" w:rsidR="002F5C32" w:rsidRPr="008A7A35" w:rsidRDefault="002F5C32" w:rsidP="002F5C32">
            <w:pPr>
              <w:jc w:val="center"/>
              <w:rPr>
                <w:rFonts w:ascii="Arial" w:hAnsi="Arial" w:cs="Arial"/>
                <w:i/>
                <w:iCs/>
                <w:sz w:val="20"/>
                <w:szCs w:val="20"/>
                <w:lang w:eastAsia="en-GB"/>
              </w:rPr>
            </w:pPr>
          </w:p>
        </w:tc>
        <w:tc>
          <w:tcPr>
            <w:tcW w:w="2590" w:type="dxa"/>
            <w:tcBorders>
              <w:top w:val="single" w:sz="4" w:space="0" w:color="auto"/>
              <w:left w:val="nil"/>
              <w:bottom w:val="single" w:sz="4" w:space="0" w:color="auto"/>
              <w:right w:val="nil"/>
            </w:tcBorders>
            <w:shd w:val="clear" w:color="000000" w:fill="FFFFFF"/>
            <w:noWrap/>
            <w:vAlign w:val="bottom"/>
          </w:tcPr>
          <w:p w14:paraId="42745CEE" w14:textId="0899CCA8" w:rsidR="002F5C32"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(1,932)</w:t>
            </w:r>
          </w:p>
        </w:tc>
        <w:tc>
          <w:tcPr>
            <w:tcW w:w="2139" w:type="dxa"/>
            <w:tcBorders>
              <w:top w:val="single" w:sz="4" w:space="0" w:color="auto"/>
              <w:left w:val="nil"/>
              <w:bottom w:val="single" w:sz="4" w:space="0" w:color="auto"/>
              <w:right w:val="nil"/>
            </w:tcBorders>
            <w:shd w:val="clear" w:color="000000" w:fill="FFFFFF"/>
            <w:noWrap/>
            <w:vAlign w:val="bottom"/>
          </w:tcPr>
          <w:p w14:paraId="051E0057" w14:textId="0F4D05F4"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(3,076)</w:t>
            </w:r>
          </w:p>
        </w:tc>
      </w:tr>
      <w:tr w:rsidR="002F5C32" w:rsidRPr="008A7A35" w14:paraId="1025FEA3" w14:textId="77777777" w:rsidTr="00391CE4">
        <w:trPr>
          <w:trHeight w:val="364"/>
        </w:trPr>
        <w:tc>
          <w:tcPr>
            <w:tcW w:w="4834" w:type="dxa"/>
            <w:tcBorders>
              <w:top w:val="single" w:sz="4" w:space="0" w:color="auto"/>
              <w:left w:val="nil"/>
              <w:bottom w:val="nil"/>
              <w:right w:val="nil"/>
            </w:tcBorders>
            <w:shd w:val="clear" w:color="000000" w:fill="FFFFFF"/>
            <w:noWrap/>
            <w:vAlign w:val="bottom"/>
            <w:hideMark/>
          </w:tcPr>
          <w:p w14:paraId="0F1785A1" w14:textId="3E8E9EBA" w:rsidR="002F5C32" w:rsidRPr="008A7A35" w:rsidRDefault="002F5C32" w:rsidP="00391CE4">
            <w:pPr>
              <w:rPr>
                <w:rFonts w:ascii="Arial" w:hAnsi="Arial" w:cs="Arial"/>
                <w:b/>
                <w:bCs/>
                <w:sz w:val="20"/>
                <w:szCs w:val="20"/>
                <w:lang w:eastAsia="en-GB"/>
              </w:rPr>
            </w:pPr>
            <w:r w:rsidRPr="008A7A35">
              <w:rPr>
                <w:rFonts w:ascii="Arial" w:hAnsi="Arial" w:cs="Arial"/>
                <w:b/>
                <w:bCs/>
                <w:sz w:val="20"/>
                <w:szCs w:val="20"/>
                <w:lang w:eastAsia="en-GB"/>
              </w:rPr>
              <w:t xml:space="preserve">Operating </w:t>
            </w:r>
            <w:r w:rsidR="00143A96" w:rsidRPr="008A7A35">
              <w:rPr>
                <w:rFonts w:ascii="Arial" w:hAnsi="Arial" w:cs="Arial"/>
                <w:b/>
                <w:bCs/>
                <w:sz w:val="20"/>
                <w:szCs w:val="20"/>
                <w:lang w:eastAsia="en-GB"/>
              </w:rPr>
              <w:t>profit/(</w:t>
            </w:r>
            <w:r w:rsidRPr="008A7A35">
              <w:rPr>
                <w:rFonts w:ascii="Arial" w:hAnsi="Arial" w:cs="Arial"/>
                <w:b/>
                <w:bCs/>
                <w:sz w:val="20"/>
                <w:szCs w:val="20"/>
                <w:lang w:eastAsia="en-GB"/>
              </w:rPr>
              <w:t>loss</w:t>
            </w:r>
            <w:r w:rsidR="00143A96" w:rsidRPr="008A7A35">
              <w:rPr>
                <w:rFonts w:ascii="Arial" w:hAnsi="Arial" w:cs="Arial"/>
                <w:b/>
                <w:bCs/>
                <w:sz w:val="20"/>
                <w:szCs w:val="20"/>
                <w:lang w:eastAsia="en-GB"/>
              </w:rPr>
              <w:t>)</w:t>
            </w:r>
            <w:r w:rsidRPr="008A7A35">
              <w:rPr>
                <w:rFonts w:ascii="Arial" w:hAnsi="Arial" w:cs="Arial"/>
                <w:b/>
                <w:bCs/>
                <w:sz w:val="20"/>
                <w:szCs w:val="20"/>
                <w:lang w:eastAsia="en-GB"/>
              </w:rPr>
              <w:t xml:space="preserve"> for the financial period</w:t>
            </w:r>
          </w:p>
        </w:tc>
        <w:tc>
          <w:tcPr>
            <w:tcW w:w="766" w:type="dxa"/>
            <w:tcBorders>
              <w:top w:val="single" w:sz="4" w:space="0" w:color="auto"/>
              <w:left w:val="nil"/>
              <w:bottom w:val="nil"/>
              <w:right w:val="nil"/>
            </w:tcBorders>
            <w:shd w:val="clear" w:color="000000" w:fill="FFFFFF"/>
            <w:noWrap/>
            <w:vAlign w:val="center"/>
            <w:hideMark/>
          </w:tcPr>
          <w:p w14:paraId="146E29B0" w14:textId="5A22D6F7" w:rsidR="002F5C32" w:rsidRPr="008A7A35" w:rsidRDefault="002F5C32" w:rsidP="002F5C32">
            <w:pPr>
              <w:jc w:val="center"/>
              <w:rPr>
                <w:rFonts w:ascii="Arial" w:hAnsi="Arial" w:cs="Arial"/>
                <w:i/>
                <w:iCs/>
                <w:sz w:val="20"/>
                <w:szCs w:val="20"/>
                <w:lang w:eastAsia="en-GB"/>
              </w:rPr>
            </w:pPr>
          </w:p>
        </w:tc>
        <w:tc>
          <w:tcPr>
            <w:tcW w:w="2590" w:type="dxa"/>
            <w:tcBorders>
              <w:top w:val="single" w:sz="4" w:space="0" w:color="auto"/>
              <w:left w:val="nil"/>
              <w:bottom w:val="nil"/>
              <w:right w:val="nil"/>
            </w:tcBorders>
            <w:shd w:val="clear" w:color="000000" w:fill="FFFFFF"/>
            <w:noWrap/>
            <w:vAlign w:val="bottom"/>
          </w:tcPr>
          <w:p w14:paraId="61420141" w14:textId="02DB5EDF" w:rsidR="002F5C32" w:rsidRPr="008A7A35" w:rsidRDefault="000573BD" w:rsidP="004910A8">
            <w:pPr>
              <w:jc w:val="right"/>
              <w:rPr>
                <w:rFonts w:ascii="Arial" w:hAnsi="Arial" w:cs="Arial"/>
                <w:b/>
                <w:bCs/>
                <w:sz w:val="20"/>
                <w:szCs w:val="20"/>
                <w:lang w:eastAsia="en-GB"/>
              </w:rPr>
            </w:pPr>
            <w:r>
              <w:rPr>
                <w:rFonts w:ascii="Arial" w:hAnsi="Arial" w:cs="Arial"/>
                <w:b/>
                <w:bCs/>
                <w:sz w:val="20"/>
                <w:szCs w:val="20"/>
              </w:rPr>
              <w:t>3,021</w:t>
            </w:r>
          </w:p>
        </w:tc>
        <w:tc>
          <w:tcPr>
            <w:tcW w:w="2139" w:type="dxa"/>
            <w:tcBorders>
              <w:top w:val="single" w:sz="4" w:space="0" w:color="auto"/>
              <w:left w:val="nil"/>
              <w:bottom w:val="nil"/>
              <w:right w:val="nil"/>
            </w:tcBorders>
            <w:shd w:val="clear" w:color="000000" w:fill="FFFFFF"/>
            <w:noWrap/>
            <w:vAlign w:val="bottom"/>
            <w:hideMark/>
          </w:tcPr>
          <w:p w14:paraId="3C36FCEB" w14:textId="1EA933B1"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(15,854)</w:t>
            </w:r>
            <w:r w:rsidRPr="00A360D0" w:rsidDel="00FA6273">
              <w:rPr>
                <w:rFonts w:ascii="Arial" w:hAnsi="Arial" w:cs="Arial"/>
                <w:sz w:val="20"/>
                <w:szCs w:val="20"/>
              </w:rPr>
              <w:t xml:space="preserve"> </w:t>
            </w:r>
          </w:p>
        </w:tc>
      </w:tr>
      <w:tr w:rsidR="002F5C32" w:rsidRPr="008A7A35" w14:paraId="2B081313" w14:textId="77777777" w:rsidTr="00391CE4">
        <w:trPr>
          <w:trHeight w:val="364"/>
        </w:trPr>
        <w:tc>
          <w:tcPr>
            <w:tcW w:w="4834" w:type="dxa"/>
            <w:tcBorders>
              <w:top w:val="single" w:sz="4" w:space="0" w:color="auto"/>
              <w:left w:val="nil"/>
              <w:bottom w:val="nil"/>
              <w:right w:val="nil"/>
            </w:tcBorders>
            <w:shd w:val="clear" w:color="000000" w:fill="FFFFFF"/>
            <w:noWrap/>
            <w:vAlign w:val="bottom"/>
            <w:hideMark/>
          </w:tcPr>
          <w:p w14:paraId="6E441768" w14:textId="77777777" w:rsidR="002F5C32" w:rsidRPr="008A7A35" w:rsidRDefault="002F5C32" w:rsidP="00391CE4">
            <w:pPr>
              <w:rPr>
                <w:rFonts w:ascii="Arial" w:hAnsi="Arial" w:cs="Arial"/>
                <w:b/>
                <w:bCs/>
                <w:sz w:val="20"/>
                <w:szCs w:val="20"/>
                <w:lang w:eastAsia="en-GB"/>
              </w:rPr>
            </w:pPr>
            <w:r w:rsidRPr="008A7A35">
              <w:rPr>
                <w:rFonts w:ascii="Arial" w:hAnsi="Arial" w:cs="Arial"/>
                <w:b/>
                <w:bCs/>
                <w:sz w:val="20"/>
                <w:szCs w:val="20"/>
                <w:lang w:eastAsia="en-GB"/>
              </w:rPr>
              <w:t>Finance income and expenses</w:t>
            </w:r>
          </w:p>
        </w:tc>
        <w:tc>
          <w:tcPr>
            <w:tcW w:w="766" w:type="dxa"/>
            <w:tcBorders>
              <w:top w:val="single" w:sz="4" w:space="0" w:color="auto"/>
              <w:left w:val="nil"/>
              <w:bottom w:val="nil"/>
              <w:right w:val="nil"/>
            </w:tcBorders>
            <w:shd w:val="clear" w:color="000000" w:fill="FFFFFF"/>
            <w:noWrap/>
            <w:vAlign w:val="center"/>
            <w:hideMark/>
          </w:tcPr>
          <w:p w14:paraId="4542D2B6" w14:textId="059DB4F0" w:rsidR="002F5C32" w:rsidRPr="008A7A35" w:rsidRDefault="002F5C32" w:rsidP="002F5C32">
            <w:pPr>
              <w:jc w:val="center"/>
              <w:rPr>
                <w:rFonts w:ascii="Arial" w:hAnsi="Arial" w:cs="Arial"/>
                <w:i/>
                <w:iCs/>
                <w:sz w:val="20"/>
                <w:szCs w:val="20"/>
                <w:lang w:eastAsia="en-GB"/>
              </w:rPr>
            </w:pPr>
          </w:p>
        </w:tc>
        <w:tc>
          <w:tcPr>
            <w:tcW w:w="2590" w:type="dxa"/>
            <w:tcBorders>
              <w:top w:val="single" w:sz="4" w:space="0" w:color="auto"/>
              <w:left w:val="nil"/>
              <w:bottom w:val="nil"/>
              <w:right w:val="nil"/>
            </w:tcBorders>
            <w:shd w:val="clear" w:color="000000" w:fill="FFFFFF"/>
            <w:noWrap/>
            <w:vAlign w:val="bottom"/>
          </w:tcPr>
          <w:p w14:paraId="2F9A798B" w14:textId="6915F6E5" w:rsidR="002F5C32" w:rsidRPr="008A7A35" w:rsidRDefault="002F5C32" w:rsidP="004910A8">
            <w:pPr>
              <w:jc w:val="right"/>
              <w:rPr>
                <w:rFonts w:ascii="Arial" w:hAnsi="Arial" w:cs="Arial"/>
                <w:b/>
                <w:bCs/>
                <w:sz w:val="20"/>
                <w:szCs w:val="20"/>
                <w:lang w:eastAsia="en-GB"/>
              </w:rPr>
            </w:pPr>
          </w:p>
        </w:tc>
        <w:tc>
          <w:tcPr>
            <w:tcW w:w="2139" w:type="dxa"/>
            <w:tcBorders>
              <w:top w:val="single" w:sz="4" w:space="0" w:color="auto"/>
              <w:left w:val="nil"/>
              <w:bottom w:val="nil"/>
              <w:right w:val="nil"/>
            </w:tcBorders>
            <w:shd w:val="clear" w:color="000000" w:fill="FFFFFF"/>
            <w:noWrap/>
            <w:vAlign w:val="bottom"/>
            <w:hideMark/>
          </w:tcPr>
          <w:p w14:paraId="543592C6" w14:textId="0AAD9B64" w:rsidR="002F5C32" w:rsidRPr="00A360D0" w:rsidRDefault="002F5C32" w:rsidP="004910A8">
            <w:pPr>
              <w:jc w:val="right"/>
              <w:rPr>
                <w:rFonts w:ascii="Arial" w:hAnsi="Arial" w:cs="Arial"/>
                <w:sz w:val="20"/>
                <w:szCs w:val="20"/>
                <w:lang w:eastAsia="en-GB"/>
              </w:rPr>
            </w:pPr>
          </w:p>
        </w:tc>
      </w:tr>
      <w:tr w:rsidR="002F5C32" w:rsidRPr="008A7A35" w14:paraId="0F03AD6E" w14:textId="77777777" w:rsidTr="00391CE4">
        <w:trPr>
          <w:trHeight w:val="364"/>
        </w:trPr>
        <w:tc>
          <w:tcPr>
            <w:tcW w:w="4834" w:type="dxa"/>
            <w:tcBorders>
              <w:top w:val="nil"/>
              <w:left w:val="nil"/>
              <w:bottom w:val="nil"/>
              <w:right w:val="nil"/>
            </w:tcBorders>
            <w:shd w:val="clear" w:color="000000" w:fill="FFFFFF"/>
            <w:noWrap/>
            <w:vAlign w:val="bottom"/>
            <w:hideMark/>
          </w:tcPr>
          <w:p w14:paraId="65E8DF8F" w14:textId="1341E468" w:rsidR="002F5C32" w:rsidRPr="008A7A35" w:rsidRDefault="002F5C32" w:rsidP="00391CE4">
            <w:pPr>
              <w:rPr>
                <w:rFonts w:ascii="Arial" w:hAnsi="Arial" w:cs="Arial"/>
                <w:sz w:val="20"/>
                <w:szCs w:val="20"/>
                <w:lang w:eastAsia="en-GB"/>
              </w:rPr>
            </w:pPr>
            <w:r w:rsidRPr="008A7A35">
              <w:rPr>
                <w:rFonts w:ascii="Arial" w:hAnsi="Arial" w:cs="Arial"/>
                <w:sz w:val="20"/>
                <w:szCs w:val="20"/>
                <w:lang w:eastAsia="en-GB"/>
              </w:rPr>
              <w:t>Foreign exchange gain</w:t>
            </w:r>
            <w:r w:rsidR="00143A96" w:rsidRPr="008A7A35">
              <w:rPr>
                <w:rFonts w:ascii="Arial" w:hAnsi="Arial" w:cs="Arial"/>
                <w:sz w:val="20"/>
                <w:szCs w:val="20"/>
                <w:lang w:eastAsia="en-GB"/>
              </w:rPr>
              <w:t>/(loss)</w:t>
            </w:r>
            <w:r w:rsidRPr="008A7A35">
              <w:rPr>
                <w:rFonts w:ascii="Arial" w:hAnsi="Arial" w:cs="Arial"/>
                <w:sz w:val="20"/>
                <w:szCs w:val="20"/>
                <w:lang w:eastAsia="en-GB"/>
              </w:rPr>
              <w:t xml:space="preserve"> </w:t>
            </w:r>
          </w:p>
        </w:tc>
        <w:tc>
          <w:tcPr>
            <w:tcW w:w="766" w:type="dxa"/>
            <w:tcBorders>
              <w:top w:val="nil"/>
              <w:left w:val="nil"/>
              <w:bottom w:val="nil"/>
              <w:right w:val="nil"/>
            </w:tcBorders>
            <w:shd w:val="clear" w:color="000000" w:fill="FFFFFF"/>
            <w:noWrap/>
            <w:vAlign w:val="center"/>
            <w:hideMark/>
          </w:tcPr>
          <w:p w14:paraId="31D55F78" w14:textId="0E3305E6" w:rsidR="002F5C32" w:rsidRPr="008A7A35" w:rsidRDefault="002F5C32" w:rsidP="002F5C32">
            <w:pPr>
              <w:jc w:val="center"/>
              <w:rPr>
                <w:rFonts w:ascii="Arial" w:hAnsi="Arial" w:cs="Arial"/>
                <w:i/>
                <w:iCs/>
                <w:sz w:val="20"/>
                <w:szCs w:val="20"/>
                <w:lang w:eastAsia="en-GB"/>
              </w:rPr>
            </w:pPr>
          </w:p>
        </w:tc>
        <w:tc>
          <w:tcPr>
            <w:tcW w:w="2590" w:type="dxa"/>
            <w:tcBorders>
              <w:top w:val="nil"/>
              <w:left w:val="nil"/>
              <w:bottom w:val="nil"/>
              <w:right w:val="nil"/>
            </w:tcBorders>
            <w:shd w:val="clear" w:color="000000" w:fill="FFFFFF"/>
            <w:noWrap/>
            <w:vAlign w:val="bottom"/>
          </w:tcPr>
          <w:p w14:paraId="61BC555C" w14:textId="076E5CB6" w:rsidR="002F5C32"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12</w:t>
            </w:r>
          </w:p>
        </w:tc>
        <w:tc>
          <w:tcPr>
            <w:tcW w:w="2139" w:type="dxa"/>
            <w:tcBorders>
              <w:top w:val="nil"/>
              <w:left w:val="nil"/>
              <w:bottom w:val="nil"/>
              <w:right w:val="nil"/>
            </w:tcBorders>
            <w:shd w:val="clear" w:color="000000" w:fill="FFFFFF"/>
            <w:noWrap/>
            <w:vAlign w:val="bottom"/>
            <w:hideMark/>
          </w:tcPr>
          <w:p w14:paraId="1123914D" w14:textId="5D5C10EE"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(36)</w:t>
            </w:r>
          </w:p>
        </w:tc>
      </w:tr>
      <w:tr w:rsidR="002F5C32" w:rsidRPr="008A7A35" w14:paraId="16E9A7EA" w14:textId="77777777" w:rsidTr="00391CE4">
        <w:trPr>
          <w:trHeight w:val="425"/>
        </w:trPr>
        <w:tc>
          <w:tcPr>
            <w:tcW w:w="4834" w:type="dxa"/>
            <w:tcBorders>
              <w:top w:val="single" w:sz="4" w:space="0" w:color="auto"/>
              <w:left w:val="nil"/>
              <w:bottom w:val="single" w:sz="4" w:space="0" w:color="auto"/>
              <w:right w:val="nil"/>
            </w:tcBorders>
            <w:shd w:val="clear" w:color="000000" w:fill="FFFFFF"/>
            <w:noWrap/>
            <w:vAlign w:val="bottom"/>
            <w:hideMark/>
          </w:tcPr>
          <w:p w14:paraId="7435D574" w14:textId="77777777" w:rsidR="002F5C32" w:rsidRPr="008A7A35" w:rsidRDefault="002F5C32" w:rsidP="00391CE4">
            <w:pPr>
              <w:rPr>
                <w:rFonts w:ascii="Arial" w:hAnsi="Arial" w:cs="Arial"/>
                <w:b/>
                <w:bCs/>
                <w:sz w:val="20"/>
                <w:szCs w:val="20"/>
                <w:lang w:eastAsia="en-GB"/>
              </w:rPr>
            </w:pPr>
            <w:r w:rsidRPr="008A7A35">
              <w:rPr>
                <w:rFonts w:ascii="Arial" w:hAnsi="Arial" w:cs="Arial"/>
                <w:b/>
                <w:bCs/>
                <w:sz w:val="20"/>
                <w:szCs w:val="20"/>
                <w:lang w:eastAsia="en-GB"/>
              </w:rPr>
              <w:t>Total finance income and expenses</w:t>
            </w:r>
          </w:p>
        </w:tc>
        <w:tc>
          <w:tcPr>
            <w:tcW w:w="766" w:type="dxa"/>
            <w:tcBorders>
              <w:top w:val="single" w:sz="4" w:space="0" w:color="auto"/>
              <w:left w:val="nil"/>
              <w:bottom w:val="single" w:sz="4" w:space="0" w:color="auto"/>
              <w:right w:val="nil"/>
            </w:tcBorders>
            <w:shd w:val="clear" w:color="000000" w:fill="FFFFFF"/>
            <w:noWrap/>
            <w:vAlign w:val="center"/>
            <w:hideMark/>
          </w:tcPr>
          <w:p w14:paraId="504AAC30" w14:textId="5676108F" w:rsidR="002F5C32" w:rsidRPr="008A7A35" w:rsidRDefault="002F5C32" w:rsidP="002F5C32">
            <w:pPr>
              <w:jc w:val="center"/>
              <w:rPr>
                <w:rFonts w:ascii="Arial" w:hAnsi="Arial" w:cs="Arial"/>
                <w:i/>
                <w:iCs/>
                <w:sz w:val="20"/>
                <w:szCs w:val="20"/>
                <w:lang w:eastAsia="en-GB"/>
              </w:rPr>
            </w:pPr>
          </w:p>
        </w:tc>
        <w:tc>
          <w:tcPr>
            <w:tcW w:w="2590" w:type="dxa"/>
            <w:tcBorders>
              <w:top w:val="single" w:sz="4" w:space="0" w:color="auto"/>
              <w:left w:val="nil"/>
              <w:bottom w:val="single" w:sz="4" w:space="0" w:color="auto"/>
              <w:right w:val="nil"/>
            </w:tcBorders>
            <w:shd w:val="clear" w:color="000000" w:fill="FFFFFF"/>
            <w:noWrap/>
            <w:vAlign w:val="bottom"/>
          </w:tcPr>
          <w:p w14:paraId="5BBCA0C0" w14:textId="65E16EB3" w:rsidR="002F5C32"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12</w:t>
            </w:r>
          </w:p>
        </w:tc>
        <w:tc>
          <w:tcPr>
            <w:tcW w:w="2139" w:type="dxa"/>
            <w:tcBorders>
              <w:top w:val="single" w:sz="4" w:space="0" w:color="auto"/>
              <w:left w:val="nil"/>
              <w:bottom w:val="single" w:sz="4" w:space="0" w:color="auto"/>
              <w:right w:val="nil"/>
            </w:tcBorders>
            <w:shd w:val="clear" w:color="000000" w:fill="FFFFFF"/>
            <w:noWrap/>
            <w:vAlign w:val="bottom"/>
            <w:hideMark/>
          </w:tcPr>
          <w:p w14:paraId="6E6FD47E" w14:textId="5F9913AA"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(36)</w:t>
            </w:r>
          </w:p>
        </w:tc>
      </w:tr>
      <w:tr w:rsidR="002F5C32" w:rsidRPr="008A7A35" w14:paraId="035E6023" w14:textId="77777777" w:rsidTr="00391CE4">
        <w:trPr>
          <w:trHeight w:val="425"/>
        </w:trPr>
        <w:tc>
          <w:tcPr>
            <w:tcW w:w="4834" w:type="dxa"/>
            <w:tcBorders>
              <w:top w:val="nil"/>
              <w:left w:val="nil"/>
              <w:bottom w:val="nil"/>
            </w:tcBorders>
            <w:shd w:val="clear" w:color="000000" w:fill="FFFFFF"/>
            <w:noWrap/>
            <w:vAlign w:val="bottom"/>
            <w:hideMark/>
          </w:tcPr>
          <w:p w14:paraId="1F6ADD01" w14:textId="0E9451E7" w:rsidR="002F5C32" w:rsidRPr="008A7A35" w:rsidRDefault="00143A96" w:rsidP="00391CE4">
            <w:pPr>
              <w:rPr>
                <w:rFonts w:ascii="Arial" w:hAnsi="Arial" w:cs="Arial"/>
                <w:b/>
                <w:bCs/>
                <w:sz w:val="18"/>
                <w:szCs w:val="18"/>
                <w:lang w:eastAsia="en-GB"/>
              </w:rPr>
            </w:pPr>
            <w:r w:rsidRPr="008A7A35">
              <w:rPr>
                <w:rFonts w:ascii="Arial" w:hAnsi="Arial" w:cs="Arial"/>
                <w:b/>
                <w:bCs/>
                <w:sz w:val="20"/>
                <w:szCs w:val="20"/>
                <w:lang w:eastAsia="en-GB"/>
              </w:rPr>
              <w:t>Profit/(l</w:t>
            </w:r>
            <w:r w:rsidR="002F5C32" w:rsidRPr="008A7A35">
              <w:rPr>
                <w:rFonts w:ascii="Arial" w:hAnsi="Arial" w:cs="Arial"/>
                <w:b/>
                <w:bCs/>
                <w:sz w:val="20"/>
                <w:szCs w:val="20"/>
                <w:lang w:eastAsia="en-GB"/>
              </w:rPr>
              <w:t>oss</w:t>
            </w:r>
            <w:r w:rsidRPr="008A7A35">
              <w:rPr>
                <w:rFonts w:ascii="Arial" w:hAnsi="Arial" w:cs="Arial"/>
                <w:b/>
                <w:bCs/>
                <w:sz w:val="20"/>
                <w:szCs w:val="20"/>
                <w:lang w:eastAsia="en-GB"/>
              </w:rPr>
              <w:t>)</w:t>
            </w:r>
            <w:r w:rsidR="002F5C32" w:rsidRPr="008A7A35">
              <w:rPr>
                <w:rFonts w:ascii="Arial" w:hAnsi="Arial" w:cs="Arial"/>
                <w:b/>
                <w:bCs/>
                <w:sz w:val="20"/>
                <w:szCs w:val="20"/>
                <w:lang w:eastAsia="en-GB"/>
              </w:rPr>
              <w:t xml:space="preserve"> for the </w:t>
            </w:r>
            <w:proofErr w:type="gramStart"/>
            <w:r w:rsidR="002F5C32" w:rsidRPr="008A7A35">
              <w:rPr>
                <w:rFonts w:ascii="Arial" w:hAnsi="Arial" w:cs="Arial"/>
                <w:b/>
                <w:bCs/>
                <w:sz w:val="20"/>
                <w:szCs w:val="20"/>
                <w:lang w:eastAsia="en-GB"/>
              </w:rPr>
              <w:t>period</w:t>
            </w:r>
            <w:r w:rsidR="002F5C32" w:rsidRPr="008A7A35">
              <w:rPr>
                <w:rFonts w:ascii="Arial" w:hAnsi="Arial" w:cs="Arial"/>
                <w:sz w:val="20"/>
                <w:szCs w:val="20"/>
                <w:vertAlign w:val="superscript"/>
                <w:lang w:eastAsia="en-GB"/>
              </w:rPr>
              <w:t>(</w:t>
            </w:r>
            <w:proofErr w:type="gramEnd"/>
            <w:r w:rsidR="002F5C32" w:rsidRPr="008A7A35">
              <w:rPr>
                <w:rFonts w:ascii="Arial" w:hAnsi="Arial" w:cs="Arial"/>
                <w:sz w:val="20"/>
                <w:szCs w:val="20"/>
                <w:vertAlign w:val="superscript"/>
                <w:lang w:eastAsia="en-GB"/>
              </w:rPr>
              <w:t>1)</w:t>
            </w:r>
          </w:p>
        </w:tc>
        <w:tc>
          <w:tcPr>
            <w:tcW w:w="766" w:type="dxa"/>
            <w:tcBorders>
              <w:top w:val="nil"/>
              <w:left w:val="nil"/>
              <w:bottom w:val="nil"/>
              <w:right w:val="nil"/>
            </w:tcBorders>
            <w:shd w:val="clear" w:color="000000" w:fill="FFFFFF"/>
            <w:noWrap/>
            <w:vAlign w:val="center"/>
            <w:hideMark/>
          </w:tcPr>
          <w:p w14:paraId="61AD39FD" w14:textId="0A662D25" w:rsidR="002F5C32" w:rsidRPr="008A7A35" w:rsidRDefault="002F5C32" w:rsidP="002F5C32">
            <w:pPr>
              <w:jc w:val="center"/>
              <w:rPr>
                <w:rFonts w:ascii="Arial" w:hAnsi="Arial" w:cs="Arial"/>
                <w:i/>
                <w:iCs/>
                <w:sz w:val="20"/>
                <w:szCs w:val="20"/>
                <w:lang w:eastAsia="en-GB"/>
              </w:rPr>
            </w:pPr>
          </w:p>
        </w:tc>
        <w:tc>
          <w:tcPr>
            <w:tcW w:w="2590" w:type="dxa"/>
            <w:tcBorders>
              <w:top w:val="nil"/>
              <w:left w:val="nil"/>
              <w:bottom w:val="nil"/>
              <w:right w:val="nil"/>
            </w:tcBorders>
            <w:shd w:val="clear" w:color="000000" w:fill="FFFFFF"/>
            <w:noWrap/>
            <w:vAlign w:val="bottom"/>
          </w:tcPr>
          <w:p w14:paraId="4D969BD1" w14:textId="34D3434A" w:rsidR="002F5C32" w:rsidRPr="008A7A35" w:rsidRDefault="000573BD" w:rsidP="004910A8">
            <w:pPr>
              <w:jc w:val="right"/>
              <w:rPr>
                <w:rFonts w:ascii="Arial" w:hAnsi="Arial" w:cs="Arial"/>
                <w:b/>
                <w:bCs/>
                <w:sz w:val="20"/>
                <w:szCs w:val="20"/>
                <w:lang w:eastAsia="en-GB"/>
              </w:rPr>
            </w:pPr>
            <w:r>
              <w:rPr>
                <w:rFonts w:ascii="Arial" w:hAnsi="Arial" w:cs="Arial"/>
                <w:b/>
                <w:bCs/>
                <w:sz w:val="20"/>
                <w:szCs w:val="20"/>
              </w:rPr>
              <w:t>3,033</w:t>
            </w:r>
          </w:p>
        </w:tc>
        <w:tc>
          <w:tcPr>
            <w:tcW w:w="2139" w:type="dxa"/>
            <w:tcBorders>
              <w:top w:val="nil"/>
              <w:left w:val="nil"/>
              <w:bottom w:val="nil"/>
              <w:right w:val="nil"/>
            </w:tcBorders>
            <w:shd w:val="clear" w:color="000000" w:fill="FFFFFF"/>
            <w:noWrap/>
            <w:vAlign w:val="bottom"/>
            <w:hideMark/>
          </w:tcPr>
          <w:p w14:paraId="25E472E6" w14:textId="66AA57A6"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(15,890)</w:t>
            </w:r>
          </w:p>
        </w:tc>
      </w:tr>
      <w:tr w:rsidR="002F5C32" w:rsidRPr="008A7A35" w14:paraId="2C6133D6" w14:textId="77777777" w:rsidTr="00391CE4">
        <w:trPr>
          <w:trHeight w:val="425"/>
        </w:trPr>
        <w:tc>
          <w:tcPr>
            <w:tcW w:w="4834" w:type="dxa"/>
            <w:tcBorders>
              <w:top w:val="single" w:sz="4" w:space="0" w:color="auto"/>
              <w:left w:val="nil"/>
              <w:bottom w:val="single" w:sz="8" w:space="0" w:color="auto"/>
            </w:tcBorders>
            <w:shd w:val="clear" w:color="000000" w:fill="FFFFFF"/>
            <w:noWrap/>
            <w:vAlign w:val="bottom"/>
          </w:tcPr>
          <w:p w14:paraId="71F6CEFB" w14:textId="71A21D21" w:rsidR="002F5C32" w:rsidRPr="008A7A35" w:rsidRDefault="002F5C32" w:rsidP="00391CE4">
            <w:pPr>
              <w:rPr>
                <w:rFonts w:ascii="Arial" w:hAnsi="Arial" w:cs="Arial"/>
                <w:i/>
                <w:iCs/>
                <w:sz w:val="20"/>
                <w:szCs w:val="20"/>
                <w:lang w:eastAsia="en-GB"/>
              </w:rPr>
            </w:pPr>
            <w:r w:rsidRPr="008A7A35">
              <w:rPr>
                <w:rFonts w:ascii="Arial" w:hAnsi="Arial" w:cs="Arial"/>
                <w:b/>
                <w:bCs/>
                <w:sz w:val="20"/>
                <w:szCs w:val="20"/>
                <w:lang w:eastAsia="en-GB"/>
              </w:rPr>
              <w:t xml:space="preserve">Basic and Diluted </w:t>
            </w:r>
            <w:r w:rsidR="00143A96" w:rsidRPr="008A7A35">
              <w:rPr>
                <w:rFonts w:ascii="Arial" w:hAnsi="Arial" w:cs="Arial"/>
                <w:b/>
                <w:bCs/>
                <w:sz w:val="20"/>
                <w:szCs w:val="20"/>
                <w:lang w:eastAsia="en-GB"/>
              </w:rPr>
              <w:t>Earnings/(</w:t>
            </w:r>
            <w:r w:rsidRPr="008A7A35">
              <w:rPr>
                <w:rFonts w:ascii="Arial" w:hAnsi="Arial" w:cs="Arial"/>
                <w:b/>
                <w:bCs/>
                <w:sz w:val="20"/>
                <w:szCs w:val="20"/>
                <w:lang w:eastAsia="en-GB"/>
              </w:rPr>
              <w:t>Loss</w:t>
            </w:r>
            <w:r w:rsidR="00143A96" w:rsidRPr="008A7A35">
              <w:rPr>
                <w:rFonts w:ascii="Arial" w:hAnsi="Arial" w:cs="Arial"/>
                <w:b/>
                <w:bCs/>
                <w:sz w:val="20"/>
                <w:szCs w:val="20"/>
                <w:lang w:eastAsia="en-GB"/>
              </w:rPr>
              <w:t>)</w:t>
            </w:r>
            <w:r w:rsidRPr="008A7A35">
              <w:rPr>
                <w:rFonts w:ascii="Arial" w:hAnsi="Arial" w:cs="Arial"/>
                <w:b/>
                <w:bCs/>
                <w:sz w:val="20"/>
                <w:szCs w:val="20"/>
                <w:lang w:eastAsia="en-GB"/>
              </w:rPr>
              <w:t xml:space="preserve"> per Share (cents)</w:t>
            </w:r>
          </w:p>
        </w:tc>
        <w:tc>
          <w:tcPr>
            <w:tcW w:w="766" w:type="dxa"/>
            <w:tcBorders>
              <w:top w:val="single" w:sz="4" w:space="0" w:color="auto"/>
              <w:left w:val="nil"/>
              <w:bottom w:val="single" w:sz="8" w:space="0" w:color="auto"/>
              <w:right w:val="nil"/>
            </w:tcBorders>
            <w:shd w:val="clear" w:color="000000" w:fill="FFFFFF"/>
            <w:vAlign w:val="center"/>
          </w:tcPr>
          <w:p w14:paraId="15A0C204" w14:textId="15EBCF43" w:rsidR="002F5C32" w:rsidRPr="008A7A35" w:rsidRDefault="002F5C32" w:rsidP="002F5C32">
            <w:pPr>
              <w:jc w:val="center"/>
              <w:rPr>
                <w:rFonts w:ascii="Arial" w:hAnsi="Arial" w:cs="Arial"/>
                <w:i/>
                <w:iCs/>
                <w:sz w:val="20"/>
                <w:szCs w:val="20"/>
                <w:lang w:eastAsia="en-GB"/>
              </w:rPr>
            </w:pPr>
            <w:r w:rsidRPr="008A7A35">
              <w:rPr>
                <w:rFonts w:ascii="Arial" w:hAnsi="Arial" w:cs="Arial"/>
                <w:i/>
                <w:iCs/>
                <w:sz w:val="20"/>
                <w:szCs w:val="20"/>
                <w:lang w:eastAsia="en-GB"/>
              </w:rPr>
              <w:t xml:space="preserve"> 9</w:t>
            </w:r>
          </w:p>
        </w:tc>
        <w:tc>
          <w:tcPr>
            <w:tcW w:w="2590" w:type="dxa"/>
            <w:tcBorders>
              <w:top w:val="single" w:sz="4" w:space="0" w:color="auto"/>
              <w:left w:val="nil"/>
              <w:bottom w:val="single" w:sz="8" w:space="0" w:color="auto"/>
              <w:right w:val="nil"/>
            </w:tcBorders>
            <w:shd w:val="clear" w:color="000000" w:fill="FFFFFF"/>
            <w:noWrap/>
            <w:vAlign w:val="bottom"/>
          </w:tcPr>
          <w:p w14:paraId="246F586A" w14:textId="27C94328" w:rsidR="002F5C32" w:rsidRPr="008A7A35" w:rsidRDefault="001B7C78" w:rsidP="004910A8">
            <w:pPr>
              <w:jc w:val="right"/>
              <w:rPr>
                <w:rFonts w:ascii="Arial" w:hAnsi="Arial" w:cs="Arial"/>
                <w:b/>
                <w:bCs/>
                <w:sz w:val="20"/>
                <w:szCs w:val="20"/>
              </w:rPr>
            </w:pPr>
            <w:r>
              <w:rPr>
                <w:rFonts w:ascii="Arial" w:hAnsi="Arial" w:cs="Arial"/>
                <w:b/>
                <w:bCs/>
                <w:sz w:val="20"/>
                <w:szCs w:val="20"/>
              </w:rPr>
              <w:t>12.16</w:t>
            </w:r>
          </w:p>
        </w:tc>
        <w:tc>
          <w:tcPr>
            <w:tcW w:w="2139" w:type="dxa"/>
            <w:tcBorders>
              <w:top w:val="single" w:sz="4" w:space="0" w:color="auto"/>
              <w:left w:val="nil"/>
              <w:bottom w:val="single" w:sz="8" w:space="0" w:color="auto"/>
              <w:right w:val="nil"/>
            </w:tcBorders>
            <w:shd w:val="clear" w:color="000000" w:fill="FFFFFF"/>
            <w:noWrap/>
            <w:vAlign w:val="bottom"/>
          </w:tcPr>
          <w:p w14:paraId="5E9F9D44" w14:textId="6B9B8139" w:rsidR="002F5C32" w:rsidRPr="00A360D0" w:rsidRDefault="002F5C32" w:rsidP="004910A8">
            <w:pPr>
              <w:jc w:val="right"/>
              <w:rPr>
                <w:rFonts w:ascii="Arial" w:hAnsi="Arial" w:cs="Arial"/>
                <w:sz w:val="20"/>
                <w:szCs w:val="20"/>
                <w:lang w:eastAsia="en-GB"/>
              </w:rPr>
            </w:pPr>
            <w:r w:rsidRPr="00A360D0">
              <w:rPr>
                <w:rFonts w:ascii="Arial" w:hAnsi="Arial" w:cs="Arial"/>
                <w:sz w:val="20"/>
                <w:szCs w:val="20"/>
              </w:rPr>
              <w:t>(46.22)</w:t>
            </w:r>
          </w:p>
        </w:tc>
      </w:tr>
    </w:tbl>
    <w:p w14:paraId="63A5EBDB" w14:textId="31443F99" w:rsidR="00D43C5F" w:rsidRPr="008A7A35" w:rsidRDefault="00D43C5F" w:rsidP="002512F0">
      <w:pPr>
        <w:jc w:val="center"/>
        <w:rPr>
          <w:rFonts w:ascii="Arial" w:hAnsi="Arial" w:cs="Arial"/>
          <w:sz w:val="20"/>
          <w:szCs w:val="20"/>
        </w:rPr>
      </w:pPr>
    </w:p>
    <w:p w14:paraId="3F745034" w14:textId="7D7E1B15" w:rsidR="008778DB" w:rsidRPr="008A7A35" w:rsidRDefault="008778DB" w:rsidP="00BB03B1">
      <w:pPr>
        <w:tabs>
          <w:tab w:val="left" w:pos="6903"/>
        </w:tabs>
        <w:rPr>
          <w:rFonts w:ascii="Arial" w:hAnsi="Arial" w:cs="Arial"/>
          <w:sz w:val="16"/>
          <w:szCs w:val="16"/>
        </w:rPr>
      </w:pPr>
      <w:r w:rsidRPr="008A7A35">
        <w:rPr>
          <w:rFonts w:ascii="Arial" w:hAnsi="Arial" w:cs="Arial"/>
          <w:sz w:val="20"/>
          <w:szCs w:val="20"/>
          <w:vertAlign w:val="superscript"/>
          <w:lang w:eastAsia="en-GB"/>
        </w:rPr>
        <w:t>(1</w:t>
      </w:r>
      <w:r w:rsidRPr="008A7A35">
        <w:rPr>
          <w:rFonts w:ascii="Arial" w:hAnsi="Arial" w:cs="Arial"/>
          <w:color w:val="000000" w:themeColor="text1"/>
          <w:sz w:val="20"/>
          <w:szCs w:val="20"/>
          <w:vertAlign w:val="superscript"/>
          <w:lang w:eastAsia="en-GB"/>
        </w:rPr>
        <w:t xml:space="preserve">) </w:t>
      </w:r>
      <w:r w:rsidRPr="008A7A35">
        <w:rPr>
          <w:rFonts w:ascii="Arial" w:hAnsi="Arial" w:cs="Arial"/>
          <w:color w:val="000000" w:themeColor="text1"/>
          <w:sz w:val="20"/>
          <w:szCs w:val="20"/>
        </w:rPr>
        <w:t xml:space="preserve"> </w:t>
      </w:r>
      <w:r w:rsidRPr="008A7A35">
        <w:rPr>
          <w:rFonts w:ascii="Arial" w:hAnsi="Arial" w:cs="Arial"/>
          <w:sz w:val="16"/>
          <w:szCs w:val="16"/>
        </w:rPr>
        <w:t xml:space="preserve">A separate statement of other comprehensive income is not required as the </w:t>
      </w:r>
      <w:r w:rsidR="00F304F5" w:rsidRPr="008A7A35">
        <w:rPr>
          <w:rFonts w:ascii="Arial" w:hAnsi="Arial" w:cs="Arial"/>
          <w:sz w:val="16"/>
          <w:szCs w:val="16"/>
        </w:rPr>
        <w:t>C</w:t>
      </w:r>
      <w:r w:rsidRPr="008A7A35">
        <w:rPr>
          <w:rFonts w:ascii="Arial" w:hAnsi="Arial" w:cs="Arial"/>
          <w:sz w:val="16"/>
          <w:szCs w:val="16"/>
        </w:rPr>
        <w:t>ompany has no such income.</w:t>
      </w:r>
    </w:p>
    <w:p w14:paraId="18A965B1" w14:textId="77777777" w:rsidR="00E41A2E" w:rsidRPr="008A7A35" w:rsidRDefault="00E41A2E">
      <w:pPr>
        <w:rPr>
          <w:rFonts w:ascii="Arial" w:hAnsi="Arial" w:cs="Arial"/>
          <w:sz w:val="20"/>
          <w:szCs w:val="20"/>
        </w:rPr>
      </w:pPr>
    </w:p>
    <w:p w14:paraId="737C7B17" w14:textId="77777777" w:rsidR="00AA1294" w:rsidRPr="008A7A35" w:rsidRDefault="00AA1294">
      <w:pPr>
        <w:rPr>
          <w:rFonts w:ascii="Arial" w:hAnsi="Arial" w:cs="Arial"/>
          <w:sz w:val="20"/>
          <w:szCs w:val="20"/>
        </w:rPr>
      </w:pPr>
    </w:p>
    <w:p w14:paraId="0AF33C07" w14:textId="7842E5F9" w:rsidR="00905BED" w:rsidRPr="008A7A35" w:rsidRDefault="00E41A2E" w:rsidP="00712872">
      <w:pPr>
        <w:jc w:val="both"/>
        <w:rPr>
          <w:rFonts w:ascii="Arial" w:hAnsi="Arial" w:cs="Arial"/>
          <w:sz w:val="20"/>
          <w:szCs w:val="20"/>
        </w:rPr>
      </w:pPr>
      <w:r w:rsidRPr="008A7A35">
        <w:rPr>
          <w:rFonts w:ascii="Arial" w:hAnsi="Arial" w:cs="Arial"/>
          <w:sz w:val="20"/>
          <w:szCs w:val="20"/>
        </w:rPr>
        <w:t>The accompanying notes form an integral part of these</w:t>
      </w:r>
      <w:r w:rsidR="000452F7" w:rsidRPr="008A7A35">
        <w:rPr>
          <w:rFonts w:ascii="Arial" w:hAnsi="Arial" w:cs="Arial"/>
          <w:sz w:val="20"/>
          <w:szCs w:val="20"/>
        </w:rPr>
        <w:t xml:space="preserve"> unaudited</w:t>
      </w:r>
      <w:r w:rsidRPr="008A7A35">
        <w:rPr>
          <w:rFonts w:ascii="Arial" w:hAnsi="Arial" w:cs="Arial"/>
          <w:sz w:val="20"/>
          <w:szCs w:val="20"/>
        </w:rPr>
        <w:t xml:space="preserve"> interim condensed financial statements</w:t>
      </w:r>
      <w:r w:rsidR="000128C8" w:rsidRPr="008A7A35">
        <w:rPr>
          <w:rFonts w:ascii="Arial" w:hAnsi="Arial" w:cs="Arial"/>
          <w:sz w:val="20"/>
          <w:szCs w:val="20"/>
        </w:rPr>
        <w:t>.</w:t>
      </w:r>
    </w:p>
    <w:p w14:paraId="26E42112" w14:textId="77777777" w:rsidR="00356E49" w:rsidRPr="008A7A35" w:rsidRDefault="00356E49" w:rsidP="00712872">
      <w:pPr>
        <w:jc w:val="both"/>
        <w:rPr>
          <w:rFonts w:ascii="Arial" w:hAnsi="Arial" w:cs="Arial"/>
          <w:sz w:val="20"/>
          <w:szCs w:val="20"/>
        </w:rPr>
      </w:pPr>
    </w:p>
    <w:p w14:paraId="4DC5E3BA" w14:textId="23877CE3" w:rsidR="00C50222" w:rsidRPr="008A7A35" w:rsidRDefault="00E41A2E">
      <w:pPr>
        <w:rPr>
          <w:rFonts w:ascii="Arial" w:hAnsi="Arial" w:cs="Arial"/>
          <w:sz w:val="20"/>
          <w:szCs w:val="20"/>
        </w:rPr>
      </w:pPr>
      <w:r w:rsidRPr="008A7A35">
        <w:rPr>
          <w:rFonts w:ascii="Arial" w:hAnsi="Arial" w:cs="Arial"/>
          <w:b/>
          <w:caps/>
          <w:sz w:val="30"/>
          <w:szCs w:val="30"/>
        </w:rPr>
        <w:t>Condensed Statement of Changes in Equity</w:t>
      </w:r>
    </w:p>
    <w:p w14:paraId="5DA2B95A" w14:textId="29C0E1D9" w:rsidR="00E41A2E" w:rsidRPr="008A7A35" w:rsidRDefault="00E41A2E">
      <w:pPr>
        <w:rPr>
          <w:rFonts w:ascii="Arial" w:hAnsi="Arial" w:cs="Arial"/>
          <w:sz w:val="20"/>
          <w:szCs w:val="20"/>
        </w:rPr>
      </w:pPr>
      <w:r w:rsidRPr="008A7A35">
        <w:rPr>
          <w:rFonts w:ascii="Arial" w:hAnsi="Arial" w:cs="Arial"/>
          <w:sz w:val="20"/>
          <w:szCs w:val="20"/>
        </w:rPr>
        <w:t xml:space="preserve">For </w:t>
      </w:r>
      <w:r w:rsidR="00C75564" w:rsidRPr="008A7A35">
        <w:rPr>
          <w:rFonts w:ascii="Arial" w:hAnsi="Arial" w:cs="Arial"/>
          <w:sz w:val="20"/>
          <w:szCs w:val="20"/>
        </w:rPr>
        <w:t>the six months ended 30 June 202</w:t>
      </w:r>
      <w:r w:rsidR="004910A8" w:rsidRPr="008A7A35">
        <w:rPr>
          <w:rFonts w:ascii="Arial" w:hAnsi="Arial" w:cs="Arial"/>
          <w:sz w:val="20"/>
          <w:szCs w:val="20"/>
        </w:rPr>
        <w:t>5</w:t>
      </w:r>
      <w:r w:rsidR="00BC4F38" w:rsidRPr="008A7A35">
        <w:rPr>
          <w:rFonts w:ascii="Arial" w:hAnsi="Arial" w:cs="Arial"/>
          <w:sz w:val="20"/>
          <w:szCs w:val="20"/>
        </w:rPr>
        <w:t xml:space="preserve"> (Unaudited)</w:t>
      </w:r>
    </w:p>
    <w:p w14:paraId="25403AD3" w14:textId="77777777" w:rsidR="00D81BA7" w:rsidRPr="008A7A35" w:rsidRDefault="00D81BA7">
      <w:pPr>
        <w:rPr>
          <w:rFonts w:ascii="Arial" w:hAnsi="Arial" w:cs="Arial"/>
          <w:sz w:val="20"/>
          <w:szCs w:val="20"/>
        </w:rPr>
      </w:pPr>
    </w:p>
    <w:tbl>
      <w:tblPr>
        <w:tblW w:w="0" w:type="auto"/>
        <w:tblLook w:val="04A0" w:firstRow="1" w:lastRow="0" w:firstColumn="1" w:lastColumn="0" w:noHBand="0" w:noVBand="1"/>
      </w:tblPr>
      <w:tblGrid>
        <w:gridCol w:w="3865"/>
        <w:gridCol w:w="1979"/>
        <w:gridCol w:w="2147"/>
        <w:gridCol w:w="1790"/>
      </w:tblGrid>
      <w:tr w:rsidR="00985671" w:rsidRPr="008A7A35" w14:paraId="56847E83" w14:textId="77777777" w:rsidTr="00FA6273">
        <w:trPr>
          <w:trHeight w:val="315"/>
        </w:trPr>
        <w:tc>
          <w:tcPr>
            <w:tcW w:w="3865" w:type="dxa"/>
            <w:tcBorders>
              <w:top w:val="nil"/>
              <w:left w:val="nil"/>
              <w:bottom w:val="nil"/>
              <w:right w:val="nil"/>
            </w:tcBorders>
            <w:shd w:val="clear" w:color="000000" w:fill="FFFFFF"/>
            <w:noWrap/>
            <w:hideMark/>
          </w:tcPr>
          <w:p w14:paraId="13EAA834" w14:textId="77777777" w:rsidR="00805BE1" w:rsidRPr="008A7A35" w:rsidRDefault="00805BE1" w:rsidP="002E692B">
            <w:pPr>
              <w:rPr>
                <w:rFonts w:ascii="Arial" w:hAnsi="Arial" w:cs="Arial"/>
                <w:b/>
                <w:bCs/>
                <w:sz w:val="20"/>
                <w:szCs w:val="20"/>
                <w:lang w:eastAsia="en-GB"/>
              </w:rPr>
            </w:pPr>
            <w:r w:rsidRPr="008A7A35">
              <w:rPr>
                <w:rFonts w:ascii="Arial" w:hAnsi="Arial" w:cs="Arial"/>
                <w:b/>
                <w:bCs/>
                <w:sz w:val="20"/>
                <w:szCs w:val="20"/>
                <w:lang w:eastAsia="en-GB"/>
              </w:rPr>
              <w:t> </w:t>
            </w:r>
          </w:p>
        </w:tc>
        <w:tc>
          <w:tcPr>
            <w:tcW w:w="1979" w:type="dxa"/>
            <w:tcBorders>
              <w:top w:val="nil"/>
              <w:left w:val="nil"/>
              <w:bottom w:val="nil"/>
              <w:right w:val="nil"/>
            </w:tcBorders>
            <w:shd w:val="clear" w:color="000000" w:fill="FFFFFF"/>
            <w:noWrap/>
            <w:vAlign w:val="bottom"/>
            <w:hideMark/>
          </w:tcPr>
          <w:p w14:paraId="2C439355"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Share</w:t>
            </w:r>
          </w:p>
        </w:tc>
        <w:tc>
          <w:tcPr>
            <w:tcW w:w="2147" w:type="dxa"/>
            <w:tcBorders>
              <w:top w:val="nil"/>
              <w:left w:val="nil"/>
              <w:bottom w:val="nil"/>
              <w:right w:val="nil"/>
            </w:tcBorders>
            <w:shd w:val="clear" w:color="000000" w:fill="FFFFFF"/>
            <w:noWrap/>
            <w:vAlign w:val="bottom"/>
            <w:hideMark/>
          </w:tcPr>
          <w:p w14:paraId="3777DF73"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 xml:space="preserve">Retained </w:t>
            </w:r>
          </w:p>
        </w:tc>
        <w:tc>
          <w:tcPr>
            <w:tcW w:w="1790" w:type="dxa"/>
            <w:tcBorders>
              <w:top w:val="nil"/>
              <w:left w:val="nil"/>
              <w:bottom w:val="nil"/>
              <w:right w:val="nil"/>
            </w:tcBorders>
            <w:shd w:val="clear" w:color="000000" w:fill="FFFFFF"/>
            <w:noWrap/>
            <w:vAlign w:val="bottom"/>
            <w:hideMark/>
          </w:tcPr>
          <w:p w14:paraId="0CC401C4"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Total</w:t>
            </w:r>
          </w:p>
        </w:tc>
      </w:tr>
      <w:tr w:rsidR="00985671" w:rsidRPr="008A7A35" w14:paraId="4D56E091" w14:textId="77777777" w:rsidTr="00FA6273">
        <w:trPr>
          <w:trHeight w:val="326"/>
        </w:trPr>
        <w:tc>
          <w:tcPr>
            <w:tcW w:w="3865" w:type="dxa"/>
            <w:tcBorders>
              <w:top w:val="nil"/>
              <w:left w:val="nil"/>
              <w:bottom w:val="nil"/>
              <w:right w:val="nil"/>
            </w:tcBorders>
            <w:shd w:val="clear" w:color="000000" w:fill="FFFFFF"/>
            <w:noWrap/>
            <w:hideMark/>
          </w:tcPr>
          <w:p w14:paraId="33F65E47" w14:textId="77777777" w:rsidR="00805BE1" w:rsidRPr="008A7A35" w:rsidRDefault="00805BE1" w:rsidP="002E692B">
            <w:pPr>
              <w:rPr>
                <w:rFonts w:ascii="Arial" w:hAnsi="Arial" w:cs="Arial"/>
                <w:b/>
                <w:bCs/>
                <w:sz w:val="20"/>
                <w:szCs w:val="20"/>
                <w:lang w:eastAsia="en-GB"/>
              </w:rPr>
            </w:pPr>
            <w:r w:rsidRPr="008A7A35">
              <w:rPr>
                <w:rFonts w:ascii="Arial" w:hAnsi="Arial" w:cs="Arial"/>
                <w:b/>
                <w:bCs/>
                <w:sz w:val="20"/>
                <w:szCs w:val="20"/>
                <w:lang w:eastAsia="en-GB"/>
              </w:rPr>
              <w:t> </w:t>
            </w:r>
          </w:p>
        </w:tc>
        <w:tc>
          <w:tcPr>
            <w:tcW w:w="1979" w:type="dxa"/>
            <w:tcBorders>
              <w:top w:val="nil"/>
              <w:left w:val="nil"/>
              <w:bottom w:val="nil"/>
              <w:right w:val="nil"/>
            </w:tcBorders>
            <w:shd w:val="clear" w:color="000000" w:fill="FFFFFF"/>
            <w:noWrap/>
            <w:vAlign w:val="center"/>
            <w:hideMark/>
          </w:tcPr>
          <w:p w14:paraId="0D8B98D9"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capital</w:t>
            </w:r>
          </w:p>
        </w:tc>
        <w:tc>
          <w:tcPr>
            <w:tcW w:w="2147" w:type="dxa"/>
            <w:tcBorders>
              <w:top w:val="nil"/>
              <w:left w:val="nil"/>
              <w:bottom w:val="nil"/>
              <w:right w:val="nil"/>
            </w:tcBorders>
            <w:shd w:val="clear" w:color="000000" w:fill="FFFFFF"/>
            <w:vAlign w:val="center"/>
            <w:hideMark/>
          </w:tcPr>
          <w:p w14:paraId="3F736226"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deficit</w:t>
            </w:r>
          </w:p>
        </w:tc>
        <w:tc>
          <w:tcPr>
            <w:tcW w:w="1790" w:type="dxa"/>
            <w:tcBorders>
              <w:top w:val="nil"/>
              <w:left w:val="nil"/>
              <w:bottom w:val="nil"/>
              <w:right w:val="nil"/>
            </w:tcBorders>
            <w:shd w:val="clear" w:color="000000" w:fill="FFFFFF"/>
            <w:noWrap/>
            <w:vAlign w:val="center"/>
            <w:hideMark/>
          </w:tcPr>
          <w:p w14:paraId="488910D0"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Equity</w:t>
            </w:r>
          </w:p>
        </w:tc>
      </w:tr>
      <w:tr w:rsidR="00FA6273" w:rsidRPr="008A7A35" w14:paraId="11FE1A6C" w14:textId="77777777" w:rsidTr="00BB03B1">
        <w:trPr>
          <w:trHeight w:val="315"/>
        </w:trPr>
        <w:tc>
          <w:tcPr>
            <w:tcW w:w="3865" w:type="dxa"/>
            <w:tcBorders>
              <w:top w:val="nil"/>
              <w:left w:val="nil"/>
              <w:bottom w:val="single" w:sz="4" w:space="0" w:color="auto"/>
              <w:right w:val="nil"/>
            </w:tcBorders>
            <w:shd w:val="clear" w:color="000000" w:fill="FFFFFF"/>
            <w:noWrap/>
            <w:hideMark/>
          </w:tcPr>
          <w:p w14:paraId="18F1EED3" w14:textId="77777777" w:rsidR="00FA6273" w:rsidRPr="008A7A35" w:rsidRDefault="00FA6273" w:rsidP="00FA6273">
            <w:pPr>
              <w:rPr>
                <w:rFonts w:ascii="Arial" w:hAnsi="Arial" w:cs="Arial"/>
                <w:b/>
                <w:bCs/>
                <w:sz w:val="20"/>
                <w:szCs w:val="20"/>
                <w:lang w:eastAsia="en-GB"/>
              </w:rPr>
            </w:pPr>
            <w:r w:rsidRPr="008A7A35">
              <w:rPr>
                <w:rFonts w:ascii="Arial" w:hAnsi="Arial" w:cs="Arial"/>
                <w:b/>
                <w:bCs/>
                <w:sz w:val="20"/>
                <w:szCs w:val="20"/>
                <w:lang w:eastAsia="en-GB"/>
              </w:rPr>
              <w:t> </w:t>
            </w:r>
          </w:p>
        </w:tc>
        <w:tc>
          <w:tcPr>
            <w:tcW w:w="1979" w:type="dxa"/>
            <w:tcBorders>
              <w:top w:val="nil"/>
              <w:left w:val="nil"/>
              <w:bottom w:val="single" w:sz="4" w:space="0" w:color="auto"/>
              <w:right w:val="nil"/>
            </w:tcBorders>
            <w:shd w:val="clear" w:color="000000" w:fill="FFFFFF"/>
            <w:noWrap/>
            <w:vAlign w:val="center"/>
            <w:hideMark/>
          </w:tcPr>
          <w:p w14:paraId="1463C775" w14:textId="77777777" w:rsidR="00FA6273" w:rsidRPr="008A7A35" w:rsidRDefault="00FA6273" w:rsidP="00FA6273">
            <w:pPr>
              <w:jc w:val="right"/>
              <w:rPr>
                <w:rFonts w:ascii="Arial" w:hAnsi="Arial" w:cs="Arial"/>
                <w:b/>
                <w:bCs/>
                <w:sz w:val="20"/>
                <w:szCs w:val="20"/>
                <w:lang w:eastAsia="en-GB"/>
              </w:rPr>
            </w:pPr>
            <w:r w:rsidRPr="008A7A35">
              <w:rPr>
                <w:rFonts w:ascii="Arial" w:hAnsi="Arial" w:cs="Arial"/>
                <w:b/>
                <w:bCs/>
                <w:sz w:val="20"/>
                <w:szCs w:val="20"/>
                <w:lang w:eastAsia="en-GB"/>
              </w:rPr>
              <w:t>$’000</w:t>
            </w:r>
          </w:p>
        </w:tc>
        <w:tc>
          <w:tcPr>
            <w:tcW w:w="2147" w:type="dxa"/>
            <w:tcBorders>
              <w:top w:val="nil"/>
              <w:left w:val="nil"/>
              <w:bottom w:val="single" w:sz="4" w:space="0" w:color="auto"/>
              <w:right w:val="nil"/>
            </w:tcBorders>
            <w:shd w:val="clear" w:color="000000" w:fill="FFFFFF"/>
            <w:noWrap/>
            <w:vAlign w:val="center"/>
            <w:hideMark/>
          </w:tcPr>
          <w:p w14:paraId="52E78CD3" w14:textId="77777777" w:rsidR="00FA6273" w:rsidRPr="008A7A35" w:rsidRDefault="00FA6273" w:rsidP="00FA6273">
            <w:pPr>
              <w:jc w:val="right"/>
              <w:rPr>
                <w:rFonts w:ascii="Arial" w:hAnsi="Arial" w:cs="Arial"/>
                <w:b/>
                <w:bCs/>
                <w:sz w:val="20"/>
                <w:szCs w:val="20"/>
                <w:lang w:eastAsia="en-GB"/>
              </w:rPr>
            </w:pPr>
            <w:r w:rsidRPr="008A7A35">
              <w:rPr>
                <w:rFonts w:ascii="Arial" w:hAnsi="Arial" w:cs="Arial"/>
                <w:b/>
                <w:bCs/>
                <w:sz w:val="20"/>
                <w:szCs w:val="20"/>
                <w:lang w:eastAsia="en-GB"/>
              </w:rPr>
              <w:t>$’000</w:t>
            </w:r>
          </w:p>
        </w:tc>
        <w:tc>
          <w:tcPr>
            <w:tcW w:w="1790" w:type="dxa"/>
            <w:tcBorders>
              <w:top w:val="nil"/>
              <w:left w:val="nil"/>
              <w:bottom w:val="single" w:sz="4" w:space="0" w:color="auto"/>
              <w:right w:val="nil"/>
            </w:tcBorders>
            <w:shd w:val="clear" w:color="000000" w:fill="FFFFFF"/>
            <w:noWrap/>
            <w:hideMark/>
          </w:tcPr>
          <w:p w14:paraId="181252C5" w14:textId="62DBF16A" w:rsidR="00FA6273" w:rsidRPr="008A7A35" w:rsidRDefault="00FA6273" w:rsidP="00FA6273">
            <w:pPr>
              <w:jc w:val="right"/>
              <w:rPr>
                <w:rFonts w:ascii="Arial" w:hAnsi="Arial" w:cs="Arial"/>
                <w:b/>
                <w:bCs/>
                <w:sz w:val="20"/>
                <w:szCs w:val="20"/>
                <w:lang w:eastAsia="en-GB"/>
              </w:rPr>
            </w:pPr>
            <w:r w:rsidRPr="008A7A35">
              <w:rPr>
                <w:rFonts w:ascii="Arial" w:hAnsi="Arial" w:cs="Arial"/>
                <w:b/>
                <w:bCs/>
                <w:sz w:val="20"/>
                <w:szCs w:val="20"/>
                <w:lang w:eastAsia="en-GB"/>
              </w:rPr>
              <w:t>$’000</w:t>
            </w:r>
          </w:p>
        </w:tc>
      </w:tr>
      <w:tr w:rsidR="004910A8" w:rsidRPr="008A7A35" w14:paraId="28DC6500" w14:textId="77777777" w:rsidTr="00391CE4">
        <w:trPr>
          <w:trHeight w:val="315"/>
        </w:trPr>
        <w:tc>
          <w:tcPr>
            <w:tcW w:w="3865" w:type="dxa"/>
            <w:tcBorders>
              <w:top w:val="nil"/>
              <w:left w:val="nil"/>
              <w:bottom w:val="nil"/>
              <w:right w:val="nil"/>
            </w:tcBorders>
            <w:shd w:val="clear" w:color="000000" w:fill="FFFFFF"/>
            <w:noWrap/>
            <w:vAlign w:val="bottom"/>
            <w:hideMark/>
          </w:tcPr>
          <w:p w14:paraId="5C486651" w14:textId="67A5111B"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 xml:space="preserve">As </w:t>
            </w:r>
            <w:proofErr w:type="gramStart"/>
            <w:r w:rsidRPr="008A7A35">
              <w:rPr>
                <w:rFonts w:ascii="Arial" w:hAnsi="Arial" w:cs="Arial"/>
                <w:b/>
                <w:bCs/>
                <w:sz w:val="20"/>
                <w:szCs w:val="20"/>
                <w:lang w:eastAsia="en-GB"/>
              </w:rPr>
              <w:t>at</w:t>
            </w:r>
            <w:proofErr w:type="gramEnd"/>
            <w:r w:rsidRPr="008A7A35">
              <w:rPr>
                <w:rFonts w:ascii="Arial" w:hAnsi="Arial" w:cs="Arial"/>
                <w:b/>
                <w:bCs/>
                <w:sz w:val="20"/>
                <w:szCs w:val="20"/>
                <w:lang w:eastAsia="en-GB"/>
              </w:rPr>
              <w:t xml:space="preserve"> 1 January 2025</w:t>
            </w:r>
          </w:p>
        </w:tc>
        <w:tc>
          <w:tcPr>
            <w:tcW w:w="1979" w:type="dxa"/>
            <w:tcBorders>
              <w:top w:val="nil"/>
              <w:left w:val="nil"/>
              <w:bottom w:val="nil"/>
              <w:right w:val="nil"/>
            </w:tcBorders>
            <w:shd w:val="clear" w:color="000000" w:fill="FFFFFF"/>
            <w:noWrap/>
            <w:vAlign w:val="bottom"/>
            <w:hideMark/>
          </w:tcPr>
          <w:p w14:paraId="608A1D65" w14:textId="428E1964" w:rsidR="004910A8" w:rsidRPr="008A7A35" w:rsidRDefault="004910A8" w:rsidP="004910A8">
            <w:pPr>
              <w:jc w:val="right"/>
              <w:rPr>
                <w:rFonts w:ascii="Arial" w:hAnsi="Arial" w:cs="Arial"/>
                <w:b/>
                <w:bCs/>
                <w:sz w:val="20"/>
                <w:szCs w:val="20"/>
                <w:lang w:eastAsia="en-GB"/>
              </w:rPr>
            </w:pPr>
            <w:r w:rsidRPr="008A7A35">
              <w:rPr>
                <w:rFonts w:ascii="Arial" w:hAnsi="Arial" w:cs="Arial"/>
                <w:sz w:val="20"/>
                <w:szCs w:val="20"/>
                <w:lang w:eastAsia="en-GB"/>
              </w:rPr>
              <w:t>820,665</w:t>
            </w:r>
          </w:p>
        </w:tc>
        <w:tc>
          <w:tcPr>
            <w:tcW w:w="2147" w:type="dxa"/>
            <w:tcBorders>
              <w:top w:val="nil"/>
              <w:left w:val="nil"/>
              <w:bottom w:val="nil"/>
              <w:right w:val="nil"/>
            </w:tcBorders>
            <w:shd w:val="clear" w:color="000000" w:fill="FFFFFF"/>
            <w:noWrap/>
            <w:vAlign w:val="bottom"/>
            <w:hideMark/>
          </w:tcPr>
          <w:p w14:paraId="2D96A214" w14:textId="6070F056" w:rsidR="004910A8" w:rsidRPr="008A7A35" w:rsidRDefault="004910A8" w:rsidP="004910A8">
            <w:pPr>
              <w:jc w:val="right"/>
              <w:rPr>
                <w:rFonts w:ascii="Arial" w:hAnsi="Arial" w:cs="Arial"/>
                <w:b/>
                <w:bCs/>
                <w:sz w:val="20"/>
                <w:szCs w:val="20"/>
                <w:lang w:eastAsia="en-GB"/>
              </w:rPr>
            </w:pPr>
            <w:r w:rsidRPr="008A7A35">
              <w:rPr>
                <w:rFonts w:ascii="Arial" w:hAnsi="Arial" w:cs="Arial"/>
                <w:sz w:val="20"/>
                <w:szCs w:val="20"/>
                <w:lang w:eastAsia="en-GB"/>
              </w:rPr>
              <w:t>(444,821)</w:t>
            </w:r>
          </w:p>
        </w:tc>
        <w:tc>
          <w:tcPr>
            <w:tcW w:w="1790" w:type="dxa"/>
            <w:tcBorders>
              <w:top w:val="nil"/>
              <w:left w:val="nil"/>
              <w:bottom w:val="nil"/>
              <w:right w:val="nil"/>
            </w:tcBorders>
            <w:shd w:val="clear" w:color="000000" w:fill="FFFFFF"/>
            <w:noWrap/>
            <w:vAlign w:val="bottom"/>
            <w:hideMark/>
          </w:tcPr>
          <w:p w14:paraId="06D4B2CF" w14:textId="67C0F95E" w:rsidR="004910A8" w:rsidRPr="008A7A35" w:rsidRDefault="004910A8" w:rsidP="004910A8">
            <w:pPr>
              <w:jc w:val="right"/>
              <w:rPr>
                <w:rFonts w:ascii="Arial" w:hAnsi="Arial" w:cs="Arial"/>
                <w:b/>
                <w:bCs/>
                <w:sz w:val="20"/>
                <w:szCs w:val="20"/>
                <w:lang w:eastAsia="en-GB"/>
              </w:rPr>
            </w:pPr>
            <w:r w:rsidRPr="008A7A35">
              <w:rPr>
                <w:rFonts w:ascii="Arial" w:hAnsi="Arial" w:cs="Arial"/>
                <w:sz w:val="20"/>
                <w:szCs w:val="20"/>
                <w:lang w:eastAsia="en-GB"/>
              </w:rPr>
              <w:t>375,844</w:t>
            </w:r>
          </w:p>
        </w:tc>
      </w:tr>
      <w:tr w:rsidR="004910A8" w:rsidRPr="008A7A35" w14:paraId="4CD55522" w14:textId="77777777" w:rsidTr="00391CE4">
        <w:trPr>
          <w:trHeight w:val="315"/>
        </w:trPr>
        <w:tc>
          <w:tcPr>
            <w:tcW w:w="3865" w:type="dxa"/>
            <w:tcBorders>
              <w:top w:val="nil"/>
              <w:left w:val="nil"/>
              <w:bottom w:val="nil"/>
              <w:right w:val="nil"/>
            </w:tcBorders>
            <w:shd w:val="clear" w:color="000000" w:fill="FFFFFF"/>
            <w:noWrap/>
            <w:vAlign w:val="bottom"/>
            <w:hideMark/>
          </w:tcPr>
          <w:p w14:paraId="2A1B7483" w14:textId="2C1E096F" w:rsidR="004910A8" w:rsidRPr="008A7A35" w:rsidRDefault="00143A96" w:rsidP="00391CE4">
            <w:pPr>
              <w:rPr>
                <w:rFonts w:ascii="Arial" w:hAnsi="Arial" w:cs="Arial"/>
                <w:sz w:val="20"/>
                <w:szCs w:val="20"/>
                <w:lang w:eastAsia="en-GB"/>
              </w:rPr>
            </w:pPr>
            <w:r w:rsidRPr="008A7A35">
              <w:rPr>
                <w:rFonts w:ascii="Arial" w:hAnsi="Arial" w:cs="Arial"/>
                <w:sz w:val="20"/>
                <w:szCs w:val="20"/>
                <w:lang w:eastAsia="en-GB"/>
              </w:rPr>
              <w:t xml:space="preserve">Profit </w:t>
            </w:r>
            <w:r w:rsidR="004910A8" w:rsidRPr="008A7A35">
              <w:rPr>
                <w:rFonts w:ascii="Arial" w:hAnsi="Arial" w:cs="Arial"/>
                <w:sz w:val="20"/>
                <w:szCs w:val="20"/>
                <w:lang w:eastAsia="en-GB"/>
              </w:rPr>
              <w:t>for the financial period</w:t>
            </w:r>
          </w:p>
        </w:tc>
        <w:tc>
          <w:tcPr>
            <w:tcW w:w="1979" w:type="dxa"/>
            <w:tcBorders>
              <w:top w:val="nil"/>
              <w:left w:val="nil"/>
              <w:bottom w:val="nil"/>
              <w:right w:val="nil"/>
            </w:tcBorders>
            <w:shd w:val="clear" w:color="000000" w:fill="FFFFFF"/>
            <w:noWrap/>
            <w:vAlign w:val="bottom"/>
          </w:tcPr>
          <w:p w14:paraId="7A519250" w14:textId="5866283A" w:rsidR="004910A8"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w:t>
            </w:r>
          </w:p>
        </w:tc>
        <w:tc>
          <w:tcPr>
            <w:tcW w:w="2147" w:type="dxa"/>
            <w:tcBorders>
              <w:top w:val="nil"/>
              <w:left w:val="nil"/>
              <w:bottom w:val="nil"/>
              <w:right w:val="nil"/>
            </w:tcBorders>
            <w:shd w:val="clear" w:color="000000" w:fill="FFFFFF"/>
            <w:noWrap/>
            <w:vAlign w:val="bottom"/>
          </w:tcPr>
          <w:p w14:paraId="26670744" w14:textId="6F2214C5" w:rsidR="004910A8" w:rsidRPr="008A7A35" w:rsidRDefault="003169EF" w:rsidP="004910A8">
            <w:pPr>
              <w:jc w:val="right"/>
              <w:rPr>
                <w:rFonts w:ascii="Arial" w:hAnsi="Arial" w:cs="Arial"/>
                <w:b/>
                <w:bCs/>
                <w:sz w:val="20"/>
                <w:szCs w:val="20"/>
                <w:lang w:eastAsia="en-GB"/>
              </w:rPr>
            </w:pPr>
            <w:r>
              <w:rPr>
                <w:rFonts w:ascii="Arial" w:hAnsi="Arial" w:cs="Arial"/>
                <w:b/>
                <w:bCs/>
                <w:sz w:val="20"/>
                <w:szCs w:val="20"/>
              </w:rPr>
              <w:t>3,033</w:t>
            </w:r>
          </w:p>
        </w:tc>
        <w:tc>
          <w:tcPr>
            <w:tcW w:w="1790" w:type="dxa"/>
            <w:tcBorders>
              <w:top w:val="nil"/>
              <w:left w:val="nil"/>
              <w:bottom w:val="nil"/>
              <w:right w:val="nil"/>
            </w:tcBorders>
            <w:shd w:val="clear" w:color="000000" w:fill="FFFFFF"/>
            <w:noWrap/>
            <w:vAlign w:val="bottom"/>
          </w:tcPr>
          <w:p w14:paraId="598E8D73" w14:textId="0983AF19" w:rsidR="004910A8" w:rsidRPr="008A7A35" w:rsidRDefault="003169EF" w:rsidP="004910A8">
            <w:pPr>
              <w:jc w:val="right"/>
              <w:rPr>
                <w:rFonts w:ascii="Arial" w:hAnsi="Arial" w:cs="Arial"/>
                <w:b/>
                <w:bCs/>
                <w:sz w:val="20"/>
                <w:szCs w:val="20"/>
                <w:lang w:eastAsia="en-GB"/>
              </w:rPr>
            </w:pPr>
            <w:r>
              <w:rPr>
                <w:rFonts w:ascii="Arial" w:hAnsi="Arial" w:cs="Arial"/>
                <w:b/>
                <w:bCs/>
                <w:sz w:val="20"/>
                <w:szCs w:val="20"/>
              </w:rPr>
              <w:t>3,033</w:t>
            </w:r>
          </w:p>
        </w:tc>
      </w:tr>
      <w:tr w:rsidR="004910A8" w:rsidRPr="008A7A35" w14:paraId="4CB68223" w14:textId="77777777" w:rsidTr="00391CE4">
        <w:trPr>
          <w:trHeight w:val="315"/>
        </w:trPr>
        <w:tc>
          <w:tcPr>
            <w:tcW w:w="3865" w:type="dxa"/>
            <w:tcBorders>
              <w:top w:val="nil"/>
              <w:left w:val="nil"/>
              <w:bottom w:val="single" w:sz="4" w:space="0" w:color="auto"/>
              <w:right w:val="nil"/>
            </w:tcBorders>
            <w:shd w:val="clear" w:color="000000" w:fill="FFFFFF"/>
            <w:noWrap/>
            <w:vAlign w:val="bottom"/>
            <w:hideMark/>
          </w:tcPr>
          <w:p w14:paraId="2F2FE9D2" w14:textId="3B3C2961" w:rsidR="004910A8" w:rsidRPr="008A7A35" w:rsidRDefault="00F3440A" w:rsidP="00391CE4">
            <w:pPr>
              <w:rPr>
                <w:rFonts w:ascii="Arial" w:hAnsi="Arial" w:cs="Arial"/>
                <w:sz w:val="20"/>
                <w:szCs w:val="20"/>
                <w:lang w:eastAsia="en-GB"/>
              </w:rPr>
            </w:pPr>
            <w:r w:rsidRPr="008A7A35">
              <w:rPr>
                <w:rFonts w:ascii="Arial" w:hAnsi="Arial" w:cs="Arial"/>
                <w:sz w:val="20"/>
                <w:szCs w:val="20"/>
                <w:lang w:eastAsia="en-GB"/>
              </w:rPr>
              <w:t>Buyb</w:t>
            </w:r>
            <w:r w:rsidR="0007180C" w:rsidRPr="008A7A35">
              <w:rPr>
                <w:rFonts w:ascii="Arial" w:hAnsi="Arial" w:cs="Arial"/>
                <w:sz w:val="20"/>
                <w:szCs w:val="20"/>
                <w:lang w:eastAsia="en-GB"/>
              </w:rPr>
              <w:t>ack</w:t>
            </w:r>
            <w:r w:rsidR="004910A8" w:rsidRPr="008A7A35">
              <w:rPr>
                <w:rFonts w:ascii="Arial" w:hAnsi="Arial" w:cs="Arial"/>
                <w:sz w:val="20"/>
                <w:szCs w:val="20"/>
                <w:lang w:eastAsia="en-GB"/>
              </w:rPr>
              <w:t xml:space="preserve"> and cancellation of shares</w:t>
            </w:r>
          </w:p>
        </w:tc>
        <w:tc>
          <w:tcPr>
            <w:tcW w:w="1979" w:type="dxa"/>
            <w:tcBorders>
              <w:top w:val="nil"/>
              <w:left w:val="nil"/>
              <w:bottom w:val="single" w:sz="4" w:space="0" w:color="auto"/>
              <w:right w:val="nil"/>
            </w:tcBorders>
            <w:shd w:val="clear" w:color="000000" w:fill="FFFFFF"/>
            <w:noWrap/>
            <w:vAlign w:val="bottom"/>
          </w:tcPr>
          <w:p w14:paraId="5C29E96A" w14:textId="622AEADD" w:rsidR="004910A8"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(7,194)</w:t>
            </w:r>
          </w:p>
        </w:tc>
        <w:tc>
          <w:tcPr>
            <w:tcW w:w="2147" w:type="dxa"/>
            <w:tcBorders>
              <w:top w:val="nil"/>
              <w:left w:val="nil"/>
              <w:bottom w:val="single" w:sz="4" w:space="0" w:color="auto"/>
              <w:right w:val="nil"/>
            </w:tcBorders>
            <w:shd w:val="clear" w:color="000000" w:fill="FFFFFF"/>
            <w:noWrap/>
            <w:vAlign w:val="bottom"/>
          </w:tcPr>
          <w:p w14:paraId="4EEC7653" w14:textId="27A37CCE" w:rsidR="004910A8"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w:t>
            </w:r>
          </w:p>
        </w:tc>
        <w:tc>
          <w:tcPr>
            <w:tcW w:w="1790" w:type="dxa"/>
            <w:tcBorders>
              <w:top w:val="nil"/>
              <w:left w:val="nil"/>
              <w:bottom w:val="single" w:sz="4" w:space="0" w:color="auto"/>
              <w:right w:val="nil"/>
            </w:tcBorders>
            <w:shd w:val="clear" w:color="000000" w:fill="FFFFFF"/>
            <w:noWrap/>
            <w:vAlign w:val="bottom"/>
          </w:tcPr>
          <w:p w14:paraId="608440CA" w14:textId="4B1BEB38" w:rsidR="004910A8"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(7,194)</w:t>
            </w:r>
          </w:p>
        </w:tc>
      </w:tr>
      <w:tr w:rsidR="004910A8" w:rsidRPr="008A7A35" w14:paraId="4C03C340" w14:textId="77777777" w:rsidTr="00391CE4">
        <w:trPr>
          <w:trHeight w:val="326"/>
        </w:trPr>
        <w:tc>
          <w:tcPr>
            <w:tcW w:w="3865" w:type="dxa"/>
            <w:tcBorders>
              <w:top w:val="nil"/>
              <w:left w:val="nil"/>
              <w:bottom w:val="single" w:sz="8" w:space="0" w:color="auto"/>
              <w:right w:val="nil"/>
            </w:tcBorders>
            <w:shd w:val="clear" w:color="000000" w:fill="FFFFFF"/>
            <w:noWrap/>
            <w:vAlign w:val="bottom"/>
            <w:hideMark/>
          </w:tcPr>
          <w:p w14:paraId="10AB631E" w14:textId="091BB098"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 xml:space="preserve">As </w:t>
            </w:r>
            <w:proofErr w:type="gramStart"/>
            <w:r w:rsidRPr="008A7A35">
              <w:rPr>
                <w:rFonts w:ascii="Arial" w:hAnsi="Arial" w:cs="Arial"/>
                <w:b/>
                <w:bCs/>
                <w:sz w:val="20"/>
                <w:szCs w:val="20"/>
                <w:lang w:eastAsia="en-GB"/>
              </w:rPr>
              <w:t>at</w:t>
            </w:r>
            <w:proofErr w:type="gramEnd"/>
            <w:r w:rsidRPr="008A7A35">
              <w:rPr>
                <w:rFonts w:ascii="Arial" w:hAnsi="Arial" w:cs="Arial"/>
                <w:b/>
                <w:bCs/>
                <w:sz w:val="20"/>
                <w:szCs w:val="20"/>
                <w:lang w:eastAsia="en-GB"/>
              </w:rPr>
              <w:t xml:space="preserve"> 30 June 2025</w:t>
            </w:r>
          </w:p>
        </w:tc>
        <w:tc>
          <w:tcPr>
            <w:tcW w:w="1979" w:type="dxa"/>
            <w:tcBorders>
              <w:top w:val="nil"/>
              <w:left w:val="nil"/>
              <w:bottom w:val="single" w:sz="8" w:space="0" w:color="auto"/>
              <w:right w:val="nil"/>
            </w:tcBorders>
            <w:shd w:val="clear" w:color="000000" w:fill="FFFFFF"/>
            <w:noWrap/>
            <w:vAlign w:val="bottom"/>
          </w:tcPr>
          <w:p w14:paraId="1A0626AE" w14:textId="21DCCB76" w:rsidR="004910A8"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813,471</w:t>
            </w:r>
          </w:p>
        </w:tc>
        <w:tc>
          <w:tcPr>
            <w:tcW w:w="2147" w:type="dxa"/>
            <w:tcBorders>
              <w:top w:val="nil"/>
              <w:left w:val="nil"/>
              <w:bottom w:val="single" w:sz="8" w:space="0" w:color="auto"/>
              <w:right w:val="nil"/>
            </w:tcBorders>
            <w:shd w:val="clear" w:color="000000" w:fill="FFFFFF"/>
            <w:noWrap/>
            <w:vAlign w:val="bottom"/>
          </w:tcPr>
          <w:p w14:paraId="79069E33" w14:textId="1BE10A5B" w:rsidR="004910A8" w:rsidRPr="008A7A35" w:rsidRDefault="00143A96" w:rsidP="004910A8">
            <w:pPr>
              <w:jc w:val="right"/>
              <w:rPr>
                <w:rFonts w:ascii="Arial" w:hAnsi="Arial" w:cs="Arial"/>
                <w:b/>
                <w:bCs/>
                <w:sz w:val="20"/>
                <w:szCs w:val="20"/>
                <w:lang w:eastAsia="en-GB"/>
              </w:rPr>
            </w:pPr>
            <w:r w:rsidRPr="008A7A35">
              <w:rPr>
                <w:rFonts w:ascii="Arial" w:hAnsi="Arial" w:cs="Arial"/>
                <w:b/>
                <w:bCs/>
                <w:sz w:val="20"/>
                <w:szCs w:val="20"/>
              </w:rPr>
              <w:t>(</w:t>
            </w:r>
            <w:r w:rsidR="003169EF">
              <w:rPr>
                <w:rFonts w:ascii="Arial" w:hAnsi="Arial" w:cs="Arial"/>
                <w:b/>
                <w:bCs/>
                <w:sz w:val="20"/>
                <w:szCs w:val="20"/>
              </w:rPr>
              <w:t>441,788</w:t>
            </w:r>
            <w:r w:rsidRPr="008A7A35">
              <w:rPr>
                <w:rFonts w:ascii="Arial" w:hAnsi="Arial" w:cs="Arial"/>
                <w:b/>
                <w:bCs/>
                <w:sz w:val="20"/>
                <w:szCs w:val="20"/>
              </w:rPr>
              <w:t>)</w:t>
            </w:r>
          </w:p>
        </w:tc>
        <w:tc>
          <w:tcPr>
            <w:tcW w:w="1790" w:type="dxa"/>
            <w:tcBorders>
              <w:top w:val="nil"/>
              <w:left w:val="nil"/>
              <w:bottom w:val="single" w:sz="8" w:space="0" w:color="auto"/>
              <w:right w:val="nil"/>
            </w:tcBorders>
            <w:shd w:val="clear" w:color="000000" w:fill="FFFFFF"/>
            <w:noWrap/>
            <w:vAlign w:val="bottom"/>
          </w:tcPr>
          <w:p w14:paraId="0DF00530" w14:textId="23570859" w:rsidR="004910A8" w:rsidRPr="008A7A35" w:rsidRDefault="003169EF" w:rsidP="004910A8">
            <w:pPr>
              <w:jc w:val="right"/>
              <w:rPr>
                <w:rFonts w:ascii="Arial" w:hAnsi="Arial" w:cs="Arial"/>
                <w:b/>
                <w:bCs/>
                <w:sz w:val="20"/>
                <w:szCs w:val="20"/>
                <w:lang w:eastAsia="en-GB"/>
              </w:rPr>
            </w:pPr>
            <w:r>
              <w:rPr>
                <w:rFonts w:ascii="Arial" w:hAnsi="Arial" w:cs="Arial"/>
                <w:b/>
                <w:bCs/>
                <w:sz w:val="20"/>
                <w:szCs w:val="20"/>
              </w:rPr>
              <w:t>371,683</w:t>
            </w:r>
          </w:p>
        </w:tc>
      </w:tr>
    </w:tbl>
    <w:p w14:paraId="5075CE73" w14:textId="3C52F6CA" w:rsidR="0016567A" w:rsidRPr="008A7A35" w:rsidRDefault="0016567A">
      <w:pPr>
        <w:rPr>
          <w:rFonts w:ascii="Arial" w:hAnsi="Arial" w:cs="Arial"/>
          <w:sz w:val="20"/>
          <w:szCs w:val="20"/>
        </w:rPr>
      </w:pPr>
    </w:p>
    <w:p w14:paraId="55D27162" w14:textId="77777777" w:rsidR="0016567A" w:rsidRPr="008A7A35" w:rsidRDefault="0016567A">
      <w:pPr>
        <w:rPr>
          <w:rFonts w:ascii="Arial" w:hAnsi="Arial" w:cs="Arial"/>
          <w:sz w:val="20"/>
          <w:szCs w:val="20"/>
        </w:rPr>
      </w:pPr>
    </w:p>
    <w:p w14:paraId="42439DBA" w14:textId="2E118659" w:rsidR="00F23446" w:rsidRPr="008A7A35" w:rsidRDefault="00F23446" w:rsidP="00F23446">
      <w:pPr>
        <w:rPr>
          <w:rFonts w:ascii="Arial" w:hAnsi="Arial" w:cs="Arial"/>
          <w:sz w:val="20"/>
          <w:szCs w:val="20"/>
        </w:rPr>
      </w:pPr>
      <w:r w:rsidRPr="008A7A35">
        <w:rPr>
          <w:rFonts w:ascii="Arial" w:hAnsi="Arial" w:cs="Arial"/>
          <w:sz w:val="20"/>
          <w:szCs w:val="20"/>
        </w:rPr>
        <w:t>For the six months ended 30 June 20</w:t>
      </w:r>
      <w:r w:rsidR="00025DD6" w:rsidRPr="008A7A35">
        <w:rPr>
          <w:rFonts w:ascii="Arial" w:hAnsi="Arial" w:cs="Arial"/>
          <w:sz w:val="20"/>
          <w:szCs w:val="20"/>
        </w:rPr>
        <w:t>2</w:t>
      </w:r>
      <w:r w:rsidR="004910A8" w:rsidRPr="008A7A35">
        <w:rPr>
          <w:rFonts w:ascii="Arial" w:hAnsi="Arial" w:cs="Arial"/>
          <w:sz w:val="20"/>
          <w:szCs w:val="20"/>
        </w:rPr>
        <w:t>4</w:t>
      </w:r>
      <w:r w:rsidR="00BC4F38" w:rsidRPr="008A7A35">
        <w:rPr>
          <w:rFonts w:ascii="Arial" w:hAnsi="Arial" w:cs="Arial"/>
          <w:sz w:val="20"/>
          <w:szCs w:val="20"/>
        </w:rPr>
        <w:t xml:space="preserve"> (Unaudited)</w:t>
      </w:r>
    </w:p>
    <w:tbl>
      <w:tblPr>
        <w:tblW w:w="9779" w:type="dxa"/>
        <w:tblLook w:val="04A0" w:firstRow="1" w:lastRow="0" w:firstColumn="1" w:lastColumn="0" w:noHBand="0" w:noVBand="1"/>
      </w:tblPr>
      <w:tblGrid>
        <w:gridCol w:w="3796"/>
        <w:gridCol w:w="2050"/>
        <w:gridCol w:w="2107"/>
        <w:gridCol w:w="1826"/>
      </w:tblGrid>
      <w:tr w:rsidR="007B0BCD" w:rsidRPr="008A7A35" w14:paraId="5CB64910" w14:textId="77777777" w:rsidTr="00BB03B1">
        <w:trPr>
          <w:trHeight w:val="302"/>
        </w:trPr>
        <w:tc>
          <w:tcPr>
            <w:tcW w:w="3796" w:type="dxa"/>
            <w:tcBorders>
              <w:top w:val="nil"/>
              <w:left w:val="nil"/>
              <w:bottom w:val="nil"/>
              <w:right w:val="nil"/>
            </w:tcBorders>
            <w:shd w:val="clear" w:color="000000" w:fill="FFFFFF"/>
            <w:noWrap/>
            <w:hideMark/>
          </w:tcPr>
          <w:p w14:paraId="6F261D5D" w14:textId="77777777" w:rsidR="00805BE1" w:rsidRPr="008A7A35" w:rsidRDefault="00805BE1" w:rsidP="002E692B">
            <w:pPr>
              <w:rPr>
                <w:rFonts w:ascii="Arial" w:hAnsi="Arial" w:cs="Arial"/>
                <w:sz w:val="20"/>
                <w:szCs w:val="20"/>
                <w:lang w:eastAsia="en-GB"/>
              </w:rPr>
            </w:pPr>
            <w:r w:rsidRPr="008A7A35">
              <w:rPr>
                <w:rFonts w:ascii="Arial" w:hAnsi="Arial" w:cs="Arial"/>
                <w:sz w:val="20"/>
                <w:szCs w:val="20"/>
                <w:lang w:eastAsia="en-GB"/>
              </w:rPr>
              <w:t> </w:t>
            </w:r>
          </w:p>
        </w:tc>
        <w:tc>
          <w:tcPr>
            <w:tcW w:w="2050" w:type="dxa"/>
            <w:tcBorders>
              <w:top w:val="nil"/>
              <w:left w:val="nil"/>
              <w:bottom w:val="nil"/>
              <w:right w:val="nil"/>
            </w:tcBorders>
            <w:shd w:val="clear" w:color="000000" w:fill="FFFFFF"/>
            <w:noWrap/>
            <w:vAlign w:val="bottom"/>
            <w:hideMark/>
          </w:tcPr>
          <w:p w14:paraId="24416309"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Share</w:t>
            </w:r>
          </w:p>
        </w:tc>
        <w:tc>
          <w:tcPr>
            <w:tcW w:w="2107" w:type="dxa"/>
            <w:tcBorders>
              <w:top w:val="nil"/>
              <w:left w:val="nil"/>
              <w:bottom w:val="nil"/>
              <w:right w:val="nil"/>
            </w:tcBorders>
            <w:shd w:val="clear" w:color="000000" w:fill="FFFFFF"/>
            <w:noWrap/>
            <w:vAlign w:val="bottom"/>
            <w:hideMark/>
          </w:tcPr>
          <w:p w14:paraId="7B81199F"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 xml:space="preserve">Retained </w:t>
            </w:r>
          </w:p>
        </w:tc>
        <w:tc>
          <w:tcPr>
            <w:tcW w:w="1826" w:type="dxa"/>
            <w:tcBorders>
              <w:top w:val="nil"/>
              <w:left w:val="nil"/>
              <w:bottom w:val="nil"/>
              <w:right w:val="nil"/>
            </w:tcBorders>
            <w:shd w:val="clear" w:color="000000" w:fill="FFFFFF"/>
            <w:noWrap/>
            <w:vAlign w:val="bottom"/>
            <w:hideMark/>
          </w:tcPr>
          <w:p w14:paraId="22C0E24C"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Total</w:t>
            </w:r>
          </w:p>
        </w:tc>
      </w:tr>
      <w:tr w:rsidR="007B0BCD" w:rsidRPr="008A7A35" w14:paraId="70DB306E" w14:textId="77777777" w:rsidTr="00BB03B1">
        <w:trPr>
          <w:trHeight w:val="313"/>
        </w:trPr>
        <w:tc>
          <w:tcPr>
            <w:tcW w:w="3796" w:type="dxa"/>
            <w:tcBorders>
              <w:top w:val="nil"/>
              <w:left w:val="nil"/>
              <w:bottom w:val="nil"/>
              <w:right w:val="nil"/>
            </w:tcBorders>
            <w:shd w:val="clear" w:color="000000" w:fill="FFFFFF"/>
            <w:noWrap/>
            <w:hideMark/>
          </w:tcPr>
          <w:p w14:paraId="581DC147" w14:textId="77777777" w:rsidR="00805BE1" w:rsidRPr="008A7A35" w:rsidRDefault="00805BE1" w:rsidP="002E692B">
            <w:pPr>
              <w:rPr>
                <w:rFonts w:ascii="Arial" w:hAnsi="Arial" w:cs="Arial"/>
                <w:sz w:val="20"/>
                <w:szCs w:val="20"/>
                <w:lang w:eastAsia="en-GB"/>
              </w:rPr>
            </w:pPr>
            <w:r w:rsidRPr="008A7A35">
              <w:rPr>
                <w:rFonts w:ascii="Arial" w:hAnsi="Arial" w:cs="Arial"/>
                <w:sz w:val="20"/>
                <w:szCs w:val="20"/>
                <w:lang w:eastAsia="en-GB"/>
              </w:rPr>
              <w:t> </w:t>
            </w:r>
          </w:p>
        </w:tc>
        <w:tc>
          <w:tcPr>
            <w:tcW w:w="2050" w:type="dxa"/>
            <w:tcBorders>
              <w:top w:val="nil"/>
              <w:left w:val="nil"/>
              <w:bottom w:val="nil"/>
              <w:right w:val="nil"/>
            </w:tcBorders>
            <w:shd w:val="clear" w:color="000000" w:fill="FFFFFF"/>
            <w:noWrap/>
            <w:vAlign w:val="center"/>
            <w:hideMark/>
          </w:tcPr>
          <w:p w14:paraId="088CB22A"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capital</w:t>
            </w:r>
          </w:p>
        </w:tc>
        <w:tc>
          <w:tcPr>
            <w:tcW w:w="2107" w:type="dxa"/>
            <w:tcBorders>
              <w:top w:val="nil"/>
              <w:left w:val="nil"/>
              <w:bottom w:val="nil"/>
              <w:right w:val="nil"/>
            </w:tcBorders>
            <w:shd w:val="clear" w:color="000000" w:fill="FFFFFF"/>
            <w:vAlign w:val="center"/>
            <w:hideMark/>
          </w:tcPr>
          <w:p w14:paraId="189BA1EB"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deficit</w:t>
            </w:r>
          </w:p>
        </w:tc>
        <w:tc>
          <w:tcPr>
            <w:tcW w:w="1826" w:type="dxa"/>
            <w:tcBorders>
              <w:top w:val="nil"/>
              <w:left w:val="nil"/>
              <w:bottom w:val="nil"/>
              <w:right w:val="nil"/>
            </w:tcBorders>
            <w:shd w:val="clear" w:color="000000" w:fill="FFFFFF"/>
            <w:noWrap/>
            <w:vAlign w:val="center"/>
            <w:hideMark/>
          </w:tcPr>
          <w:p w14:paraId="259F71BD"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Equity</w:t>
            </w:r>
          </w:p>
        </w:tc>
      </w:tr>
      <w:tr w:rsidR="007B0BCD" w:rsidRPr="008A7A35" w14:paraId="3680E107" w14:textId="77777777" w:rsidTr="00BB03B1">
        <w:trPr>
          <w:trHeight w:val="302"/>
        </w:trPr>
        <w:tc>
          <w:tcPr>
            <w:tcW w:w="3796" w:type="dxa"/>
            <w:tcBorders>
              <w:top w:val="nil"/>
              <w:left w:val="nil"/>
              <w:bottom w:val="single" w:sz="4" w:space="0" w:color="auto"/>
              <w:right w:val="nil"/>
            </w:tcBorders>
            <w:shd w:val="clear" w:color="000000" w:fill="FFFFFF"/>
            <w:noWrap/>
            <w:hideMark/>
          </w:tcPr>
          <w:p w14:paraId="23DDE4D3" w14:textId="77777777" w:rsidR="00805BE1" w:rsidRPr="008A7A35" w:rsidRDefault="00805BE1" w:rsidP="002E692B">
            <w:pPr>
              <w:rPr>
                <w:rFonts w:ascii="Arial" w:hAnsi="Arial" w:cs="Arial"/>
                <w:sz w:val="20"/>
                <w:szCs w:val="20"/>
                <w:lang w:eastAsia="en-GB"/>
              </w:rPr>
            </w:pPr>
            <w:r w:rsidRPr="008A7A35">
              <w:rPr>
                <w:rFonts w:ascii="Arial" w:hAnsi="Arial" w:cs="Arial"/>
                <w:sz w:val="20"/>
                <w:szCs w:val="20"/>
                <w:lang w:eastAsia="en-GB"/>
              </w:rPr>
              <w:t> </w:t>
            </w:r>
          </w:p>
        </w:tc>
        <w:tc>
          <w:tcPr>
            <w:tcW w:w="2050" w:type="dxa"/>
            <w:tcBorders>
              <w:top w:val="nil"/>
              <w:left w:val="nil"/>
              <w:bottom w:val="single" w:sz="4" w:space="0" w:color="auto"/>
              <w:right w:val="nil"/>
            </w:tcBorders>
            <w:shd w:val="clear" w:color="000000" w:fill="FFFFFF"/>
            <w:noWrap/>
            <w:vAlign w:val="center"/>
            <w:hideMark/>
          </w:tcPr>
          <w:p w14:paraId="12A025AE"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$’000</w:t>
            </w:r>
          </w:p>
        </w:tc>
        <w:tc>
          <w:tcPr>
            <w:tcW w:w="2107" w:type="dxa"/>
            <w:tcBorders>
              <w:top w:val="nil"/>
              <w:left w:val="nil"/>
              <w:bottom w:val="single" w:sz="4" w:space="0" w:color="auto"/>
              <w:right w:val="nil"/>
            </w:tcBorders>
            <w:shd w:val="clear" w:color="000000" w:fill="FFFFFF"/>
            <w:noWrap/>
            <w:vAlign w:val="center"/>
            <w:hideMark/>
          </w:tcPr>
          <w:p w14:paraId="24D25270"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$’000</w:t>
            </w:r>
          </w:p>
        </w:tc>
        <w:tc>
          <w:tcPr>
            <w:tcW w:w="1826" w:type="dxa"/>
            <w:tcBorders>
              <w:top w:val="nil"/>
              <w:left w:val="nil"/>
              <w:bottom w:val="single" w:sz="4" w:space="0" w:color="auto"/>
              <w:right w:val="nil"/>
            </w:tcBorders>
            <w:shd w:val="clear" w:color="000000" w:fill="FFFFFF"/>
            <w:noWrap/>
            <w:vAlign w:val="center"/>
            <w:hideMark/>
          </w:tcPr>
          <w:p w14:paraId="33B15E71" w14:textId="77777777" w:rsidR="00805BE1" w:rsidRPr="008A7A35" w:rsidRDefault="00805BE1" w:rsidP="002E692B">
            <w:pPr>
              <w:jc w:val="right"/>
              <w:rPr>
                <w:rFonts w:ascii="Arial" w:hAnsi="Arial" w:cs="Arial"/>
                <w:b/>
                <w:bCs/>
                <w:sz w:val="20"/>
                <w:szCs w:val="20"/>
                <w:lang w:eastAsia="en-GB"/>
              </w:rPr>
            </w:pPr>
            <w:r w:rsidRPr="008A7A35">
              <w:rPr>
                <w:rFonts w:ascii="Arial" w:hAnsi="Arial" w:cs="Arial"/>
                <w:b/>
                <w:bCs/>
                <w:sz w:val="20"/>
                <w:szCs w:val="20"/>
                <w:lang w:eastAsia="en-GB"/>
              </w:rPr>
              <w:t>$’000</w:t>
            </w:r>
          </w:p>
        </w:tc>
      </w:tr>
      <w:tr w:rsidR="004910A8" w:rsidRPr="008A7A35" w14:paraId="733A3463" w14:textId="77777777" w:rsidTr="00391CE4">
        <w:trPr>
          <w:trHeight w:val="302"/>
        </w:trPr>
        <w:tc>
          <w:tcPr>
            <w:tcW w:w="3796" w:type="dxa"/>
            <w:tcBorders>
              <w:top w:val="nil"/>
              <w:left w:val="nil"/>
              <w:bottom w:val="nil"/>
              <w:right w:val="nil"/>
            </w:tcBorders>
            <w:shd w:val="clear" w:color="000000" w:fill="FFFFFF"/>
            <w:noWrap/>
            <w:vAlign w:val="bottom"/>
            <w:hideMark/>
          </w:tcPr>
          <w:p w14:paraId="0945AA6E" w14:textId="715BC49E"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 xml:space="preserve">As </w:t>
            </w:r>
            <w:proofErr w:type="gramStart"/>
            <w:r w:rsidRPr="008A7A35">
              <w:rPr>
                <w:rFonts w:ascii="Arial" w:hAnsi="Arial" w:cs="Arial"/>
                <w:b/>
                <w:bCs/>
                <w:sz w:val="20"/>
                <w:szCs w:val="20"/>
                <w:lang w:eastAsia="en-GB"/>
              </w:rPr>
              <w:t>at</w:t>
            </w:r>
            <w:proofErr w:type="gramEnd"/>
            <w:r w:rsidRPr="008A7A35">
              <w:rPr>
                <w:rFonts w:ascii="Arial" w:hAnsi="Arial" w:cs="Arial"/>
                <w:b/>
                <w:bCs/>
                <w:sz w:val="20"/>
                <w:szCs w:val="20"/>
                <w:lang w:eastAsia="en-GB"/>
              </w:rPr>
              <w:t xml:space="preserve"> 1 January 2024</w:t>
            </w:r>
          </w:p>
        </w:tc>
        <w:tc>
          <w:tcPr>
            <w:tcW w:w="2050" w:type="dxa"/>
            <w:tcBorders>
              <w:top w:val="nil"/>
              <w:left w:val="nil"/>
              <w:bottom w:val="nil"/>
              <w:right w:val="nil"/>
            </w:tcBorders>
            <w:shd w:val="clear" w:color="000000" w:fill="FFFFFF"/>
            <w:noWrap/>
            <w:vAlign w:val="bottom"/>
            <w:hideMark/>
          </w:tcPr>
          <w:p w14:paraId="50A7EC1E" w14:textId="6892DBC1"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1,038,721</w:t>
            </w:r>
          </w:p>
        </w:tc>
        <w:tc>
          <w:tcPr>
            <w:tcW w:w="2107" w:type="dxa"/>
            <w:tcBorders>
              <w:top w:val="nil"/>
              <w:left w:val="nil"/>
              <w:bottom w:val="nil"/>
              <w:right w:val="nil"/>
            </w:tcBorders>
            <w:shd w:val="clear" w:color="000000" w:fill="FFFFFF"/>
            <w:noWrap/>
            <w:vAlign w:val="bottom"/>
            <w:hideMark/>
          </w:tcPr>
          <w:p w14:paraId="551A108A" w14:textId="65056CC7"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(365,152)</w:t>
            </w:r>
          </w:p>
        </w:tc>
        <w:tc>
          <w:tcPr>
            <w:tcW w:w="1826" w:type="dxa"/>
            <w:tcBorders>
              <w:top w:val="nil"/>
              <w:left w:val="nil"/>
              <w:bottom w:val="nil"/>
              <w:right w:val="nil"/>
            </w:tcBorders>
            <w:shd w:val="clear" w:color="000000" w:fill="FFFFFF"/>
            <w:noWrap/>
            <w:vAlign w:val="bottom"/>
            <w:hideMark/>
          </w:tcPr>
          <w:p w14:paraId="63F96F93" w14:textId="1C2AFD30"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673,569</w:t>
            </w:r>
          </w:p>
        </w:tc>
      </w:tr>
      <w:tr w:rsidR="004910A8" w:rsidRPr="008A7A35" w14:paraId="198C6038" w14:textId="77777777" w:rsidTr="00391CE4">
        <w:trPr>
          <w:trHeight w:val="302"/>
        </w:trPr>
        <w:tc>
          <w:tcPr>
            <w:tcW w:w="3796" w:type="dxa"/>
            <w:tcBorders>
              <w:top w:val="nil"/>
              <w:left w:val="nil"/>
              <w:bottom w:val="nil"/>
              <w:right w:val="nil"/>
            </w:tcBorders>
            <w:shd w:val="clear" w:color="000000" w:fill="FFFFFF"/>
            <w:noWrap/>
            <w:vAlign w:val="bottom"/>
            <w:hideMark/>
          </w:tcPr>
          <w:p w14:paraId="1AF8BFF0" w14:textId="49F5DC50"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Loss for the financial period</w:t>
            </w:r>
          </w:p>
        </w:tc>
        <w:tc>
          <w:tcPr>
            <w:tcW w:w="2050" w:type="dxa"/>
            <w:tcBorders>
              <w:top w:val="nil"/>
              <w:left w:val="nil"/>
              <w:bottom w:val="nil"/>
              <w:right w:val="nil"/>
            </w:tcBorders>
            <w:shd w:val="clear" w:color="000000" w:fill="FFFFFF"/>
            <w:noWrap/>
            <w:vAlign w:val="bottom"/>
            <w:hideMark/>
          </w:tcPr>
          <w:p w14:paraId="53E82B55" w14:textId="383FEDAF"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w:t>
            </w:r>
          </w:p>
        </w:tc>
        <w:tc>
          <w:tcPr>
            <w:tcW w:w="2107" w:type="dxa"/>
            <w:tcBorders>
              <w:top w:val="nil"/>
              <w:left w:val="nil"/>
              <w:bottom w:val="nil"/>
              <w:right w:val="nil"/>
            </w:tcBorders>
            <w:shd w:val="clear" w:color="000000" w:fill="FFFFFF"/>
            <w:noWrap/>
            <w:vAlign w:val="bottom"/>
            <w:hideMark/>
          </w:tcPr>
          <w:p w14:paraId="0CD35138" w14:textId="078E24D9"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(15,890)</w:t>
            </w:r>
          </w:p>
        </w:tc>
        <w:tc>
          <w:tcPr>
            <w:tcW w:w="1826" w:type="dxa"/>
            <w:tcBorders>
              <w:top w:val="nil"/>
              <w:left w:val="nil"/>
              <w:bottom w:val="nil"/>
              <w:right w:val="nil"/>
            </w:tcBorders>
            <w:shd w:val="clear" w:color="000000" w:fill="FFFFFF"/>
            <w:noWrap/>
            <w:vAlign w:val="bottom"/>
            <w:hideMark/>
          </w:tcPr>
          <w:p w14:paraId="21DF960E" w14:textId="73285D3D"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(15,890)</w:t>
            </w:r>
          </w:p>
        </w:tc>
      </w:tr>
      <w:tr w:rsidR="004910A8" w:rsidRPr="008A7A35" w14:paraId="04504448" w14:textId="77777777" w:rsidTr="00391CE4">
        <w:trPr>
          <w:trHeight w:val="302"/>
        </w:trPr>
        <w:tc>
          <w:tcPr>
            <w:tcW w:w="3796" w:type="dxa"/>
            <w:tcBorders>
              <w:top w:val="nil"/>
              <w:left w:val="nil"/>
              <w:bottom w:val="single" w:sz="4" w:space="0" w:color="auto"/>
              <w:right w:val="nil"/>
            </w:tcBorders>
            <w:shd w:val="clear" w:color="000000" w:fill="FFFFFF"/>
            <w:noWrap/>
            <w:vAlign w:val="bottom"/>
            <w:hideMark/>
          </w:tcPr>
          <w:p w14:paraId="3954029C" w14:textId="05F9F0BD" w:rsidR="004910A8" w:rsidRPr="008A7A35" w:rsidRDefault="001E1D69" w:rsidP="00391CE4">
            <w:pPr>
              <w:rPr>
                <w:rFonts w:ascii="Arial" w:hAnsi="Arial" w:cs="Arial"/>
                <w:sz w:val="20"/>
                <w:szCs w:val="20"/>
                <w:lang w:eastAsia="en-GB"/>
              </w:rPr>
            </w:pPr>
            <w:r>
              <w:rPr>
                <w:rFonts w:ascii="Arial" w:hAnsi="Arial" w:cs="Arial"/>
                <w:sz w:val="20"/>
                <w:szCs w:val="20"/>
                <w:lang w:eastAsia="en-GB"/>
              </w:rPr>
              <w:t>Tender offer/</w:t>
            </w:r>
            <w:r w:rsidR="004910A8" w:rsidRPr="008A7A35">
              <w:rPr>
                <w:rFonts w:ascii="Arial" w:hAnsi="Arial" w:cs="Arial"/>
                <w:sz w:val="20"/>
                <w:szCs w:val="20"/>
                <w:lang w:eastAsia="en-GB"/>
              </w:rPr>
              <w:t>Buyback and cancellation of shares</w:t>
            </w:r>
          </w:p>
        </w:tc>
        <w:tc>
          <w:tcPr>
            <w:tcW w:w="2050" w:type="dxa"/>
            <w:tcBorders>
              <w:top w:val="nil"/>
              <w:left w:val="nil"/>
              <w:bottom w:val="single" w:sz="4" w:space="0" w:color="auto"/>
              <w:right w:val="nil"/>
            </w:tcBorders>
            <w:shd w:val="clear" w:color="000000" w:fill="FFFFFF"/>
            <w:noWrap/>
            <w:vAlign w:val="bottom"/>
            <w:hideMark/>
          </w:tcPr>
          <w:p w14:paraId="66F4F256" w14:textId="6E8DE724"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(198,566)</w:t>
            </w:r>
          </w:p>
        </w:tc>
        <w:tc>
          <w:tcPr>
            <w:tcW w:w="2107" w:type="dxa"/>
            <w:tcBorders>
              <w:top w:val="nil"/>
              <w:left w:val="nil"/>
              <w:bottom w:val="single" w:sz="4" w:space="0" w:color="auto"/>
              <w:right w:val="nil"/>
            </w:tcBorders>
            <w:shd w:val="clear" w:color="000000" w:fill="FFFFFF"/>
            <w:noWrap/>
            <w:vAlign w:val="bottom"/>
            <w:hideMark/>
          </w:tcPr>
          <w:p w14:paraId="5E01BB03" w14:textId="54E94531"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w:t>
            </w:r>
          </w:p>
        </w:tc>
        <w:tc>
          <w:tcPr>
            <w:tcW w:w="1826" w:type="dxa"/>
            <w:tcBorders>
              <w:top w:val="nil"/>
              <w:left w:val="nil"/>
              <w:bottom w:val="single" w:sz="4" w:space="0" w:color="auto"/>
              <w:right w:val="nil"/>
            </w:tcBorders>
            <w:shd w:val="clear" w:color="000000" w:fill="FFFFFF"/>
            <w:noWrap/>
            <w:vAlign w:val="bottom"/>
            <w:hideMark/>
          </w:tcPr>
          <w:p w14:paraId="03703FE7" w14:textId="14103F0C"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(198,566)</w:t>
            </w:r>
          </w:p>
        </w:tc>
      </w:tr>
      <w:tr w:rsidR="004910A8" w:rsidRPr="008A7A35" w14:paraId="786C0AAC" w14:textId="77777777" w:rsidTr="00391CE4">
        <w:trPr>
          <w:trHeight w:val="313"/>
        </w:trPr>
        <w:tc>
          <w:tcPr>
            <w:tcW w:w="3796" w:type="dxa"/>
            <w:tcBorders>
              <w:top w:val="nil"/>
              <w:left w:val="nil"/>
              <w:bottom w:val="single" w:sz="8" w:space="0" w:color="auto"/>
              <w:right w:val="nil"/>
            </w:tcBorders>
            <w:shd w:val="clear" w:color="000000" w:fill="FFFFFF"/>
            <w:noWrap/>
            <w:vAlign w:val="bottom"/>
            <w:hideMark/>
          </w:tcPr>
          <w:p w14:paraId="16583CF3" w14:textId="4E4F6575"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 xml:space="preserve">As </w:t>
            </w:r>
            <w:proofErr w:type="gramStart"/>
            <w:r w:rsidRPr="008A7A35">
              <w:rPr>
                <w:rFonts w:ascii="Arial" w:hAnsi="Arial" w:cs="Arial"/>
                <w:b/>
                <w:bCs/>
                <w:sz w:val="20"/>
                <w:szCs w:val="20"/>
                <w:lang w:eastAsia="en-GB"/>
              </w:rPr>
              <w:t>at</w:t>
            </w:r>
            <w:proofErr w:type="gramEnd"/>
            <w:r w:rsidRPr="008A7A35">
              <w:rPr>
                <w:rFonts w:ascii="Arial" w:hAnsi="Arial" w:cs="Arial"/>
                <w:b/>
                <w:bCs/>
                <w:sz w:val="20"/>
                <w:szCs w:val="20"/>
                <w:lang w:eastAsia="en-GB"/>
              </w:rPr>
              <w:t xml:space="preserve"> 30 June 2024</w:t>
            </w:r>
          </w:p>
        </w:tc>
        <w:tc>
          <w:tcPr>
            <w:tcW w:w="2050" w:type="dxa"/>
            <w:tcBorders>
              <w:top w:val="nil"/>
              <w:left w:val="nil"/>
              <w:bottom w:val="single" w:sz="8" w:space="0" w:color="auto"/>
              <w:right w:val="nil"/>
            </w:tcBorders>
            <w:shd w:val="clear" w:color="000000" w:fill="FFFFFF"/>
            <w:noWrap/>
            <w:vAlign w:val="bottom"/>
            <w:hideMark/>
          </w:tcPr>
          <w:p w14:paraId="5226F1FF" w14:textId="56F418E3"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840,155</w:t>
            </w:r>
          </w:p>
        </w:tc>
        <w:tc>
          <w:tcPr>
            <w:tcW w:w="2107" w:type="dxa"/>
            <w:tcBorders>
              <w:top w:val="nil"/>
              <w:left w:val="nil"/>
              <w:bottom w:val="single" w:sz="8" w:space="0" w:color="auto"/>
              <w:right w:val="nil"/>
            </w:tcBorders>
            <w:shd w:val="clear" w:color="000000" w:fill="FFFFFF"/>
            <w:noWrap/>
            <w:vAlign w:val="bottom"/>
            <w:hideMark/>
          </w:tcPr>
          <w:p w14:paraId="3B1E948F" w14:textId="6D6B9F11"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(381,042)</w:t>
            </w:r>
          </w:p>
        </w:tc>
        <w:tc>
          <w:tcPr>
            <w:tcW w:w="1826" w:type="dxa"/>
            <w:tcBorders>
              <w:top w:val="nil"/>
              <w:left w:val="nil"/>
              <w:bottom w:val="single" w:sz="8" w:space="0" w:color="auto"/>
              <w:right w:val="nil"/>
            </w:tcBorders>
            <w:shd w:val="clear" w:color="000000" w:fill="FFFFFF"/>
            <w:noWrap/>
            <w:vAlign w:val="bottom"/>
            <w:hideMark/>
          </w:tcPr>
          <w:p w14:paraId="1F361262" w14:textId="54C250E0" w:rsidR="004910A8" w:rsidRPr="008A7A35" w:rsidRDefault="004910A8" w:rsidP="004910A8">
            <w:pPr>
              <w:jc w:val="right"/>
              <w:rPr>
                <w:rFonts w:ascii="Arial" w:hAnsi="Arial" w:cs="Arial"/>
                <w:sz w:val="20"/>
                <w:szCs w:val="20"/>
                <w:lang w:eastAsia="en-GB"/>
              </w:rPr>
            </w:pPr>
            <w:r w:rsidRPr="008A7A35">
              <w:rPr>
                <w:rFonts w:ascii="Arial" w:hAnsi="Arial" w:cs="Arial"/>
                <w:sz w:val="20"/>
                <w:szCs w:val="20"/>
                <w:lang w:eastAsia="en-GB"/>
              </w:rPr>
              <w:t>459,113</w:t>
            </w:r>
          </w:p>
        </w:tc>
      </w:tr>
    </w:tbl>
    <w:p w14:paraId="62949095" w14:textId="77777777" w:rsidR="00905BED" w:rsidRPr="008A7A35" w:rsidRDefault="00905BED">
      <w:pPr>
        <w:rPr>
          <w:rFonts w:ascii="Arial" w:hAnsi="Arial" w:cs="Arial"/>
          <w:sz w:val="20"/>
          <w:szCs w:val="20"/>
        </w:rPr>
      </w:pPr>
    </w:p>
    <w:p w14:paraId="12CDCD67" w14:textId="77777777" w:rsidR="00AA1294" w:rsidRPr="008A7A35" w:rsidRDefault="00AA1294">
      <w:pPr>
        <w:rPr>
          <w:rFonts w:ascii="Arial" w:hAnsi="Arial" w:cs="Arial"/>
          <w:sz w:val="20"/>
          <w:szCs w:val="20"/>
        </w:rPr>
      </w:pPr>
    </w:p>
    <w:p w14:paraId="01F309FB" w14:textId="23497CD5" w:rsidR="00712872" w:rsidRPr="008A7A35" w:rsidRDefault="00E41A2E">
      <w:pPr>
        <w:rPr>
          <w:rFonts w:ascii="Arial" w:hAnsi="Arial" w:cs="Arial"/>
          <w:sz w:val="20"/>
          <w:szCs w:val="20"/>
        </w:rPr>
      </w:pPr>
      <w:r w:rsidRPr="008A7A35">
        <w:rPr>
          <w:rFonts w:ascii="Arial" w:hAnsi="Arial" w:cs="Arial"/>
          <w:sz w:val="20"/>
          <w:szCs w:val="20"/>
        </w:rPr>
        <w:t>The accompanying notes form an integral part of these</w:t>
      </w:r>
      <w:r w:rsidR="00C128C4" w:rsidRPr="008A7A35">
        <w:rPr>
          <w:rFonts w:ascii="Arial" w:hAnsi="Arial" w:cs="Arial"/>
          <w:sz w:val="20"/>
          <w:szCs w:val="20"/>
        </w:rPr>
        <w:t xml:space="preserve"> unaudited</w:t>
      </w:r>
      <w:r w:rsidRPr="008A7A35">
        <w:rPr>
          <w:rFonts w:ascii="Arial" w:hAnsi="Arial" w:cs="Arial"/>
          <w:sz w:val="20"/>
          <w:szCs w:val="20"/>
        </w:rPr>
        <w:t xml:space="preserve"> interim condensed financial statements.</w:t>
      </w:r>
    </w:p>
    <w:p w14:paraId="56AF6D72" w14:textId="77777777" w:rsidR="00443250" w:rsidRPr="008A7A35" w:rsidRDefault="00443250">
      <w:pPr>
        <w:rPr>
          <w:rFonts w:ascii="Arial" w:hAnsi="Arial" w:cs="Arial"/>
          <w:sz w:val="20"/>
          <w:szCs w:val="20"/>
        </w:rPr>
      </w:pPr>
    </w:p>
    <w:p w14:paraId="68BD29F0" w14:textId="77777777" w:rsidR="00443250" w:rsidRPr="008A7A35" w:rsidRDefault="00443250">
      <w:pPr>
        <w:rPr>
          <w:rFonts w:ascii="Arial" w:hAnsi="Arial" w:cs="Arial"/>
          <w:sz w:val="20"/>
          <w:szCs w:val="20"/>
        </w:rPr>
      </w:pPr>
    </w:p>
    <w:p w14:paraId="3F7619BB" w14:textId="14AD9182" w:rsidR="00E41A2E" w:rsidRPr="008A7A35" w:rsidRDefault="00E41A2E">
      <w:pPr>
        <w:rPr>
          <w:rFonts w:ascii="Arial" w:hAnsi="Arial" w:cs="Arial"/>
        </w:rPr>
      </w:pPr>
      <w:r w:rsidRPr="008A7A35">
        <w:rPr>
          <w:rFonts w:ascii="Arial" w:hAnsi="Arial" w:cs="Arial"/>
          <w:b/>
          <w:caps/>
          <w:sz w:val="30"/>
          <w:szCs w:val="30"/>
        </w:rPr>
        <w:t>Condensed Statement of Cash Flows</w:t>
      </w:r>
    </w:p>
    <w:p w14:paraId="30C602A3" w14:textId="3DA58B66" w:rsidR="00E41A2E" w:rsidRPr="008A7A35" w:rsidRDefault="00E41A2E">
      <w:pPr>
        <w:rPr>
          <w:rFonts w:ascii="Arial" w:hAnsi="Arial" w:cs="Arial"/>
          <w:sz w:val="20"/>
          <w:szCs w:val="20"/>
        </w:rPr>
      </w:pPr>
      <w:r w:rsidRPr="008A7A35">
        <w:rPr>
          <w:rFonts w:ascii="Arial" w:hAnsi="Arial" w:cs="Arial"/>
          <w:sz w:val="20"/>
          <w:szCs w:val="20"/>
        </w:rPr>
        <w:t>For the six months ended 30 June 20</w:t>
      </w:r>
      <w:r w:rsidR="00C75564" w:rsidRPr="008A7A35">
        <w:rPr>
          <w:rFonts w:ascii="Arial" w:hAnsi="Arial" w:cs="Arial"/>
          <w:sz w:val="20"/>
          <w:szCs w:val="20"/>
        </w:rPr>
        <w:t>2</w:t>
      </w:r>
      <w:r w:rsidR="004910A8" w:rsidRPr="008A7A35">
        <w:rPr>
          <w:rFonts w:ascii="Arial" w:hAnsi="Arial" w:cs="Arial"/>
          <w:sz w:val="20"/>
          <w:szCs w:val="20"/>
        </w:rPr>
        <w:t>5</w:t>
      </w:r>
      <w:r w:rsidRPr="008A7A35">
        <w:rPr>
          <w:rFonts w:ascii="Arial" w:hAnsi="Arial" w:cs="Arial"/>
          <w:sz w:val="20"/>
          <w:szCs w:val="20"/>
        </w:rPr>
        <w:t xml:space="preserve"> (Unaudited)</w:t>
      </w:r>
    </w:p>
    <w:p w14:paraId="543FE48D" w14:textId="69C0EF50" w:rsidR="00E642DB" w:rsidRPr="008A7A35" w:rsidRDefault="00E642DB">
      <w:pPr>
        <w:rPr>
          <w:rFonts w:cstheme="minorHAnsi"/>
          <w:sz w:val="24"/>
        </w:rPr>
      </w:pPr>
    </w:p>
    <w:tbl>
      <w:tblPr>
        <w:tblW w:w="10090" w:type="dxa"/>
        <w:tblLook w:val="04A0" w:firstRow="1" w:lastRow="0" w:firstColumn="1" w:lastColumn="0" w:noHBand="0" w:noVBand="1"/>
      </w:tblPr>
      <w:tblGrid>
        <w:gridCol w:w="6416"/>
        <w:gridCol w:w="1856"/>
        <w:gridCol w:w="1818"/>
      </w:tblGrid>
      <w:tr w:rsidR="0045381B" w:rsidRPr="008A7A35" w14:paraId="12C9E8C6" w14:textId="77777777" w:rsidTr="004910A8">
        <w:trPr>
          <w:trHeight w:val="306"/>
        </w:trPr>
        <w:tc>
          <w:tcPr>
            <w:tcW w:w="6416" w:type="dxa"/>
            <w:tcBorders>
              <w:top w:val="nil"/>
              <w:left w:val="nil"/>
              <w:bottom w:val="nil"/>
              <w:right w:val="nil"/>
            </w:tcBorders>
            <w:shd w:val="clear" w:color="000000" w:fill="FFFFFF"/>
            <w:noWrap/>
            <w:vAlign w:val="bottom"/>
            <w:hideMark/>
          </w:tcPr>
          <w:p w14:paraId="0FA5F8CA" w14:textId="32BB3DD5" w:rsidR="0045381B" w:rsidRPr="008A7A35" w:rsidRDefault="0045381B" w:rsidP="0045381B">
            <w:pPr>
              <w:rPr>
                <w:rFonts w:ascii="Arial (Body)" w:hAnsi="Arial (Body)" w:cs="Calibri"/>
                <w:szCs w:val="22"/>
                <w:lang w:eastAsia="en-GB"/>
              </w:rPr>
            </w:pPr>
            <w:r w:rsidRPr="008A7A35">
              <w:rPr>
                <w:rFonts w:ascii="Arial (Body)" w:hAnsi="Arial (Body)" w:cs="Calibri"/>
                <w:szCs w:val="22"/>
                <w:lang w:eastAsia="en-GB"/>
              </w:rPr>
              <w:t> </w:t>
            </w:r>
          </w:p>
        </w:tc>
        <w:tc>
          <w:tcPr>
            <w:tcW w:w="1856" w:type="dxa"/>
            <w:tcBorders>
              <w:top w:val="nil"/>
              <w:left w:val="nil"/>
              <w:bottom w:val="nil"/>
              <w:right w:val="nil"/>
            </w:tcBorders>
            <w:shd w:val="clear" w:color="000000" w:fill="FFFFFF"/>
            <w:noWrap/>
            <w:vAlign w:val="center"/>
            <w:hideMark/>
          </w:tcPr>
          <w:p w14:paraId="6D461C65" w14:textId="12E1A2B9" w:rsidR="0045381B" w:rsidRPr="008A7A35" w:rsidRDefault="0045381B" w:rsidP="0045381B">
            <w:pPr>
              <w:jc w:val="right"/>
              <w:rPr>
                <w:rFonts w:ascii="Arial" w:hAnsi="Arial" w:cs="Arial"/>
                <w:b/>
                <w:bCs/>
                <w:sz w:val="20"/>
                <w:szCs w:val="20"/>
                <w:lang w:eastAsia="en-GB"/>
              </w:rPr>
            </w:pPr>
            <w:r w:rsidRPr="008A7A35">
              <w:rPr>
                <w:rFonts w:ascii="Arial" w:hAnsi="Arial" w:cs="Arial"/>
                <w:b/>
                <w:bCs/>
                <w:sz w:val="20"/>
                <w:szCs w:val="20"/>
                <w:lang w:eastAsia="en-GB"/>
              </w:rPr>
              <w:t>1 January 202</w:t>
            </w:r>
            <w:r w:rsidR="004910A8" w:rsidRPr="008A7A35">
              <w:rPr>
                <w:rFonts w:ascii="Arial" w:hAnsi="Arial" w:cs="Arial"/>
                <w:b/>
                <w:bCs/>
                <w:sz w:val="20"/>
                <w:szCs w:val="20"/>
                <w:lang w:eastAsia="en-GB"/>
              </w:rPr>
              <w:t>5</w:t>
            </w:r>
          </w:p>
        </w:tc>
        <w:tc>
          <w:tcPr>
            <w:tcW w:w="1818" w:type="dxa"/>
            <w:tcBorders>
              <w:top w:val="nil"/>
              <w:left w:val="nil"/>
              <w:bottom w:val="nil"/>
              <w:right w:val="nil"/>
            </w:tcBorders>
            <w:shd w:val="clear" w:color="000000" w:fill="FFFFFF"/>
            <w:noWrap/>
            <w:vAlign w:val="center"/>
            <w:hideMark/>
          </w:tcPr>
          <w:p w14:paraId="35BC45AE" w14:textId="752C3E70" w:rsidR="0045381B" w:rsidRPr="008A7A35" w:rsidRDefault="0045381B" w:rsidP="0045381B">
            <w:pPr>
              <w:jc w:val="right"/>
              <w:rPr>
                <w:rFonts w:ascii="Arial" w:hAnsi="Arial" w:cs="Arial"/>
                <w:sz w:val="20"/>
                <w:szCs w:val="20"/>
                <w:lang w:eastAsia="en-GB"/>
              </w:rPr>
            </w:pPr>
            <w:r w:rsidRPr="008A7A35">
              <w:rPr>
                <w:rFonts w:ascii="Arial" w:hAnsi="Arial" w:cs="Arial"/>
                <w:b/>
                <w:bCs/>
                <w:sz w:val="20"/>
                <w:szCs w:val="20"/>
                <w:lang w:eastAsia="en-GB"/>
              </w:rPr>
              <w:t>1 January 202</w:t>
            </w:r>
            <w:r w:rsidR="004910A8" w:rsidRPr="008A7A35">
              <w:rPr>
                <w:rFonts w:ascii="Arial" w:hAnsi="Arial" w:cs="Arial"/>
                <w:b/>
                <w:bCs/>
                <w:sz w:val="20"/>
                <w:szCs w:val="20"/>
                <w:lang w:eastAsia="en-GB"/>
              </w:rPr>
              <w:t>4</w:t>
            </w:r>
          </w:p>
        </w:tc>
      </w:tr>
      <w:tr w:rsidR="0045381B" w:rsidRPr="008A7A35" w14:paraId="62250584" w14:textId="77777777" w:rsidTr="004910A8">
        <w:trPr>
          <w:trHeight w:val="306"/>
        </w:trPr>
        <w:tc>
          <w:tcPr>
            <w:tcW w:w="6416" w:type="dxa"/>
            <w:tcBorders>
              <w:top w:val="nil"/>
              <w:left w:val="nil"/>
              <w:bottom w:val="nil"/>
              <w:right w:val="nil"/>
            </w:tcBorders>
            <w:shd w:val="clear" w:color="000000" w:fill="FFFFFF"/>
            <w:noWrap/>
            <w:vAlign w:val="bottom"/>
            <w:hideMark/>
          </w:tcPr>
          <w:p w14:paraId="66F3AF1F" w14:textId="77777777" w:rsidR="0045381B" w:rsidRPr="008A7A35" w:rsidRDefault="0045381B" w:rsidP="0045381B">
            <w:pPr>
              <w:rPr>
                <w:rFonts w:ascii="Arial" w:hAnsi="Arial" w:cs="Arial"/>
                <w:sz w:val="20"/>
                <w:szCs w:val="20"/>
                <w:lang w:eastAsia="en-GB"/>
              </w:rPr>
            </w:pPr>
            <w:r w:rsidRPr="008A7A35">
              <w:rPr>
                <w:rFonts w:ascii="Arial" w:hAnsi="Arial" w:cs="Arial"/>
                <w:sz w:val="20"/>
                <w:szCs w:val="20"/>
                <w:lang w:eastAsia="en-GB"/>
              </w:rPr>
              <w:t> </w:t>
            </w:r>
          </w:p>
        </w:tc>
        <w:tc>
          <w:tcPr>
            <w:tcW w:w="1856" w:type="dxa"/>
            <w:tcBorders>
              <w:top w:val="nil"/>
              <w:left w:val="nil"/>
              <w:bottom w:val="nil"/>
              <w:right w:val="nil"/>
            </w:tcBorders>
            <w:shd w:val="clear" w:color="000000" w:fill="FFFFFF"/>
            <w:noWrap/>
            <w:vAlign w:val="center"/>
            <w:hideMark/>
          </w:tcPr>
          <w:p w14:paraId="2D922522" w14:textId="3D644779" w:rsidR="0045381B" w:rsidRPr="008A7A35" w:rsidRDefault="0045381B" w:rsidP="0045381B">
            <w:pPr>
              <w:jc w:val="right"/>
              <w:rPr>
                <w:rFonts w:ascii="Arial" w:hAnsi="Arial" w:cs="Arial"/>
                <w:b/>
                <w:bCs/>
                <w:sz w:val="20"/>
                <w:szCs w:val="20"/>
                <w:lang w:eastAsia="en-GB"/>
              </w:rPr>
            </w:pPr>
            <w:r w:rsidRPr="008A7A35">
              <w:rPr>
                <w:rFonts w:ascii="Arial" w:hAnsi="Arial" w:cs="Arial"/>
                <w:b/>
                <w:bCs/>
                <w:sz w:val="20"/>
                <w:szCs w:val="20"/>
                <w:lang w:eastAsia="en-GB"/>
              </w:rPr>
              <w:t>to 30 June 202</w:t>
            </w:r>
            <w:r w:rsidR="004910A8" w:rsidRPr="008A7A35">
              <w:rPr>
                <w:rFonts w:ascii="Arial" w:hAnsi="Arial" w:cs="Arial"/>
                <w:b/>
                <w:bCs/>
                <w:sz w:val="20"/>
                <w:szCs w:val="20"/>
                <w:lang w:eastAsia="en-GB"/>
              </w:rPr>
              <w:t>5</w:t>
            </w:r>
          </w:p>
        </w:tc>
        <w:tc>
          <w:tcPr>
            <w:tcW w:w="1818" w:type="dxa"/>
            <w:tcBorders>
              <w:top w:val="nil"/>
              <w:left w:val="nil"/>
              <w:bottom w:val="nil"/>
              <w:right w:val="nil"/>
            </w:tcBorders>
            <w:shd w:val="clear" w:color="000000" w:fill="FFFFFF"/>
            <w:noWrap/>
            <w:vAlign w:val="center"/>
            <w:hideMark/>
          </w:tcPr>
          <w:p w14:paraId="5AA76044" w14:textId="4B16BF4E" w:rsidR="0045381B" w:rsidRPr="008A7A35" w:rsidRDefault="0045381B" w:rsidP="0045381B">
            <w:pPr>
              <w:jc w:val="right"/>
              <w:rPr>
                <w:rFonts w:ascii="Arial" w:hAnsi="Arial" w:cs="Arial"/>
                <w:sz w:val="20"/>
                <w:szCs w:val="20"/>
                <w:lang w:eastAsia="en-GB"/>
              </w:rPr>
            </w:pPr>
            <w:r w:rsidRPr="008A7A35">
              <w:rPr>
                <w:rFonts w:ascii="Arial" w:hAnsi="Arial" w:cs="Arial"/>
                <w:b/>
                <w:bCs/>
                <w:sz w:val="20"/>
                <w:szCs w:val="20"/>
                <w:lang w:eastAsia="en-GB"/>
              </w:rPr>
              <w:t>to 30 June 202</w:t>
            </w:r>
            <w:r w:rsidR="004910A8" w:rsidRPr="008A7A35">
              <w:rPr>
                <w:rFonts w:ascii="Arial" w:hAnsi="Arial" w:cs="Arial"/>
                <w:b/>
                <w:bCs/>
                <w:sz w:val="20"/>
                <w:szCs w:val="20"/>
                <w:lang w:eastAsia="en-GB"/>
              </w:rPr>
              <w:t>4</w:t>
            </w:r>
          </w:p>
        </w:tc>
      </w:tr>
      <w:tr w:rsidR="00DB62B9" w:rsidRPr="008A7A35" w14:paraId="0BE49405" w14:textId="77777777" w:rsidTr="004910A8">
        <w:trPr>
          <w:trHeight w:val="306"/>
        </w:trPr>
        <w:tc>
          <w:tcPr>
            <w:tcW w:w="6416" w:type="dxa"/>
            <w:tcBorders>
              <w:top w:val="nil"/>
              <w:left w:val="nil"/>
              <w:bottom w:val="single" w:sz="4" w:space="0" w:color="auto"/>
              <w:right w:val="nil"/>
            </w:tcBorders>
            <w:shd w:val="clear" w:color="000000" w:fill="FFFFFF"/>
            <w:noWrap/>
            <w:vAlign w:val="bottom"/>
            <w:hideMark/>
          </w:tcPr>
          <w:p w14:paraId="4151799C" w14:textId="77777777" w:rsidR="00DB62B9" w:rsidRPr="008A7A35" w:rsidRDefault="00DB62B9" w:rsidP="00DB62B9">
            <w:pPr>
              <w:rPr>
                <w:rFonts w:ascii="Arial" w:hAnsi="Arial" w:cs="Arial"/>
                <w:sz w:val="20"/>
                <w:szCs w:val="20"/>
                <w:lang w:eastAsia="en-GB"/>
              </w:rPr>
            </w:pPr>
            <w:r w:rsidRPr="008A7A35">
              <w:rPr>
                <w:rFonts w:ascii="Arial" w:hAnsi="Arial" w:cs="Arial"/>
                <w:sz w:val="20"/>
                <w:szCs w:val="20"/>
                <w:lang w:eastAsia="en-GB"/>
              </w:rPr>
              <w:t> </w:t>
            </w:r>
          </w:p>
        </w:tc>
        <w:tc>
          <w:tcPr>
            <w:tcW w:w="1856" w:type="dxa"/>
            <w:tcBorders>
              <w:top w:val="nil"/>
              <w:left w:val="nil"/>
              <w:bottom w:val="single" w:sz="4" w:space="0" w:color="auto"/>
              <w:right w:val="nil"/>
            </w:tcBorders>
            <w:shd w:val="clear" w:color="000000" w:fill="FFFFFF"/>
            <w:noWrap/>
            <w:vAlign w:val="center"/>
            <w:hideMark/>
          </w:tcPr>
          <w:p w14:paraId="2D6BC132" w14:textId="77777777" w:rsidR="00DB62B9" w:rsidRPr="008A7A35" w:rsidRDefault="00DB62B9" w:rsidP="00DB62B9">
            <w:pPr>
              <w:jc w:val="right"/>
              <w:rPr>
                <w:rFonts w:ascii="Arial" w:hAnsi="Arial" w:cs="Arial"/>
                <w:b/>
                <w:bCs/>
                <w:sz w:val="20"/>
                <w:szCs w:val="20"/>
                <w:lang w:eastAsia="en-GB"/>
              </w:rPr>
            </w:pPr>
            <w:r w:rsidRPr="008A7A35">
              <w:rPr>
                <w:rFonts w:ascii="Arial" w:hAnsi="Arial" w:cs="Arial"/>
                <w:b/>
                <w:bCs/>
                <w:sz w:val="20"/>
                <w:szCs w:val="20"/>
                <w:lang w:eastAsia="en-GB"/>
              </w:rPr>
              <w:t>$’000</w:t>
            </w:r>
          </w:p>
          <w:p w14:paraId="6DB33BA6" w14:textId="03FB407E" w:rsidR="00F304F5" w:rsidRPr="008A7A35" w:rsidRDefault="00F304F5" w:rsidP="00DB62B9">
            <w:pPr>
              <w:jc w:val="right"/>
              <w:rPr>
                <w:rFonts w:ascii="Arial" w:hAnsi="Arial" w:cs="Arial"/>
                <w:b/>
                <w:bCs/>
                <w:sz w:val="20"/>
                <w:szCs w:val="20"/>
                <w:lang w:eastAsia="en-GB"/>
              </w:rPr>
            </w:pPr>
            <w:r w:rsidRPr="008A7A35">
              <w:rPr>
                <w:rFonts w:ascii="Arial" w:hAnsi="Arial" w:cs="Arial"/>
                <w:b/>
                <w:bCs/>
                <w:sz w:val="20"/>
                <w:szCs w:val="20"/>
                <w:lang w:eastAsia="en-GB"/>
              </w:rPr>
              <w:t>Unaudited</w:t>
            </w:r>
          </w:p>
        </w:tc>
        <w:tc>
          <w:tcPr>
            <w:tcW w:w="1818" w:type="dxa"/>
            <w:tcBorders>
              <w:top w:val="nil"/>
              <w:left w:val="nil"/>
              <w:bottom w:val="single" w:sz="4" w:space="0" w:color="auto"/>
              <w:right w:val="nil"/>
            </w:tcBorders>
            <w:shd w:val="clear" w:color="000000" w:fill="FFFFFF"/>
            <w:noWrap/>
            <w:vAlign w:val="center"/>
            <w:hideMark/>
          </w:tcPr>
          <w:p w14:paraId="72620A5B" w14:textId="77777777" w:rsidR="00DB62B9" w:rsidRPr="008A7A35" w:rsidRDefault="00DB62B9" w:rsidP="00DB62B9">
            <w:pPr>
              <w:jc w:val="right"/>
              <w:rPr>
                <w:rFonts w:ascii="Arial" w:hAnsi="Arial" w:cs="Arial"/>
                <w:b/>
                <w:bCs/>
                <w:sz w:val="20"/>
                <w:szCs w:val="20"/>
                <w:lang w:eastAsia="en-GB"/>
              </w:rPr>
            </w:pPr>
            <w:r w:rsidRPr="008A7A35">
              <w:rPr>
                <w:rFonts w:ascii="Arial" w:hAnsi="Arial" w:cs="Arial"/>
                <w:b/>
                <w:bCs/>
                <w:sz w:val="20"/>
                <w:szCs w:val="20"/>
                <w:lang w:eastAsia="en-GB"/>
              </w:rPr>
              <w:t>$’000</w:t>
            </w:r>
          </w:p>
          <w:p w14:paraId="10043150" w14:textId="52DED727" w:rsidR="00F304F5" w:rsidRPr="008A7A35" w:rsidRDefault="00F304F5" w:rsidP="00DB62B9">
            <w:pPr>
              <w:jc w:val="right"/>
              <w:rPr>
                <w:rFonts w:ascii="Arial" w:hAnsi="Arial" w:cs="Arial"/>
                <w:sz w:val="20"/>
                <w:szCs w:val="20"/>
                <w:lang w:eastAsia="en-GB"/>
              </w:rPr>
            </w:pPr>
            <w:r w:rsidRPr="008A7A35">
              <w:rPr>
                <w:rFonts w:ascii="Arial" w:hAnsi="Arial" w:cs="Arial"/>
                <w:b/>
                <w:bCs/>
                <w:sz w:val="20"/>
                <w:szCs w:val="20"/>
                <w:lang w:eastAsia="en-GB"/>
              </w:rPr>
              <w:t>Unaudited</w:t>
            </w:r>
          </w:p>
        </w:tc>
      </w:tr>
      <w:tr w:rsidR="007B0BCD" w:rsidRPr="008A7A35" w14:paraId="6F1DB50F" w14:textId="77777777" w:rsidTr="00391CE4">
        <w:trPr>
          <w:trHeight w:val="317"/>
        </w:trPr>
        <w:tc>
          <w:tcPr>
            <w:tcW w:w="6416" w:type="dxa"/>
            <w:tcBorders>
              <w:top w:val="nil"/>
              <w:left w:val="nil"/>
              <w:bottom w:val="nil"/>
              <w:right w:val="nil"/>
            </w:tcBorders>
            <w:shd w:val="clear" w:color="000000" w:fill="FFFFFF"/>
            <w:noWrap/>
            <w:vAlign w:val="bottom"/>
            <w:hideMark/>
          </w:tcPr>
          <w:p w14:paraId="5B0F4201" w14:textId="3F87FDB5" w:rsidR="00E642DB" w:rsidRPr="008A7A35" w:rsidRDefault="00E642DB" w:rsidP="00391CE4">
            <w:pPr>
              <w:rPr>
                <w:rFonts w:ascii="Arial" w:hAnsi="Arial" w:cs="Arial"/>
                <w:b/>
                <w:bCs/>
                <w:sz w:val="20"/>
                <w:szCs w:val="20"/>
                <w:lang w:eastAsia="en-GB"/>
              </w:rPr>
            </w:pPr>
            <w:r w:rsidRPr="008A7A35">
              <w:rPr>
                <w:rFonts w:ascii="Arial" w:hAnsi="Arial" w:cs="Arial"/>
                <w:b/>
                <w:bCs/>
                <w:sz w:val="20"/>
                <w:szCs w:val="20"/>
                <w:lang w:eastAsia="en-GB"/>
              </w:rPr>
              <w:lastRenderedPageBreak/>
              <w:t xml:space="preserve">Cash flows </w:t>
            </w:r>
            <w:r w:rsidR="00C91018" w:rsidRPr="008A7A35">
              <w:rPr>
                <w:rFonts w:ascii="Arial" w:hAnsi="Arial" w:cs="Arial"/>
                <w:b/>
                <w:bCs/>
                <w:sz w:val="20"/>
                <w:szCs w:val="20"/>
                <w:lang w:eastAsia="en-GB"/>
              </w:rPr>
              <w:t>used</w:t>
            </w:r>
            <w:r w:rsidR="000250B8" w:rsidRPr="008A7A35">
              <w:rPr>
                <w:rFonts w:ascii="Arial" w:hAnsi="Arial" w:cs="Arial"/>
                <w:b/>
                <w:bCs/>
                <w:sz w:val="20"/>
                <w:szCs w:val="20"/>
                <w:lang w:eastAsia="en-GB"/>
              </w:rPr>
              <w:t xml:space="preserve"> in</w:t>
            </w:r>
            <w:r w:rsidRPr="008A7A35">
              <w:rPr>
                <w:rFonts w:ascii="Arial" w:hAnsi="Arial" w:cs="Arial"/>
                <w:b/>
                <w:bCs/>
                <w:sz w:val="20"/>
                <w:szCs w:val="20"/>
                <w:lang w:eastAsia="en-GB"/>
              </w:rPr>
              <w:t xml:space="preserve"> operating activities</w:t>
            </w:r>
            <w:r w:rsidR="009920C0" w:rsidRPr="008A7A35">
              <w:rPr>
                <w:rFonts w:ascii="Arial" w:hAnsi="Arial" w:cs="Arial"/>
                <w:color w:val="000000" w:themeColor="text1"/>
                <w:sz w:val="20"/>
                <w:szCs w:val="20"/>
                <w:vertAlign w:val="superscript"/>
                <w:lang w:eastAsia="en-GB"/>
              </w:rPr>
              <w:t xml:space="preserve"> </w:t>
            </w:r>
            <w:r w:rsidR="009920C0" w:rsidRPr="008A7A35">
              <w:rPr>
                <w:rFonts w:ascii="Arial" w:hAnsi="Arial" w:cs="Arial"/>
                <w:color w:val="000000" w:themeColor="text1"/>
                <w:sz w:val="20"/>
                <w:szCs w:val="20"/>
              </w:rPr>
              <w:t xml:space="preserve"> </w:t>
            </w:r>
          </w:p>
        </w:tc>
        <w:tc>
          <w:tcPr>
            <w:tcW w:w="1856" w:type="dxa"/>
            <w:tcBorders>
              <w:top w:val="nil"/>
              <w:left w:val="nil"/>
              <w:bottom w:val="nil"/>
              <w:right w:val="nil"/>
            </w:tcBorders>
            <w:shd w:val="clear" w:color="000000" w:fill="FFFFFF"/>
            <w:noWrap/>
            <w:vAlign w:val="bottom"/>
            <w:hideMark/>
          </w:tcPr>
          <w:p w14:paraId="7364176C" w14:textId="77777777" w:rsidR="00E642DB" w:rsidRPr="008A7A35" w:rsidRDefault="00E642DB" w:rsidP="00391CE4">
            <w:pPr>
              <w:jc w:val="right"/>
              <w:rPr>
                <w:rFonts w:ascii="Arial" w:hAnsi="Arial" w:cs="Arial"/>
                <w:b/>
                <w:bCs/>
                <w:sz w:val="20"/>
                <w:szCs w:val="20"/>
                <w:lang w:eastAsia="en-GB"/>
              </w:rPr>
            </w:pPr>
            <w:r w:rsidRPr="008A7A35">
              <w:rPr>
                <w:rFonts w:ascii="Arial" w:hAnsi="Arial" w:cs="Arial"/>
                <w:b/>
                <w:bCs/>
                <w:sz w:val="20"/>
                <w:szCs w:val="20"/>
                <w:lang w:eastAsia="en-GB"/>
              </w:rPr>
              <w:t> </w:t>
            </w:r>
          </w:p>
        </w:tc>
        <w:tc>
          <w:tcPr>
            <w:tcW w:w="1818" w:type="dxa"/>
            <w:tcBorders>
              <w:top w:val="nil"/>
              <w:left w:val="nil"/>
              <w:bottom w:val="nil"/>
              <w:right w:val="nil"/>
            </w:tcBorders>
            <w:shd w:val="clear" w:color="000000" w:fill="FFFFFF"/>
            <w:noWrap/>
            <w:vAlign w:val="bottom"/>
            <w:hideMark/>
          </w:tcPr>
          <w:p w14:paraId="61E37C20" w14:textId="77777777" w:rsidR="00E642DB" w:rsidRPr="008A7A35" w:rsidRDefault="00E642DB" w:rsidP="00391CE4">
            <w:pPr>
              <w:jc w:val="right"/>
              <w:rPr>
                <w:rFonts w:ascii="Arial" w:hAnsi="Arial" w:cs="Arial"/>
                <w:sz w:val="20"/>
                <w:szCs w:val="20"/>
                <w:lang w:eastAsia="en-GB"/>
              </w:rPr>
            </w:pPr>
            <w:r w:rsidRPr="008A7A35">
              <w:rPr>
                <w:rFonts w:ascii="Arial" w:hAnsi="Arial" w:cs="Arial"/>
                <w:sz w:val="20"/>
                <w:szCs w:val="20"/>
                <w:lang w:eastAsia="en-GB"/>
              </w:rPr>
              <w:t> </w:t>
            </w:r>
          </w:p>
        </w:tc>
      </w:tr>
      <w:tr w:rsidR="004910A8" w:rsidRPr="008A7A35" w14:paraId="770E4757" w14:textId="77777777" w:rsidTr="00391CE4">
        <w:trPr>
          <w:trHeight w:val="306"/>
        </w:trPr>
        <w:tc>
          <w:tcPr>
            <w:tcW w:w="6416" w:type="dxa"/>
            <w:tcBorders>
              <w:top w:val="nil"/>
              <w:left w:val="nil"/>
              <w:bottom w:val="single" w:sz="4" w:space="0" w:color="auto"/>
              <w:right w:val="nil"/>
            </w:tcBorders>
            <w:shd w:val="clear" w:color="000000" w:fill="FFFFFF"/>
            <w:noWrap/>
            <w:vAlign w:val="bottom"/>
            <w:hideMark/>
          </w:tcPr>
          <w:p w14:paraId="61B7EDB1" w14:textId="6A83CEA7" w:rsidR="004910A8" w:rsidRPr="008A7A35" w:rsidRDefault="008C15B3" w:rsidP="00391CE4">
            <w:pPr>
              <w:rPr>
                <w:rFonts w:ascii="Arial" w:hAnsi="Arial" w:cs="Arial"/>
                <w:sz w:val="20"/>
                <w:szCs w:val="20"/>
                <w:lang w:eastAsia="en-GB"/>
              </w:rPr>
            </w:pPr>
            <w:r w:rsidRPr="008A7A35">
              <w:rPr>
                <w:rFonts w:ascii="Arial" w:hAnsi="Arial" w:cs="Arial"/>
                <w:sz w:val="20"/>
                <w:szCs w:val="20"/>
                <w:lang w:eastAsia="en-GB"/>
              </w:rPr>
              <w:t>Profit/(</w:t>
            </w:r>
            <w:r w:rsidR="004910A8" w:rsidRPr="008A7A35">
              <w:rPr>
                <w:rFonts w:ascii="Arial" w:hAnsi="Arial" w:cs="Arial"/>
                <w:sz w:val="20"/>
                <w:szCs w:val="20"/>
                <w:lang w:eastAsia="en-GB"/>
              </w:rPr>
              <w:t>Loss</w:t>
            </w:r>
            <w:r w:rsidRPr="008A7A35">
              <w:rPr>
                <w:rFonts w:ascii="Arial" w:hAnsi="Arial" w:cs="Arial"/>
                <w:sz w:val="20"/>
                <w:szCs w:val="20"/>
                <w:lang w:eastAsia="en-GB"/>
              </w:rPr>
              <w:t>)</w:t>
            </w:r>
            <w:r w:rsidR="004910A8" w:rsidRPr="008A7A35">
              <w:rPr>
                <w:rFonts w:ascii="Arial" w:hAnsi="Arial" w:cs="Arial"/>
                <w:sz w:val="20"/>
                <w:szCs w:val="20"/>
                <w:lang w:eastAsia="en-GB"/>
              </w:rPr>
              <w:t xml:space="preserve"> for the financial period</w:t>
            </w:r>
          </w:p>
        </w:tc>
        <w:tc>
          <w:tcPr>
            <w:tcW w:w="1856" w:type="dxa"/>
            <w:tcBorders>
              <w:top w:val="nil"/>
              <w:left w:val="nil"/>
              <w:bottom w:val="single" w:sz="4" w:space="0" w:color="auto"/>
              <w:right w:val="nil"/>
            </w:tcBorders>
            <w:shd w:val="clear" w:color="000000" w:fill="FFFFFF"/>
            <w:noWrap/>
            <w:vAlign w:val="bottom"/>
          </w:tcPr>
          <w:p w14:paraId="68269935" w14:textId="5CE7F627" w:rsidR="004910A8" w:rsidRPr="008A7A35" w:rsidRDefault="00314DDB" w:rsidP="00B9494D">
            <w:pPr>
              <w:jc w:val="right"/>
              <w:rPr>
                <w:rFonts w:ascii="Arial" w:hAnsi="Arial" w:cs="Arial"/>
                <w:b/>
                <w:bCs/>
                <w:sz w:val="20"/>
                <w:szCs w:val="20"/>
                <w:lang w:eastAsia="en-GB"/>
              </w:rPr>
            </w:pPr>
            <w:r>
              <w:rPr>
                <w:rFonts w:ascii="Arial" w:hAnsi="Arial" w:cs="Arial"/>
                <w:b/>
                <w:bCs/>
                <w:sz w:val="20"/>
                <w:szCs w:val="20"/>
                <w:lang w:eastAsia="en-GB"/>
              </w:rPr>
              <w:t>3,033</w:t>
            </w:r>
            <w:r w:rsidR="004910A8" w:rsidRPr="008A7A35" w:rsidDel="0045381B">
              <w:rPr>
                <w:rFonts w:ascii="Arial" w:hAnsi="Arial" w:cs="Arial"/>
                <w:b/>
                <w:bCs/>
                <w:sz w:val="20"/>
                <w:szCs w:val="20"/>
              </w:rPr>
              <w:t xml:space="preserve"> </w:t>
            </w:r>
          </w:p>
        </w:tc>
        <w:tc>
          <w:tcPr>
            <w:tcW w:w="1818" w:type="dxa"/>
            <w:tcBorders>
              <w:top w:val="nil"/>
              <w:left w:val="nil"/>
              <w:bottom w:val="single" w:sz="4" w:space="0" w:color="auto"/>
              <w:right w:val="nil"/>
            </w:tcBorders>
            <w:shd w:val="clear" w:color="000000" w:fill="FFFFFF"/>
            <w:noWrap/>
            <w:vAlign w:val="bottom"/>
            <w:hideMark/>
          </w:tcPr>
          <w:p w14:paraId="2BD07466" w14:textId="60948E58"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(15,890)</w:t>
            </w:r>
            <w:r w:rsidRPr="008A7A35" w:rsidDel="0045381B">
              <w:rPr>
                <w:rFonts w:ascii="Arial" w:hAnsi="Arial" w:cs="Arial"/>
                <w:sz w:val="20"/>
                <w:szCs w:val="20"/>
              </w:rPr>
              <w:t xml:space="preserve"> </w:t>
            </w:r>
          </w:p>
        </w:tc>
      </w:tr>
      <w:tr w:rsidR="004910A8" w:rsidRPr="008A7A35" w14:paraId="16C0744A" w14:textId="77777777" w:rsidTr="00391CE4">
        <w:trPr>
          <w:trHeight w:val="306"/>
        </w:trPr>
        <w:tc>
          <w:tcPr>
            <w:tcW w:w="6416" w:type="dxa"/>
            <w:tcBorders>
              <w:top w:val="single" w:sz="4" w:space="0" w:color="auto"/>
              <w:left w:val="nil"/>
              <w:bottom w:val="nil"/>
              <w:right w:val="nil"/>
            </w:tcBorders>
            <w:shd w:val="clear" w:color="000000" w:fill="FFFFFF"/>
            <w:noWrap/>
            <w:vAlign w:val="bottom"/>
            <w:hideMark/>
          </w:tcPr>
          <w:p w14:paraId="06F5BE57" w14:textId="77777777"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Adjustments for:</w:t>
            </w:r>
          </w:p>
        </w:tc>
        <w:tc>
          <w:tcPr>
            <w:tcW w:w="1856" w:type="dxa"/>
            <w:tcBorders>
              <w:top w:val="single" w:sz="4" w:space="0" w:color="auto"/>
              <w:left w:val="nil"/>
              <w:bottom w:val="nil"/>
              <w:right w:val="nil"/>
            </w:tcBorders>
            <w:shd w:val="clear" w:color="000000" w:fill="FFFFFF"/>
            <w:noWrap/>
            <w:vAlign w:val="bottom"/>
          </w:tcPr>
          <w:p w14:paraId="1C93D5BE" w14:textId="6E6BBD01" w:rsidR="004910A8" w:rsidRPr="008A7A35" w:rsidRDefault="004910A8" w:rsidP="00391CE4">
            <w:pPr>
              <w:jc w:val="right"/>
              <w:rPr>
                <w:rFonts w:ascii="Arial" w:hAnsi="Arial" w:cs="Arial"/>
                <w:b/>
                <w:bCs/>
                <w:sz w:val="20"/>
                <w:szCs w:val="20"/>
                <w:lang w:eastAsia="en-GB"/>
              </w:rPr>
            </w:pPr>
          </w:p>
        </w:tc>
        <w:tc>
          <w:tcPr>
            <w:tcW w:w="1818" w:type="dxa"/>
            <w:tcBorders>
              <w:top w:val="single" w:sz="4" w:space="0" w:color="auto"/>
              <w:left w:val="nil"/>
              <w:bottom w:val="nil"/>
              <w:right w:val="nil"/>
            </w:tcBorders>
            <w:shd w:val="clear" w:color="000000" w:fill="FFFFFF"/>
            <w:noWrap/>
            <w:vAlign w:val="bottom"/>
            <w:hideMark/>
          </w:tcPr>
          <w:p w14:paraId="6E7B9999" w14:textId="56DDBFB0" w:rsidR="004910A8" w:rsidRPr="008A7A35" w:rsidRDefault="004910A8" w:rsidP="00391CE4">
            <w:pPr>
              <w:jc w:val="right"/>
              <w:rPr>
                <w:rFonts w:ascii="Arial" w:hAnsi="Arial" w:cs="Arial"/>
                <w:sz w:val="20"/>
                <w:szCs w:val="20"/>
                <w:lang w:eastAsia="en-GB"/>
              </w:rPr>
            </w:pPr>
          </w:p>
        </w:tc>
      </w:tr>
      <w:tr w:rsidR="004910A8" w:rsidRPr="008A7A35" w14:paraId="7CD711CF" w14:textId="77777777" w:rsidTr="00391CE4">
        <w:trPr>
          <w:trHeight w:val="306"/>
        </w:trPr>
        <w:tc>
          <w:tcPr>
            <w:tcW w:w="6416" w:type="dxa"/>
            <w:tcBorders>
              <w:top w:val="nil"/>
              <w:left w:val="nil"/>
              <w:bottom w:val="nil"/>
              <w:right w:val="nil"/>
            </w:tcBorders>
            <w:shd w:val="clear" w:color="000000" w:fill="FFFFFF"/>
            <w:vAlign w:val="bottom"/>
            <w:hideMark/>
          </w:tcPr>
          <w:p w14:paraId="7039F3C0" w14:textId="77777777"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Change in fair value of investment at fair value through profit or loss</w:t>
            </w:r>
          </w:p>
        </w:tc>
        <w:tc>
          <w:tcPr>
            <w:tcW w:w="1856" w:type="dxa"/>
            <w:tcBorders>
              <w:top w:val="nil"/>
              <w:left w:val="nil"/>
              <w:bottom w:val="nil"/>
              <w:right w:val="nil"/>
            </w:tcBorders>
            <w:shd w:val="clear" w:color="000000" w:fill="FFFFFF"/>
            <w:noWrap/>
            <w:vAlign w:val="bottom"/>
          </w:tcPr>
          <w:p w14:paraId="7A4907C7" w14:textId="49DB1C5F"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w:t>
            </w:r>
            <w:r w:rsidR="00314DDB">
              <w:rPr>
                <w:rFonts w:ascii="Arial" w:hAnsi="Arial" w:cs="Arial"/>
                <w:b/>
                <w:bCs/>
                <w:sz w:val="20"/>
                <w:szCs w:val="20"/>
              </w:rPr>
              <w:t>4,953</w:t>
            </w:r>
            <w:r w:rsidRPr="008A7A35">
              <w:rPr>
                <w:rFonts w:ascii="Arial" w:hAnsi="Arial" w:cs="Arial"/>
                <w:b/>
                <w:bCs/>
                <w:sz w:val="20"/>
                <w:szCs w:val="20"/>
              </w:rPr>
              <w:t>)</w:t>
            </w:r>
          </w:p>
        </w:tc>
        <w:tc>
          <w:tcPr>
            <w:tcW w:w="1818" w:type="dxa"/>
            <w:tcBorders>
              <w:top w:val="nil"/>
              <w:left w:val="nil"/>
              <w:bottom w:val="nil"/>
              <w:right w:val="nil"/>
            </w:tcBorders>
            <w:shd w:val="clear" w:color="000000" w:fill="FFFFFF"/>
            <w:noWrap/>
            <w:vAlign w:val="bottom"/>
            <w:hideMark/>
          </w:tcPr>
          <w:p w14:paraId="5EBC6762" w14:textId="4A07E3D4"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12,778</w:t>
            </w:r>
          </w:p>
        </w:tc>
      </w:tr>
      <w:tr w:rsidR="004910A8" w:rsidRPr="008A7A35" w14:paraId="148337EC" w14:textId="77777777" w:rsidTr="00391CE4">
        <w:trPr>
          <w:trHeight w:val="306"/>
        </w:trPr>
        <w:tc>
          <w:tcPr>
            <w:tcW w:w="6416" w:type="dxa"/>
            <w:tcBorders>
              <w:top w:val="nil"/>
              <w:left w:val="nil"/>
              <w:bottom w:val="nil"/>
              <w:right w:val="nil"/>
            </w:tcBorders>
            <w:shd w:val="clear" w:color="000000" w:fill="FFFFFF"/>
            <w:vAlign w:val="bottom"/>
          </w:tcPr>
          <w:p w14:paraId="4AEDB4C7" w14:textId="6C2EA6BE"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 xml:space="preserve">Foreign exchange </w:t>
            </w:r>
            <w:r w:rsidR="0053380D" w:rsidRPr="008A7A35">
              <w:rPr>
                <w:rFonts w:ascii="Arial" w:hAnsi="Arial" w:cs="Arial"/>
                <w:sz w:val="20"/>
                <w:szCs w:val="20"/>
                <w:lang w:eastAsia="en-GB"/>
              </w:rPr>
              <w:t>(</w:t>
            </w:r>
            <w:r w:rsidRPr="008A7A35">
              <w:rPr>
                <w:rFonts w:ascii="Arial" w:hAnsi="Arial" w:cs="Arial"/>
                <w:sz w:val="20"/>
                <w:szCs w:val="20"/>
                <w:lang w:eastAsia="en-GB"/>
              </w:rPr>
              <w:t>gain</w:t>
            </w:r>
            <w:r w:rsidR="0053380D" w:rsidRPr="008A7A35">
              <w:rPr>
                <w:rFonts w:ascii="Arial" w:hAnsi="Arial" w:cs="Arial"/>
                <w:sz w:val="20"/>
                <w:szCs w:val="20"/>
                <w:lang w:eastAsia="en-GB"/>
              </w:rPr>
              <w:t>)</w:t>
            </w:r>
            <w:r w:rsidRPr="008A7A35">
              <w:rPr>
                <w:rFonts w:ascii="Arial" w:hAnsi="Arial" w:cs="Arial"/>
                <w:sz w:val="20"/>
                <w:szCs w:val="20"/>
                <w:lang w:eastAsia="en-GB"/>
              </w:rPr>
              <w:t>/loss</w:t>
            </w:r>
          </w:p>
        </w:tc>
        <w:tc>
          <w:tcPr>
            <w:tcW w:w="1856" w:type="dxa"/>
            <w:tcBorders>
              <w:top w:val="nil"/>
              <w:left w:val="nil"/>
              <w:bottom w:val="nil"/>
              <w:right w:val="nil"/>
            </w:tcBorders>
            <w:shd w:val="clear" w:color="000000" w:fill="FFFFFF"/>
            <w:noWrap/>
            <w:vAlign w:val="bottom"/>
          </w:tcPr>
          <w:p w14:paraId="1C3D1EF8" w14:textId="59652F2F"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(12)</w:t>
            </w:r>
          </w:p>
        </w:tc>
        <w:tc>
          <w:tcPr>
            <w:tcW w:w="1818" w:type="dxa"/>
            <w:tcBorders>
              <w:top w:val="nil"/>
              <w:left w:val="nil"/>
              <w:bottom w:val="nil"/>
              <w:right w:val="nil"/>
            </w:tcBorders>
            <w:shd w:val="clear" w:color="000000" w:fill="FFFFFF"/>
            <w:noWrap/>
            <w:vAlign w:val="bottom"/>
          </w:tcPr>
          <w:p w14:paraId="6FD9E06A" w14:textId="19CFF37F" w:rsidR="004910A8" w:rsidRPr="008A7A35" w:rsidRDefault="004910A8" w:rsidP="00B9494D">
            <w:pPr>
              <w:jc w:val="right"/>
              <w:rPr>
                <w:rFonts w:ascii="Arial" w:hAnsi="Arial" w:cs="Arial"/>
                <w:sz w:val="20"/>
                <w:szCs w:val="20"/>
              </w:rPr>
            </w:pPr>
            <w:r w:rsidRPr="008A7A35">
              <w:rPr>
                <w:rFonts w:ascii="Arial" w:hAnsi="Arial" w:cs="Arial"/>
                <w:sz w:val="20"/>
                <w:szCs w:val="20"/>
                <w:lang w:eastAsia="en-GB"/>
              </w:rPr>
              <w:t>36</w:t>
            </w:r>
          </w:p>
        </w:tc>
      </w:tr>
      <w:tr w:rsidR="004910A8" w:rsidRPr="008A7A35" w14:paraId="69A1F287" w14:textId="77777777" w:rsidTr="00391CE4">
        <w:trPr>
          <w:trHeight w:val="306"/>
        </w:trPr>
        <w:tc>
          <w:tcPr>
            <w:tcW w:w="6416" w:type="dxa"/>
            <w:tcBorders>
              <w:top w:val="nil"/>
              <w:left w:val="nil"/>
              <w:bottom w:val="nil"/>
              <w:right w:val="nil"/>
            </w:tcBorders>
            <w:shd w:val="clear" w:color="000000" w:fill="FFFFFF"/>
            <w:noWrap/>
            <w:vAlign w:val="bottom"/>
            <w:hideMark/>
          </w:tcPr>
          <w:p w14:paraId="61D33206" w14:textId="77777777"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Movement in trade receivables</w:t>
            </w:r>
          </w:p>
        </w:tc>
        <w:tc>
          <w:tcPr>
            <w:tcW w:w="1856" w:type="dxa"/>
            <w:tcBorders>
              <w:top w:val="nil"/>
              <w:left w:val="nil"/>
              <w:bottom w:val="nil"/>
              <w:right w:val="nil"/>
            </w:tcBorders>
            <w:shd w:val="clear" w:color="000000" w:fill="FFFFFF"/>
            <w:noWrap/>
            <w:vAlign w:val="bottom"/>
          </w:tcPr>
          <w:p w14:paraId="7E330BE2" w14:textId="75DC390F"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2,38</w:t>
            </w:r>
            <w:r w:rsidR="008C75BA">
              <w:rPr>
                <w:rFonts w:ascii="Arial" w:hAnsi="Arial" w:cs="Arial"/>
                <w:b/>
                <w:bCs/>
                <w:sz w:val="20"/>
                <w:szCs w:val="20"/>
              </w:rPr>
              <w:t>3</w:t>
            </w:r>
          </w:p>
        </w:tc>
        <w:tc>
          <w:tcPr>
            <w:tcW w:w="1818" w:type="dxa"/>
            <w:tcBorders>
              <w:top w:val="nil"/>
              <w:left w:val="nil"/>
              <w:bottom w:val="nil"/>
              <w:right w:val="nil"/>
            </w:tcBorders>
            <w:shd w:val="clear" w:color="000000" w:fill="FFFFFF"/>
            <w:noWrap/>
            <w:vAlign w:val="bottom"/>
            <w:hideMark/>
          </w:tcPr>
          <w:p w14:paraId="075BD909" w14:textId="3B0B37F7"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2,222</w:t>
            </w:r>
          </w:p>
        </w:tc>
      </w:tr>
      <w:tr w:rsidR="004910A8" w:rsidRPr="008A7A35" w14:paraId="4B6DE749" w14:textId="77777777" w:rsidTr="00391CE4">
        <w:trPr>
          <w:trHeight w:val="306"/>
        </w:trPr>
        <w:tc>
          <w:tcPr>
            <w:tcW w:w="6416" w:type="dxa"/>
            <w:tcBorders>
              <w:top w:val="nil"/>
              <w:left w:val="nil"/>
              <w:bottom w:val="nil"/>
              <w:right w:val="nil"/>
            </w:tcBorders>
            <w:shd w:val="clear" w:color="000000" w:fill="FFFFFF"/>
            <w:noWrap/>
            <w:vAlign w:val="bottom"/>
            <w:hideMark/>
          </w:tcPr>
          <w:p w14:paraId="04E21118" w14:textId="77777777"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Movement in trade payables</w:t>
            </w:r>
          </w:p>
        </w:tc>
        <w:tc>
          <w:tcPr>
            <w:tcW w:w="1856" w:type="dxa"/>
            <w:tcBorders>
              <w:top w:val="nil"/>
              <w:left w:val="nil"/>
              <w:bottom w:val="nil"/>
              <w:right w:val="nil"/>
            </w:tcBorders>
            <w:shd w:val="clear" w:color="000000" w:fill="FFFFFF"/>
            <w:noWrap/>
            <w:vAlign w:val="bottom"/>
          </w:tcPr>
          <w:p w14:paraId="6FB67658" w14:textId="47E3DF23"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3</w:t>
            </w:r>
          </w:p>
        </w:tc>
        <w:tc>
          <w:tcPr>
            <w:tcW w:w="1818" w:type="dxa"/>
            <w:tcBorders>
              <w:top w:val="nil"/>
              <w:left w:val="nil"/>
              <w:bottom w:val="nil"/>
              <w:right w:val="nil"/>
            </w:tcBorders>
            <w:shd w:val="clear" w:color="000000" w:fill="FFFFFF"/>
            <w:noWrap/>
            <w:vAlign w:val="bottom"/>
            <w:hideMark/>
          </w:tcPr>
          <w:p w14:paraId="45E709C0" w14:textId="0BF42885"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464</w:t>
            </w:r>
            <w:r w:rsidRPr="008A7A35" w:rsidDel="00A40283">
              <w:rPr>
                <w:rFonts w:ascii="Arial" w:hAnsi="Arial" w:cs="Arial"/>
                <w:sz w:val="20"/>
                <w:szCs w:val="20"/>
                <w:lang w:eastAsia="en-GB"/>
              </w:rPr>
              <w:t xml:space="preserve"> </w:t>
            </w:r>
          </w:p>
        </w:tc>
      </w:tr>
      <w:tr w:rsidR="004910A8" w:rsidRPr="008A7A35" w14:paraId="6102F842" w14:textId="77777777" w:rsidTr="00391CE4">
        <w:trPr>
          <w:trHeight w:val="306"/>
        </w:trPr>
        <w:tc>
          <w:tcPr>
            <w:tcW w:w="6416" w:type="dxa"/>
            <w:tcBorders>
              <w:top w:val="single" w:sz="4" w:space="0" w:color="auto"/>
              <w:left w:val="nil"/>
              <w:bottom w:val="single" w:sz="4" w:space="0" w:color="auto"/>
              <w:right w:val="nil"/>
            </w:tcBorders>
            <w:shd w:val="clear" w:color="000000" w:fill="FFFFFF"/>
            <w:noWrap/>
            <w:vAlign w:val="bottom"/>
            <w:hideMark/>
          </w:tcPr>
          <w:p w14:paraId="524EC1DF" w14:textId="0E9838BB" w:rsidR="004910A8" w:rsidRPr="008A7A35" w:rsidRDefault="004910A8" w:rsidP="00B9494D">
            <w:pPr>
              <w:rPr>
                <w:rFonts w:ascii="Arial" w:hAnsi="Arial" w:cs="Arial"/>
                <w:b/>
                <w:bCs/>
                <w:sz w:val="20"/>
                <w:szCs w:val="20"/>
                <w:lang w:eastAsia="en-GB"/>
              </w:rPr>
            </w:pPr>
            <w:r w:rsidRPr="008A7A35">
              <w:rPr>
                <w:rFonts w:ascii="Arial" w:hAnsi="Arial" w:cs="Arial"/>
                <w:b/>
                <w:bCs/>
                <w:sz w:val="20"/>
                <w:szCs w:val="20"/>
                <w:lang w:eastAsia="en-GB"/>
              </w:rPr>
              <w:t xml:space="preserve">Net cash </w:t>
            </w:r>
            <w:r w:rsidR="00CB0436" w:rsidRPr="008A7A35">
              <w:rPr>
                <w:rFonts w:ascii="Arial" w:hAnsi="Arial" w:cs="Arial"/>
                <w:b/>
                <w:bCs/>
                <w:sz w:val="20"/>
                <w:szCs w:val="20"/>
                <w:lang w:eastAsia="en-GB"/>
              </w:rPr>
              <w:t>generated/(</w:t>
            </w:r>
            <w:r w:rsidRPr="008A7A35">
              <w:rPr>
                <w:rFonts w:ascii="Arial" w:hAnsi="Arial" w:cs="Arial"/>
                <w:b/>
                <w:bCs/>
                <w:sz w:val="20"/>
                <w:szCs w:val="20"/>
                <w:lang w:eastAsia="en-GB"/>
              </w:rPr>
              <w:t>used</w:t>
            </w:r>
            <w:r w:rsidR="0053380D" w:rsidRPr="008A7A35">
              <w:rPr>
                <w:rFonts w:ascii="Arial" w:hAnsi="Arial" w:cs="Arial"/>
                <w:b/>
                <w:bCs/>
                <w:sz w:val="20"/>
                <w:szCs w:val="20"/>
                <w:lang w:eastAsia="en-GB"/>
              </w:rPr>
              <w:t>)</w:t>
            </w:r>
            <w:r w:rsidRPr="008A7A35">
              <w:rPr>
                <w:rFonts w:ascii="Arial" w:hAnsi="Arial" w:cs="Arial"/>
                <w:b/>
                <w:bCs/>
                <w:sz w:val="20"/>
                <w:szCs w:val="20"/>
                <w:lang w:eastAsia="en-GB"/>
              </w:rPr>
              <w:t xml:space="preserve"> in operating activities</w:t>
            </w:r>
          </w:p>
        </w:tc>
        <w:tc>
          <w:tcPr>
            <w:tcW w:w="1856" w:type="dxa"/>
            <w:tcBorders>
              <w:top w:val="single" w:sz="4" w:space="0" w:color="auto"/>
              <w:left w:val="nil"/>
              <w:bottom w:val="single" w:sz="4" w:space="0" w:color="auto"/>
              <w:right w:val="nil"/>
            </w:tcBorders>
            <w:shd w:val="clear" w:color="000000" w:fill="FFFFFF"/>
            <w:noWrap/>
            <w:vAlign w:val="bottom"/>
          </w:tcPr>
          <w:p w14:paraId="3270667F" w14:textId="1C85D868"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45</w:t>
            </w:r>
            <w:r w:rsidR="008C75BA">
              <w:rPr>
                <w:rFonts w:ascii="Arial" w:hAnsi="Arial" w:cs="Arial"/>
                <w:b/>
                <w:bCs/>
                <w:sz w:val="20"/>
                <w:szCs w:val="20"/>
              </w:rPr>
              <w:t>4</w:t>
            </w:r>
            <w:r w:rsidR="004910A8" w:rsidRPr="008A7A35" w:rsidDel="004910A8">
              <w:rPr>
                <w:rFonts w:ascii="Arial" w:hAnsi="Arial" w:cs="Arial"/>
                <w:b/>
                <w:bCs/>
                <w:sz w:val="20"/>
                <w:szCs w:val="20"/>
                <w:lang w:eastAsia="en-GB"/>
              </w:rPr>
              <w:t xml:space="preserve"> </w:t>
            </w:r>
          </w:p>
        </w:tc>
        <w:tc>
          <w:tcPr>
            <w:tcW w:w="1818" w:type="dxa"/>
            <w:tcBorders>
              <w:top w:val="single" w:sz="4" w:space="0" w:color="auto"/>
              <w:left w:val="nil"/>
              <w:bottom w:val="single" w:sz="4" w:space="0" w:color="auto"/>
              <w:right w:val="nil"/>
            </w:tcBorders>
            <w:shd w:val="clear" w:color="000000" w:fill="FFFFFF"/>
            <w:noWrap/>
            <w:vAlign w:val="bottom"/>
            <w:hideMark/>
          </w:tcPr>
          <w:p w14:paraId="1D18F1DA" w14:textId="1D267A77"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(390)</w:t>
            </w:r>
          </w:p>
        </w:tc>
      </w:tr>
      <w:tr w:rsidR="004910A8" w:rsidRPr="008A7A35" w14:paraId="2AC939D6" w14:textId="77777777" w:rsidTr="00391CE4">
        <w:trPr>
          <w:trHeight w:val="306"/>
        </w:trPr>
        <w:tc>
          <w:tcPr>
            <w:tcW w:w="6416" w:type="dxa"/>
            <w:tcBorders>
              <w:top w:val="single" w:sz="4" w:space="0" w:color="auto"/>
              <w:left w:val="nil"/>
              <w:bottom w:val="nil"/>
              <w:right w:val="nil"/>
            </w:tcBorders>
            <w:shd w:val="clear" w:color="000000" w:fill="FFFFFF"/>
            <w:noWrap/>
            <w:vAlign w:val="bottom"/>
            <w:hideMark/>
          </w:tcPr>
          <w:p w14:paraId="30265B99" w14:textId="77777777"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Cash flows generated from investing activities</w:t>
            </w:r>
          </w:p>
        </w:tc>
        <w:tc>
          <w:tcPr>
            <w:tcW w:w="1856" w:type="dxa"/>
            <w:tcBorders>
              <w:top w:val="single" w:sz="4" w:space="0" w:color="auto"/>
              <w:left w:val="nil"/>
              <w:bottom w:val="nil"/>
              <w:right w:val="nil"/>
            </w:tcBorders>
            <w:shd w:val="clear" w:color="000000" w:fill="FFFFFF"/>
            <w:noWrap/>
            <w:vAlign w:val="bottom"/>
          </w:tcPr>
          <w:p w14:paraId="4A94C5DD" w14:textId="4004E8BC" w:rsidR="004910A8" w:rsidRPr="008A7A35" w:rsidRDefault="004910A8" w:rsidP="00391CE4">
            <w:pPr>
              <w:jc w:val="right"/>
              <w:rPr>
                <w:rFonts w:ascii="Arial" w:hAnsi="Arial" w:cs="Arial"/>
                <w:b/>
                <w:bCs/>
                <w:sz w:val="20"/>
                <w:szCs w:val="20"/>
                <w:lang w:eastAsia="en-GB"/>
              </w:rPr>
            </w:pPr>
          </w:p>
        </w:tc>
        <w:tc>
          <w:tcPr>
            <w:tcW w:w="1818" w:type="dxa"/>
            <w:tcBorders>
              <w:top w:val="single" w:sz="4" w:space="0" w:color="auto"/>
              <w:left w:val="nil"/>
              <w:bottom w:val="nil"/>
              <w:right w:val="nil"/>
            </w:tcBorders>
            <w:shd w:val="clear" w:color="000000" w:fill="FFFFFF"/>
            <w:noWrap/>
            <w:vAlign w:val="bottom"/>
            <w:hideMark/>
          </w:tcPr>
          <w:p w14:paraId="48777B7D" w14:textId="2AD44661" w:rsidR="004910A8" w:rsidRPr="008A7A35" w:rsidRDefault="004910A8" w:rsidP="00391CE4">
            <w:pPr>
              <w:jc w:val="right"/>
              <w:rPr>
                <w:rFonts w:ascii="Arial" w:hAnsi="Arial" w:cs="Arial"/>
                <w:sz w:val="20"/>
                <w:szCs w:val="20"/>
                <w:lang w:eastAsia="en-GB"/>
              </w:rPr>
            </w:pPr>
          </w:p>
        </w:tc>
      </w:tr>
      <w:tr w:rsidR="004910A8" w:rsidRPr="008A7A35" w14:paraId="17C5D6A9" w14:textId="77777777" w:rsidTr="00391CE4">
        <w:trPr>
          <w:trHeight w:val="317"/>
        </w:trPr>
        <w:tc>
          <w:tcPr>
            <w:tcW w:w="6416" w:type="dxa"/>
            <w:tcBorders>
              <w:top w:val="nil"/>
              <w:left w:val="nil"/>
              <w:bottom w:val="nil"/>
              <w:right w:val="nil"/>
            </w:tcBorders>
            <w:shd w:val="clear" w:color="000000" w:fill="FFFFFF"/>
            <w:noWrap/>
            <w:vAlign w:val="bottom"/>
            <w:hideMark/>
          </w:tcPr>
          <w:p w14:paraId="04BC8EE7" w14:textId="0F745F2C"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Distributions from the Partnership</w:t>
            </w:r>
          </w:p>
        </w:tc>
        <w:tc>
          <w:tcPr>
            <w:tcW w:w="1856" w:type="dxa"/>
            <w:tcBorders>
              <w:top w:val="nil"/>
              <w:left w:val="nil"/>
              <w:bottom w:val="nil"/>
              <w:right w:val="nil"/>
            </w:tcBorders>
            <w:shd w:val="clear" w:color="000000" w:fill="FFFFFF"/>
            <w:noWrap/>
            <w:vAlign w:val="bottom"/>
          </w:tcPr>
          <w:p w14:paraId="50C2E452" w14:textId="55CBCD3F"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6,58</w:t>
            </w:r>
            <w:r w:rsidR="008C75BA">
              <w:rPr>
                <w:rFonts w:ascii="Arial" w:hAnsi="Arial" w:cs="Arial"/>
                <w:b/>
                <w:bCs/>
                <w:sz w:val="20"/>
                <w:szCs w:val="20"/>
              </w:rPr>
              <w:t>3</w:t>
            </w:r>
          </w:p>
        </w:tc>
        <w:tc>
          <w:tcPr>
            <w:tcW w:w="1818" w:type="dxa"/>
            <w:tcBorders>
              <w:top w:val="nil"/>
              <w:left w:val="nil"/>
              <w:bottom w:val="nil"/>
              <w:right w:val="nil"/>
            </w:tcBorders>
            <w:shd w:val="clear" w:color="000000" w:fill="FFFFFF"/>
            <w:noWrap/>
            <w:vAlign w:val="bottom"/>
            <w:hideMark/>
          </w:tcPr>
          <w:p w14:paraId="5FBE04AA" w14:textId="26F533C1"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198,566</w:t>
            </w:r>
          </w:p>
        </w:tc>
      </w:tr>
      <w:tr w:rsidR="004910A8" w:rsidRPr="008A7A35" w14:paraId="6803EAC7" w14:textId="77777777" w:rsidTr="00391CE4">
        <w:trPr>
          <w:trHeight w:val="306"/>
        </w:trPr>
        <w:tc>
          <w:tcPr>
            <w:tcW w:w="6416" w:type="dxa"/>
            <w:tcBorders>
              <w:top w:val="single" w:sz="4" w:space="0" w:color="auto"/>
              <w:left w:val="nil"/>
              <w:bottom w:val="single" w:sz="4" w:space="0" w:color="auto"/>
              <w:right w:val="nil"/>
            </w:tcBorders>
            <w:shd w:val="clear" w:color="000000" w:fill="FFFFFF"/>
            <w:noWrap/>
            <w:vAlign w:val="bottom"/>
            <w:hideMark/>
          </w:tcPr>
          <w:p w14:paraId="1BC8D043" w14:textId="77777777"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Net cash generated from investing activities</w:t>
            </w:r>
          </w:p>
        </w:tc>
        <w:tc>
          <w:tcPr>
            <w:tcW w:w="1856" w:type="dxa"/>
            <w:tcBorders>
              <w:top w:val="single" w:sz="4" w:space="0" w:color="auto"/>
              <w:left w:val="nil"/>
              <w:bottom w:val="single" w:sz="4" w:space="0" w:color="auto"/>
              <w:right w:val="nil"/>
            </w:tcBorders>
            <w:shd w:val="clear" w:color="000000" w:fill="FFFFFF"/>
            <w:noWrap/>
            <w:vAlign w:val="bottom"/>
          </w:tcPr>
          <w:p w14:paraId="01EA5D08" w14:textId="068DBDF6"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6,58</w:t>
            </w:r>
            <w:r w:rsidR="008C75BA">
              <w:rPr>
                <w:rFonts w:ascii="Arial" w:hAnsi="Arial" w:cs="Arial"/>
                <w:b/>
                <w:bCs/>
                <w:sz w:val="20"/>
                <w:szCs w:val="20"/>
              </w:rPr>
              <w:t>3</w:t>
            </w:r>
          </w:p>
        </w:tc>
        <w:tc>
          <w:tcPr>
            <w:tcW w:w="1818" w:type="dxa"/>
            <w:tcBorders>
              <w:top w:val="single" w:sz="4" w:space="0" w:color="auto"/>
              <w:left w:val="nil"/>
              <w:bottom w:val="single" w:sz="4" w:space="0" w:color="auto"/>
              <w:right w:val="nil"/>
            </w:tcBorders>
            <w:shd w:val="clear" w:color="000000" w:fill="FFFFFF"/>
            <w:noWrap/>
            <w:vAlign w:val="bottom"/>
            <w:hideMark/>
          </w:tcPr>
          <w:p w14:paraId="16FFA259" w14:textId="73CC8CF4"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198,566</w:t>
            </w:r>
          </w:p>
        </w:tc>
      </w:tr>
      <w:tr w:rsidR="0045381B" w:rsidRPr="008A7A35" w14:paraId="113DA67A" w14:textId="77777777" w:rsidTr="00391CE4">
        <w:trPr>
          <w:trHeight w:val="306"/>
        </w:trPr>
        <w:tc>
          <w:tcPr>
            <w:tcW w:w="6416" w:type="dxa"/>
            <w:tcBorders>
              <w:top w:val="single" w:sz="4" w:space="0" w:color="auto"/>
              <w:left w:val="nil"/>
              <w:bottom w:val="nil"/>
              <w:right w:val="nil"/>
            </w:tcBorders>
            <w:shd w:val="clear" w:color="000000" w:fill="FFFFFF"/>
            <w:noWrap/>
            <w:vAlign w:val="bottom"/>
            <w:hideMark/>
          </w:tcPr>
          <w:p w14:paraId="1845BDFC" w14:textId="77777777" w:rsidR="0045381B" w:rsidRPr="008A7A35" w:rsidRDefault="0045381B" w:rsidP="00391CE4">
            <w:pPr>
              <w:rPr>
                <w:rFonts w:ascii="Arial" w:hAnsi="Arial" w:cs="Arial"/>
                <w:b/>
                <w:bCs/>
                <w:sz w:val="20"/>
                <w:szCs w:val="20"/>
                <w:lang w:eastAsia="en-GB"/>
              </w:rPr>
            </w:pPr>
            <w:r w:rsidRPr="008A7A35">
              <w:rPr>
                <w:rFonts w:ascii="Arial" w:hAnsi="Arial" w:cs="Arial"/>
                <w:b/>
                <w:bCs/>
                <w:sz w:val="20"/>
                <w:szCs w:val="20"/>
                <w:lang w:eastAsia="en-GB"/>
              </w:rPr>
              <w:t>Cash flow used in financing activities</w:t>
            </w:r>
          </w:p>
        </w:tc>
        <w:tc>
          <w:tcPr>
            <w:tcW w:w="1856" w:type="dxa"/>
            <w:tcBorders>
              <w:top w:val="single" w:sz="4" w:space="0" w:color="auto"/>
              <w:left w:val="nil"/>
              <w:bottom w:val="nil"/>
              <w:right w:val="nil"/>
            </w:tcBorders>
            <w:shd w:val="clear" w:color="000000" w:fill="FFFFFF"/>
            <w:noWrap/>
            <w:vAlign w:val="bottom"/>
          </w:tcPr>
          <w:p w14:paraId="46963C32" w14:textId="317F02B9" w:rsidR="0045381B" w:rsidRPr="008A7A35" w:rsidRDefault="0045381B" w:rsidP="00391CE4">
            <w:pPr>
              <w:jc w:val="right"/>
              <w:rPr>
                <w:rFonts w:ascii="Arial" w:hAnsi="Arial" w:cs="Arial"/>
                <w:b/>
                <w:bCs/>
                <w:sz w:val="20"/>
                <w:szCs w:val="20"/>
                <w:lang w:eastAsia="en-GB"/>
              </w:rPr>
            </w:pPr>
          </w:p>
        </w:tc>
        <w:tc>
          <w:tcPr>
            <w:tcW w:w="1818" w:type="dxa"/>
            <w:tcBorders>
              <w:top w:val="single" w:sz="4" w:space="0" w:color="auto"/>
              <w:left w:val="nil"/>
              <w:bottom w:val="nil"/>
              <w:right w:val="nil"/>
            </w:tcBorders>
            <w:shd w:val="clear" w:color="000000" w:fill="FFFFFF"/>
            <w:noWrap/>
            <w:vAlign w:val="bottom"/>
            <w:hideMark/>
          </w:tcPr>
          <w:p w14:paraId="0C90273A" w14:textId="00602F70" w:rsidR="0045381B" w:rsidRPr="008A7A35" w:rsidRDefault="0045381B" w:rsidP="00391CE4">
            <w:pPr>
              <w:jc w:val="right"/>
              <w:rPr>
                <w:rFonts w:ascii="Arial" w:hAnsi="Arial" w:cs="Arial"/>
                <w:sz w:val="20"/>
                <w:szCs w:val="20"/>
                <w:lang w:eastAsia="en-GB"/>
              </w:rPr>
            </w:pPr>
          </w:p>
        </w:tc>
      </w:tr>
      <w:tr w:rsidR="004910A8" w:rsidRPr="008A7A35" w14:paraId="3C19430F" w14:textId="77777777" w:rsidTr="00391CE4">
        <w:trPr>
          <w:trHeight w:val="306"/>
        </w:trPr>
        <w:tc>
          <w:tcPr>
            <w:tcW w:w="6416" w:type="dxa"/>
            <w:tcBorders>
              <w:top w:val="nil"/>
              <w:left w:val="nil"/>
              <w:bottom w:val="nil"/>
              <w:right w:val="nil"/>
            </w:tcBorders>
            <w:shd w:val="clear" w:color="000000" w:fill="FFFFFF"/>
            <w:noWrap/>
            <w:vAlign w:val="bottom"/>
            <w:hideMark/>
          </w:tcPr>
          <w:p w14:paraId="052857F6" w14:textId="1C5997F3"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Tender offer/buyback of shares</w:t>
            </w:r>
          </w:p>
        </w:tc>
        <w:tc>
          <w:tcPr>
            <w:tcW w:w="1856" w:type="dxa"/>
            <w:tcBorders>
              <w:top w:val="nil"/>
              <w:left w:val="nil"/>
              <w:bottom w:val="nil"/>
              <w:right w:val="nil"/>
            </w:tcBorders>
            <w:shd w:val="clear" w:color="000000" w:fill="FFFFFF"/>
            <w:noWrap/>
            <w:vAlign w:val="bottom"/>
          </w:tcPr>
          <w:p w14:paraId="77C33056" w14:textId="38458615"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(7,194)</w:t>
            </w:r>
          </w:p>
        </w:tc>
        <w:tc>
          <w:tcPr>
            <w:tcW w:w="1818" w:type="dxa"/>
            <w:tcBorders>
              <w:top w:val="nil"/>
              <w:left w:val="nil"/>
              <w:bottom w:val="nil"/>
              <w:right w:val="nil"/>
            </w:tcBorders>
            <w:shd w:val="clear" w:color="000000" w:fill="FFFFFF"/>
            <w:noWrap/>
            <w:vAlign w:val="bottom"/>
            <w:hideMark/>
          </w:tcPr>
          <w:p w14:paraId="16224762" w14:textId="5E35A034"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(198,566)</w:t>
            </w:r>
          </w:p>
        </w:tc>
      </w:tr>
      <w:tr w:rsidR="004910A8" w:rsidRPr="008A7A35" w14:paraId="3ED88858" w14:textId="77777777" w:rsidTr="00391CE4">
        <w:trPr>
          <w:trHeight w:val="306"/>
        </w:trPr>
        <w:tc>
          <w:tcPr>
            <w:tcW w:w="6416" w:type="dxa"/>
            <w:tcBorders>
              <w:top w:val="single" w:sz="4" w:space="0" w:color="auto"/>
              <w:left w:val="nil"/>
              <w:bottom w:val="single" w:sz="4" w:space="0" w:color="auto"/>
              <w:right w:val="nil"/>
            </w:tcBorders>
            <w:shd w:val="clear" w:color="000000" w:fill="FFFFFF"/>
            <w:noWrap/>
            <w:vAlign w:val="bottom"/>
            <w:hideMark/>
          </w:tcPr>
          <w:p w14:paraId="302E62BA" w14:textId="13D3C574"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Net cash used in financing activities</w:t>
            </w:r>
          </w:p>
        </w:tc>
        <w:tc>
          <w:tcPr>
            <w:tcW w:w="1856" w:type="dxa"/>
            <w:tcBorders>
              <w:top w:val="single" w:sz="4" w:space="0" w:color="auto"/>
              <w:left w:val="nil"/>
              <w:bottom w:val="single" w:sz="4" w:space="0" w:color="auto"/>
              <w:right w:val="nil"/>
            </w:tcBorders>
            <w:shd w:val="clear" w:color="000000" w:fill="FFFFFF"/>
            <w:noWrap/>
            <w:vAlign w:val="bottom"/>
          </w:tcPr>
          <w:p w14:paraId="7E8E4FF6" w14:textId="74E42171"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(7,194)</w:t>
            </w:r>
          </w:p>
        </w:tc>
        <w:tc>
          <w:tcPr>
            <w:tcW w:w="1818" w:type="dxa"/>
            <w:tcBorders>
              <w:top w:val="single" w:sz="4" w:space="0" w:color="auto"/>
              <w:left w:val="nil"/>
              <w:bottom w:val="single" w:sz="4" w:space="0" w:color="auto"/>
              <w:right w:val="nil"/>
            </w:tcBorders>
            <w:shd w:val="clear" w:color="000000" w:fill="FFFFFF"/>
            <w:noWrap/>
            <w:vAlign w:val="bottom"/>
            <w:hideMark/>
          </w:tcPr>
          <w:p w14:paraId="349E7AC4" w14:textId="6EE3EB0D"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(198,566)</w:t>
            </w:r>
          </w:p>
        </w:tc>
      </w:tr>
      <w:tr w:rsidR="004910A8" w:rsidRPr="008A7A35" w14:paraId="684E2D9E" w14:textId="77777777" w:rsidTr="00391CE4">
        <w:trPr>
          <w:trHeight w:val="306"/>
        </w:trPr>
        <w:tc>
          <w:tcPr>
            <w:tcW w:w="6416" w:type="dxa"/>
            <w:tcBorders>
              <w:top w:val="single" w:sz="4" w:space="0" w:color="auto"/>
              <w:left w:val="nil"/>
              <w:bottom w:val="single" w:sz="4" w:space="0" w:color="auto"/>
              <w:right w:val="nil"/>
            </w:tcBorders>
            <w:shd w:val="clear" w:color="000000" w:fill="FFFFFF"/>
            <w:vAlign w:val="bottom"/>
            <w:hideMark/>
          </w:tcPr>
          <w:p w14:paraId="3009598F" w14:textId="77777777"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Net movement in cash and cash equivalents during the period</w:t>
            </w:r>
          </w:p>
        </w:tc>
        <w:tc>
          <w:tcPr>
            <w:tcW w:w="1856" w:type="dxa"/>
            <w:tcBorders>
              <w:top w:val="single" w:sz="4" w:space="0" w:color="auto"/>
              <w:left w:val="nil"/>
              <w:bottom w:val="single" w:sz="4" w:space="0" w:color="auto"/>
              <w:right w:val="nil"/>
            </w:tcBorders>
            <w:shd w:val="clear" w:color="000000" w:fill="FFFFFF"/>
            <w:noWrap/>
            <w:vAlign w:val="bottom"/>
          </w:tcPr>
          <w:p w14:paraId="71BD86C2" w14:textId="51504A9A"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(157)</w:t>
            </w:r>
          </w:p>
        </w:tc>
        <w:tc>
          <w:tcPr>
            <w:tcW w:w="1818" w:type="dxa"/>
            <w:tcBorders>
              <w:top w:val="single" w:sz="4" w:space="0" w:color="auto"/>
              <w:left w:val="nil"/>
              <w:bottom w:val="single" w:sz="4" w:space="0" w:color="auto"/>
              <w:right w:val="nil"/>
            </w:tcBorders>
            <w:shd w:val="clear" w:color="000000" w:fill="FFFFFF"/>
            <w:noWrap/>
            <w:vAlign w:val="bottom"/>
            <w:hideMark/>
          </w:tcPr>
          <w:p w14:paraId="0EE7A914" w14:textId="104AE764"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(390)</w:t>
            </w:r>
          </w:p>
        </w:tc>
      </w:tr>
      <w:tr w:rsidR="004910A8" w:rsidRPr="008A7A35" w14:paraId="78341FE1" w14:textId="77777777" w:rsidTr="00391CE4">
        <w:trPr>
          <w:trHeight w:val="306"/>
        </w:trPr>
        <w:tc>
          <w:tcPr>
            <w:tcW w:w="6416" w:type="dxa"/>
            <w:tcBorders>
              <w:top w:val="single" w:sz="4" w:space="0" w:color="auto"/>
              <w:left w:val="nil"/>
              <w:bottom w:val="nil"/>
              <w:right w:val="nil"/>
            </w:tcBorders>
            <w:shd w:val="clear" w:color="000000" w:fill="FFFFFF"/>
            <w:vAlign w:val="bottom"/>
            <w:hideMark/>
          </w:tcPr>
          <w:p w14:paraId="3CDFC896" w14:textId="77777777"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Cash and cash equivalents at the beginning of the period</w:t>
            </w:r>
          </w:p>
        </w:tc>
        <w:tc>
          <w:tcPr>
            <w:tcW w:w="1856" w:type="dxa"/>
            <w:tcBorders>
              <w:top w:val="single" w:sz="4" w:space="0" w:color="auto"/>
              <w:left w:val="nil"/>
              <w:bottom w:val="nil"/>
              <w:right w:val="nil"/>
            </w:tcBorders>
            <w:shd w:val="clear" w:color="000000" w:fill="FFFFFF"/>
            <w:noWrap/>
            <w:vAlign w:val="bottom"/>
          </w:tcPr>
          <w:p w14:paraId="701EE6E6" w14:textId="00946241"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1,459</w:t>
            </w:r>
          </w:p>
        </w:tc>
        <w:tc>
          <w:tcPr>
            <w:tcW w:w="1818" w:type="dxa"/>
            <w:tcBorders>
              <w:top w:val="single" w:sz="4" w:space="0" w:color="auto"/>
              <w:left w:val="nil"/>
              <w:bottom w:val="nil"/>
              <w:right w:val="nil"/>
            </w:tcBorders>
            <w:shd w:val="clear" w:color="000000" w:fill="FFFFFF"/>
            <w:noWrap/>
            <w:vAlign w:val="bottom"/>
            <w:hideMark/>
          </w:tcPr>
          <w:p w14:paraId="6C8CFF89" w14:textId="578A0265"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5,781</w:t>
            </w:r>
          </w:p>
        </w:tc>
      </w:tr>
      <w:tr w:rsidR="004910A8" w:rsidRPr="008A7A35" w14:paraId="106BE179" w14:textId="77777777" w:rsidTr="00391CE4">
        <w:trPr>
          <w:trHeight w:val="306"/>
        </w:trPr>
        <w:tc>
          <w:tcPr>
            <w:tcW w:w="6416" w:type="dxa"/>
            <w:tcBorders>
              <w:top w:val="nil"/>
              <w:left w:val="nil"/>
              <w:bottom w:val="nil"/>
              <w:right w:val="nil"/>
            </w:tcBorders>
            <w:shd w:val="clear" w:color="000000" w:fill="FFFFFF"/>
            <w:vAlign w:val="bottom"/>
            <w:hideMark/>
          </w:tcPr>
          <w:p w14:paraId="02B7F759" w14:textId="77777777" w:rsidR="004910A8" w:rsidRPr="008A7A35" w:rsidRDefault="004910A8" w:rsidP="00391CE4">
            <w:pPr>
              <w:rPr>
                <w:rFonts w:ascii="Arial" w:hAnsi="Arial" w:cs="Arial"/>
                <w:sz w:val="20"/>
                <w:szCs w:val="20"/>
                <w:lang w:eastAsia="en-GB"/>
              </w:rPr>
            </w:pPr>
            <w:r w:rsidRPr="008A7A35">
              <w:rPr>
                <w:rFonts w:ascii="Arial" w:hAnsi="Arial" w:cs="Arial"/>
                <w:sz w:val="20"/>
                <w:szCs w:val="20"/>
                <w:lang w:eastAsia="en-GB"/>
              </w:rPr>
              <w:t xml:space="preserve">Effect of foreign exchange rate changes </w:t>
            </w:r>
          </w:p>
        </w:tc>
        <w:tc>
          <w:tcPr>
            <w:tcW w:w="1856" w:type="dxa"/>
            <w:tcBorders>
              <w:top w:val="nil"/>
              <w:left w:val="nil"/>
              <w:bottom w:val="nil"/>
              <w:right w:val="nil"/>
            </w:tcBorders>
            <w:shd w:val="clear" w:color="000000" w:fill="FFFFFF"/>
            <w:noWrap/>
            <w:vAlign w:val="bottom"/>
          </w:tcPr>
          <w:p w14:paraId="6698C781" w14:textId="3CA84D14"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12</w:t>
            </w:r>
          </w:p>
        </w:tc>
        <w:tc>
          <w:tcPr>
            <w:tcW w:w="1818" w:type="dxa"/>
            <w:tcBorders>
              <w:top w:val="nil"/>
              <w:left w:val="nil"/>
              <w:bottom w:val="nil"/>
              <w:right w:val="nil"/>
            </w:tcBorders>
            <w:shd w:val="clear" w:color="000000" w:fill="FFFFFF"/>
            <w:noWrap/>
            <w:vAlign w:val="bottom"/>
            <w:hideMark/>
          </w:tcPr>
          <w:p w14:paraId="0E2A8639" w14:textId="1FA1DFBE"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(36)</w:t>
            </w:r>
          </w:p>
        </w:tc>
      </w:tr>
      <w:tr w:rsidR="004910A8" w:rsidRPr="008A7A35" w14:paraId="45FEBC61" w14:textId="77777777" w:rsidTr="00391CE4">
        <w:trPr>
          <w:trHeight w:val="317"/>
        </w:trPr>
        <w:tc>
          <w:tcPr>
            <w:tcW w:w="6416" w:type="dxa"/>
            <w:tcBorders>
              <w:top w:val="single" w:sz="4" w:space="0" w:color="auto"/>
              <w:left w:val="nil"/>
              <w:bottom w:val="single" w:sz="8" w:space="0" w:color="auto"/>
              <w:right w:val="nil"/>
            </w:tcBorders>
            <w:shd w:val="clear" w:color="000000" w:fill="FFFFFF"/>
            <w:vAlign w:val="bottom"/>
            <w:hideMark/>
          </w:tcPr>
          <w:p w14:paraId="15B58B3E" w14:textId="77777777" w:rsidR="004910A8" w:rsidRPr="008A7A35" w:rsidRDefault="004910A8" w:rsidP="00391CE4">
            <w:pPr>
              <w:rPr>
                <w:rFonts w:ascii="Arial" w:hAnsi="Arial" w:cs="Arial"/>
                <w:b/>
                <w:bCs/>
                <w:sz w:val="20"/>
                <w:szCs w:val="20"/>
                <w:lang w:eastAsia="en-GB"/>
              </w:rPr>
            </w:pPr>
            <w:r w:rsidRPr="008A7A35">
              <w:rPr>
                <w:rFonts w:ascii="Arial" w:hAnsi="Arial" w:cs="Arial"/>
                <w:b/>
                <w:bCs/>
                <w:sz w:val="20"/>
                <w:szCs w:val="20"/>
                <w:lang w:eastAsia="en-GB"/>
              </w:rPr>
              <w:t>Cash and cash equivalents at the end of the period</w:t>
            </w:r>
          </w:p>
        </w:tc>
        <w:tc>
          <w:tcPr>
            <w:tcW w:w="1856" w:type="dxa"/>
            <w:tcBorders>
              <w:top w:val="single" w:sz="4" w:space="0" w:color="auto"/>
              <w:left w:val="nil"/>
              <w:bottom w:val="single" w:sz="8" w:space="0" w:color="auto"/>
              <w:right w:val="nil"/>
            </w:tcBorders>
            <w:shd w:val="clear" w:color="000000" w:fill="FFFFFF"/>
            <w:noWrap/>
            <w:vAlign w:val="bottom"/>
          </w:tcPr>
          <w:p w14:paraId="70AB8A69" w14:textId="5334BB2C" w:rsidR="004910A8" w:rsidRPr="008A7A35" w:rsidRDefault="008C15B3" w:rsidP="00B9494D">
            <w:pPr>
              <w:jc w:val="right"/>
              <w:rPr>
                <w:rFonts w:ascii="Arial" w:hAnsi="Arial" w:cs="Arial"/>
                <w:b/>
                <w:bCs/>
                <w:sz w:val="20"/>
                <w:szCs w:val="20"/>
                <w:lang w:eastAsia="en-GB"/>
              </w:rPr>
            </w:pPr>
            <w:r w:rsidRPr="008A7A35">
              <w:rPr>
                <w:rFonts w:ascii="Arial" w:hAnsi="Arial" w:cs="Arial"/>
                <w:b/>
                <w:bCs/>
                <w:sz w:val="20"/>
                <w:szCs w:val="20"/>
              </w:rPr>
              <w:t>1,314</w:t>
            </w:r>
          </w:p>
        </w:tc>
        <w:tc>
          <w:tcPr>
            <w:tcW w:w="1818" w:type="dxa"/>
            <w:tcBorders>
              <w:top w:val="single" w:sz="4" w:space="0" w:color="auto"/>
              <w:left w:val="nil"/>
              <w:bottom w:val="single" w:sz="8" w:space="0" w:color="auto"/>
              <w:right w:val="nil"/>
            </w:tcBorders>
            <w:shd w:val="clear" w:color="000000" w:fill="FFFFFF"/>
            <w:noWrap/>
            <w:vAlign w:val="bottom"/>
            <w:hideMark/>
          </w:tcPr>
          <w:p w14:paraId="7FE9C385" w14:textId="28FD7308" w:rsidR="004910A8" w:rsidRPr="008A7A35" w:rsidRDefault="004910A8" w:rsidP="00B9494D">
            <w:pPr>
              <w:jc w:val="right"/>
              <w:rPr>
                <w:rFonts w:ascii="Arial" w:hAnsi="Arial" w:cs="Arial"/>
                <w:sz w:val="20"/>
                <w:szCs w:val="20"/>
                <w:lang w:eastAsia="en-GB"/>
              </w:rPr>
            </w:pPr>
            <w:r w:rsidRPr="008A7A35">
              <w:rPr>
                <w:rFonts w:ascii="Arial" w:hAnsi="Arial" w:cs="Arial"/>
                <w:sz w:val="20"/>
                <w:szCs w:val="20"/>
                <w:lang w:eastAsia="en-GB"/>
              </w:rPr>
              <w:t>5,355</w:t>
            </w:r>
          </w:p>
        </w:tc>
      </w:tr>
    </w:tbl>
    <w:p w14:paraId="1D89ABFD" w14:textId="77777777" w:rsidR="00401EA4" w:rsidRPr="008A7A35" w:rsidRDefault="00401EA4">
      <w:pPr>
        <w:tabs>
          <w:tab w:val="left" w:pos="6903"/>
        </w:tabs>
        <w:rPr>
          <w:rFonts w:ascii="Arial" w:hAnsi="Arial" w:cs="Arial"/>
          <w:sz w:val="20"/>
          <w:szCs w:val="20"/>
        </w:rPr>
      </w:pPr>
    </w:p>
    <w:p w14:paraId="1A5AEC93" w14:textId="77777777" w:rsidR="00401EA4" w:rsidRPr="008A7A35" w:rsidRDefault="00401EA4">
      <w:pPr>
        <w:tabs>
          <w:tab w:val="left" w:pos="6903"/>
        </w:tabs>
        <w:rPr>
          <w:rFonts w:ascii="Arial" w:hAnsi="Arial" w:cs="Arial"/>
          <w:sz w:val="20"/>
          <w:szCs w:val="20"/>
        </w:rPr>
      </w:pPr>
    </w:p>
    <w:p w14:paraId="1E73A28C" w14:textId="77777777" w:rsidR="006564C0" w:rsidRDefault="00F304F5" w:rsidP="005F7FBE">
      <w:pPr>
        <w:tabs>
          <w:tab w:val="left" w:pos="6903"/>
        </w:tabs>
        <w:rPr>
          <w:rFonts w:ascii="Arial" w:hAnsi="Arial" w:cs="Arial"/>
          <w:sz w:val="20"/>
          <w:szCs w:val="20"/>
        </w:rPr>
      </w:pPr>
      <w:r w:rsidRPr="008A7A35">
        <w:rPr>
          <w:rFonts w:ascii="Arial" w:hAnsi="Arial" w:cs="Arial"/>
          <w:sz w:val="20"/>
          <w:szCs w:val="20"/>
        </w:rPr>
        <w:t>The accompanying notes form an integral part of these unaudited interim condensed financial statements</w:t>
      </w:r>
      <w:r w:rsidR="00401EA4" w:rsidRPr="008A7A35">
        <w:rPr>
          <w:rFonts w:ascii="Arial" w:hAnsi="Arial" w:cs="Arial"/>
          <w:sz w:val="20"/>
          <w:szCs w:val="20"/>
        </w:rPr>
        <w:t>.</w:t>
      </w:r>
    </w:p>
    <w:p w14:paraId="1EB5D893" w14:textId="77777777" w:rsidR="006564C0" w:rsidRDefault="006564C0" w:rsidP="005F7FBE">
      <w:pPr>
        <w:tabs>
          <w:tab w:val="left" w:pos="6903"/>
        </w:tabs>
        <w:rPr>
          <w:rFonts w:ascii="Arial" w:hAnsi="Arial" w:cs="Arial"/>
          <w:sz w:val="20"/>
          <w:szCs w:val="20"/>
        </w:rPr>
      </w:pPr>
    </w:p>
    <w:p w14:paraId="571DB5DA" w14:textId="77777777" w:rsidR="006564C0" w:rsidRDefault="006564C0" w:rsidP="005F7FBE">
      <w:pPr>
        <w:tabs>
          <w:tab w:val="left" w:pos="6903"/>
        </w:tabs>
        <w:rPr>
          <w:rFonts w:ascii="Arial" w:hAnsi="Arial" w:cs="Arial"/>
          <w:sz w:val="20"/>
          <w:szCs w:val="20"/>
        </w:rPr>
      </w:pPr>
    </w:p>
    <w:p w14:paraId="1173A4F4" w14:textId="552F9D64" w:rsidR="00E41A2E" w:rsidRPr="008A7A35" w:rsidRDefault="00E41A2E" w:rsidP="005F7FBE">
      <w:pPr>
        <w:tabs>
          <w:tab w:val="left" w:pos="6903"/>
        </w:tabs>
        <w:rPr>
          <w:rFonts w:ascii="Arial" w:hAnsi="Arial" w:cs="Arial"/>
          <w:sz w:val="20"/>
          <w:szCs w:val="20"/>
        </w:rPr>
      </w:pPr>
      <w:r w:rsidRPr="008A7A35">
        <w:rPr>
          <w:rFonts w:ascii="Arial" w:hAnsi="Arial" w:cs="Arial"/>
          <w:b/>
          <w:caps/>
          <w:sz w:val="30"/>
          <w:szCs w:val="30"/>
        </w:rPr>
        <w:t>Notes to the UNAUDITED Interim Condensed Financial Statements</w:t>
      </w:r>
    </w:p>
    <w:p w14:paraId="1C8BEA67" w14:textId="4290B3F1" w:rsidR="00E41A2E" w:rsidRPr="008A7A35" w:rsidRDefault="00E41A2E">
      <w:pPr>
        <w:tabs>
          <w:tab w:val="left" w:pos="6903"/>
        </w:tabs>
        <w:rPr>
          <w:rFonts w:ascii="Arial" w:hAnsi="Arial" w:cs="Arial"/>
          <w:sz w:val="20"/>
          <w:szCs w:val="20"/>
        </w:rPr>
      </w:pPr>
      <w:r w:rsidRPr="008A7A35">
        <w:rPr>
          <w:rFonts w:ascii="Arial" w:hAnsi="Arial" w:cs="Arial"/>
          <w:sz w:val="20"/>
          <w:szCs w:val="20"/>
        </w:rPr>
        <w:t xml:space="preserve">For </w:t>
      </w:r>
      <w:r w:rsidR="00C75564" w:rsidRPr="008A7A35">
        <w:rPr>
          <w:rFonts w:ascii="Arial" w:hAnsi="Arial" w:cs="Arial"/>
          <w:sz w:val="20"/>
          <w:szCs w:val="20"/>
        </w:rPr>
        <w:t>the six months ended 30 June 202</w:t>
      </w:r>
      <w:r w:rsidR="00D90CEC" w:rsidRPr="008A7A35">
        <w:rPr>
          <w:rFonts w:ascii="Arial" w:hAnsi="Arial" w:cs="Arial"/>
          <w:sz w:val="20"/>
          <w:szCs w:val="20"/>
        </w:rPr>
        <w:t>5</w:t>
      </w:r>
      <w:r w:rsidR="00BC4F38" w:rsidRPr="008A7A35">
        <w:rPr>
          <w:rFonts w:ascii="Arial" w:hAnsi="Arial" w:cs="Arial"/>
          <w:sz w:val="20"/>
          <w:szCs w:val="20"/>
        </w:rPr>
        <w:t xml:space="preserve"> (Unaudited)</w:t>
      </w:r>
    </w:p>
    <w:p w14:paraId="3EAC2904" w14:textId="77777777" w:rsidR="00E41A2E" w:rsidRPr="008A7A35" w:rsidRDefault="00E41A2E">
      <w:pPr>
        <w:tabs>
          <w:tab w:val="left" w:pos="6903"/>
        </w:tabs>
        <w:rPr>
          <w:rFonts w:ascii="Arial" w:hAnsi="Arial" w:cs="Arial"/>
        </w:rPr>
      </w:pPr>
    </w:p>
    <w:p w14:paraId="6DAE4FBF" w14:textId="6064D31C" w:rsidR="00E41A2E" w:rsidRPr="008A7A35" w:rsidRDefault="00E41A2E" w:rsidP="00C128C4">
      <w:pPr>
        <w:ind w:left="360"/>
        <w:outlineLvl w:val="1"/>
        <w:rPr>
          <w:rFonts w:ascii="Arial" w:hAnsi="Arial" w:cs="Arial"/>
          <w:b/>
          <w:sz w:val="28"/>
          <w:szCs w:val="28"/>
        </w:rPr>
      </w:pPr>
      <w:r w:rsidRPr="008A7A35">
        <w:rPr>
          <w:rFonts w:ascii="Arial" w:hAnsi="Arial" w:cs="Arial"/>
          <w:b/>
          <w:sz w:val="28"/>
          <w:szCs w:val="28"/>
        </w:rPr>
        <w:t>1.</w:t>
      </w:r>
      <w:r w:rsidRPr="008A7A35">
        <w:rPr>
          <w:rFonts w:ascii="Arial" w:hAnsi="Arial" w:cs="Arial"/>
          <w:b/>
          <w:sz w:val="28"/>
          <w:szCs w:val="28"/>
        </w:rPr>
        <w:tab/>
        <w:t>General information</w:t>
      </w:r>
    </w:p>
    <w:p w14:paraId="533655A9" w14:textId="72F7EF75" w:rsidR="00E41A2E" w:rsidRPr="008A7A35" w:rsidRDefault="00E41A2E" w:rsidP="00712872">
      <w:pPr>
        <w:autoSpaceDE w:val="0"/>
        <w:autoSpaceDN w:val="0"/>
        <w:adjustRightInd w:val="0"/>
        <w:ind w:left="567"/>
        <w:jc w:val="both"/>
        <w:rPr>
          <w:rFonts w:ascii="Arial" w:hAnsi="Arial" w:cs="Arial"/>
          <w:sz w:val="20"/>
          <w:szCs w:val="20"/>
        </w:rPr>
      </w:pPr>
      <w:r w:rsidRPr="008A7A35">
        <w:rPr>
          <w:rFonts w:ascii="Arial" w:hAnsi="Arial" w:cs="Arial"/>
          <w:sz w:val="20"/>
          <w:szCs w:val="20"/>
        </w:rPr>
        <w:t xml:space="preserve">Riverstone Energy Limited </w:t>
      </w:r>
      <w:r w:rsidR="00D343F4">
        <w:rPr>
          <w:rFonts w:ascii="Arial" w:hAnsi="Arial" w:cs="Arial"/>
          <w:sz w:val="20"/>
          <w:szCs w:val="20"/>
        </w:rPr>
        <w:t xml:space="preserve">(the “Company”) </w:t>
      </w:r>
      <w:r w:rsidRPr="008A7A35">
        <w:rPr>
          <w:rFonts w:ascii="Arial" w:hAnsi="Arial" w:cs="Arial"/>
          <w:sz w:val="20"/>
          <w:szCs w:val="20"/>
        </w:rPr>
        <w:t xml:space="preserve">is a company limited by shares, which was incorporated on 23 May 2013 in Guernsey with an unlimited life and registered with the GFSC as a Registered Closed-ended Collective Investment Scheme pursuant to the POI Law. </w:t>
      </w:r>
      <w:r w:rsidR="0028193F" w:rsidRPr="008A7A35">
        <w:rPr>
          <w:rFonts w:ascii="Arial" w:hAnsi="Arial" w:cs="Arial"/>
          <w:sz w:val="20"/>
          <w:szCs w:val="20"/>
        </w:rPr>
        <w:t xml:space="preserve">The Company’s </w:t>
      </w:r>
      <w:r w:rsidR="004643ED" w:rsidRPr="008A7A35">
        <w:rPr>
          <w:rFonts w:ascii="Arial" w:hAnsi="Arial" w:cs="Arial"/>
          <w:sz w:val="20"/>
          <w:szCs w:val="20"/>
        </w:rPr>
        <w:t>O</w:t>
      </w:r>
      <w:r w:rsidR="0028193F" w:rsidRPr="008A7A35">
        <w:rPr>
          <w:rFonts w:ascii="Arial" w:hAnsi="Arial" w:cs="Arial"/>
          <w:sz w:val="20"/>
          <w:szCs w:val="20"/>
        </w:rPr>
        <w:t xml:space="preserve">rdinary </w:t>
      </w:r>
      <w:r w:rsidR="004643ED" w:rsidRPr="008A7A35">
        <w:rPr>
          <w:rFonts w:ascii="Arial" w:hAnsi="Arial" w:cs="Arial"/>
          <w:sz w:val="20"/>
          <w:szCs w:val="20"/>
        </w:rPr>
        <w:t>S</w:t>
      </w:r>
      <w:r w:rsidR="0028193F" w:rsidRPr="008A7A35">
        <w:rPr>
          <w:rFonts w:ascii="Arial" w:hAnsi="Arial" w:cs="Arial"/>
          <w:sz w:val="20"/>
          <w:szCs w:val="20"/>
        </w:rPr>
        <w:t xml:space="preserve">hares were admitted to the UK Listing Authority’s Official List and to trading on the London Stock Exchange as part of its IPO which completed on </w:t>
      </w:r>
      <w:r w:rsidRPr="008A7A35">
        <w:rPr>
          <w:rFonts w:ascii="Arial" w:hAnsi="Arial" w:cs="Arial"/>
          <w:sz w:val="20"/>
          <w:szCs w:val="20"/>
        </w:rPr>
        <w:t xml:space="preserve">29 October 2013. </w:t>
      </w:r>
      <w:r w:rsidR="00845785" w:rsidRPr="008A7A35">
        <w:rPr>
          <w:rFonts w:ascii="Arial" w:hAnsi="Arial" w:cs="Arial"/>
          <w:sz w:val="20"/>
          <w:szCs w:val="20"/>
        </w:rPr>
        <w:t>T</w:t>
      </w:r>
      <w:r w:rsidRPr="008A7A35">
        <w:rPr>
          <w:rFonts w:ascii="Arial" w:hAnsi="Arial" w:cs="Arial"/>
          <w:sz w:val="20"/>
          <w:szCs w:val="20"/>
        </w:rPr>
        <w:t>he registered office of the Company is</w:t>
      </w:r>
      <w:r w:rsidR="004643ED" w:rsidRPr="008A7A35">
        <w:rPr>
          <w:rFonts w:ascii="Arial" w:hAnsi="Arial" w:cs="Arial"/>
          <w:sz w:val="20"/>
          <w:szCs w:val="20"/>
        </w:rPr>
        <w:t xml:space="preserve"> PO Box 286, Floor 2, Trafa</w:t>
      </w:r>
      <w:r w:rsidR="006A4CA2" w:rsidRPr="008A7A35">
        <w:rPr>
          <w:rFonts w:ascii="Arial" w:hAnsi="Arial" w:cs="Arial"/>
          <w:sz w:val="20"/>
          <w:szCs w:val="20"/>
        </w:rPr>
        <w:t>lgar Court, </w:t>
      </w:r>
      <w:r w:rsidR="004643ED" w:rsidRPr="008A7A35">
        <w:rPr>
          <w:rFonts w:ascii="Arial" w:hAnsi="Arial" w:cs="Arial"/>
          <w:sz w:val="20"/>
          <w:szCs w:val="20"/>
        </w:rPr>
        <w:t>Les Banques, St Peter Port, Guernsey, GY1 4LY</w:t>
      </w:r>
      <w:r w:rsidRPr="008A7A35">
        <w:rPr>
          <w:rFonts w:ascii="Arial" w:hAnsi="Arial" w:cs="Arial"/>
          <w:sz w:val="20"/>
          <w:szCs w:val="20"/>
        </w:rPr>
        <w:t>.</w:t>
      </w:r>
    </w:p>
    <w:p w14:paraId="66811739" w14:textId="77777777" w:rsidR="00E41A2E" w:rsidRPr="008A7A35" w:rsidRDefault="00E41A2E" w:rsidP="00712872">
      <w:pPr>
        <w:tabs>
          <w:tab w:val="left" w:pos="6903"/>
        </w:tabs>
        <w:ind w:left="567"/>
        <w:jc w:val="both"/>
        <w:rPr>
          <w:rFonts w:ascii="Arial" w:hAnsi="Arial" w:cs="Arial"/>
          <w:sz w:val="20"/>
          <w:szCs w:val="20"/>
        </w:rPr>
      </w:pPr>
    </w:p>
    <w:p w14:paraId="0164D5F4" w14:textId="06681B1E" w:rsidR="00E41A2E" w:rsidRPr="008A7A35" w:rsidRDefault="00E41A2E" w:rsidP="00712872">
      <w:pPr>
        <w:tabs>
          <w:tab w:val="left" w:pos="6903"/>
        </w:tabs>
        <w:ind w:left="567"/>
        <w:jc w:val="both"/>
        <w:rPr>
          <w:rFonts w:ascii="Arial" w:hAnsi="Arial" w:cs="Arial"/>
          <w:sz w:val="20"/>
          <w:szCs w:val="20"/>
        </w:rPr>
      </w:pPr>
      <w:r w:rsidRPr="008A7A35">
        <w:rPr>
          <w:rFonts w:ascii="Arial" w:hAnsi="Arial" w:cs="Arial"/>
          <w:sz w:val="20"/>
          <w:szCs w:val="20"/>
        </w:rPr>
        <w:t>The Company makes</w:t>
      </w:r>
      <w:r w:rsidR="00C031F8" w:rsidRPr="008A7A35">
        <w:rPr>
          <w:rFonts w:ascii="Arial" w:hAnsi="Arial" w:cs="Arial"/>
          <w:sz w:val="20"/>
          <w:szCs w:val="20"/>
        </w:rPr>
        <w:t xml:space="preserve"> </w:t>
      </w:r>
      <w:r w:rsidRPr="008A7A35">
        <w:rPr>
          <w:rFonts w:ascii="Arial" w:hAnsi="Arial" w:cs="Arial"/>
          <w:sz w:val="20"/>
          <w:szCs w:val="20"/>
        </w:rPr>
        <w:t xml:space="preserve">its investments through the Partnership, a Cayman Islands registered exempted limited partnership, in which the Company is the sole limited partner. The principal place of business of the Partnership is the Cayman Islands. Both the Company and the Partnership are subject to the Investment Management Agreement with the Investment </w:t>
      </w:r>
      <w:proofErr w:type="gramStart"/>
      <w:r w:rsidRPr="008A7A35">
        <w:rPr>
          <w:rFonts w:ascii="Arial" w:hAnsi="Arial" w:cs="Arial"/>
          <w:sz w:val="20"/>
          <w:szCs w:val="20"/>
        </w:rPr>
        <w:t>Manager,</w:t>
      </w:r>
      <w:proofErr w:type="gramEnd"/>
      <w:r w:rsidRPr="008A7A35">
        <w:rPr>
          <w:rFonts w:ascii="Arial" w:hAnsi="Arial" w:cs="Arial"/>
          <w:sz w:val="20"/>
          <w:szCs w:val="20"/>
        </w:rPr>
        <w:t xml:space="preserve"> a</w:t>
      </w:r>
      <w:r w:rsidR="001B7CD8" w:rsidRPr="008A7A35">
        <w:rPr>
          <w:rFonts w:ascii="Arial" w:hAnsi="Arial" w:cs="Arial"/>
          <w:sz w:val="20"/>
          <w:szCs w:val="20"/>
        </w:rPr>
        <w:t xml:space="preserve"> partnership </w:t>
      </w:r>
      <w:r w:rsidRPr="008A7A35">
        <w:rPr>
          <w:rFonts w:ascii="Arial" w:hAnsi="Arial" w:cs="Arial"/>
          <w:sz w:val="20"/>
          <w:szCs w:val="20"/>
        </w:rPr>
        <w:t>registered in the Cayman Islands.</w:t>
      </w:r>
    </w:p>
    <w:p w14:paraId="1470A8DE" w14:textId="77777777" w:rsidR="00E41A2E" w:rsidRPr="008A7A35" w:rsidRDefault="00E41A2E" w:rsidP="00712872">
      <w:pPr>
        <w:tabs>
          <w:tab w:val="left" w:pos="6903"/>
        </w:tabs>
        <w:ind w:left="567"/>
        <w:jc w:val="both"/>
        <w:rPr>
          <w:rFonts w:ascii="Arial" w:hAnsi="Arial" w:cs="Arial"/>
          <w:sz w:val="20"/>
          <w:szCs w:val="20"/>
        </w:rPr>
      </w:pPr>
    </w:p>
    <w:p w14:paraId="410AFB1B" w14:textId="726D0D81" w:rsidR="00E41A2E" w:rsidRPr="008A7A35" w:rsidRDefault="00E41A2E" w:rsidP="00712872">
      <w:pPr>
        <w:tabs>
          <w:tab w:val="left" w:pos="6903"/>
        </w:tabs>
        <w:ind w:left="567"/>
        <w:jc w:val="both"/>
        <w:rPr>
          <w:rFonts w:ascii="Arial" w:hAnsi="Arial" w:cs="Arial"/>
          <w:sz w:val="20"/>
          <w:szCs w:val="20"/>
        </w:rPr>
      </w:pPr>
      <w:r w:rsidRPr="008A7A35">
        <w:rPr>
          <w:rFonts w:ascii="Arial" w:hAnsi="Arial" w:cs="Arial"/>
          <w:sz w:val="20"/>
          <w:szCs w:val="20"/>
        </w:rPr>
        <w:t>The Partnership</w:t>
      </w:r>
      <w:r w:rsidR="007A2F5C" w:rsidRPr="008A7A35">
        <w:rPr>
          <w:rFonts w:ascii="Arial" w:hAnsi="Arial" w:cs="Arial"/>
          <w:sz w:val="20"/>
          <w:szCs w:val="20"/>
        </w:rPr>
        <w:t xml:space="preserve"> </w:t>
      </w:r>
      <w:r w:rsidR="0070380B" w:rsidRPr="008A7A35">
        <w:rPr>
          <w:rFonts w:ascii="Arial" w:hAnsi="Arial" w:cs="Arial"/>
          <w:sz w:val="20"/>
          <w:szCs w:val="20"/>
        </w:rPr>
        <w:t>h</w:t>
      </w:r>
      <w:r w:rsidR="007A2F5C" w:rsidRPr="008A7A35">
        <w:rPr>
          <w:rFonts w:ascii="Arial" w:hAnsi="Arial" w:cs="Arial"/>
          <w:sz w:val="20"/>
          <w:szCs w:val="20"/>
        </w:rPr>
        <w:t>as the right to</w:t>
      </w:r>
      <w:r w:rsidRPr="008A7A35">
        <w:rPr>
          <w:rFonts w:ascii="Arial" w:hAnsi="Arial" w:cs="Arial"/>
          <w:sz w:val="20"/>
          <w:szCs w:val="20"/>
        </w:rPr>
        <w:t xml:space="preserve"> invest alongside</w:t>
      </w:r>
      <w:r w:rsidR="007A2F5C" w:rsidRPr="008A7A35">
        <w:rPr>
          <w:rFonts w:ascii="Arial" w:hAnsi="Arial" w:cs="Arial"/>
          <w:sz w:val="20"/>
          <w:szCs w:val="20"/>
        </w:rPr>
        <w:t xml:space="preserve"> the</w:t>
      </w:r>
      <w:r w:rsidRPr="008A7A35">
        <w:rPr>
          <w:rFonts w:ascii="Arial" w:hAnsi="Arial" w:cs="Arial"/>
          <w:sz w:val="20"/>
          <w:szCs w:val="20"/>
        </w:rPr>
        <w:t xml:space="preserve"> Private Riverstone Funds in all Qualifying Investments in which the Private Riverstone Funds participate. These funds are managed and advised by affiliates of the Investment Manager.</w:t>
      </w:r>
      <w:r w:rsidR="00C37212" w:rsidRPr="008A7A35">
        <w:rPr>
          <w:rFonts w:ascii="Arial" w:hAnsi="Arial" w:cs="Arial"/>
          <w:sz w:val="20"/>
          <w:szCs w:val="20"/>
        </w:rPr>
        <w:t xml:space="preserve"> </w:t>
      </w:r>
      <w:r w:rsidRPr="008A7A35">
        <w:rPr>
          <w:rFonts w:ascii="Arial" w:hAnsi="Arial" w:cs="Arial"/>
          <w:sz w:val="20"/>
          <w:szCs w:val="20"/>
        </w:rPr>
        <w:t>Further detail of these investments is provided in the Investment Manager’s Report.</w:t>
      </w:r>
    </w:p>
    <w:p w14:paraId="5CAC0573" w14:textId="77777777" w:rsidR="00C712EE" w:rsidRPr="008A7A35" w:rsidRDefault="00C712EE" w:rsidP="00712872">
      <w:pPr>
        <w:tabs>
          <w:tab w:val="left" w:pos="6903"/>
        </w:tabs>
        <w:ind w:left="567"/>
        <w:jc w:val="both"/>
        <w:rPr>
          <w:rFonts w:ascii="Arial" w:hAnsi="Arial" w:cs="Arial"/>
          <w:sz w:val="20"/>
          <w:szCs w:val="20"/>
        </w:rPr>
      </w:pPr>
    </w:p>
    <w:p w14:paraId="6A198454" w14:textId="0BB32324" w:rsidR="00B273F3" w:rsidRPr="008A7A35" w:rsidRDefault="00C712EE" w:rsidP="00D049A3">
      <w:pPr>
        <w:tabs>
          <w:tab w:val="left" w:pos="6903"/>
        </w:tabs>
        <w:ind w:left="567"/>
        <w:jc w:val="both"/>
        <w:rPr>
          <w:rFonts w:ascii="Arial" w:hAnsi="Arial" w:cs="Arial"/>
          <w:sz w:val="20"/>
          <w:szCs w:val="20"/>
        </w:rPr>
      </w:pPr>
      <w:r w:rsidRPr="008A7A35">
        <w:rPr>
          <w:rFonts w:ascii="Arial" w:hAnsi="Arial" w:cs="Arial"/>
          <w:sz w:val="20"/>
          <w:szCs w:val="20"/>
        </w:rPr>
        <w:t>The unaudited interim condensed financial statements of the Company for the six months ended 30 June 202</w:t>
      </w:r>
      <w:r w:rsidR="00D90CEC" w:rsidRPr="008A7A35">
        <w:rPr>
          <w:rFonts w:ascii="Arial" w:hAnsi="Arial" w:cs="Arial"/>
          <w:sz w:val="20"/>
          <w:szCs w:val="20"/>
        </w:rPr>
        <w:t>5</w:t>
      </w:r>
      <w:r w:rsidRPr="008A7A35">
        <w:rPr>
          <w:rFonts w:ascii="Arial" w:hAnsi="Arial" w:cs="Arial"/>
          <w:sz w:val="20"/>
          <w:szCs w:val="20"/>
        </w:rPr>
        <w:t xml:space="preserve"> have been prepared in accordance with </w:t>
      </w:r>
      <w:r w:rsidR="00AF243C" w:rsidRPr="008A7A35">
        <w:rPr>
          <w:rFonts w:ascii="Arial" w:hAnsi="Arial" w:cs="Arial"/>
          <w:sz w:val="20"/>
          <w:szCs w:val="20"/>
        </w:rPr>
        <w:t xml:space="preserve">the Disclosure and Transparency Rules of the United Kingdom Financial Conduct Authority and </w:t>
      </w:r>
      <w:r w:rsidRPr="008A7A35">
        <w:rPr>
          <w:rFonts w:ascii="Arial" w:hAnsi="Arial" w:cs="Arial"/>
          <w:sz w:val="20"/>
          <w:szCs w:val="20"/>
        </w:rPr>
        <w:t>International Accounting Standard 34 ("IAS 34") Interim Financial Reporting as adopted by the European Union.</w:t>
      </w:r>
      <w:r w:rsidR="00B273F3" w:rsidRPr="008A7A35">
        <w:rPr>
          <w:rFonts w:ascii="Arial" w:hAnsi="Arial" w:cs="Arial"/>
          <w:sz w:val="20"/>
          <w:szCs w:val="20"/>
        </w:rPr>
        <w:t xml:space="preserve"> </w:t>
      </w:r>
      <w:r w:rsidR="0052778A">
        <w:rPr>
          <w:rFonts w:ascii="Arial" w:hAnsi="Arial" w:cs="Arial"/>
          <w:sz w:val="20"/>
          <w:szCs w:val="20"/>
        </w:rPr>
        <w:t xml:space="preserve"> As described in the Going Concern section set out below </w:t>
      </w:r>
      <w:r w:rsidR="00BB0A2A">
        <w:rPr>
          <w:rFonts w:ascii="Arial" w:hAnsi="Arial" w:cs="Arial"/>
          <w:sz w:val="20"/>
          <w:szCs w:val="20"/>
        </w:rPr>
        <w:t>t</w:t>
      </w:r>
      <w:r w:rsidR="00D049A3" w:rsidRPr="008A7A35">
        <w:rPr>
          <w:rFonts w:ascii="Arial" w:hAnsi="Arial" w:cs="Arial"/>
          <w:sz w:val="20"/>
          <w:szCs w:val="20"/>
        </w:rPr>
        <w:t>he basis of preparation has been amended from the Company’s 2024 annual financial statements</w:t>
      </w:r>
      <w:r w:rsidR="00D343F4">
        <w:rPr>
          <w:rFonts w:ascii="Arial" w:hAnsi="Arial" w:cs="Arial"/>
          <w:sz w:val="20"/>
          <w:szCs w:val="20"/>
        </w:rPr>
        <w:t xml:space="preserve"> which were presented on a going concern basis</w:t>
      </w:r>
      <w:r w:rsidR="00D049A3" w:rsidRPr="008A7A35">
        <w:rPr>
          <w:rFonts w:ascii="Arial" w:hAnsi="Arial" w:cs="Arial"/>
          <w:sz w:val="20"/>
          <w:szCs w:val="20"/>
        </w:rPr>
        <w:t>.</w:t>
      </w:r>
      <w:r w:rsidR="00CB2AE8">
        <w:rPr>
          <w:rFonts w:ascii="Arial" w:hAnsi="Arial" w:cs="Arial"/>
          <w:sz w:val="20"/>
          <w:szCs w:val="20"/>
        </w:rPr>
        <w:t xml:space="preserve"> </w:t>
      </w:r>
      <w:r w:rsidR="0052778A" w:rsidRPr="0052778A">
        <w:rPr>
          <w:rFonts w:ascii="Arial" w:hAnsi="Arial" w:cs="Arial"/>
          <w:sz w:val="20"/>
          <w:szCs w:val="20"/>
        </w:rPr>
        <w:t>There were no adjustments made to the carrying values of the</w:t>
      </w:r>
      <w:r w:rsidR="009B6647">
        <w:rPr>
          <w:rFonts w:ascii="Arial" w:hAnsi="Arial" w:cs="Arial"/>
          <w:sz w:val="20"/>
          <w:szCs w:val="20"/>
        </w:rPr>
        <w:t xml:space="preserve"> Company’s</w:t>
      </w:r>
      <w:r w:rsidR="0052778A" w:rsidRPr="0052778A">
        <w:rPr>
          <w:rFonts w:ascii="Arial" w:hAnsi="Arial" w:cs="Arial"/>
          <w:sz w:val="20"/>
          <w:szCs w:val="20"/>
        </w:rPr>
        <w:t xml:space="preserve"> assets and liabilities in the current </w:t>
      </w:r>
      <w:r w:rsidR="00CB2AE8">
        <w:rPr>
          <w:rFonts w:ascii="Arial" w:hAnsi="Arial" w:cs="Arial"/>
          <w:sz w:val="20"/>
          <w:szCs w:val="20"/>
        </w:rPr>
        <w:t>period</w:t>
      </w:r>
      <w:r w:rsidR="0052778A" w:rsidRPr="0052778A">
        <w:rPr>
          <w:rFonts w:ascii="Arial" w:hAnsi="Arial" w:cs="Arial"/>
          <w:sz w:val="20"/>
          <w:szCs w:val="20"/>
        </w:rPr>
        <w:t xml:space="preserve"> </w:t>
      </w:r>
      <w:proofErr w:type="gramStart"/>
      <w:r w:rsidR="0052778A" w:rsidRPr="0052778A">
        <w:rPr>
          <w:rFonts w:ascii="Arial" w:hAnsi="Arial" w:cs="Arial"/>
          <w:sz w:val="20"/>
          <w:szCs w:val="20"/>
        </w:rPr>
        <w:t>as a result of</w:t>
      </w:r>
      <w:proofErr w:type="gramEnd"/>
      <w:r w:rsidR="0052778A" w:rsidRPr="0052778A">
        <w:rPr>
          <w:rFonts w:ascii="Arial" w:hAnsi="Arial" w:cs="Arial"/>
          <w:sz w:val="20"/>
          <w:szCs w:val="20"/>
        </w:rPr>
        <w:t xml:space="preserve"> this change in basis of preparation. The Directors consider the carrying values to be a reasonable approximation of their net realisable values.</w:t>
      </w:r>
      <w:r w:rsidR="0052778A">
        <w:rPr>
          <w:rFonts w:ascii="Arial" w:hAnsi="Arial" w:cs="Arial"/>
          <w:sz w:val="20"/>
          <w:szCs w:val="20"/>
        </w:rPr>
        <w:t xml:space="preserve"> </w:t>
      </w:r>
    </w:p>
    <w:p w14:paraId="4FF67A6B" w14:textId="77777777" w:rsidR="00B273F3" w:rsidRDefault="00B273F3" w:rsidP="00712872">
      <w:pPr>
        <w:tabs>
          <w:tab w:val="left" w:pos="6903"/>
        </w:tabs>
        <w:ind w:left="567"/>
        <w:jc w:val="both"/>
        <w:rPr>
          <w:rFonts w:ascii="Arial" w:hAnsi="Arial" w:cs="Arial"/>
          <w:sz w:val="20"/>
          <w:szCs w:val="20"/>
        </w:rPr>
      </w:pPr>
    </w:p>
    <w:p w14:paraId="5B8A28CA" w14:textId="0F302A2E" w:rsidR="008F61A9" w:rsidRPr="00A06BE6" w:rsidRDefault="008F61A9" w:rsidP="00380531">
      <w:pPr>
        <w:tabs>
          <w:tab w:val="left" w:pos="6903"/>
        </w:tabs>
        <w:ind w:left="567"/>
        <w:jc w:val="both"/>
        <w:rPr>
          <w:rFonts w:ascii="Arial" w:hAnsi="Arial" w:cs="Arial"/>
          <w:sz w:val="20"/>
          <w:szCs w:val="20"/>
        </w:rPr>
      </w:pPr>
      <w:bookmarkStart w:id="14" w:name="_Hlk206663342"/>
      <w:r w:rsidRPr="008F61A9">
        <w:rPr>
          <w:rFonts w:ascii="Arial" w:hAnsi="Arial" w:cs="Arial"/>
          <w:sz w:val="20"/>
          <w:szCs w:val="20"/>
        </w:rPr>
        <w:lastRenderedPageBreak/>
        <w:t xml:space="preserve">As disclosed in </w:t>
      </w:r>
      <w:r>
        <w:rPr>
          <w:rFonts w:ascii="Arial" w:hAnsi="Arial" w:cs="Arial"/>
          <w:sz w:val="20"/>
          <w:szCs w:val="20"/>
        </w:rPr>
        <w:t>N</w:t>
      </w:r>
      <w:r w:rsidRPr="008F61A9">
        <w:rPr>
          <w:rFonts w:ascii="Arial" w:hAnsi="Arial" w:cs="Arial"/>
          <w:sz w:val="20"/>
          <w:szCs w:val="20"/>
        </w:rPr>
        <w:t>ote 7</w:t>
      </w:r>
      <w:r>
        <w:rPr>
          <w:rFonts w:ascii="Arial" w:hAnsi="Arial" w:cs="Arial"/>
          <w:sz w:val="20"/>
          <w:szCs w:val="20"/>
        </w:rPr>
        <w:t>,</w:t>
      </w:r>
      <w:r w:rsidRPr="008F61A9">
        <w:rPr>
          <w:rFonts w:ascii="Arial" w:hAnsi="Arial" w:cs="Arial"/>
          <w:sz w:val="20"/>
          <w:szCs w:val="20"/>
        </w:rPr>
        <w:t xml:space="preserve"> following the EGM</w:t>
      </w:r>
      <w:r w:rsidR="00340153">
        <w:rPr>
          <w:rFonts w:ascii="Arial" w:hAnsi="Arial" w:cs="Arial"/>
          <w:sz w:val="20"/>
          <w:szCs w:val="20"/>
        </w:rPr>
        <w:t xml:space="preserve"> held on 22 August 2025</w:t>
      </w:r>
      <w:r>
        <w:rPr>
          <w:rFonts w:ascii="Arial" w:hAnsi="Arial" w:cs="Arial"/>
          <w:sz w:val="20"/>
          <w:szCs w:val="20"/>
        </w:rPr>
        <w:t>,</w:t>
      </w:r>
      <w:r w:rsidRPr="008F61A9">
        <w:rPr>
          <w:rFonts w:ascii="Arial" w:hAnsi="Arial" w:cs="Arial"/>
          <w:sz w:val="20"/>
          <w:szCs w:val="20"/>
        </w:rPr>
        <w:t xml:space="preserve"> </w:t>
      </w:r>
      <w:r w:rsidR="009B6647">
        <w:rPr>
          <w:rFonts w:ascii="Arial" w:hAnsi="Arial" w:cs="Arial"/>
          <w:sz w:val="20"/>
          <w:szCs w:val="20"/>
        </w:rPr>
        <w:t xml:space="preserve">the Company’s </w:t>
      </w:r>
      <w:r w:rsidR="00BC6676">
        <w:rPr>
          <w:rFonts w:ascii="Arial" w:hAnsi="Arial" w:cs="Arial"/>
          <w:sz w:val="20"/>
          <w:szCs w:val="20"/>
        </w:rPr>
        <w:t>S</w:t>
      </w:r>
      <w:r w:rsidR="00BB40B3">
        <w:rPr>
          <w:rFonts w:ascii="Arial" w:hAnsi="Arial" w:cs="Arial"/>
          <w:sz w:val="20"/>
          <w:szCs w:val="20"/>
        </w:rPr>
        <w:t xml:space="preserve">hareholders </w:t>
      </w:r>
      <w:r w:rsidR="00340153" w:rsidRPr="00340153">
        <w:rPr>
          <w:rFonts w:ascii="Arial" w:hAnsi="Arial" w:cs="Arial"/>
          <w:sz w:val="20"/>
          <w:szCs w:val="20"/>
        </w:rPr>
        <w:t>voted in favour of a change in the Company’s Investment Policy to a Managed Wind-Down Investment Policy</w:t>
      </w:r>
      <w:r w:rsidR="00DF6801">
        <w:rPr>
          <w:rFonts w:ascii="Arial" w:hAnsi="Arial" w:cs="Arial"/>
          <w:sz w:val="20"/>
          <w:szCs w:val="20"/>
        </w:rPr>
        <w:t xml:space="preserve">, which resulted in the Company </w:t>
      </w:r>
      <w:r w:rsidR="00BB40B3">
        <w:rPr>
          <w:rFonts w:ascii="Arial" w:hAnsi="Arial" w:cs="Arial"/>
          <w:sz w:val="20"/>
          <w:szCs w:val="20"/>
        </w:rPr>
        <w:t>amending the</w:t>
      </w:r>
      <w:r w:rsidR="00DF6801">
        <w:rPr>
          <w:rFonts w:ascii="Arial" w:hAnsi="Arial" w:cs="Arial"/>
          <w:sz w:val="20"/>
          <w:szCs w:val="20"/>
        </w:rPr>
        <w:t xml:space="preserve"> IMA with the Investment Manager</w:t>
      </w:r>
      <w:r w:rsidR="00BB40B3">
        <w:rPr>
          <w:rFonts w:ascii="Arial" w:hAnsi="Arial" w:cs="Arial"/>
          <w:sz w:val="20"/>
          <w:szCs w:val="20"/>
        </w:rPr>
        <w:t xml:space="preserve">. </w:t>
      </w:r>
      <w:r w:rsidR="00340153" w:rsidRPr="00340153">
        <w:rPr>
          <w:rFonts w:ascii="Arial" w:hAnsi="Arial" w:cs="Arial"/>
          <w:sz w:val="20"/>
          <w:szCs w:val="20"/>
        </w:rPr>
        <w:t xml:space="preserve">The Company’s </w:t>
      </w:r>
      <w:r w:rsidR="00BB40B3">
        <w:rPr>
          <w:rFonts w:ascii="Arial" w:hAnsi="Arial" w:cs="Arial"/>
          <w:sz w:val="20"/>
          <w:szCs w:val="20"/>
        </w:rPr>
        <w:t>revised</w:t>
      </w:r>
      <w:r w:rsidR="00340153" w:rsidRPr="00340153">
        <w:rPr>
          <w:rFonts w:ascii="Arial" w:hAnsi="Arial" w:cs="Arial"/>
          <w:sz w:val="20"/>
          <w:szCs w:val="20"/>
        </w:rPr>
        <w:t xml:space="preserve"> Investment Objective is “to realise all existing investments in the Company’s Portfolio in an orderly manner and make timely returns of cash to Shareholders”.</w:t>
      </w:r>
      <w:r w:rsidR="00340153">
        <w:rPr>
          <w:rFonts w:ascii="Arial" w:hAnsi="Arial" w:cs="Arial"/>
          <w:sz w:val="20"/>
          <w:szCs w:val="20"/>
        </w:rPr>
        <w:t xml:space="preserve"> </w:t>
      </w:r>
      <w:r w:rsidR="00BB40B3">
        <w:rPr>
          <w:rFonts w:ascii="Arial" w:hAnsi="Arial" w:cs="Arial"/>
          <w:sz w:val="20"/>
          <w:szCs w:val="20"/>
        </w:rPr>
        <w:t>The</w:t>
      </w:r>
      <w:r w:rsidR="00340153" w:rsidRPr="00340153">
        <w:rPr>
          <w:rFonts w:ascii="Arial" w:hAnsi="Arial" w:cs="Arial"/>
          <w:sz w:val="20"/>
          <w:szCs w:val="20"/>
        </w:rPr>
        <w:t xml:space="preserve"> revised I</w:t>
      </w:r>
      <w:r w:rsidR="000861E7">
        <w:rPr>
          <w:rFonts w:ascii="Arial" w:hAnsi="Arial" w:cs="Arial"/>
          <w:sz w:val="20"/>
          <w:szCs w:val="20"/>
        </w:rPr>
        <w:t xml:space="preserve">MA </w:t>
      </w:r>
      <w:r w:rsidR="00340153" w:rsidRPr="00340153">
        <w:rPr>
          <w:rFonts w:ascii="Arial" w:hAnsi="Arial" w:cs="Arial"/>
          <w:sz w:val="20"/>
          <w:szCs w:val="20"/>
        </w:rPr>
        <w:t xml:space="preserve">requires </w:t>
      </w:r>
      <w:r w:rsidR="00BB40B3">
        <w:rPr>
          <w:rFonts w:ascii="Arial" w:hAnsi="Arial" w:cs="Arial"/>
          <w:sz w:val="20"/>
          <w:szCs w:val="20"/>
        </w:rPr>
        <w:t>certain</w:t>
      </w:r>
      <w:r w:rsidR="00340153" w:rsidRPr="00340153">
        <w:rPr>
          <w:rFonts w:ascii="Arial" w:hAnsi="Arial" w:cs="Arial"/>
          <w:sz w:val="20"/>
          <w:szCs w:val="20"/>
        </w:rPr>
        <w:t xml:space="preserve"> payments (the “Adjustment Payments”) to be made to the Investment Manager </w:t>
      </w:r>
      <w:r w:rsidR="00BB40B3">
        <w:rPr>
          <w:rFonts w:ascii="Arial" w:hAnsi="Arial" w:cs="Arial"/>
          <w:sz w:val="20"/>
          <w:szCs w:val="20"/>
        </w:rPr>
        <w:t>in respect of</w:t>
      </w:r>
      <w:r w:rsidR="00BB40B3" w:rsidRPr="00340153">
        <w:rPr>
          <w:rFonts w:ascii="Arial" w:hAnsi="Arial" w:cs="Arial"/>
          <w:sz w:val="20"/>
          <w:szCs w:val="20"/>
        </w:rPr>
        <w:t xml:space="preserve"> </w:t>
      </w:r>
      <w:r w:rsidR="00340153" w:rsidRPr="00340153">
        <w:rPr>
          <w:rFonts w:ascii="Arial" w:hAnsi="Arial" w:cs="Arial"/>
          <w:sz w:val="20"/>
          <w:szCs w:val="20"/>
        </w:rPr>
        <w:t xml:space="preserve">the Company’s Cash, Public and Private Portfolios (as noted in the Circular to </w:t>
      </w:r>
      <w:r w:rsidR="00BC6676">
        <w:rPr>
          <w:rFonts w:ascii="Arial" w:hAnsi="Arial" w:cs="Arial"/>
          <w:sz w:val="20"/>
          <w:szCs w:val="20"/>
        </w:rPr>
        <w:t>S</w:t>
      </w:r>
      <w:r w:rsidR="00340153" w:rsidRPr="00340153">
        <w:rPr>
          <w:rFonts w:ascii="Arial" w:hAnsi="Arial" w:cs="Arial"/>
          <w:sz w:val="20"/>
          <w:szCs w:val="20"/>
        </w:rPr>
        <w:t>hareholders dated 1 August 2025) determined</w:t>
      </w:r>
      <w:r w:rsidR="00BB40B3">
        <w:rPr>
          <w:rFonts w:ascii="Arial" w:hAnsi="Arial" w:cs="Arial"/>
          <w:sz w:val="20"/>
          <w:szCs w:val="20"/>
        </w:rPr>
        <w:t xml:space="preserve"> either</w:t>
      </w:r>
      <w:r w:rsidR="00340153" w:rsidRPr="00340153">
        <w:rPr>
          <w:rFonts w:ascii="Arial" w:hAnsi="Arial" w:cs="Arial"/>
          <w:sz w:val="20"/>
          <w:szCs w:val="20"/>
        </w:rPr>
        <w:t xml:space="preserve"> by </w:t>
      </w:r>
      <w:r w:rsidR="00BB40B3">
        <w:rPr>
          <w:rFonts w:ascii="Arial" w:hAnsi="Arial" w:cs="Arial"/>
          <w:sz w:val="20"/>
          <w:szCs w:val="20"/>
        </w:rPr>
        <w:t xml:space="preserve">their respective </w:t>
      </w:r>
      <w:r w:rsidR="00340153" w:rsidRPr="00340153">
        <w:rPr>
          <w:rFonts w:ascii="Arial" w:hAnsi="Arial" w:cs="Arial"/>
          <w:sz w:val="20"/>
          <w:szCs w:val="20"/>
        </w:rPr>
        <w:t xml:space="preserve">values at 30 June or </w:t>
      </w:r>
      <w:r w:rsidR="00380531">
        <w:rPr>
          <w:rFonts w:ascii="Arial" w:hAnsi="Arial" w:cs="Arial"/>
          <w:sz w:val="20"/>
          <w:szCs w:val="20"/>
        </w:rPr>
        <w:t xml:space="preserve">the </w:t>
      </w:r>
      <w:r w:rsidR="00380531" w:rsidRPr="00380531">
        <w:rPr>
          <w:rFonts w:ascii="Arial" w:hAnsi="Arial" w:cs="Arial"/>
          <w:sz w:val="20"/>
          <w:szCs w:val="20"/>
        </w:rPr>
        <w:t xml:space="preserve">cash distributions received from such investments during the Managed Wind-Down period and the </w:t>
      </w:r>
      <w:r w:rsidR="00340153" w:rsidRPr="00340153">
        <w:rPr>
          <w:rFonts w:ascii="Arial" w:hAnsi="Arial" w:cs="Arial"/>
          <w:sz w:val="20"/>
          <w:szCs w:val="20"/>
        </w:rPr>
        <w:t xml:space="preserve">proceeds </w:t>
      </w:r>
      <w:r w:rsidR="00380531">
        <w:rPr>
          <w:rFonts w:ascii="Arial" w:hAnsi="Arial" w:cs="Arial"/>
          <w:sz w:val="20"/>
          <w:szCs w:val="20"/>
        </w:rPr>
        <w:t>received by the Company on their</w:t>
      </w:r>
      <w:r w:rsidR="00340153" w:rsidRPr="00340153">
        <w:rPr>
          <w:rFonts w:ascii="Arial" w:hAnsi="Arial" w:cs="Arial"/>
          <w:sz w:val="20"/>
          <w:szCs w:val="20"/>
        </w:rPr>
        <w:t xml:space="preserve"> eventual disposal. The First Adjustment Payment of </w:t>
      </w:r>
      <w:r w:rsidR="00380531">
        <w:rPr>
          <w:rFonts w:ascii="Arial" w:hAnsi="Arial" w:cs="Arial"/>
          <w:sz w:val="20"/>
          <w:szCs w:val="20"/>
        </w:rPr>
        <w:t xml:space="preserve">approximately </w:t>
      </w:r>
      <w:r w:rsidR="00340153" w:rsidRPr="00340153">
        <w:rPr>
          <w:rFonts w:ascii="Arial" w:hAnsi="Arial" w:cs="Arial"/>
          <w:sz w:val="20"/>
          <w:szCs w:val="20"/>
        </w:rPr>
        <w:t>$21.</w:t>
      </w:r>
      <w:r w:rsidR="004726B9">
        <w:rPr>
          <w:rFonts w:ascii="Arial" w:hAnsi="Arial" w:cs="Arial"/>
          <w:sz w:val="20"/>
          <w:szCs w:val="20"/>
        </w:rPr>
        <w:t>2</w:t>
      </w:r>
      <w:r w:rsidR="00340153" w:rsidRPr="00340153">
        <w:rPr>
          <w:rFonts w:ascii="Arial" w:hAnsi="Arial" w:cs="Arial"/>
          <w:sz w:val="20"/>
          <w:szCs w:val="20"/>
        </w:rPr>
        <w:t xml:space="preserve"> million is due to be paid 10 business days after the EGM based on the Cash Portfolio and Public Portfolio as </w:t>
      </w:r>
      <w:proofErr w:type="gramStart"/>
      <w:r w:rsidR="00122036">
        <w:rPr>
          <w:rFonts w:ascii="Arial" w:hAnsi="Arial" w:cs="Arial"/>
          <w:sz w:val="20"/>
          <w:szCs w:val="20"/>
        </w:rPr>
        <w:t>at</w:t>
      </w:r>
      <w:proofErr w:type="gramEnd"/>
      <w:r w:rsidR="00340153" w:rsidRPr="00340153">
        <w:rPr>
          <w:rFonts w:ascii="Arial" w:hAnsi="Arial" w:cs="Arial"/>
          <w:sz w:val="20"/>
          <w:szCs w:val="20"/>
        </w:rPr>
        <w:t xml:space="preserve"> 30 June 2025, as per the terms of the </w:t>
      </w:r>
      <w:r w:rsidR="00380531">
        <w:rPr>
          <w:rFonts w:ascii="Arial" w:hAnsi="Arial" w:cs="Arial"/>
          <w:sz w:val="20"/>
          <w:szCs w:val="20"/>
        </w:rPr>
        <w:t>revised IMA</w:t>
      </w:r>
      <w:r w:rsidR="00340153" w:rsidRPr="00340153">
        <w:rPr>
          <w:rFonts w:ascii="Arial" w:hAnsi="Arial" w:cs="Arial"/>
          <w:sz w:val="20"/>
          <w:szCs w:val="20"/>
        </w:rPr>
        <w:t xml:space="preserve">. Further potential and estimated Adjustment Payments </w:t>
      </w:r>
      <w:r w:rsidR="00122036">
        <w:rPr>
          <w:rFonts w:ascii="Arial" w:hAnsi="Arial" w:cs="Arial"/>
          <w:sz w:val="20"/>
          <w:szCs w:val="20"/>
        </w:rPr>
        <w:t xml:space="preserve">in aggregate </w:t>
      </w:r>
      <w:r w:rsidR="00340153" w:rsidRPr="00340153">
        <w:rPr>
          <w:rFonts w:ascii="Arial" w:hAnsi="Arial" w:cs="Arial"/>
          <w:sz w:val="20"/>
          <w:szCs w:val="20"/>
        </w:rPr>
        <w:t>of $6.7 million are due to be paid after the expected sale of the remaining investments in the Private Portfolio.</w:t>
      </w:r>
      <w:r w:rsidR="00122036" w:rsidRPr="00380531">
        <w:rPr>
          <w:rFonts w:ascii="Arial" w:hAnsi="Arial" w:cs="Arial"/>
          <w:sz w:val="20"/>
          <w:szCs w:val="20"/>
        </w:rPr>
        <w:t xml:space="preserve"> </w:t>
      </w:r>
      <w:r w:rsidR="00122036" w:rsidRPr="00122036">
        <w:rPr>
          <w:rFonts w:ascii="Arial" w:hAnsi="Arial" w:cs="Arial"/>
          <w:sz w:val="20"/>
          <w:szCs w:val="20"/>
        </w:rPr>
        <w:t xml:space="preserve">The Directors and the Investment Manager have considered and concluded that provisions related to the Adjustment Payments due to the Investment Manager in accordance with the terms of the Managed Wind-Down were not present obligations arising under any legal agreement at the end of current reporting period of the Company. The terms of the </w:t>
      </w:r>
      <w:r w:rsidR="00380531">
        <w:rPr>
          <w:rFonts w:ascii="Arial" w:hAnsi="Arial" w:cs="Arial"/>
          <w:sz w:val="20"/>
          <w:szCs w:val="20"/>
        </w:rPr>
        <w:t>revised IMA</w:t>
      </w:r>
      <w:r w:rsidR="00122036" w:rsidRPr="00122036">
        <w:rPr>
          <w:rFonts w:ascii="Arial" w:hAnsi="Arial" w:cs="Arial"/>
          <w:sz w:val="20"/>
          <w:szCs w:val="20"/>
        </w:rPr>
        <w:t xml:space="preserve"> became effective </w:t>
      </w:r>
      <w:r w:rsidR="00380531">
        <w:rPr>
          <w:rFonts w:ascii="Arial" w:hAnsi="Arial" w:cs="Arial"/>
          <w:sz w:val="20"/>
          <w:szCs w:val="20"/>
        </w:rPr>
        <w:t xml:space="preserve">immediately following </w:t>
      </w:r>
      <w:r w:rsidR="00122036" w:rsidRPr="00122036">
        <w:rPr>
          <w:rFonts w:ascii="Arial" w:hAnsi="Arial" w:cs="Arial"/>
          <w:sz w:val="20"/>
          <w:szCs w:val="20"/>
        </w:rPr>
        <w:t xml:space="preserve">the </w:t>
      </w:r>
      <w:r w:rsidR="00380531">
        <w:rPr>
          <w:rFonts w:ascii="Arial" w:hAnsi="Arial" w:cs="Arial"/>
          <w:sz w:val="20"/>
          <w:szCs w:val="20"/>
        </w:rPr>
        <w:t xml:space="preserve">conclusion of the </w:t>
      </w:r>
      <w:r w:rsidR="00122036" w:rsidRPr="00122036">
        <w:rPr>
          <w:rFonts w:ascii="Arial" w:hAnsi="Arial" w:cs="Arial"/>
          <w:sz w:val="20"/>
          <w:szCs w:val="20"/>
        </w:rPr>
        <w:t>EGM on 22 August 2025</w:t>
      </w:r>
      <w:r w:rsidR="00380531">
        <w:rPr>
          <w:rFonts w:ascii="Arial" w:hAnsi="Arial" w:cs="Arial"/>
          <w:sz w:val="20"/>
          <w:szCs w:val="20"/>
        </w:rPr>
        <w:t>,</w:t>
      </w:r>
      <w:r w:rsidR="00122036" w:rsidRPr="00122036">
        <w:rPr>
          <w:rFonts w:ascii="Arial" w:hAnsi="Arial" w:cs="Arial"/>
          <w:sz w:val="20"/>
          <w:szCs w:val="20"/>
        </w:rPr>
        <w:t xml:space="preserve"> whereas the Company’s unaudited interim financial statements are as of 30 June 2025.</w:t>
      </w:r>
      <w:r w:rsidR="00122036">
        <w:rPr>
          <w:rFonts w:ascii="Arial" w:hAnsi="Arial" w:cs="Arial"/>
          <w:sz w:val="20"/>
          <w:szCs w:val="20"/>
        </w:rPr>
        <w:t xml:space="preserve"> </w:t>
      </w:r>
      <w:r w:rsidR="00340153">
        <w:rPr>
          <w:rFonts w:ascii="Arial" w:hAnsi="Arial" w:cs="Arial"/>
          <w:sz w:val="20"/>
          <w:szCs w:val="20"/>
        </w:rPr>
        <w:t xml:space="preserve">Should these Adjustment Payments have been accrued for </w:t>
      </w:r>
      <w:r w:rsidR="00122036">
        <w:rPr>
          <w:rFonts w:ascii="Arial" w:hAnsi="Arial" w:cs="Arial"/>
          <w:sz w:val="20"/>
          <w:szCs w:val="20"/>
        </w:rPr>
        <w:t xml:space="preserve">as </w:t>
      </w:r>
      <w:proofErr w:type="gramStart"/>
      <w:r w:rsidR="00122036">
        <w:rPr>
          <w:rFonts w:ascii="Arial" w:hAnsi="Arial" w:cs="Arial"/>
          <w:sz w:val="20"/>
          <w:szCs w:val="20"/>
        </w:rPr>
        <w:t>at</w:t>
      </w:r>
      <w:proofErr w:type="gramEnd"/>
      <w:r w:rsidR="00122036">
        <w:rPr>
          <w:rFonts w:ascii="Arial" w:hAnsi="Arial" w:cs="Arial"/>
          <w:sz w:val="20"/>
          <w:szCs w:val="20"/>
        </w:rPr>
        <w:t xml:space="preserve"> 30 June 2025</w:t>
      </w:r>
      <w:r w:rsidR="00340153">
        <w:rPr>
          <w:rFonts w:ascii="Arial" w:hAnsi="Arial" w:cs="Arial"/>
          <w:sz w:val="20"/>
          <w:szCs w:val="20"/>
        </w:rPr>
        <w:t xml:space="preserve">, the resulting </w:t>
      </w:r>
      <w:r w:rsidR="00340153" w:rsidRPr="00122036">
        <w:rPr>
          <w:rFonts w:ascii="Arial" w:hAnsi="Arial" w:cs="Arial"/>
          <w:sz w:val="20"/>
          <w:szCs w:val="20"/>
        </w:rPr>
        <w:t>NAV</w:t>
      </w:r>
      <w:r w:rsidR="00340153">
        <w:rPr>
          <w:rFonts w:ascii="Arial" w:hAnsi="Arial" w:cs="Arial"/>
          <w:sz w:val="20"/>
          <w:szCs w:val="20"/>
        </w:rPr>
        <w:t xml:space="preserve"> of the Company would </w:t>
      </w:r>
      <w:r w:rsidR="00340153" w:rsidRPr="00A06BE6">
        <w:rPr>
          <w:rFonts w:ascii="Arial" w:hAnsi="Arial" w:cs="Arial"/>
          <w:sz w:val="20"/>
          <w:szCs w:val="20"/>
        </w:rPr>
        <w:t xml:space="preserve">have </w:t>
      </w:r>
      <w:r w:rsidR="00340153" w:rsidRPr="00380531">
        <w:rPr>
          <w:rFonts w:ascii="Arial" w:hAnsi="Arial" w:cs="Arial"/>
          <w:sz w:val="20"/>
          <w:szCs w:val="20"/>
        </w:rPr>
        <w:t xml:space="preserve">been </w:t>
      </w:r>
      <w:r w:rsidR="00074BAB" w:rsidRPr="00380531">
        <w:rPr>
          <w:rFonts w:ascii="Arial" w:hAnsi="Arial" w:cs="Arial"/>
          <w:sz w:val="20"/>
          <w:szCs w:val="20"/>
        </w:rPr>
        <w:t>$344</w:t>
      </w:r>
      <w:r w:rsidR="00122036" w:rsidRPr="00380531">
        <w:rPr>
          <w:rFonts w:ascii="Arial" w:hAnsi="Arial" w:cs="Arial"/>
          <w:sz w:val="20"/>
          <w:szCs w:val="20"/>
        </w:rPr>
        <w:t xml:space="preserve"> </w:t>
      </w:r>
      <w:r w:rsidR="00074BAB" w:rsidRPr="00380531">
        <w:rPr>
          <w:rFonts w:ascii="Arial" w:hAnsi="Arial" w:cs="Arial"/>
          <w:sz w:val="20"/>
          <w:szCs w:val="20"/>
        </w:rPr>
        <w:t>million.</w:t>
      </w:r>
    </w:p>
    <w:bookmarkEnd w:id="14"/>
    <w:p w14:paraId="648E80BD" w14:textId="77777777" w:rsidR="008F61A9" w:rsidRPr="00A06BE6" w:rsidRDefault="008F61A9" w:rsidP="00712872">
      <w:pPr>
        <w:tabs>
          <w:tab w:val="left" w:pos="6903"/>
        </w:tabs>
        <w:ind w:left="567"/>
        <w:jc w:val="both"/>
        <w:rPr>
          <w:rFonts w:ascii="Arial" w:hAnsi="Arial" w:cs="Arial"/>
          <w:sz w:val="20"/>
          <w:szCs w:val="20"/>
        </w:rPr>
      </w:pPr>
    </w:p>
    <w:p w14:paraId="101E2CCC" w14:textId="02FB0F4D" w:rsidR="00E41A2E" w:rsidRPr="008A7A35" w:rsidRDefault="00AF243C" w:rsidP="00712872">
      <w:pPr>
        <w:tabs>
          <w:tab w:val="left" w:pos="6903"/>
        </w:tabs>
        <w:ind w:left="567"/>
        <w:jc w:val="both"/>
        <w:rPr>
          <w:rFonts w:ascii="Arial" w:hAnsi="Arial" w:cs="Arial"/>
          <w:sz w:val="20"/>
          <w:szCs w:val="20"/>
        </w:rPr>
      </w:pPr>
      <w:r w:rsidRPr="00A06BE6">
        <w:rPr>
          <w:rFonts w:ascii="Arial" w:hAnsi="Arial" w:cs="Arial"/>
          <w:sz w:val="20"/>
          <w:szCs w:val="20"/>
        </w:rPr>
        <w:t>These unaudited interim condensed financial statements should be read in conjunction with</w:t>
      </w:r>
      <w:r w:rsidRPr="008A7A35">
        <w:rPr>
          <w:rFonts w:ascii="Arial" w:hAnsi="Arial" w:cs="Arial"/>
          <w:sz w:val="20"/>
          <w:szCs w:val="20"/>
        </w:rPr>
        <w:t xml:space="preserve"> the financial statements of the Company as at and for the year ended 31 December 202</w:t>
      </w:r>
      <w:r w:rsidR="00D90CEC" w:rsidRPr="008A7A35">
        <w:rPr>
          <w:rFonts w:ascii="Arial" w:hAnsi="Arial" w:cs="Arial"/>
          <w:sz w:val="20"/>
          <w:szCs w:val="20"/>
        </w:rPr>
        <w:t>4</w:t>
      </w:r>
      <w:r w:rsidRPr="008A7A35">
        <w:rPr>
          <w:rFonts w:ascii="Arial" w:hAnsi="Arial" w:cs="Arial"/>
          <w:sz w:val="20"/>
          <w:szCs w:val="20"/>
        </w:rPr>
        <w:t>, which were prepared in accordance with International Financial Reporting Standards as adopted by the EU. The statutory financial statements for the year ended 31 December 202</w:t>
      </w:r>
      <w:r w:rsidR="00D90CEC" w:rsidRPr="008A7A35">
        <w:rPr>
          <w:rFonts w:ascii="Arial" w:hAnsi="Arial" w:cs="Arial"/>
          <w:sz w:val="20"/>
          <w:szCs w:val="20"/>
        </w:rPr>
        <w:t>4</w:t>
      </w:r>
      <w:r w:rsidRPr="008A7A35">
        <w:rPr>
          <w:rFonts w:ascii="Arial" w:hAnsi="Arial" w:cs="Arial"/>
          <w:sz w:val="20"/>
          <w:szCs w:val="20"/>
        </w:rPr>
        <w:t xml:space="preserve"> were approved by the Board of Directors on 2</w:t>
      </w:r>
      <w:r w:rsidR="00D90CEC" w:rsidRPr="008A7A35">
        <w:rPr>
          <w:rFonts w:ascii="Arial" w:hAnsi="Arial" w:cs="Arial"/>
          <w:sz w:val="20"/>
          <w:szCs w:val="20"/>
        </w:rPr>
        <w:t>7</w:t>
      </w:r>
      <w:r w:rsidRPr="008A7A35">
        <w:rPr>
          <w:rFonts w:ascii="Arial" w:hAnsi="Arial" w:cs="Arial"/>
          <w:sz w:val="20"/>
          <w:szCs w:val="20"/>
        </w:rPr>
        <w:t xml:space="preserve"> February 202</w:t>
      </w:r>
      <w:r w:rsidR="00D90CEC" w:rsidRPr="008A7A35">
        <w:rPr>
          <w:rFonts w:ascii="Arial" w:hAnsi="Arial" w:cs="Arial"/>
          <w:sz w:val="20"/>
          <w:szCs w:val="20"/>
        </w:rPr>
        <w:t>5</w:t>
      </w:r>
      <w:r w:rsidRPr="008A7A35">
        <w:rPr>
          <w:rFonts w:ascii="Arial" w:hAnsi="Arial" w:cs="Arial"/>
          <w:sz w:val="20"/>
          <w:szCs w:val="20"/>
        </w:rPr>
        <w:t xml:space="preserve">. The opinion of the auditors on those financial statements was not qualified. The financial information for the year ended </w:t>
      </w:r>
      <w:r w:rsidR="00A07655" w:rsidRPr="008A7A35">
        <w:rPr>
          <w:rFonts w:ascii="Arial" w:hAnsi="Arial" w:cs="Arial"/>
          <w:sz w:val="20"/>
          <w:szCs w:val="20"/>
        </w:rPr>
        <w:t>31 December 202</w:t>
      </w:r>
      <w:r w:rsidR="00D90CEC" w:rsidRPr="008A7A35">
        <w:rPr>
          <w:rFonts w:ascii="Arial" w:hAnsi="Arial" w:cs="Arial"/>
          <w:sz w:val="20"/>
          <w:szCs w:val="20"/>
        </w:rPr>
        <w:t>4</w:t>
      </w:r>
      <w:r w:rsidRPr="008A7A35">
        <w:rPr>
          <w:rFonts w:ascii="Arial" w:hAnsi="Arial" w:cs="Arial"/>
          <w:sz w:val="20"/>
          <w:szCs w:val="20"/>
        </w:rPr>
        <w:t xml:space="preserve"> has been derived from the </w:t>
      </w:r>
      <w:r w:rsidR="00A07655" w:rsidRPr="008A7A35">
        <w:rPr>
          <w:rFonts w:ascii="Arial" w:hAnsi="Arial" w:cs="Arial"/>
          <w:sz w:val="20"/>
          <w:szCs w:val="20"/>
        </w:rPr>
        <w:t>a</w:t>
      </w:r>
      <w:r w:rsidRPr="008A7A35">
        <w:rPr>
          <w:rFonts w:ascii="Arial" w:hAnsi="Arial" w:cs="Arial"/>
          <w:sz w:val="20"/>
          <w:szCs w:val="20"/>
        </w:rPr>
        <w:t xml:space="preserve">udited </w:t>
      </w:r>
      <w:r w:rsidR="00A07655" w:rsidRPr="008A7A35">
        <w:rPr>
          <w:rFonts w:ascii="Arial" w:hAnsi="Arial" w:cs="Arial"/>
          <w:sz w:val="20"/>
          <w:szCs w:val="20"/>
        </w:rPr>
        <w:t>a</w:t>
      </w:r>
      <w:r w:rsidRPr="008A7A35">
        <w:rPr>
          <w:rFonts w:ascii="Arial" w:hAnsi="Arial" w:cs="Arial"/>
          <w:sz w:val="20"/>
          <w:szCs w:val="20"/>
        </w:rPr>
        <w:t xml:space="preserve">nnual </w:t>
      </w:r>
      <w:r w:rsidR="00A07655" w:rsidRPr="008A7A35">
        <w:rPr>
          <w:rFonts w:ascii="Arial" w:hAnsi="Arial" w:cs="Arial"/>
          <w:sz w:val="20"/>
          <w:szCs w:val="20"/>
        </w:rPr>
        <w:t>f</w:t>
      </w:r>
      <w:r w:rsidRPr="008A7A35">
        <w:rPr>
          <w:rFonts w:ascii="Arial" w:hAnsi="Arial" w:cs="Arial"/>
          <w:sz w:val="20"/>
          <w:szCs w:val="20"/>
        </w:rPr>
        <w:t xml:space="preserve">inancial </w:t>
      </w:r>
      <w:r w:rsidR="00A07655" w:rsidRPr="008A7A35">
        <w:rPr>
          <w:rFonts w:ascii="Arial" w:hAnsi="Arial" w:cs="Arial"/>
          <w:sz w:val="20"/>
          <w:szCs w:val="20"/>
        </w:rPr>
        <w:t>s</w:t>
      </w:r>
      <w:r w:rsidRPr="008A7A35">
        <w:rPr>
          <w:rFonts w:ascii="Arial" w:hAnsi="Arial" w:cs="Arial"/>
          <w:sz w:val="20"/>
          <w:szCs w:val="20"/>
        </w:rPr>
        <w:t>tatements of the Company for that year.</w:t>
      </w:r>
    </w:p>
    <w:p w14:paraId="0206B5B7" w14:textId="77777777" w:rsidR="00C712EE" w:rsidRPr="008A7A35" w:rsidRDefault="00C712EE" w:rsidP="00712872">
      <w:pPr>
        <w:tabs>
          <w:tab w:val="left" w:pos="6903"/>
        </w:tabs>
        <w:ind w:left="567"/>
        <w:jc w:val="both"/>
        <w:rPr>
          <w:rFonts w:ascii="Arial" w:hAnsi="Arial" w:cs="Arial"/>
        </w:rPr>
      </w:pPr>
    </w:p>
    <w:p w14:paraId="6FFA85C4" w14:textId="060C5112" w:rsidR="00C37212" w:rsidRPr="008A7A35" w:rsidRDefault="00C37212" w:rsidP="00A07655">
      <w:pPr>
        <w:tabs>
          <w:tab w:val="left" w:pos="6903"/>
        </w:tabs>
        <w:jc w:val="both"/>
        <w:rPr>
          <w:rFonts w:ascii="Arial" w:hAnsi="Arial" w:cs="Arial"/>
        </w:rPr>
      </w:pPr>
    </w:p>
    <w:p w14:paraId="402F5C42" w14:textId="4E730E86" w:rsidR="00C37212" w:rsidRPr="008A7A35" w:rsidRDefault="00C37212" w:rsidP="00712872">
      <w:pPr>
        <w:tabs>
          <w:tab w:val="left" w:pos="6903"/>
        </w:tabs>
        <w:ind w:left="567"/>
        <w:jc w:val="both"/>
        <w:rPr>
          <w:rFonts w:ascii="Arial" w:hAnsi="Arial" w:cs="Arial"/>
          <w:sz w:val="20"/>
          <w:szCs w:val="20"/>
        </w:rPr>
      </w:pPr>
      <w:r w:rsidRPr="008A7A35">
        <w:rPr>
          <w:rFonts w:ascii="Arial" w:hAnsi="Arial" w:cs="Arial"/>
          <w:sz w:val="20"/>
          <w:szCs w:val="20"/>
        </w:rPr>
        <w:t>These</w:t>
      </w:r>
      <w:r w:rsidR="00C128C4" w:rsidRPr="008A7A35">
        <w:rPr>
          <w:rFonts w:ascii="Arial" w:hAnsi="Arial" w:cs="Arial"/>
          <w:sz w:val="20"/>
          <w:szCs w:val="20"/>
        </w:rPr>
        <w:t xml:space="preserve"> unaudited</w:t>
      </w:r>
      <w:r w:rsidRPr="008A7A35">
        <w:rPr>
          <w:rFonts w:ascii="Arial" w:hAnsi="Arial" w:cs="Arial"/>
          <w:sz w:val="20"/>
          <w:szCs w:val="20"/>
        </w:rPr>
        <w:t xml:space="preserve"> interim condensed financial statements are presented in U.S. dollars</w:t>
      </w:r>
      <w:r w:rsidR="001D634C" w:rsidRPr="008A7A35">
        <w:rPr>
          <w:rFonts w:ascii="Arial" w:hAnsi="Arial" w:cs="Arial"/>
          <w:sz w:val="20"/>
          <w:szCs w:val="20"/>
        </w:rPr>
        <w:t xml:space="preserve">, </w:t>
      </w:r>
      <w:r w:rsidR="00C128C4" w:rsidRPr="008A7A35">
        <w:rPr>
          <w:rFonts w:ascii="Arial" w:hAnsi="Arial" w:cs="Arial"/>
          <w:sz w:val="20"/>
          <w:szCs w:val="20"/>
        </w:rPr>
        <w:t xml:space="preserve">which is also </w:t>
      </w:r>
      <w:r w:rsidR="001D634C" w:rsidRPr="008A7A35">
        <w:rPr>
          <w:rFonts w:ascii="Arial" w:hAnsi="Arial" w:cs="Arial"/>
          <w:sz w:val="20"/>
          <w:szCs w:val="20"/>
        </w:rPr>
        <w:t xml:space="preserve">the </w:t>
      </w:r>
      <w:r w:rsidR="00C128C4" w:rsidRPr="008A7A35">
        <w:rPr>
          <w:rFonts w:ascii="Arial" w:hAnsi="Arial" w:cs="Arial"/>
          <w:sz w:val="20"/>
          <w:szCs w:val="20"/>
        </w:rPr>
        <w:t xml:space="preserve">Company’s </w:t>
      </w:r>
      <w:r w:rsidR="001D634C" w:rsidRPr="008A7A35">
        <w:rPr>
          <w:rFonts w:ascii="Arial" w:hAnsi="Arial" w:cs="Arial"/>
          <w:sz w:val="20"/>
          <w:szCs w:val="20"/>
        </w:rPr>
        <w:t>functional currency</w:t>
      </w:r>
      <w:r w:rsidR="00C128C4" w:rsidRPr="008A7A35">
        <w:rPr>
          <w:rFonts w:ascii="Arial" w:hAnsi="Arial" w:cs="Arial"/>
          <w:sz w:val="20"/>
          <w:szCs w:val="20"/>
        </w:rPr>
        <w:t>.</w:t>
      </w:r>
      <w:r w:rsidRPr="008A7A35">
        <w:rPr>
          <w:rFonts w:ascii="Arial" w:hAnsi="Arial" w:cs="Arial"/>
          <w:sz w:val="20"/>
          <w:szCs w:val="20"/>
        </w:rPr>
        <w:t xml:space="preserve"> </w:t>
      </w:r>
      <w:r w:rsidR="00C128C4" w:rsidRPr="008A7A35">
        <w:rPr>
          <w:rFonts w:ascii="Arial" w:hAnsi="Arial" w:cs="Arial"/>
          <w:sz w:val="20"/>
          <w:szCs w:val="20"/>
        </w:rPr>
        <w:t xml:space="preserve">The amounts </w:t>
      </w:r>
      <w:r w:rsidRPr="008A7A35">
        <w:rPr>
          <w:rFonts w:ascii="Arial" w:hAnsi="Arial" w:cs="Arial"/>
          <w:sz w:val="20"/>
          <w:szCs w:val="20"/>
        </w:rPr>
        <w:t xml:space="preserve">are rounded to the nearest $’000, unless otherwise </w:t>
      </w:r>
      <w:r w:rsidR="00C128C4" w:rsidRPr="008A7A35">
        <w:rPr>
          <w:rFonts w:ascii="Arial" w:hAnsi="Arial" w:cs="Arial"/>
          <w:sz w:val="20"/>
          <w:szCs w:val="20"/>
        </w:rPr>
        <w:t>stated</w:t>
      </w:r>
      <w:r w:rsidRPr="008A7A35">
        <w:rPr>
          <w:rFonts w:ascii="Arial" w:hAnsi="Arial" w:cs="Arial"/>
          <w:sz w:val="20"/>
          <w:szCs w:val="20"/>
        </w:rPr>
        <w:t>.</w:t>
      </w:r>
    </w:p>
    <w:p w14:paraId="1F46AD8B" w14:textId="77777777" w:rsidR="0030726E" w:rsidRDefault="0030726E" w:rsidP="00712872">
      <w:pPr>
        <w:tabs>
          <w:tab w:val="left" w:pos="6903"/>
        </w:tabs>
        <w:ind w:left="567"/>
        <w:jc w:val="both"/>
        <w:rPr>
          <w:rFonts w:ascii="Arial" w:hAnsi="Arial" w:cs="Arial"/>
          <w:sz w:val="20"/>
          <w:szCs w:val="20"/>
        </w:rPr>
      </w:pPr>
    </w:p>
    <w:p w14:paraId="38D80299" w14:textId="77777777" w:rsidR="003819CB" w:rsidRPr="008A7A35" w:rsidRDefault="003819CB" w:rsidP="00712872">
      <w:pPr>
        <w:tabs>
          <w:tab w:val="left" w:pos="6903"/>
        </w:tabs>
        <w:ind w:left="567"/>
        <w:jc w:val="both"/>
        <w:rPr>
          <w:rFonts w:ascii="Arial" w:hAnsi="Arial" w:cs="Arial"/>
          <w:sz w:val="20"/>
          <w:szCs w:val="20"/>
        </w:rPr>
      </w:pPr>
    </w:p>
    <w:p w14:paraId="02C7E70C" w14:textId="1CBB25BF" w:rsidR="00DE4E0D" w:rsidRPr="008A7A35" w:rsidRDefault="0030726E" w:rsidP="00C47CB2">
      <w:pPr>
        <w:shd w:val="clear" w:color="auto" w:fill="FFFFFF"/>
        <w:spacing w:line="210" w:lineRule="atLeast"/>
        <w:ind w:left="567"/>
        <w:jc w:val="both"/>
        <w:rPr>
          <w:rFonts w:ascii="Arial" w:hAnsi="Arial" w:cs="Arial"/>
          <w:b/>
          <w:bCs/>
          <w:sz w:val="20"/>
          <w:szCs w:val="20"/>
        </w:rPr>
      </w:pPr>
      <w:r w:rsidRPr="008A7A35">
        <w:rPr>
          <w:rFonts w:ascii="Arial" w:hAnsi="Arial" w:cs="Arial"/>
          <w:b/>
          <w:bCs/>
          <w:sz w:val="20"/>
          <w:szCs w:val="20"/>
        </w:rPr>
        <w:t>Going Concern</w:t>
      </w:r>
    </w:p>
    <w:p w14:paraId="4E0E0657" w14:textId="25E4E90D" w:rsidR="00D049A3" w:rsidRPr="008A7A35" w:rsidRDefault="00D049A3" w:rsidP="00D049A3">
      <w:pPr>
        <w:tabs>
          <w:tab w:val="left" w:pos="6903"/>
        </w:tabs>
        <w:ind w:left="567"/>
        <w:jc w:val="both"/>
        <w:rPr>
          <w:rFonts w:ascii="Arial" w:hAnsi="Arial" w:cs="Arial"/>
          <w:sz w:val="20"/>
          <w:szCs w:val="20"/>
        </w:rPr>
      </w:pPr>
      <w:r w:rsidRPr="008A7A35">
        <w:rPr>
          <w:rFonts w:ascii="Arial" w:hAnsi="Arial" w:cs="Arial"/>
          <w:sz w:val="20"/>
          <w:szCs w:val="20"/>
        </w:rPr>
        <w:t xml:space="preserve">The Directors, as at the date of this report, are required to consider whether they have a reasonable expectation that the Company has adequate resources to continue in operational existence for the foreseeable future. </w:t>
      </w:r>
    </w:p>
    <w:p w14:paraId="009E1EA8" w14:textId="77777777" w:rsidR="00D049A3" w:rsidRPr="008A7A35" w:rsidRDefault="00D049A3" w:rsidP="008A7A35">
      <w:pPr>
        <w:tabs>
          <w:tab w:val="left" w:pos="6903"/>
        </w:tabs>
        <w:ind w:left="567"/>
        <w:jc w:val="both"/>
        <w:rPr>
          <w:rFonts w:ascii="Arial" w:hAnsi="Arial" w:cs="Arial"/>
          <w:sz w:val="20"/>
          <w:szCs w:val="20"/>
        </w:rPr>
      </w:pPr>
    </w:p>
    <w:p w14:paraId="05F510FE" w14:textId="2DEF03EE" w:rsidR="00D049A3" w:rsidRPr="008D7DFB" w:rsidRDefault="00F00725" w:rsidP="003B03AA">
      <w:pPr>
        <w:tabs>
          <w:tab w:val="left" w:pos="6903"/>
        </w:tabs>
        <w:ind w:left="567"/>
        <w:jc w:val="both"/>
        <w:rPr>
          <w:rFonts w:ascii="Arial" w:hAnsi="Arial" w:cs="Arial"/>
          <w:sz w:val="20"/>
          <w:szCs w:val="20"/>
        </w:rPr>
      </w:pPr>
      <w:r w:rsidRPr="008D7DFB">
        <w:rPr>
          <w:rFonts w:ascii="Arial" w:eastAsia="Calibri" w:hAnsi="Arial" w:cs="Arial"/>
          <w:kern w:val="2"/>
          <w:sz w:val="20"/>
          <w:szCs w:val="20"/>
          <w14:ligatures w14:val="standardContextual"/>
        </w:rPr>
        <w:t>The Directors have assessed the liquidity of the Company’s Public Portfolio and the Company’s financial position in respect of its level of cash as well as its forecasted future cash flows. After making enquiries of the Investment Manager on the forecast cash flows, and having reassessed the principal risks in light of the recent changes to the Company’s investment objective and strategy, the Directors are satisfied that the Company has adequate resources to</w:t>
      </w:r>
      <w:r w:rsidRPr="00830133">
        <w:rPr>
          <w:rFonts w:ascii="Arial" w:eastAsia="Calibri" w:hAnsi="Arial" w:cs="Arial"/>
          <w:kern w:val="2"/>
          <w:sz w:val="20"/>
          <w:szCs w:val="20"/>
          <w14:ligatures w14:val="standardContextual"/>
        </w:rPr>
        <w:t xml:space="preserve"> </w:t>
      </w:r>
      <w:r w:rsidRPr="008D7DFB">
        <w:rPr>
          <w:rFonts w:ascii="Arial" w:eastAsia="Calibri" w:hAnsi="Arial" w:cs="Arial"/>
          <w:kern w:val="2"/>
          <w:sz w:val="20"/>
          <w:szCs w:val="20"/>
          <w14:ligatures w14:val="standardContextual"/>
        </w:rPr>
        <w:t xml:space="preserve">continue in operational existence </w:t>
      </w:r>
      <w:r w:rsidRPr="00830133">
        <w:rPr>
          <w:rFonts w:ascii="Arial" w:eastAsia="Calibri" w:hAnsi="Arial" w:cs="Arial"/>
          <w:kern w:val="2"/>
          <w:sz w:val="20"/>
          <w:szCs w:val="20"/>
          <w14:ligatures w14:val="standardContextual"/>
        </w:rPr>
        <w:t xml:space="preserve">and meet all its obligations as they fall due </w:t>
      </w:r>
      <w:r w:rsidR="005376B6">
        <w:rPr>
          <w:rFonts w:ascii="Arial" w:eastAsia="Calibri" w:hAnsi="Arial" w:cs="Arial"/>
          <w:kern w:val="2"/>
          <w:sz w:val="20"/>
          <w:szCs w:val="20"/>
          <w14:ligatures w14:val="standardContextual"/>
        </w:rPr>
        <w:t>over the Managed Wind-Down period</w:t>
      </w:r>
      <w:r w:rsidRPr="008D7DFB">
        <w:rPr>
          <w:rFonts w:ascii="Arial" w:eastAsia="Calibri" w:hAnsi="Arial" w:cs="Arial"/>
          <w:kern w:val="2"/>
          <w:sz w:val="20"/>
          <w:szCs w:val="20"/>
          <w14:ligatures w14:val="standardContextual"/>
        </w:rPr>
        <w:t xml:space="preserve">. </w:t>
      </w:r>
      <w:r w:rsidR="003B03AA">
        <w:rPr>
          <w:rFonts w:ascii="Arial" w:eastAsia="Calibri" w:hAnsi="Arial" w:cs="Arial"/>
          <w:kern w:val="2"/>
          <w:sz w:val="20"/>
          <w:szCs w:val="20"/>
          <w14:ligatures w14:val="standardContextual"/>
        </w:rPr>
        <w:t xml:space="preserve">However, at the EGM of 22 August 2025, the </w:t>
      </w:r>
      <w:r w:rsidR="00BC6676">
        <w:rPr>
          <w:rFonts w:ascii="Arial" w:eastAsia="Calibri" w:hAnsi="Arial" w:cs="Arial"/>
          <w:kern w:val="2"/>
          <w:sz w:val="20"/>
          <w:szCs w:val="20"/>
          <w14:ligatures w14:val="standardContextual"/>
        </w:rPr>
        <w:t>S</w:t>
      </w:r>
      <w:r w:rsidR="003B03AA">
        <w:rPr>
          <w:rFonts w:ascii="Arial" w:eastAsia="Calibri" w:hAnsi="Arial" w:cs="Arial"/>
          <w:kern w:val="2"/>
          <w:sz w:val="20"/>
          <w:szCs w:val="20"/>
          <w14:ligatures w14:val="standardContextual"/>
        </w:rPr>
        <w:t xml:space="preserve">hareholders approved the Company entering a Managed Wind-Down and </w:t>
      </w:r>
      <w:r w:rsidR="003B03AA" w:rsidRPr="008A7A35">
        <w:rPr>
          <w:rFonts w:ascii="Arial" w:eastAsia="Calibri" w:hAnsi="Arial" w:cs="Arial"/>
          <w:kern w:val="2"/>
          <w:sz w:val="20"/>
          <w:szCs w:val="20"/>
          <w14:ligatures w14:val="standardContextual"/>
        </w:rPr>
        <w:t xml:space="preserve">voted in favour of a change in the Company’s investment objective and policy to </w:t>
      </w:r>
      <w:r w:rsidR="003B03AA">
        <w:rPr>
          <w:rFonts w:ascii="Arial" w:eastAsia="Calibri" w:hAnsi="Arial" w:cs="Arial"/>
          <w:kern w:val="2"/>
          <w:sz w:val="20"/>
          <w:szCs w:val="20"/>
          <w14:ligatures w14:val="standardContextual"/>
        </w:rPr>
        <w:t>move to an orderly realisation of the Company’s assets. As a result,</w:t>
      </w:r>
      <w:r w:rsidR="003B03AA" w:rsidDel="003B03AA">
        <w:rPr>
          <w:rFonts w:ascii="Arial" w:eastAsia="Calibri" w:hAnsi="Arial" w:cs="Arial"/>
          <w:kern w:val="2"/>
          <w:sz w:val="20"/>
          <w:szCs w:val="20"/>
          <w14:ligatures w14:val="standardContextual"/>
        </w:rPr>
        <w:t xml:space="preserve"> </w:t>
      </w:r>
      <w:r w:rsidRPr="008D7DFB">
        <w:rPr>
          <w:rFonts w:ascii="Arial" w:eastAsia="Calibri" w:hAnsi="Arial" w:cs="Arial"/>
          <w:kern w:val="2"/>
          <w:sz w:val="20"/>
          <w:szCs w:val="20"/>
          <w14:ligatures w14:val="standardContextual"/>
        </w:rPr>
        <w:t>the Directors have</w:t>
      </w:r>
      <w:r w:rsidRPr="00830133">
        <w:rPr>
          <w:rFonts w:ascii="Arial" w:eastAsia="Calibri" w:hAnsi="Arial" w:cs="Arial"/>
          <w:kern w:val="2"/>
          <w:sz w:val="20"/>
          <w:szCs w:val="20"/>
          <w14:ligatures w14:val="standardContextual"/>
        </w:rPr>
        <w:t xml:space="preserve"> </w:t>
      </w:r>
      <w:r w:rsidRPr="008D7DFB">
        <w:rPr>
          <w:rFonts w:ascii="Arial" w:eastAsia="Calibri" w:hAnsi="Arial" w:cs="Arial"/>
          <w:kern w:val="2"/>
          <w:sz w:val="20"/>
          <w:szCs w:val="20"/>
          <w14:ligatures w14:val="standardContextual"/>
        </w:rPr>
        <w:t xml:space="preserve">concluded that the </w:t>
      </w:r>
      <w:r w:rsidR="003B03AA">
        <w:rPr>
          <w:rFonts w:ascii="Arial" w:eastAsia="Calibri" w:hAnsi="Arial" w:cs="Arial"/>
          <w:kern w:val="2"/>
          <w:sz w:val="20"/>
          <w:szCs w:val="20"/>
          <w14:ligatures w14:val="standardContextual"/>
        </w:rPr>
        <w:t xml:space="preserve">unaudited </w:t>
      </w:r>
      <w:r w:rsidRPr="008D7DFB">
        <w:rPr>
          <w:rFonts w:ascii="Arial" w:eastAsia="Calibri" w:hAnsi="Arial" w:cs="Arial"/>
          <w:kern w:val="2"/>
          <w:sz w:val="20"/>
          <w:szCs w:val="20"/>
          <w14:ligatures w14:val="standardContextual"/>
        </w:rPr>
        <w:t>financial statements</w:t>
      </w:r>
      <w:r w:rsidRPr="00830133">
        <w:rPr>
          <w:rFonts w:ascii="Arial" w:eastAsia="Calibri" w:hAnsi="Arial" w:cs="Arial"/>
          <w:kern w:val="2"/>
          <w:sz w:val="20"/>
          <w:szCs w:val="20"/>
          <w14:ligatures w14:val="standardContextual"/>
        </w:rPr>
        <w:t xml:space="preserve"> </w:t>
      </w:r>
      <w:r w:rsidRPr="008D7DFB">
        <w:rPr>
          <w:rFonts w:ascii="Arial" w:eastAsia="Calibri" w:hAnsi="Arial" w:cs="Arial"/>
          <w:kern w:val="2"/>
          <w:sz w:val="20"/>
          <w:szCs w:val="20"/>
          <w14:ligatures w14:val="standardContextual"/>
        </w:rPr>
        <w:t xml:space="preserve">of the Company should </w:t>
      </w:r>
      <w:r w:rsidRPr="00830133">
        <w:rPr>
          <w:rFonts w:ascii="Arial" w:eastAsia="Calibri" w:hAnsi="Arial" w:cs="Arial"/>
          <w:kern w:val="2"/>
          <w:sz w:val="20"/>
          <w:szCs w:val="20"/>
          <w14:ligatures w14:val="standardContextual"/>
        </w:rPr>
        <w:t xml:space="preserve">now be prepared on a basis other than </w:t>
      </w:r>
      <w:r w:rsidRPr="008D7DFB">
        <w:rPr>
          <w:rFonts w:ascii="Arial" w:eastAsia="Calibri" w:hAnsi="Arial" w:cs="Arial"/>
          <w:kern w:val="2"/>
          <w:sz w:val="20"/>
          <w:szCs w:val="20"/>
          <w14:ligatures w14:val="standardContextual"/>
        </w:rPr>
        <w:t xml:space="preserve">going concern and the financial statements have been prepared accordingly. No material differences arise from this new basis of preparation when compared to the previously adopted going concern basis of preparation. </w:t>
      </w:r>
    </w:p>
    <w:p w14:paraId="2370A1B2" w14:textId="77777777" w:rsidR="007C3B0B" w:rsidRPr="008A7A35" w:rsidRDefault="007C3B0B">
      <w:pPr>
        <w:rPr>
          <w:rFonts w:ascii="Arial" w:hAnsi="Arial" w:cs="Arial"/>
          <w:sz w:val="20"/>
          <w:szCs w:val="20"/>
        </w:rPr>
      </w:pPr>
    </w:p>
    <w:p w14:paraId="218ECBF9" w14:textId="753FEFCA" w:rsidR="00C37212" w:rsidRPr="008A7A35" w:rsidRDefault="00C37212" w:rsidP="007C3B0B">
      <w:pPr>
        <w:rPr>
          <w:rFonts w:ascii="Arial" w:hAnsi="Arial" w:cs="Arial"/>
          <w:sz w:val="20"/>
          <w:szCs w:val="20"/>
        </w:rPr>
      </w:pPr>
    </w:p>
    <w:p w14:paraId="70A9372B" w14:textId="77777777" w:rsidR="005018B0" w:rsidRPr="008A7A35" w:rsidRDefault="00E41A2E" w:rsidP="005018B0">
      <w:pPr>
        <w:ind w:left="567" w:hanging="567"/>
        <w:outlineLvl w:val="1"/>
        <w:rPr>
          <w:rFonts w:ascii="Arial" w:hAnsi="Arial" w:cs="Arial"/>
          <w:b/>
          <w:sz w:val="28"/>
          <w:szCs w:val="28"/>
        </w:rPr>
      </w:pPr>
      <w:r w:rsidRPr="008A7A35">
        <w:rPr>
          <w:rFonts w:ascii="Arial" w:hAnsi="Arial" w:cs="Arial"/>
          <w:b/>
          <w:sz w:val="28"/>
          <w:szCs w:val="28"/>
        </w:rPr>
        <w:t>2.</w:t>
      </w:r>
      <w:r w:rsidRPr="008A7A35">
        <w:rPr>
          <w:rFonts w:ascii="Arial" w:hAnsi="Arial" w:cs="Arial"/>
          <w:b/>
          <w:sz w:val="28"/>
          <w:szCs w:val="28"/>
        </w:rPr>
        <w:tab/>
      </w:r>
      <w:r w:rsidR="005018B0" w:rsidRPr="008A7A35">
        <w:rPr>
          <w:rFonts w:ascii="Arial" w:hAnsi="Arial" w:cs="Arial"/>
          <w:b/>
          <w:sz w:val="28"/>
          <w:szCs w:val="28"/>
        </w:rPr>
        <w:t>New standards, interpretations and amendments adopted by the Company</w:t>
      </w:r>
    </w:p>
    <w:p w14:paraId="266C8F64" w14:textId="77777777" w:rsidR="00DB2F2B" w:rsidRPr="008A7A35" w:rsidRDefault="00DB2F2B" w:rsidP="005018B0">
      <w:pPr>
        <w:tabs>
          <w:tab w:val="left" w:pos="6903"/>
        </w:tabs>
        <w:ind w:left="567"/>
        <w:rPr>
          <w:rFonts w:ascii="Arial" w:hAnsi="Arial" w:cs="Arial"/>
          <w:sz w:val="20"/>
          <w:szCs w:val="20"/>
        </w:rPr>
      </w:pPr>
    </w:p>
    <w:p w14:paraId="4914C59F" w14:textId="425D6EE2" w:rsidR="008A60C1" w:rsidRPr="008A7A35" w:rsidRDefault="005018B0" w:rsidP="008778DB">
      <w:pPr>
        <w:tabs>
          <w:tab w:val="left" w:pos="6903"/>
        </w:tabs>
        <w:ind w:left="567"/>
        <w:jc w:val="both"/>
        <w:rPr>
          <w:rFonts w:ascii="Arial" w:hAnsi="Arial" w:cs="Arial"/>
          <w:b/>
          <w:sz w:val="28"/>
          <w:szCs w:val="28"/>
        </w:rPr>
      </w:pPr>
      <w:r w:rsidRPr="008A7A35">
        <w:rPr>
          <w:rFonts w:ascii="Arial" w:hAnsi="Arial" w:cs="Arial"/>
          <w:sz w:val="20"/>
          <w:szCs w:val="20"/>
        </w:rPr>
        <w:t xml:space="preserve">The Company has not early adopted any standard, interpretation or amendment that has been issued but is not yet effective. </w:t>
      </w:r>
      <w:r w:rsidR="004D5038" w:rsidRPr="008A7A35">
        <w:rPr>
          <w:rFonts w:ascii="Arial" w:hAnsi="Arial" w:cs="Arial"/>
          <w:sz w:val="20"/>
          <w:szCs w:val="20"/>
        </w:rPr>
        <w:t>Several amendments apply for the first time in 202</w:t>
      </w:r>
      <w:r w:rsidR="00D90CEC" w:rsidRPr="008A7A35">
        <w:rPr>
          <w:rFonts w:ascii="Arial" w:hAnsi="Arial" w:cs="Arial"/>
          <w:sz w:val="20"/>
          <w:szCs w:val="20"/>
        </w:rPr>
        <w:t>5</w:t>
      </w:r>
      <w:r w:rsidR="00165FBA" w:rsidRPr="008A7A35">
        <w:rPr>
          <w:rFonts w:ascii="Arial" w:hAnsi="Arial" w:cs="Arial"/>
          <w:sz w:val="20"/>
          <w:szCs w:val="20"/>
        </w:rPr>
        <w:t xml:space="preserve">, </w:t>
      </w:r>
      <w:r w:rsidR="004D5038" w:rsidRPr="008A7A35">
        <w:rPr>
          <w:rFonts w:ascii="Arial" w:hAnsi="Arial" w:cs="Arial"/>
          <w:sz w:val="20"/>
          <w:szCs w:val="20"/>
        </w:rPr>
        <w:t>but do not have</w:t>
      </w:r>
      <w:r w:rsidR="00165FBA" w:rsidRPr="008A7A35">
        <w:rPr>
          <w:rFonts w:ascii="Arial" w:hAnsi="Arial" w:cs="Arial"/>
          <w:sz w:val="20"/>
          <w:szCs w:val="20"/>
        </w:rPr>
        <w:t xml:space="preserve"> a material impact on the Company</w:t>
      </w:r>
      <w:r w:rsidR="00C031F8" w:rsidRPr="008A7A35">
        <w:rPr>
          <w:rFonts w:ascii="Arial" w:hAnsi="Arial" w:cs="Arial"/>
          <w:sz w:val="20"/>
          <w:szCs w:val="20"/>
        </w:rPr>
        <w:t>’</w:t>
      </w:r>
      <w:r w:rsidR="00165FBA" w:rsidRPr="008A7A35">
        <w:rPr>
          <w:rFonts w:ascii="Arial" w:hAnsi="Arial" w:cs="Arial"/>
          <w:sz w:val="20"/>
          <w:szCs w:val="20"/>
        </w:rPr>
        <w:t xml:space="preserve">s </w:t>
      </w:r>
      <w:r w:rsidR="004D5038" w:rsidRPr="008A7A35">
        <w:rPr>
          <w:rFonts w:ascii="Arial" w:hAnsi="Arial" w:cs="Arial"/>
          <w:sz w:val="20"/>
          <w:szCs w:val="20"/>
        </w:rPr>
        <w:t xml:space="preserve">interim condensed </w:t>
      </w:r>
      <w:r w:rsidR="00165FBA" w:rsidRPr="008A7A35">
        <w:rPr>
          <w:rFonts w:ascii="Arial" w:hAnsi="Arial" w:cs="Arial"/>
          <w:sz w:val="20"/>
          <w:szCs w:val="20"/>
        </w:rPr>
        <w:t xml:space="preserve">financial position or on the </w:t>
      </w:r>
      <w:r w:rsidR="006F4529" w:rsidRPr="008A7A35">
        <w:rPr>
          <w:rFonts w:ascii="Arial" w:hAnsi="Arial" w:cs="Arial"/>
          <w:sz w:val="20"/>
          <w:szCs w:val="20"/>
        </w:rPr>
        <w:t xml:space="preserve">presentation </w:t>
      </w:r>
      <w:r w:rsidR="00165FBA" w:rsidRPr="008A7A35">
        <w:rPr>
          <w:rFonts w:ascii="Arial" w:hAnsi="Arial" w:cs="Arial"/>
          <w:sz w:val="20"/>
          <w:szCs w:val="20"/>
        </w:rPr>
        <w:t>of the Company’s statements.</w:t>
      </w:r>
    </w:p>
    <w:p w14:paraId="08F30191" w14:textId="204F5096" w:rsidR="00A07655" w:rsidRPr="008A7A35" w:rsidRDefault="00A07655" w:rsidP="00A07655">
      <w:pPr>
        <w:ind w:left="567" w:hanging="567"/>
        <w:outlineLvl w:val="1"/>
        <w:rPr>
          <w:rFonts w:ascii="Arial" w:hAnsi="Arial" w:cs="Arial"/>
          <w:b/>
          <w:sz w:val="28"/>
          <w:szCs w:val="28"/>
        </w:rPr>
      </w:pPr>
    </w:p>
    <w:p w14:paraId="0C382C7F" w14:textId="1DC055D0" w:rsidR="00E41A2E" w:rsidRPr="008A7A35" w:rsidRDefault="00E41A2E">
      <w:pPr>
        <w:ind w:left="567" w:hanging="567"/>
        <w:outlineLvl w:val="1"/>
        <w:rPr>
          <w:rFonts w:ascii="Arial" w:hAnsi="Arial" w:cs="Arial"/>
          <w:b/>
          <w:sz w:val="28"/>
          <w:szCs w:val="28"/>
        </w:rPr>
      </w:pPr>
      <w:r w:rsidRPr="008A7A35">
        <w:rPr>
          <w:rFonts w:ascii="Arial" w:hAnsi="Arial" w:cs="Arial"/>
          <w:b/>
          <w:sz w:val="28"/>
          <w:szCs w:val="28"/>
        </w:rPr>
        <w:t>3.</w:t>
      </w:r>
      <w:r w:rsidRPr="008A7A35">
        <w:rPr>
          <w:rFonts w:ascii="Arial" w:hAnsi="Arial" w:cs="Arial"/>
          <w:b/>
          <w:sz w:val="28"/>
          <w:szCs w:val="28"/>
        </w:rPr>
        <w:tab/>
      </w:r>
      <w:r w:rsidR="00AD2000" w:rsidRPr="008A7A35">
        <w:rPr>
          <w:rFonts w:ascii="Arial" w:hAnsi="Arial" w:cs="Arial"/>
          <w:b/>
          <w:sz w:val="28"/>
          <w:szCs w:val="28"/>
        </w:rPr>
        <w:t>Critical</w:t>
      </w:r>
      <w:r w:rsidR="001B7CD8" w:rsidRPr="008A7A35">
        <w:rPr>
          <w:rFonts w:ascii="Arial" w:hAnsi="Arial" w:cs="Arial"/>
          <w:b/>
          <w:sz w:val="28"/>
          <w:szCs w:val="28"/>
        </w:rPr>
        <w:t xml:space="preserve"> </w:t>
      </w:r>
      <w:r w:rsidRPr="008A7A35">
        <w:rPr>
          <w:rFonts w:ascii="Arial" w:hAnsi="Arial" w:cs="Arial"/>
          <w:b/>
          <w:sz w:val="28"/>
          <w:szCs w:val="28"/>
        </w:rPr>
        <w:t>accounting judgement</w:t>
      </w:r>
      <w:r w:rsidR="00A729E8" w:rsidRPr="008A7A35">
        <w:rPr>
          <w:rFonts w:ascii="Arial" w:hAnsi="Arial" w:cs="Arial"/>
          <w:b/>
          <w:sz w:val="28"/>
          <w:szCs w:val="28"/>
        </w:rPr>
        <w:t>s</w:t>
      </w:r>
      <w:r w:rsidR="001B7CD8" w:rsidRPr="008A7A35">
        <w:rPr>
          <w:rFonts w:ascii="Arial" w:hAnsi="Arial" w:cs="Arial"/>
          <w:b/>
          <w:sz w:val="28"/>
          <w:szCs w:val="28"/>
        </w:rPr>
        <w:t xml:space="preserve">, </w:t>
      </w:r>
      <w:r w:rsidRPr="008A7A35">
        <w:rPr>
          <w:rFonts w:ascii="Arial" w:hAnsi="Arial" w:cs="Arial"/>
          <w:b/>
          <w:sz w:val="28"/>
          <w:szCs w:val="28"/>
        </w:rPr>
        <w:t>estimat</w:t>
      </w:r>
      <w:r w:rsidR="001B7CD8" w:rsidRPr="008A7A35">
        <w:rPr>
          <w:rFonts w:ascii="Arial" w:hAnsi="Arial" w:cs="Arial"/>
          <w:b/>
          <w:sz w:val="28"/>
          <w:szCs w:val="28"/>
        </w:rPr>
        <w:t>es and assumptions</w:t>
      </w:r>
    </w:p>
    <w:p w14:paraId="4A5D57A1" w14:textId="1573A5B4" w:rsidR="00906D87" w:rsidRPr="008A7A35" w:rsidRDefault="00E41A2E" w:rsidP="00E946F0">
      <w:pPr>
        <w:spacing w:before="120"/>
        <w:ind w:left="539"/>
        <w:jc w:val="both"/>
        <w:rPr>
          <w:rFonts w:ascii="Arial" w:hAnsi="Arial" w:cs="Arial"/>
          <w:sz w:val="20"/>
          <w:szCs w:val="20"/>
        </w:rPr>
      </w:pPr>
      <w:r w:rsidRPr="008A7A35">
        <w:rPr>
          <w:rFonts w:ascii="Arial" w:hAnsi="Arial" w:cs="Arial"/>
          <w:sz w:val="20"/>
          <w:szCs w:val="20"/>
        </w:rPr>
        <w:lastRenderedPageBreak/>
        <w:t xml:space="preserve">The estimates and judgements made by </w:t>
      </w:r>
      <w:r w:rsidR="00A07655" w:rsidRPr="008A7A35">
        <w:rPr>
          <w:rFonts w:ascii="Arial" w:hAnsi="Arial" w:cs="Arial"/>
          <w:sz w:val="20"/>
          <w:szCs w:val="20"/>
        </w:rPr>
        <w:t xml:space="preserve">management </w:t>
      </w:r>
      <w:r w:rsidRPr="008A7A35">
        <w:rPr>
          <w:rFonts w:ascii="Arial" w:hAnsi="Arial" w:cs="Arial"/>
          <w:sz w:val="20"/>
          <w:szCs w:val="20"/>
        </w:rPr>
        <w:t>are consistent with those made in the Financial Statements for the year ended 31 December 20</w:t>
      </w:r>
      <w:r w:rsidR="00025DD6" w:rsidRPr="008A7A35">
        <w:rPr>
          <w:rFonts w:ascii="Arial" w:hAnsi="Arial" w:cs="Arial"/>
          <w:sz w:val="20"/>
          <w:szCs w:val="20"/>
        </w:rPr>
        <w:t>2</w:t>
      </w:r>
      <w:r w:rsidR="00D90CEC" w:rsidRPr="008A7A35">
        <w:rPr>
          <w:rFonts w:ascii="Arial" w:hAnsi="Arial" w:cs="Arial"/>
          <w:sz w:val="20"/>
          <w:szCs w:val="20"/>
        </w:rPr>
        <w:t>4</w:t>
      </w:r>
      <w:r w:rsidR="00165FBA" w:rsidRPr="008A7A35">
        <w:rPr>
          <w:rFonts w:ascii="Arial" w:hAnsi="Arial" w:cs="Arial"/>
          <w:sz w:val="20"/>
          <w:szCs w:val="20"/>
        </w:rPr>
        <w:t>.</w:t>
      </w:r>
    </w:p>
    <w:p w14:paraId="050F790B" w14:textId="77777777" w:rsidR="008E5550" w:rsidRPr="008A7A35" w:rsidRDefault="008E5550" w:rsidP="00E946F0">
      <w:pPr>
        <w:shd w:val="clear" w:color="auto" w:fill="FFFFFF"/>
        <w:spacing w:before="120"/>
        <w:ind w:left="539"/>
        <w:jc w:val="both"/>
        <w:rPr>
          <w:rFonts w:ascii="Arial" w:hAnsi="Arial" w:cs="Arial"/>
          <w:sz w:val="20"/>
          <w:szCs w:val="20"/>
        </w:rPr>
      </w:pPr>
      <w:r w:rsidRPr="008A7A35">
        <w:rPr>
          <w:rFonts w:ascii="Arial" w:hAnsi="Arial" w:cs="Arial"/>
          <w:sz w:val="20"/>
          <w:szCs w:val="20"/>
        </w:rPr>
        <w:t xml:space="preserve">The preparation of Financial Statements requires management to make judgements, estimates and assumptions that affect the application of accounting policies and the reported amounts of assets, liabilities, income and expenses. </w:t>
      </w:r>
    </w:p>
    <w:p w14:paraId="271EBDEE" w14:textId="3DA33DEA" w:rsidR="008E5550" w:rsidRPr="008A7A35" w:rsidRDefault="008E5550" w:rsidP="00E946F0">
      <w:pPr>
        <w:shd w:val="clear" w:color="auto" w:fill="FFFFFF"/>
        <w:spacing w:before="120"/>
        <w:ind w:left="539"/>
        <w:jc w:val="both"/>
        <w:rPr>
          <w:rFonts w:ascii="Arial" w:hAnsi="Arial" w:cs="Arial"/>
          <w:sz w:val="20"/>
          <w:szCs w:val="20"/>
        </w:rPr>
      </w:pPr>
      <w:r w:rsidRPr="008A7A35">
        <w:rPr>
          <w:rFonts w:ascii="Arial" w:hAnsi="Arial" w:cs="Arial"/>
          <w:sz w:val="20"/>
          <w:szCs w:val="20"/>
        </w:rPr>
        <w:t>Estimates and judgements are continually evaluated and are based on historical experience and other factors, including expectations of future events that are believed to be reasonable under the circumstances.</w:t>
      </w:r>
    </w:p>
    <w:p w14:paraId="4CACD67E" w14:textId="77777777" w:rsidR="008E5550" w:rsidRPr="008A7A35" w:rsidRDefault="008E5550" w:rsidP="009967E7">
      <w:pPr>
        <w:shd w:val="clear" w:color="auto" w:fill="FFFFFF"/>
        <w:spacing w:line="210" w:lineRule="atLeast"/>
        <w:jc w:val="both"/>
        <w:rPr>
          <w:rFonts w:ascii="Arial" w:hAnsi="Arial" w:cs="Arial"/>
          <w:sz w:val="20"/>
          <w:szCs w:val="20"/>
        </w:rPr>
      </w:pPr>
    </w:p>
    <w:p w14:paraId="7ABDC253" w14:textId="3201766B" w:rsidR="0030341D" w:rsidRPr="008A7A35" w:rsidRDefault="009570AD" w:rsidP="008E5550">
      <w:pPr>
        <w:shd w:val="clear" w:color="auto" w:fill="FFFFFF"/>
        <w:spacing w:line="210" w:lineRule="atLeast"/>
        <w:ind w:left="539"/>
        <w:jc w:val="both"/>
        <w:rPr>
          <w:rFonts w:ascii="Arial" w:hAnsi="Arial" w:cs="Arial"/>
          <w:sz w:val="20"/>
          <w:szCs w:val="20"/>
        </w:rPr>
      </w:pPr>
      <w:r>
        <w:rPr>
          <w:rFonts w:ascii="Arial" w:hAnsi="Arial" w:cs="Arial"/>
          <w:sz w:val="20"/>
          <w:szCs w:val="20"/>
        </w:rPr>
        <w:t>In addition to the judgements applied in concluding a basis of</w:t>
      </w:r>
      <w:r w:rsidR="00E71514">
        <w:rPr>
          <w:rFonts w:ascii="Arial" w:hAnsi="Arial" w:cs="Arial"/>
          <w:sz w:val="20"/>
          <w:szCs w:val="20"/>
        </w:rPr>
        <w:t xml:space="preserve"> preparation</w:t>
      </w:r>
      <w:r>
        <w:rPr>
          <w:rFonts w:ascii="Arial" w:hAnsi="Arial" w:cs="Arial"/>
          <w:sz w:val="20"/>
          <w:szCs w:val="20"/>
        </w:rPr>
        <w:t xml:space="preserve"> other than going concern described above, i</w:t>
      </w:r>
      <w:r w:rsidR="008E5550" w:rsidRPr="008A7A35">
        <w:rPr>
          <w:rFonts w:ascii="Arial" w:hAnsi="Arial" w:cs="Arial"/>
          <w:sz w:val="20"/>
          <w:szCs w:val="20"/>
        </w:rPr>
        <w:t xml:space="preserve">n the process of applying the Company’s accounting policies, management has made the following </w:t>
      </w:r>
      <w:r w:rsidR="000157F5" w:rsidRPr="008A7A35">
        <w:rPr>
          <w:rFonts w:ascii="Arial" w:hAnsi="Arial" w:cs="Arial"/>
          <w:sz w:val="20"/>
          <w:szCs w:val="20"/>
        </w:rPr>
        <w:t>significant and other</w:t>
      </w:r>
      <w:r w:rsidR="008E5550" w:rsidRPr="008A7A35">
        <w:rPr>
          <w:rFonts w:ascii="Arial" w:hAnsi="Arial" w:cs="Arial"/>
          <w:sz w:val="20"/>
          <w:szCs w:val="20"/>
        </w:rPr>
        <w:t xml:space="preserve"> judgements, which have the most significant effect on the amounts recognised in the </w:t>
      </w:r>
      <w:r w:rsidR="00D72A28" w:rsidRPr="008A7A35">
        <w:rPr>
          <w:rFonts w:ascii="Arial" w:hAnsi="Arial" w:cs="Arial"/>
          <w:sz w:val="20"/>
          <w:szCs w:val="20"/>
        </w:rPr>
        <w:t xml:space="preserve">interim condensed financial </w:t>
      </w:r>
      <w:r w:rsidR="00924B0C" w:rsidRPr="008A7A35">
        <w:rPr>
          <w:rFonts w:ascii="Arial" w:hAnsi="Arial" w:cs="Arial"/>
          <w:sz w:val="20"/>
          <w:szCs w:val="20"/>
        </w:rPr>
        <w:t>S</w:t>
      </w:r>
      <w:r w:rsidR="00D72A28" w:rsidRPr="008A7A35">
        <w:rPr>
          <w:rFonts w:ascii="Arial" w:hAnsi="Arial" w:cs="Arial"/>
          <w:sz w:val="20"/>
          <w:szCs w:val="20"/>
        </w:rPr>
        <w:t>tatements</w:t>
      </w:r>
      <w:r w:rsidR="008E5550" w:rsidRPr="008A7A35">
        <w:rPr>
          <w:rFonts w:ascii="Arial" w:hAnsi="Arial" w:cs="Arial"/>
          <w:sz w:val="20"/>
          <w:szCs w:val="20"/>
        </w:rPr>
        <w:t>:</w:t>
      </w:r>
    </w:p>
    <w:p w14:paraId="3716A263" w14:textId="77777777" w:rsidR="00924B0C" w:rsidRPr="008A7A35" w:rsidRDefault="00924B0C" w:rsidP="008E5550">
      <w:pPr>
        <w:shd w:val="clear" w:color="auto" w:fill="FFFFFF"/>
        <w:spacing w:line="210" w:lineRule="atLeast"/>
        <w:ind w:left="539"/>
        <w:jc w:val="both"/>
        <w:rPr>
          <w:rFonts w:ascii="Arial" w:hAnsi="Arial" w:cs="Arial"/>
          <w:sz w:val="20"/>
          <w:szCs w:val="20"/>
        </w:rPr>
      </w:pPr>
    </w:p>
    <w:p w14:paraId="3857D977" w14:textId="51D9FC55" w:rsidR="00924B0C" w:rsidRPr="008A7A35" w:rsidRDefault="00924B0C" w:rsidP="008E5550">
      <w:pPr>
        <w:shd w:val="clear" w:color="auto" w:fill="FFFFFF"/>
        <w:spacing w:line="210" w:lineRule="atLeast"/>
        <w:ind w:left="539"/>
        <w:jc w:val="both"/>
        <w:rPr>
          <w:rFonts w:ascii="Arial" w:hAnsi="Arial" w:cs="Arial"/>
          <w:b/>
          <w:bCs/>
          <w:sz w:val="20"/>
          <w:szCs w:val="20"/>
        </w:rPr>
      </w:pPr>
      <w:r w:rsidRPr="008A7A35">
        <w:rPr>
          <w:rFonts w:ascii="Arial" w:hAnsi="Arial" w:cs="Arial"/>
          <w:b/>
          <w:bCs/>
          <w:sz w:val="20"/>
          <w:szCs w:val="20"/>
        </w:rPr>
        <w:t>Significant judgements</w:t>
      </w:r>
    </w:p>
    <w:p w14:paraId="422EE8A5" w14:textId="77777777" w:rsidR="008E5550" w:rsidRPr="008A7A35" w:rsidRDefault="008E5550" w:rsidP="00597350">
      <w:pPr>
        <w:shd w:val="clear" w:color="auto" w:fill="FFFFFF"/>
        <w:spacing w:line="210" w:lineRule="atLeast"/>
        <w:jc w:val="both"/>
        <w:rPr>
          <w:rFonts w:ascii="Arial" w:hAnsi="Arial" w:cs="Arial"/>
          <w:sz w:val="20"/>
          <w:szCs w:val="20"/>
        </w:rPr>
      </w:pPr>
    </w:p>
    <w:p w14:paraId="5092E912" w14:textId="37A8EB1A" w:rsidR="00BC274E" w:rsidRPr="008A7A35" w:rsidRDefault="00BC274E" w:rsidP="008E5550">
      <w:pPr>
        <w:shd w:val="clear" w:color="auto" w:fill="FFFFFF"/>
        <w:spacing w:line="210" w:lineRule="atLeast"/>
        <w:ind w:left="539"/>
        <w:jc w:val="both"/>
        <w:rPr>
          <w:rFonts w:ascii="Arial" w:hAnsi="Arial" w:cs="Arial"/>
          <w:i/>
          <w:iCs/>
          <w:sz w:val="20"/>
          <w:szCs w:val="20"/>
        </w:rPr>
      </w:pPr>
      <w:r w:rsidRPr="008A7A35">
        <w:rPr>
          <w:rFonts w:ascii="Arial" w:hAnsi="Arial" w:cs="Arial"/>
          <w:i/>
          <w:iCs/>
          <w:sz w:val="20"/>
          <w:szCs w:val="20"/>
        </w:rPr>
        <w:t>Assessment of control over the Partnership</w:t>
      </w:r>
    </w:p>
    <w:p w14:paraId="1DC68F13" w14:textId="3FB42A3F" w:rsidR="00BC274E" w:rsidRPr="008A7A35" w:rsidRDefault="00BC274E" w:rsidP="00815D87">
      <w:pPr>
        <w:shd w:val="clear" w:color="auto" w:fill="FFFFFF"/>
        <w:spacing w:line="210" w:lineRule="atLeast"/>
        <w:ind w:left="539"/>
        <w:jc w:val="both"/>
        <w:rPr>
          <w:rFonts w:ascii="Arial" w:hAnsi="Arial" w:cs="Arial"/>
          <w:sz w:val="20"/>
          <w:szCs w:val="20"/>
        </w:rPr>
      </w:pPr>
      <w:r w:rsidRPr="008A7A35">
        <w:rPr>
          <w:rFonts w:ascii="Arial" w:hAnsi="Arial" w:cs="Arial"/>
          <w:sz w:val="20"/>
          <w:szCs w:val="20"/>
        </w:rPr>
        <w:t xml:space="preserve">The Company makes its investments through the Partnership in which it is the sole limited partner. The Board has assessed whether the Company has all the elements of control as prescribed by IFRS 10 in relation to the Company’s investment in the Partnership and has concluded that although the Company is the sole limited partner, it </w:t>
      </w:r>
      <w:r w:rsidR="00525263" w:rsidRPr="008A7A35">
        <w:rPr>
          <w:rFonts w:ascii="Arial" w:hAnsi="Arial" w:cs="Arial"/>
          <w:sz w:val="20"/>
          <w:szCs w:val="20"/>
        </w:rPr>
        <w:t xml:space="preserve">has some influence but </w:t>
      </w:r>
      <w:r w:rsidRPr="008A7A35">
        <w:rPr>
          <w:rFonts w:ascii="Arial" w:hAnsi="Arial" w:cs="Arial"/>
          <w:sz w:val="20"/>
          <w:szCs w:val="20"/>
        </w:rPr>
        <w:t>does not control the Partnership and therefore accounts for the Partnership at fair value.</w:t>
      </w:r>
    </w:p>
    <w:p w14:paraId="0C4D4100" w14:textId="77777777" w:rsidR="00BC274E" w:rsidRPr="008A7A35" w:rsidRDefault="00BC274E" w:rsidP="00BC274E">
      <w:pPr>
        <w:shd w:val="clear" w:color="auto" w:fill="FFFFFF"/>
        <w:spacing w:line="210" w:lineRule="atLeast"/>
        <w:ind w:left="539"/>
        <w:jc w:val="both"/>
        <w:rPr>
          <w:rFonts w:ascii="Arial" w:hAnsi="Arial" w:cs="Arial"/>
          <w:sz w:val="20"/>
          <w:szCs w:val="20"/>
        </w:rPr>
      </w:pPr>
    </w:p>
    <w:p w14:paraId="160B59A8" w14:textId="3487FE5D" w:rsidR="00BC274E" w:rsidRPr="008A7A35" w:rsidRDefault="00BC274E" w:rsidP="00BC274E">
      <w:pPr>
        <w:shd w:val="clear" w:color="auto" w:fill="FFFFFF"/>
        <w:spacing w:line="210" w:lineRule="atLeast"/>
        <w:ind w:left="539"/>
        <w:jc w:val="both"/>
        <w:rPr>
          <w:rFonts w:ascii="Arial" w:hAnsi="Arial" w:cs="Arial"/>
          <w:i/>
          <w:iCs/>
          <w:sz w:val="20"/>
          <w:szCs w:val="20"/>
        </w:rPr>
      </w:pPr>
      <w:r w:rsidRPr="008A7A35">
        <w:rPr>
          <w:rFonts w:ascii="Arial" w:hAnsi="Arial" w:cs="Arial"/>
          <w:i/>
          <w:iCs/>
          <w:sz w:val="20"/>
          <w:szCs w:val="20"/>
        </w:rPr>
        <w:t>Assessment of Partnership as a structured entity</w:t>
      </w:r>
    </w:p>
    <w:p w14:paraId="45538774" w14:textId="2797C7AF" w:rsidR="00BC274E" w:rsidRPr="008A7A35" w:rsidRDefault="00BC274E" w:rsidP="00BC274E">
      <w:pPr>
        <w:shd w:val="clear" w:color="auto" w:fill="FFFFFF"/>
        <w:spacing w:line="210" w:lineRule="atLeast"/>
        <w:ind w:left="539"/>
        <w:jc w:val="both"/>
        <w:rPr>
          <w:rFonts w:ascii="Arial" w:hAnsi="Arial" w:cs="Arial"/>
          <w:sz w:val="20"/>
          <w:szCs w:val="20"/>
        </w:rPr>
      </w:pPr>
      <w:r w:rsidRPr="008A7A35">
        <w:rPr>
          <w:rFonts w:ascii="Arial" w:hAnsi="Arial" w:cs="Arial"/>
          <w:sz w:val="20"/>
          <w:szCs w:val="20"/>
        </w:rPr>
        <w:t xml:space="preserve">The Company considers the Partnership to be a structured entity under IFRS 12. Transfer of funds by the Partnership to the Company is determined by the General Partner (see Note </w:t>
      </w:r>
      <w:r w:rsidR="004D5038" w:rsidRPr="008A7A35">
        <w:rPr>
          <w:rFonts w:ascii="Arial" w:hAnsi="Arial" w:cs="Arial"/>
          <w:sz w:val="20"/>
          <w:szCs w:val="20"/>
        </w:rPr>
        <w:t>7</w:t>
      </w:r>
      <w:r w:rsidRPr="008A7A35">
        <w:rPr>
          <w:rFonts w:ascii="Arial" w:hAnsi="Arial" w:cs="Arial"/>
          <w:sz w:val="20"/>
          <w:szCs w:val="20"/>
        </w:rPr>
        <w:t>). The risks associated with the Company’s investment in the Partnership are disclosed in Note 10</w:t>
      </w:r>
      <w:r w:rsidR="004D5038" w:rsidRPr="008A7A35">
        <w:rPr>
          <w:rFonts w:ascii="Arial" w:hAnsi="Arial" w:cs="Arial"/>
          <w:sz w:val="20"/>
          <w:szCs w:val="20"/>
        </w:rPr>
        <w:t xml:space="preserve"> of the annual financial statements</w:t>
      </w:r>
      <w:r w:rsidRPr="008A7A35">
        <w:rPr>
          <w:rFonts w:ascii="Arial" w:hAnsi="Arial" w:cs="Arial"/>
          <w:sz w:val="20"/>
          <w:szCs w:val="20"/>
        </w:rPr>
        <w:t>. The summarised financial information for the Company’s investment in the Partnership is disclosed in Note 6.</w:t>
      </w:r>
    </w:p>
    <w:p w14:paraId="55EFF1C1" w14:textId="77777777" w:rsidR="003819CB" w:rsidRPr="008A7A35" w:rsidRDefault="003819CB" w:rsidP="00C47CB2">
      <w:pPr>
        <w:shd w:val="clear" w:color="auto" w:fill="FFFFFF"/>
        <w:spacing w:line="210" w:lineRule="atLeast"/>
        <w:jc w:val="both"/>
        <w:rPr>
          <w:rFonts w:ascii="Arial" w:hAnsi="Arial" w:cs="Arial"/>
          <w:sz w:val="20"/>
          <w:szCs w:val="20"/>
        </w:rPr>
      </w:pPr>
    </w:p>
    <w:p w14:paraId="38EF5C0B" w14:textId="47AACF1D" w:rsidR="00F262A9" w:rsidRPr="008A7A35" w:rsidRDefault="00F262A9" w:rsidP="00BC274E">
      <w:pPr>
        <w:shd w:val="clear" w:color="auto" w:fill="FFFFFF"/>
        <w:spacing w:line="210" w:lineRule="atLeast"/>
        <w:ind w:left="539"/>
        <w:jc w:val="both"/>
        <w:rPr>
          <w:rFonts w:ascii="Arial" w:hAnsi="Arial" w:cs="Arial"/>
          <w:b/>
          <w:bCs/>
          <w:sz w:val="20"/>
          <w:szCs w:val="20"/>
        </w:rPr>
      </w:pPr>
      <w:r w:rsidRPr="008A7A35">
        <w:rPr>
          <w:rFonts w:ascii="Arial" w:hAnsi="Arial" w:cs="Arial"/>
          <w:b/>
          <w:bCs/>
          <w:sz w:val="20"/>
          <w:szCs w:val="20"/>
        </w:rPr>
        <w:t>Judgements</w:t>
      </w:r>
    </w:p>
    <w:p w14:paraId="6DFDD200" w14:textId="77777777" w:rsidR="00CA6CC1" w:rsidRPr="008A7A35" w:rsidRDefault="00CA6CC1" w:rsidP="00BC274E">
      <w:pPr>
        <w:shd w:val="clear" w:color="auto" w:fill="FFFFFF"/>
        <w:spacing w:line="210" w:lineRule="atLeast"/>
        <w:ind w:left="539"/>
        <w:jc w:val="both"/>
        <w:rPr>
          <w:rFonts w:ascii="Arial" w:hAnsi="Arial" w:cs="Arial"/>
          <w:sz w:val="20"/>
          <w:szCs w:val="20"/>
        </w:rPr>
      </w:pPr>
    </w:p>
    <w:p w14:paraId="476FC943" w14:textId="6C7AF00D" w:rsidR="00CA6CC1" w:rsidRPr="008A7A35" w:rsidRDefault="00CA6CC1" w:rsidP="00BC274E">
      <w:pPr>
        <w:shd w:val="clear" w:color="auto" w:fill="FFFFFF"/>
        <w:spacing w:line="210" w:lineRule="atLeast"/>
        <w:ind w:left="539"/>
        <w:jc w:val="both"/>
        <w:rPr>
          <w:rFonts w:ascii="Arial" w:hAnsi="Arial" w:cs="Arial"/>
          <w:i/>
          <w:iCs/>
          <w:sz w:val="20"/>
          <w:szCs w:val="20"/>
        </w:rPr>
      </w:pPr>
      <w:r w:rsidRPr="008A7A35">
        <w:rPr>
          <w:rFonts w:ascii="Arial" w:hAnsi="Arial" w:cs="Arial"/>
          <w:i/>
          <w:iCs/>
          <w:sz w:val="20"/>
          <w:szCs w:val="20"/>
        </w:rPr>
        <w:t>Assessment as an Investment entity</w:t>
      </w:r>
    </w:p>
    <w:p w14:paraId="49D7DDA8" w14:textId="0ADC617E" w:rsidR="00CA6CC1" w:rsidRPr="008A7A35" w:rsidRDefault="0016207A" w:rsidP="0016207A">
      <w:pPr>
        <w:shd w:val="clear" w:color="auto" w:fill="FFFFFF"/>
        <w:spacing w:line="210" w:lineRule="atLeast"/>
        <w:ind w:left="539"/>
        <w:jc w:val="both"/>
        <w:rPr>
          <w:rFonts w:ascii="Arial" w:hAnsi="Arial" w:cs="Arial"/>
          <w:sz w:val="20"/>
          <w:szCs w:val="20"/>
        </w:rPr>
      </w:pPr>
      <w:r w:rsidRPr="007F5159">
        <w:rPr>
          <w:rFonts w:ascii="Arial" w:hAnsi="Arial" w:cs="Arial"/>
          <w:sz w:val="20"/>
          <w:szCs w:val="20"/>
        </w:rPr>
        <w:t xml:space="preserve">Although the Company only has one direct investment, it has indirect exposure to more than one </w:t>
      </w:r>
      <w:r w:rsidRPr="00815D87">
        <w:rPr>
          <w:rFonts w:ascii="Arial" w:hAnsi="Arial" w:cs="Arial"/>
          <w:sz w:val="20"/>
          <w:szCs w:val="20"/>
        </w:rPr>
        <w:t>investment held through the underlying Partnership</w:t>
      </w:r>
      <w:r w:rsidRPr="008A7A35">
        <w:rPr>
          <w:rFonts w:ascii="Arial" w:hAnsi="Arial" w:cs="Arial"/>
          <w:sz w:val="20"/>
          <w:szCs w:val="20"/>
        </w:rPr>
        <w:t>. The Directors are of the opinion that the Company meets the essential criteria and typical characteristics of an Investment Entity as defined in IFRS 10.</w:t>
      </w:r>
    </w:p>
    <w:p w14:paraId="05FC5EBD" w14:textId="77777777" w:rsidR="00BC274E" w:rsidRPr="008A7A35" w:rsidRDefault="00BC274E" w:rsidP="00597350">
      <w:pPr>
        <w:shd w:val="clear" w:color="auto" w:fill="FFFFFF"/>
        <w:spacing w:line="210" w:lineRule="atLeast"/>
        <w:jc w:val="both"/>
        <w:rPr>
          <w:rFonts w:cs="DIN CLS Light"/>
          <w:color w:val="000000"/>
          <w:sz w:val="16"/>
          <w:szCs w:val="16"/>
        </w:rPr>
      </w:pPr>
    </w:p>
    <w:p w14:paraId="37BACB43" w14:textId="635549D0" w:rsidR="00BC274E" w:rsidRPr="008A7A35" w:rsidRDefault="00BC274E" w:rsidP="00BC274E">
      <w:pPr>
        <w:shd w:val="clear" w:color="auto" w:fill="FFFFFF"/>
        <w:spacing w:line="210" w:lineRule="atLeast"/>
        <w:ind w:left="539"/>
        <w:jc w:val="both"/>
        <w:rPr>
          <w:rFonts w:ascii="Arial" w:hAnsi="Arial" w:cs="Arial"/>
          <w:i/>
          <w:iCs/>
          <w:sz w:val="20"/>
          <w:szCs w:val="20"/>
        </w:rPr>
      </w:pPr>
      <w:r w:rsidRPr="008A7A35">
        <w:rPr>
          <w:rFonts w:ascii="Arial" w:hAnsi="Arial" w:cs="Arial"/>
          <w:i/>
          <w:iCs/>
          <w:sz w:val="20"/>
          <w:szCs w:val="20"/>
        </w:rPr>
        <w:t>Contingent Liabilities - Performance Fee Allocation</w:t>
      </w:r>
    </w:p>
    <w:p w14:paraId="5B37C169" w14:textId="351E5141" w:rsidR="00BC274E" w:rsidRPr="008A7A35" w:rsidRDefault="00BC274E" w:rsidP="007C113F">
      <w:pPr>
        <w:shd w:val="clear" w:color="auto" w:fill="FFFFFF"/>
        <w:spacing w:line="210" w:lineRule="atLeast"/>
        <w:ind w:left="539"/>
        <w:jc w:val="both"/>
        <w:rPr>
          <w:rFonts w:ascii="Arial" w:hAnsi="Arial" w:cs="Arial"/>
          <w:sz w:val="20"/>
          <w:szCs w:val="20"/>
        </w:rPr>
      </w:pPr>
      <w:r w:rsidRPr="008A7A35">
        <w:rPr>
          <w:rFonts w:ascii="Arial" w:hAnsi="Arial" w:cs="Arial"/>
          <w:sz w:val="20"/>
          <w:szCs w:val="20"/>
        </w:rPr>
        <w:t xml:space="preserve">In the ordinary course of business, </w:t>
      </w:r>
      <w:r w:rsidR="00D80B13" w:rsidRPr="008A7A35">
        <w:rPr>
          <w:rFonts w:ascii="Arial" w:hAnsi="Arial" w:cs="Arial"/>
          <w:sz w:val="20"/>
          <w:szCs w:val="20"/>
        </w:rPr>
        <w:t xml:space="preserve">the </w:t>
      </w:r>
      <w:r w:rsidR="00A53C26" w:rsidRPr="008A7A35">
        <w:rPr>
          <w:rFonts w:ascii="Arial" w:hAnsi="Arial" w:cs="Arial"/>
          <w:sz w:val="20"/>
          <w:szCs w:val="20"/>
        </w:rPr>
        <w:t>P</w:t>
      </w:r>
      <w:r w:rsidR="00D80B13" w:rsidRPr="008A7A35">
        <w:rPr>
          <w:rFonts w:ascii="Arial" w:hAnsi="Arial" w:cs="Arial"/>
          <w:sz w:val="20"/>
          <w:szCs w:val="20"/>
        </w:rPr>
        <w:t xml:space="preserve">erformance </w:t>
      </w:r>
      <w:r w:rsidR="00A53C26" w:rsidRPr="008A7A35">
        <w:rPr>
          <w:rFonts w:ascii="Arial" w:hAnsi="Arial" w:cs="Arial"/>
          <w:sz w:val="20"/>
          <w:szCs w:val="20"/>
        </w:rPr>
        <w:t>F</w:t>
      </w:r>
      <w:r w:rsidR="00D80B13" w:rsidRPr="008A7A35">
        <w:rPr>
          <w:rFonts w:ascii="Arial" w:hAnsi="Arial" w:cs="Arial"/>
          <w:sz w:val="20"/>
          <w:szCs w:val="20"/>
        </w:rPr>
        <w:t>ee allocation is monitored and there is a provision</w:t>
      </w:r>
      <w:r w:rsidR="00683C73" w:rsidRPr="008A7A35">
        <w:rPr>
          <w:rFonts w:ascii="Arial" w:hAnsi="Arial" w:cs="Arial"/>
          <w:sz w:val="20"/>
          <w:szCs w:val="20"/>
        </w:rPr>
        <w:t xml:space="preserve"> for anticipated costs where an outflow of resources is considered probable and a reasonable estimate can be made of the likely outcome.</w:t>
      </w:r>
      <w:r w:rsidR="007C113F">
        <w:rPr>
          <w:rFonts w:ascii="Arial" w:hAnsi="Arial" w:cs="Arial"/>
          <w:sz w:val="20"/>
          <w:szCs w:val="20"/>
        </w:rPr>
        <w:t xml:space="preserve"> </w:t>
      </w:r>
      <w:r w:rsidRPr="008A7A35">
        <w:rPr>
          <w:rFonts w:ascii="Arial" w:hAnsi="Arial" w:cs="Arial"/>
          <w:sz w:val="20"/>
          <w:szCs w:val="20"/>
        </w:rPr>
        <w:t>Where an outflow is not probable</w:t>
      </w:r>
      <w:r w:rsidR="002B5FD8" w:rsidRPr="008A7A35">
        <w:rPr>
          <w:rFonts w:ascii="Arial" w:hAnsi="Arial" w:cs="Arial"/>
          <w:sz w:val="20"/>
          <w:szCs w:val="20"/>
        </w:rPr>
        <w:t>,</w:t>
      </w:r>
      <w:r w:rsidRPr="008A7A35">
        <w:rPr>
          <w:rFonts w:ascii="Arial" w:hAnsi="Arial" w:cs="Arial"/>
          <w:sz w:val="20"/>
          <w:szCs w:val="20"/>
        </w:rPr>
        <w:t xml:space="preserve"> but is possible</w:t>
      </w:r>
      <w:r w:rsidR="002B5FD8" w:rsidRPr="008A7A35">
        <w:rPr>
          <w:rFonts w:ascii="Arial" w:hAnsi="Arial" w:cs="Arial"/>
          <w:sz w:val="20"/>
          <w:szCs w:val="20"/>
        </w:rPr>
        <w:t>,</w:t>
      </w:r>
      <w:r w:rsidRPr="008A7A35">
        <w:rPr>
          <w:rFonts w:ascii="Arial" w:hAnsi="Arial" w:cs="Arial"/>
          <w:sz w:val="20"/>
          <w:szCs w:val="20"/>
        </w:rPr>
        <w:t xml:space="preserve"> a contingent liability may still </w:t>
      </w:r>
      <w:proofErr w:type="gramStart"/>
      <w:r w:rsidRPr="008A7A35">
        <w:rPr>
          <w:rFonts w:ascii="Arial" w:hAnsi="Arial" w:cs="Arial"/>
          <w:sz w:val="20"/>
          <w:szCs w:val="20"/>
        </w:rPr>
        <w:t>exist</w:t>
      </w:r>
      <w:proofErr w:type="gramEnd"/>
      <w:r w:rsidRPr="008A7A35">
        <w:rPr>
          <w:rFonts w:ascii="Arial" w:hAnsi="Arial" w:cs="Arial"/>
          <w:sz w:val="20"/>
          <w:szCs w:val="20"/>
        </w:rPr>
        <w:t xml:space="preserve"> and its relevant details will be disclosed.</w:t>
      </w:r>
    </w:p>
    <w:p w14:paraId="60E2BC7D" w14:textId="77777777" w:rsidR="00BC274E" w:rsidRPr="008A7A35" w:rsidRDefault="00BC274E" w:rsidP="00BC274E">
      <w:pPr>
        <w:shd w:val="clear" w:color="auto" w:fill="FFFFFF"/>
        <w:spacing w:line="210" w:lineRule="atLeast"/>
        <w:ind w:left="539"/>
        <w:jc w:val="both"/>
        <w:rPr>
          <w:rFonts w:ascii="Arial" w:hAnsi="Arial" w:cs="Arial"/>
          <w:sz w:val="20"/>
          <w:szCs w:val="20"/>
        </w:rPr>
      </w:pPr>
    </w:p>
    <w:p w14:paraId="4E270E9E" w14:textId="24D046F2" w:rsidR="00BC274E" w:rsidRPr="008A7A35" w:rsidRDefault="00BC274E" w:rsidP="00BC274E">
      <w:pPr>
        <w:shd w:val="clear" w:color="auto" w:fill="FFFFFF"/>
        <w:spacing w:line="210" w:lineRule="atLeast"/>
        <w:ind w:left="539"/>
        <w:jc w:val="both"/>
        <w:rPr>
          <w:rFonts w:ascii="Arial" w:hAnsi="Arial" w:cs="Arial"/>
          <w:sz w:val="20"/>
          <w:szCs w:val="20"/>
        </w:rPr>
      </w:pPr>
      <w:r w:rsidRPr="008A7A35">
        <w:rPr>
          <w:rFonts w:ascii="Arial" w:hAnsi="Arial" w:cs="Arial"/>
          <w:sz w:val="20"/>
          <w:szCs w:val="20"/>
        </w:rPr>
        <w:t xml:space="preserve">In January 2020, the </w:t>
      </w:r>
      <w:r w:rsidR="000250B8" w:rsidRPr="008A7A35">
        <w:rPr>
          <w:rFonts w:ascii="Arial" w:hAnsi="Arial" w:cs="Arial"/>
          <w:sz w:val="20"/>
          <w:szCs w:val="20"/>
        </w:rPr>
        <w:t>M</w:t>
      </w:r>
      <w:r w:rsidRPr="008A7A35">
        <w:rPr>
          <w:rFonts w:ascii="Arial" w:hAnsi="Arial" w:cs="Arial"/>
          <w:sz w:val="20"/>
          <w:szCs w:val="20"/>
        </w:rPr>
        <w:t xml:space="preserve">anagement </w:t>
      </w:r>
      <w:r w:rsidR="000250B8" w:rsidRPr="008A7A35">
        <w:rPr>
          <w:rFonts w:ascii="Arial" w:hAnsi="Arial" w:cs="Arial"/>
          <w:sz w:val="20"/>
          <w:szCs w:val="20"/>
        </w:rPr>
        <w:t>E</w:t>
      </w:r>
      <w:r w:rsidRPr="008A7A35">
        <w:rPr>
          <w:rFonts w:ascii="Arial" w:hAnsi="Arial" w:cs="Arial"/>
          <w:sz w:val="20"/>
          <w:szCs w:val="20"/>
        </w:rPr>
        <w:t xml:space="preserve">ngagement </w:t>
      </w:r>
      <w:r w:rsidR="000250B8" w:rsidRPr="008A7A35">
        <w:rPr>
          <w:rFonts w:ascii="Arial" w:hAnsi="Arial" w:cs="Arial"/>
          <w:sz w:val="20"/>
          <w:szCs w:val="20"/>
        </w:rPr>
        <w:t>C</w:t>
      </w:r>
      <w:r w:rsidRPr="008A7A35">
        <w:rPr>
          <w:rFonts w:ascii="Arial" w:hAnsi="Arial" w:cs="Arial"/>
          <w:sz w:val="20"/>
          <w:szCs w:val="20"/>
        </w:rPr>
        <w:t xml:space="preserve">ommittee of </w:t>
      </w:r>
      <w:r w:rsidR="007C113F">
        <w:rPr>
          <w:rFonts w:ascii="Arial" w:hAnsi="Arial" w:cs="Arial"/>
          <w:sz w:val="20"/>
          <w:szCs w:val="20"/>
        </w:rPr>
        <w:t>the Company</w:t>
      </w:r>
      <w:r w:rsidRPr="008A7A35">
        <w:rPr>
          <w:rFonts w:ascii="Arial" w:hAnsi="Arial" w:cs="Arial"/>
          <w:sz w:val="20"/>
          <w:szCs w:val="20"/>
        </w:rPr>
        <w:t xml:space="preserve">, consisting of </w:t>
      </w:r>
      <w:r w:rsidR="007C113F">
        <w:rPr>
          <w:rFonts w:ascii="Arial" w:hAnsi="Arial" w:cs="Arial"/>
          <w:sz w:val="20"/>
          <w:szCs w:val="20"/>
        </w:rPr>
        <w:t xml:space="preserve">the Company’s </w:t>
      </w:r>
      <w:r w:rsidRPr="008A7A35">
        <w:rPr>
          <w:rFonts w:ascii="Arial" w:hAnsi="Arial" w:cs="Arial"/>
          <w:sz w:val="20"/>
          <w:szCs w:val="20"/>
        </w:rPr>
        <w:t xml:space="preserve">independent directors, agreed with RIGL Holdings, LP (formerly Riverstone International Limited), </w:t>
      </w:r>
      <w:r w:rsidR="007C113F">
        <w:rPr>
          <w:rFonts w:ascii="Arial" w:hAnsi="Arial" w:cs="Arial"/>
          <w:sz w:val="20"/>
          <w:szCs w:val="20"/>
        </w:rPr>
        <w:t xml:space="preserve">the Company’s </w:t>
      </w:r>
      <w:r w:rsidRPr="008A7A35">
        <w:rPr>
          <w:rFonts w:ascii="Arial" w:hAnsi="Arial" w:cs="Arial"/>
          <w:sz w:val="20"/>
          <w:szCs w:val="20"/>
        </w:rPr>
        <w:t xml:space="preserve">Investment Manager (the “Investment Manager”), to amend the terms on which </w:t>
      </w:r>
      <w:r w:rsidR="007C113F">
        <w:rPr>
          <w:rFonts w:ascii="Arial" w:hAnsi="Arial" w:cs="Arial"/>
          <w:sz w:val="20"/>
          <w:szCs w:val="20"/>
        </w:rPr>
        <w:t xml:space="preserve">the Company </w:t>
      </w:r>
      <w:r w:rsidRPr="008A7A35">
        <w:rPr>
          <w:rFonts w:ascii="Arial" w:hAnsi="Arial" w:cs="Arial"/>
          <w:sz w:val="20"/>
          <w:szCs w:val="20"/>
        </w:rPr>
        <w:t xml:space="preserve">is required to pay a performance allocation (the “Performance Allocation”) in respect of </w:t>
      </w:r>
      <w:r w:rsidR="007C113F">
        <w:rPr>
          <w:rFonts w:ascii="Arial" w:hAnsi="Arial" w:cs="Arial"/>
          <w:sz w:val="20"/>
          <w:szCs w:val="20"/>
        </w:rPr>
        <w:t xml:space="preserve">the Company’s </w:t>
      </w:r>
      <w:r w:rsidRPr="008A7A35">
        <w:rPr>
          <w:rFonts w:ascii="Arial" w:hAnsi="Arial" w:cs="Arial"/>
          <w:sz w:val="20"/>
          <w:szCs w:val="20"/>
        </w:rPr>
        <w:t xml:space="preserve">investments. These terms </w:t>
      </w:r>
      <w:r w:rsidR="007C113F">
        <w:rPr>
          <w:rFonts w:ascii="Arial" w:hAnsi="Arial" w:cs="Arial"/>
          <w:sz w:val="20"/>
          <w:szCs w:val="20"/>
        </w:rPr>
        <w:t xml:space="preserve">which were relevant as </w:t>
      </w:r>
      <w:proofErr w:type="gramStart"/>
      <w:r w:rsidR="007C113F">
        <w:rPr>
          <w:rFonts w:ascii="Arial" w:hAnsi="Arial" w:cs="Arial"/>
          <w:sz w:val="20"/>
          <w:szCs w:val="20"/>
        </w:rPr>
        <w:t>at</w:t>
      </w:r>
      <w:proofErr w:type="gramEnd"/>
      <w:r w:rsidR="007C113F">
        <w:rPr>
          <w:rFonts w:ascii="Arial" w:hAnsi="Arial" w:cs="Arial"/>
          <w:sz w:val="20"/>
          <w:szCs w:val="20"/>
        </w:rPr>
        <w:t xml:space="preserve"> 30 June 2025 </w:t>
      </w:r>
      <w:r w:rsidRPr="008A7A35">
        <w:rPr>
          <w:rFonts w:ascii="Arial" w:hAnsi="Arial" w:cs="Arial"/>
          <w:sz w:val="20"/>
          <w:szCs w:val="20"/>
        </w:rPr>
        <w:t xml:space="preserve">are disclosed in Note </w:t>
      </w:r>
      <w:r w:rsidR="0014004E" w:rsidRPr="008A7A35">
        <w:rPr>
          <w:rFonts w:ascii="Arial" w:hAnsi="Arial" w:cs="Arial"/>
          <w:sz w:val="20"/>
          <w:szCs w:val="20"/>
        </w:rPr>
        <w:t>7</w:t>
      </w:r>
      <w:r w:rsidRPr="008A7A35">
        <w:rPr>
          <w:rFonts w:ascii="Arial" w:hAnsi="Arial" w:cs="Arial"/>
          <w:sz w:val="20"/>
          <w:szCs w:val="20"/>
        </w:rPr>
        <w:t>; Related Party Transactions.</w:t>
      </w:r>
    </w:p>
    <w:p w14:paraId="1E3B9959" w14:textId="77777777" w:rsidR="00BC274E" w:rsidRPr="008A7A35" w:rsidRDefault="00BC274E" w:rsidP="00BC274E">
      <w:pPr>
        <w:shd w:val="clear" w:color="auto" w:fill="FFFFFF"/>
        <w:spacing w:line="210" w:lineRule="atLeast"/>
        <w:ind w:left="539"/>
        <w:jc w:val="both"/>
        <w:rPr>
          <w:rFonts w:ascii="Arial" w:hAnsi="Arial" w:cs="Arial"/>
          <w:sz w:val="20"/>
          <w:szCs w:val="20"/>
        </w:rPr>
      </w:pPr>
    </w:p>
    <w:p w14:paraId="65C680CE" w14:textId="00055EB3" w:rsidR="002B5FD8" w:rsidRDefault="00BC274E" w:rsidP="00683A0F">
      <w:pPr>
        <w:shd w:val="clear" w:color="auto" w:fill="FFFFFF"/>
        <w:spacing w:line="210" w:lineRule="atLeast"/>
        <w:ind w:left="539"/>
        <w:jc w:val="both"/>
        <w:rPr>
          <w:rFonts w:ascii="Arial" w:hAnsi="Arial" w:cs="Arial"/>
          <w:sz w:val="20"/>
          <w:szCs w:val="20"/>
        </w:rPr>
      </w:pPr>
      <w:r w:rsidRPr="008A7A35">
        <w:rPr>
          <w:rFonts w:ascii="Arial" w:hAnsi="Arial" w:cs="Arial"/>
          <w:sz w:val="20"/>
          <w:szCs w:val="20"/>
        </w:rPr>
        <w:t>A</w:t>
      </w:r>
      <w:r w:rsidR="007C113F">
        <w:rPr>
          <w:rFonts w:ascii="Arial" w:hAnsi="Arial" w:cs="Arial"/>
          <w:sz w:val="20"/>
          <w:szCs w:val="20"/>
        </w:rPr>
        <w:t xml:space="preserve">s </w:t>
      </w:r>
      <w:proofErr w:type="gramStart"/>
      <w:r w:rsidR="007C113F">
        <w:rPr>
          <w:rFonts w:ascii="Arial" w:hAnsi="Arial" w:cs="Arial"/>
          <w:sz w:val="20"/>
          <w:szCs w:val="20"/>
        </w:rPr>
        <w:t>at</w:t>
      </w:r>
      <w:proofErr w:type="gramEnd"/>
      <w:r w:rsidR="007C113F">
        <w:rPr>
          <w:rFonts w:ascii="Arial" w:hAnsi="Arial" w:cs="Arial"/>
          <w:sz w:val="20"/>
          <w:szCs w:val="20"/>
        </w:rPr>
        <w:t xml:space="preserve"> 30 June 2025</w:t>
      </w:r>
      <w:r w:rsidR="00C95DEE">
        <w:rPr>
          <w:rFonts w:ascii="Arial" w:hAnsi="Arial" w:cs="Arial"/>
          <w:sz w:val="20"/>
          <w:szCs w:val="20"/>
        </w:rPr>
        <w:t>,</w:t>
      </w:r>
      <w:r w:rsidR="007C113F">
        <w:rPr>
          <w:rFonts w:ascii="Arial" w:hAnsi="Arial" w:cs="Arial"/>
          <w:sz w:val="20"/>
          <w:szCs w:val="20"/>
        </w:rPr>
        <w:t xml:space="preserve"> </w:t>
      </w:r>
      <w:r w:rsidR="00545920" w:rsidRPr="008A7A35">
        <w:rPr>
          <w:rFonts w:ascii="Arial" w:hAnsi="Arial" w:cs="Arial"/>
          <w:sz w:val="20"/>
          <w:szCs w:val="20"/>
        </w:rPr>
        <w:t xml:space="preserve">there </w:t>
      </w:r>
      <w:r w:rsidR="007C113F">
        <w:rPr>
          <w:rFonts w:ascii="Arial" w:hAnsi="Arial" w:cs="Arial"/>
          <w:sz w:val="20"/>
          <w:szCs w:val="20"/>
        </w:rPr>
        <w:t xml:space="preserve">was </w:t>
      </w:r>
      <w:r w:rsidR="00545920" w:rsidRPr="008A7A35">
        <w:rPr>
          <w:rFonts w:ascii="Arial" w:hAnsi="Arial" w:cs="Arial"/>
          <w:sz w:val="20"/>
          <w:szCs w:val="20"/>
        </w:rPr>
        <w:t>no</w:t>
      </w:r>
      <w:r w:rsidRPr="008A7A35">
        <w:rPr>
          <w:rFonts w:ascii="Arial" w:hAnsi="Arial" w:cs="Arial"/>
          <w:sz w:val="20"/>
          <w:szCs w:val="20"/>
        </w:rPr>
        <w:t xml:space="preserve"> evidence to indicate that a present obligation exist</w:t>
      </w:r>
      <w:r w:rsidR="007C113F">
        <w:rPr>
          <w:rFonts w:ascii="Arial" w:hAnsi="Arial" w:cs="Arial"/>
          <w:sz w:val="20"/>
          <w:szCs w:val="20"/>
        </w:rPr>
        <w:t>ed</w:t>
      </w:r>
      <w:r w:rsidRPr="008A7A35">
        <w:rPr>
          <w:rFonts w:ascii="Arial" w:hAnsi="Arial" w:cs="Arial"/>
          <w:sz w:val="20"/>
          <w:szCs w:val="20"/>
        </w:rPr>
        <w:t xml:space="preserve">, nor is it probable that an outflow of resources </w:t>
      </w:r>
      <w:r w:rsidR="007C113F">
        <w:rPr>
          <w:rFonts w:ascii="Arial" w:hAnsi="Arial" w:cs="Arial"/>
          <w:sz w:val="20"/>
          <w:szCs w:val="20"/>
        </w:rPr>
        <w:t xml:space="preserve">would </w:t>
      </w:r>
      <w:r w:rsidRPr="008A7A35">
        <w:rPr>
          <w:rFonts w:ascii="Arial" w:hAnsi="Arial" w:cs="Arial"/>
          <w:sz w:val="20"/>
          <w:szCs w:val="20"/>
        </w:rPr>
        <w:t>be required such that any amount should be provided for</w:t>
      </w:r>
      <w:r w:rsidR="007C113F">
        <w:rPr>
          <w:rFonts w:ascii="Arial" w:hAnsi="Arial" w:cs="Arial"/>
          <w:sz w:val="20"/>
          <w:szCs w:val="20"/>
        </w:rPr>
        <w:t xml:space="preserve"> as </w:t>
      </w:r>
      <w:r w:rsidRPr="008A7A35">
        <w:rPr>
          <w:rFonts w:ascii="Arial" w:hAnsi="Arial" w:cs="Arial"/>
          <w:sz w:val="20"/>
          <w:szCs w:val="20"/>
        </w:rPr>
        <w:t xml:space="preserve">the </w:t>
      </w:r>
      <w:r w:rsidR="007C113F">
        <w:rPr>
          <w:rFonts w:ascii="Arial" w:hAnsi="Arial" w:cs="Arial"/>
          <w:sz w:val="20"/>
          <w:szCs w:val="20"/>
        </w:rPr>
        <w:t xml:space="preserve">then applicable </w:t>
      </w:r>
      <w:r w:rsidR="00AA7849" w:rsidRPr="008A7A35">
        <w:rPr>
          <w:rFonts w:ascii="Arial" w:hAnsi="Arial" w:cs="Arial"/>
          <w:sz w:val="20"/>
          <w:szCs w:val="20"/>
        </w:rPr>
        <w:t>p</w:t>
      </w:r>
      <w:r w:rsidRPr="008A7A35">
        <w:rPr>
          <w:rFonts w:ascii="Arial" w:hAnsi="Arial" w:cs="Arial"/>
          <w:sz w:val="20"/>
          <w:szCs w:val="20"/>
        </w:rPr>
        <w:t xml:space="preserve">ortfolio </w:t>
      </w:r>
      <w:r w:rsidR="00AA7849" w:rsidRPr="008A7A35">
        <w:rPr>
          <w:rFonts w:ascii="Arial" w:hAnsi="Arial" w:cs="Arial"/>
          <w:sz w:val="20"/>
          <w:szCs w:val="20"/>
        </w:rPr>
        <w:t>l</w:t>
      </w:r>
      <w:r w:rsidRPr="008A7A35">
        <w:rPr>
          <w:rFonts w:ascii="Arial" w:hAnsi="Arial" w:cs="Arial"/>
          <w:sz w:val="20"/>
          <w:szCs w:val="20"/>
        </w:rPr>
        <w:t>evel Cost Benchmark not being met.</w:t>
      </w:r>
    </w:p>
    <w:p w14:paraId="39F9C5CE" w14:textId="77777777" w:rsidR="007C113F" w:rsidRDefault="007C113F" w:rsidP="00683A0F">
      <w:pPr>
        <w:shd w:val="clear" w:color="auto" w:fill="FFFFFF"/>
        <w:spacing w:line="210" w:lineRule="atLeast"/>
        <w:ind w:left="539"/>
        <w:jc w:val="both"/>
        <w:rPr>
          <w:rFonts w:ascii="Arial" w:hAnsi="Arial" w:cs="Arial"/>
          <w:sz w:val="20"/>
          <w:szCs w:val="20"/>
        </w:rPr>
      </w:pPr>
    </w:p>
    <w:p w14:paraId="5CA8E190" w14:textId="6AE60EE0" w:rsidR="007C113F" w:rsidRPr="008A7A35" w:rsidRDefault="007C113F" w:rsidP="00683A0F">
      <w:pPr>
        <w:shd w:val="clear" w:color="auto" w:fill="FFFFFF"/>
        <w:spacing w:line="210" w:lineRule="atLeast"/>
        <w:ind w:left="539"/>
        <w:jc w:val="both"/>
        <w:rPr>
          <w:rFonts w:ascii="Arial" w:hAnsi="Arial" w:cs="Arial"/>
          <w:sz w:val="20"/>
          <w:szCs w:val="20"/>
        </w:rPr>
      </w:pPr>
      <w:proofErr w:type="gramStart"/>
      <w:r>
        <w:rPr>
          <w:rFonts w:ascii="Arial" w:hAnsi="Arial" w:cs="Arial"/>
          <w:sz w:val="20"/>
          <w:szCs w:val="20"/>
        </w:rPr>
        <w:t>Subsequent to</w:t>
      </w:r>
      <w:proofErr w:type="gramEnd"/>
      <w:r>
        <w:rPr>
          <w:rFonts w:ascii="Arial" w:hAnsi="Arial" w:cs="Arial"/>
          <w:sz w:val="20"/>
          <w:szCs w:val="20"/>
        </w:rPr>
        <w:t xml:space="preserve"> the period end and arising from the resolutions passed at the EGM held on 22 August 2025, the terms of the IMA with the Investment Manager were revised to remove any requirement for a Performance Fee Allocation. </w:t>
      </w:r>
    </w:p>
    <w:p w14:paraId="3FA4BC90" w14:textId="77777777" w:rsidR="00D90CEC" w:rsidRPr="008A7A35" w:rsidRDefault="00D90CEC" w:rsidP="00BC274E">
      <w:pPr>
        <w:shd w:val="clear" w:color="auto" w:fill="FFFFFF"/>
        <w:spacing w:line="210" w:lineRule="atLeast"/>
        <w:ind w:left="539"/>
        <w:jc w:val="both"/>
        <w:rPr>
          <w:rFonts w:ascii="Arial" w:hAnsi="Arial" w:cs="Arial"/>
          <w:sz w:val="20"/>
          <w:szCs w:val="20"/>
        </w:rPr>
      </w:pPr>
    </w:p>
    <w:p w14:paraId="64DCCAAF" w14:textId="42999701" w:rsidR="00BC274E" w:rsidRPr="008A7A35" w:rsidRDefault="00BC274E" w:rsidP="007C3B0B">
      <w:pPr>
        <w:shd w:val="clear" w:color="auto" w:fill="FFFFFF"/>
        <w:spacing w:line="210" w:lineRule="atLeast"/>
        <w:ind w:left="539"/>
        <w:jc w:val="both"/>
        <w:rPr>
          <w:rFonts w:ascii="Arial" w:hAnsi="Arial" w:cs="Arial"/>
          <w:b/>
          <w:bCs/>
          <w:sz w:val="20"/>
          <w:szCs w:val="20"/>
        </w:rPr>
      </w:pPr>
      <w:r w:rsidRPr="008A7A35">
        <w:rPr>
          <w:rFonts w:ascii="Arial" w:hAnsi="Arial" w:cs="Arial"/>
          <w:b/>
          <w:bCs/>
          <w:sz w:val="20"/>
          <w:szCs w:val="20"/>
        </w:rPr>
        <w:t>Estimates and Assumptions</w:t>
      </w:r>
    </w:p>
    <w:p w14:paraId="7A9EB578" w14:textId="03E1C48B" w:rsidR="00BC274E" w:rsidRPr="008A7A35" w:rsidRDefault="00BC274E" w:rsidP="00315F4E">
      <w:pPr>
        <w:autoSpaceDE w:val="0"/>
        <w:autoSpaceDN w:val="0"/>
        <w:adjustRightInd w:val="0"/>
        <w:spacing w:before="100" w:after="40" w:line="181" w:lineRule="atLeast"/>
        <w:ind w:firstLine="539"/>
        <w:rPr>
          <w:rFonts w:ascii="Arial" w:hAnsi="Arial" w:cs="Arial"/>
          <w:sz w:val="20"/>
          <w:szCs w:val="20"/>
        </w:rPr>
      </w:pPr>
      <w:r w:rsidRPr="008A7A35">
        <w:rPr>
          <w:rFonts w:ascii="Arial" w:hAnsi="Arial" w:cs="Arial"/>
          <w:i/>
          <w:iCs/>
          <w:sz w:val="20"/>
          <w:szCs w:val="20"/>
        </w:rPr>
        <w:t>Fair valuation of investment in the Partnership</w:t>
      </w:r>
    </w:p>
    <w:p w14:paraId="1DFF2FEE" w14:textId="376CAE35" w:rsidR="00044175" w:rsidRPr="008A7A35" w:rsidRDefault="00BC274E" w:rsidP="00BC274E">
      <w:pPr>
        <w:autoSpaceDE w:val="0"/>
        <w:autoSpaceDN w:val="0"/>
        <w:adjustRightInd w:val="0"/>
        <w:spacing w:after="100" w:line="161" w:lineRule="atLeast"/>
        <w:ind w:left="539"/>
        <w:jc w:val="both"/>
        <w:rPr>
          <w:rFonts w:ascii="Arial" w:hAnsi="Arial" w:cs="Arial"/>
          <w:sz w:val="20"/>
          <w:szCs w:val="20"/>
        </w:rPr>
      </w:pPr>
      <w:r w:rsidRPr="008A7A35">
        <w:rPr>
          <w:rFonts w:ascii="Arial" w:hAnsi="Arial" w:cs="Arial"/>
          <w:sz w:val="20"/>
          <w:szCs w:val="20"/>
        </w:rPr>
        <w:t xml:space="preserve">The area involving a high degree of judgement or complexity and where assumptions and estimates are significant to the </w:t>
      </w:r>
      <w:r w:rsidR="00D72A28" w:rsidRPr="008A7A35">
        <w:rPr>
          <w:rFonts w:ascii="Arial" w:hAnsi="Arial" w:cs="Arial"/>
          <w:sz w:val="20"/>
          <w:szCs w:val="20"/>
        </w:rPr>
        <w:t xml:space="preserve">interim condensed financial statements </w:t>
      </w:r>
      <w:r w:rsidRPr="008A7A35">
        <w:rPr>
          <w:rFonts w:ascii="Arial" w:hAnsi="Arial" w:cs="Arial"/>
          <w:sz w:val="20"/>
          <w:szCs w:val="20"/>
        </w:rPr>
        <w:t xml:space="preserve">has been identified as the risk of misstatement of the valuation of the investment in the Partnership (see Note 5). Revisions to accounting estimates are </w:t>
      </w:r>
      <w:r w:rsidRPr="008A7A35">
        <w:rPr>
          <w:rFonts w:ascii="Arial" w:hAnsi="Arial" w:cs="Arial"/>
          <w:sz w:val="20"/>
          <w:szCs w:val="20"/>
        </w:rPr>
        <w:lastRenderedPageBreak/>
        <w:t>recognised in the period in which the estimate is revised and in any future periods affected. The Board’s determination that no discount or premium should be applied to the net asset value of the Partnership involves a degree of judgement due to the nature of the Partnership’s investments and other assets and liabilities and the valuation techniques and procedures adopted by the Partnership</w:t>
      </w:r>
      <w:r w:rsidR="00044175" w:rsidRPr="008A7A35">
        <w:rPr>
          <w:rFonts w:ascii="Arial" w:hAnsi="Arial" w:cs="Arial"/>
          <w:sz w:val="20"/>
          <w:szCs w:val="20"/>
        </w:rPr>
        <w:t>.</w:t>
      </w:r>
    </w:p>
    <w:p w14:paraId="0996A1EF" w14:textId="77777777" w:rsidR="004D6FAB" w:rsidRPr="008A7A35" w:rsidRDefault="004D6FAB" w:rsidP="00BC274E">
      <w:pPr>
        <w:autoSpaceDE w:val="0"/>
        <w:autoSpaceDN w:val="0"/>
        <w:adjustRightInd w:val="0"/>
        <w:spacing w:after="100" w:line="161" w:lineRule="atLeast"/>
        <w:ind w:left="539"/>
        <w:jc w:val="both"/>
        <w:rPr>
          <w:rFonts w:ascii="Arial" w:hAnsi="Arial" w:cs="Arial"/>
          <w:sz w:val="20"/>
          <w:szCs w:val="20"/>
        </w:rPr>
      </w:pPr>
      <w:r w:rsidRPr="008A7A35">
        <w:rPr>
          <w:rFonts w:ascii="Arial" w:hAnsi="Arial" w:cs="Arial"/>
          <w:sz w:val="20"/>
          <w:szCs w:val="20"/>
        </w:rPr>
        <w:t xml:space="preserve">A summary of the more relevant aspects of IPEV to the valuation of the Partnership’s underlying valuations are set out below: </w:t>
      </w:r>
    </w:p>
    <w:p w14:paraId="3A04AB1D" w14:textId="5CC8803C" w:rsidR="004D6FAB" w:rsidRPr="008A7A35" w:rsidRDefault="004D6FAB" w:rsidP="004D6FAB">
      <w:pPr>
        <w:autoSpaceDE w:val="0"/>
        <w:autoSpaceDN w:val="0"/>
        <w:adjustRightInd w:val="0"/>
        <w:spacing w:after="100" w:line="161" w:lineRule="atLeast"/>
        <w:ind w:left="539"/>
        <w:jc w:val="both"/>
        <w:rPr>
          <w:rFonts w:ascii="Arial" w:hAnsi="Arial" w:cs="Arial"/>
          <w:sz w:val="20"/>
          <w:szCs w:val="20"/>
        </w:rPr>
      </w:pPr>
      <w:r w:rsidRPr="008A7A35">
        <w:rPr>
          <w:rFonts w:ascii="Arial" w:hAnsi="Arial" w:cs="Arial"/>
          <w:sz w:val="20"/>
          <w:szCs w:val="20"/>
        </w:rPr>
        <w:t xml:space="preserve">Marketable (Listed) Securities – where an active market exists for the security, the value is stated at the bid price on the last trading day in the period. Marketability discounts are not generally applied unless there is some contractual, governmental or other legally enforceable restriction preventing realisation at the reporting date. </w:t>
      </w:r>
    </w:p>
    <w:p w14:paraId="5896BD77" w14:textId="7EFB8B71" w:rsidR="004D6FAB" w:rsidRPr="008A7A35" w:rsidRDefault="004D6FAB" w:rsidP="00BC274E">
      <w:pPr>
        <w:autoSpaceDE w:val="0"/>
        <w:autoSpaceDN w:val="0"/>
        <w:adjustRightInd w:val="0"/>
        <w:spacing w:after="100" w:line="161" w:lineRule="atLeast"/>
        <w:ind w:left="539"/>
        <w:jc w:val="both"/>
        <w:rPr>
          <w:rFonts w:ascii="Arial" w:hAnsi="Arial" w:cs="Arial"/>
          <w:sz w:val="20"/>
          <w:szCs w:val="20"/>
        </w:rPr>
      </w:pPr>
      <w:r w:rsidRPr="008A7A35">
        <w:rPr>
          <w:rFonts w:ascii="Arial" w:hAnsi="Arial" w:cs="Arial"/>
          <w:sz w:val="20"/>
          <w:szCs w:val="20"/>
        </w:rPr>
        <w:t xml:space="preserve">Unlisted Investments – are carried at such fair value as the Investment Manager considers appropriate, and as approved or adjusted by the Board, </w:t>
      </w:r>
      <w:proofErr w:type="gramStart"/>
      <w:r w:rsidRPr="008A7A35">
        <w:rPr>
          <w:rFonts w:ascii="Arial" w:hAnsi="Arial" w:cs="Arial"/>
          <w:sz w:val="20"/>
          <w:szCs w:val="20"/>
        </w:rPr>
        <w:t>taking into account</w:t>
      </w:r>
      <w:proofErr w:type="gramEnd"/>
      <w:r w:rsidRPr="008A7A35">
        <w:rPr>
          <w:rFonts w:ascii="Arial" w:hAnsi="Arial" w:cs="Arial"/>
          <w:sz w:val="20"/>
          <w:szCs w:val="20"/>
        </w:rPr>
        <w:t xml:space="preserve"> the performance of each investee company and the exercise of ratchets, options or other incentive schemes. Methodologies used in arriving at the fair value include prices of recent investment, earnings multiples, net assets, discounted cash flows analysis and industry valuation benchmarks. Valuations may be derived by reference to observable valuation measures for comparable companies or transactions (examples include  production multiples, volatility of comparable public traded prices, and multiplying a key performance metric of the investee company such as estimated, unobservable EBITDA by a relevant valuation multiple observed in the range of comparable companies or transactions), adjusted for differences between the investment and the referenced comparable.</w:t>
      </w:r>
    </w:p>
    <w:p w14:paraId="66BF17C7" w14:textId="7FF7BAC8" w:rsidR="00044175" w:rsidRPr="008A7A35" w:rsidRDefault="00BC274E" w:rsidP="002B5FD8">
      <w:pPr>
        <w:autoSpaceDE w:val="0"/>
        <w:autoSpaceDN w:val="0"/>
        <w:adjustRightInd w:val="0"/>
        <w:spacing w:before="100" w:after="40" w:line="181" w:lineRule="atLeast"/>
        <w:ind w:firstLine="539"/>
        <w:rPr>
          <w:rFonts w:ascii="Arial" w:hAnsi="Arial" w:cs="Arial"/>
          <w:sz w:val="20"/>
          <w:szCs w:val="20"/>
        </w:rPr>
      </w:pPr>
      <w:r w:rsidRPr="008A7A35">
        <w:rPr>
          <w:rFonts w:ascii="Arial" w:hAnsi="Arial" w:cs="Arial"/>
          <w:sz w:val="20"/>
          <w:szCs w:val="20"/>
        </w:rPr>
        <w:t>The resulting accounting estimates will, by definition, seldom equal the related actual results.</w:t>
      </w:r>
    </w:p>
    <w:p w14:paraId="13B999F5" w14:textId="77777777" w:rsidR="00A07655" w:rsidRPr="008A7A35" w:rsidRDefault="00A07655" w:rsidP="00A07655">
      <w:pPr>
        <w:autoSpaceDE w:val="0"/>
        <w:autoSpaceDN w:val="0"/>
        <w:adjustRightInd w:val="0"/>
        <w:spacing w:before="100" w:after="40" w:line="181" w:lineRule="atLeast"/>
        <w:ind w:firstLine="539"/>
        <w:rPr>
          <w:rFonts w:ascii="Arial" w:hAnsi="Arial" w:cs="Arial"/>
          <w:i/>
          <w:iCs/>
          <w:sz w:val="20"/>
          <w:szCs w:val="20"/>
        </w:rPr>
      </w:pPr>
      <w:r w:rsidRPr="008A7A35">
        <w:rPr>
          <w:rFonts w:ascii="Arial" w:hAnsi="Arial" w:cs="Arial"/>
          <w:i/>
          <w:iCs/>
          <w:sz w:val="20"/>
          <w:szCs w:val="20"/>
        </w:rPr>
        <w:t xml:space="preserve">Climate change </w:t>
      </w:r>
    </w:p>
    <w:p w14:paraId="7F25F931" w14:textId="48D74539" w:rsidR="00A07655" w:rsidRDefault="00525263" w:rsidP="005139BA">
      <w:pPr>
        <w:autoSpaceDE w:val="0"/>
        <w:autoSpaceDN w:val="0"/>
        <w:adjustRightInd w:val="0"/>
        <w:spacing w:before="100" w:after="40" w:line="181" w:lineRule="atLeast"/>
        <w:ind w:left="539"/>
        <w:jc w:val="both"/>
        <w:rPr>
          <w:rFonts w:ascii="Arial" w:hAnsi="Arial" w:cs="Arial"/>
          <w:sz w:val="20"/>
          <w:szCs w:val="20"/>
        </w:rPr>
      </w:pPr>
      <w:r w:rsidRPr="008A7A35">
        <w:rPr>
          <w:rFonts w:ascii="Arial" w:hAnsi="Arial" w:cs="Arial"/>
          <w:sz w:val="20"/>
          <w:szCs w:val="20"/>
        </w:rPr>
        <w:t>In preparing the interim condensed financial statements, t</w:t>
      </w:r>
      <w:r w:rsidR="00A07655" w:rsidRPr="008A7A35">
        <w:rPr>
          <w:rFonts w:ascii="Arial" w:hAnsi="Arial" w:cs="Arial"/>
          <w:sz w:val="20"/>
          <w:szCs w:val="20"/>
        </w:rPr>
        <w:t xml:space="preserve">he Directors have considered the </w:t>
      </w:r>
      <w:r w:rsidRPr="008A7A35">
        <w:rPr>
          <w:rFonts w:ascii="Arial" w:hAnsi="Arial" w:cs="Arial"/>
          <w:sz w:val="20"/>
          <w:szCs w:val="20"/>
        </w:rPr>
        <w:t>medium- and longer-term</w:t>
      </w:r>
      <w:r w:rsidR="00A07655" w:rsidRPr="008A7A35">
        <w:rPr>
          <w:rFonts w:ascii="Arial" w:hAnsi="Arial" w:cs="Arial"/>
          <w:sz w:val="20"/>
          <w:szCs w:val="20"/>
        </w:rPr>
        <w:t xml:space="preserve"> cash flow impacts of climate change on </w:t>
      </w:r>
      <w:proofErr w:type="gramStart"/>
      <w:r w:rsidR="00A07655" w:rsidRPr="008A7A35">
        <w:rPr>
          <w:rFonts w:ascii="Arial" w:hAnsi="Arial" w:cs="Arial"/>
          <w:sz w:val="20"/>
          <w:szCs w:val="20"/>
        </w:rPr>
        <w:t>a number of</w:t>
      </w:r>
      <w:proofErr w:type="gramEnd"/>
      <w:r w:rsidR="00A07655" w:rsidRPr="008A7A35">
        <w:rPr>
          <w:rFonts w:ascii="Arial" w:hAnsi="Arial" w:cs="Arial"/>
          <w:sz w:val="20"/>
          <w:szCs w:val="20"/>
        </w:rPr>
        <w:t xml:space="preserve"> key estimates </w:t>
      </w:r>
      <w:r w:rsidRPr="008A7A35">
        <w:rPr>
          <w:rFonts w:ascii="Arial" w:hAnsi="Arial" w:cs="Arial"/>
          <w:sz w:val="20"/>
          <w:szCs w:val="20"/>
        </w:rPr>
        <w:t xml:space="preserve">included </w:t>
      </w:r>
      <w:r w:rsidR="00A07655" w:rsidRPr="008A7A35">
        <w:rPr>
          <w:rFonts w:ascii="Arial" w:hAnsi="Arial" w:cs="Arial"/>
          <w:sz w:val="20"/>
          <w:szCs w:val="20"/>
        </w:rPr>
        <w:t xml:space="preserve">within the </w:t>
      </w:r>
      <w:r w:rsidR="00D72A28" w:rsidRPr="008A7A35">
        <w:rPr>
          <w:rFonts w:ascii="Arial" w:hAnsi="Arial" w:cs="Arial"/>
          <w:sz w:val="20"/>
          <w:szCs w:val="20"/>
        </w:rPr>
        <w:t>interim condensed financial statements</w:t>
      </w:r>
      <w:r w:rsidRPr="008A7A35">
        <w:rPr>
          <w:rFonts w:ascii="Arial" w:hAnsi="Arial" w:cs="Arial"/>
          <w:sz w:val="20"/>
          <w:szCs w:val="20"/>
        </w:rPr>
        <w:t>.</w:t>
      </w:r>
    </w:p>
    <w:p w14:paraId="402E9628" w14:textId="77777777" w:rsidR="00DE4E0D" w:rsidRPr="008A7A35" w:rsidRDefault="00DE4E0D" w:rsidP="005139BA">
      <w:pPr>
        <w:autoSpaceDE w:val="0"/>
        <w:autoSpaceDN w:val="0"/>
        <w:adjustRightInd w:val="0"/>
        <w:spacing w:before="100" w:after="40" w:line="181" w:lineRule="atLeast"/>
        <w:ind w:left="539"/>
        <w:jc w:val="both"/>
        <w:rPr>
          <w:rFonts w:ascii="Arial" w:hAnsi="Arial" w:cs="Arial"/>
          <w:sz w:val="20"/>
          <w:szCs w:val="20"/>
        </w:rPr>
      </w:pPr>
    </w:p>
    <w:p w14:paraId="5835AD4C" w14:textId="51B6AF0E" w:rsidR="00E7543F" w:rsidRPr="008A7A35" w:rsidRDefault="00E7543F" w:rsidP="00815D87">
      <w:pPr>
        <w:autoSpaceDE w:val="0"/>
        <w:autoSpaceDN w:val="0"/>
        <w:adjustRightInd w:val="0"/>
        <w:spacing w:before="100" w:after="40" w:line="181" w:lineRule="atLeast"/>
        <w:ind w:left="539"/>
        <w:jc w:val="both"/>
        <w:rPr>
          <w:rFonts w:cs="Arial"/>
          <w:szCs w:val="20"/>
        </w:rPr>
      </w:pPr>
      <w:r w:rsidRPr="008A7A35">
        <w:rPr>
          <w:rFonts w:ascii="Arial" w:hAnsi="Arial" w:cs="Arial"/>
          <w:sz w:val="20"/>
          <w:szCs w:val="20"/>
        </w:rPr>
        <w:t xml:space="preserve">In line with IFRS the Partnership’s investments are valued at fair value. The Level 1 </w:t>
      </w:r>
      <w:r w:rsidR="000250B8" w:rsidRPr="008A7A35">
        <w:rPr>
          <w:rFonts w:ascii="Arial" w:hAnsi="Arial" w:cs="Arial"/>
          <w:sz w:val="20"/>
          <w:szCs w:val="20"/>
        </w:rPr>
        <w:t xml:space="preserve">investments </w:t>
      </w:r>
      <w:r w:rsidRPr="008A7A35">
        <w:rPr>
          <w:rFonts w:ascii="Arial" w:hAnsi="Arial" w:cs="Arial"/>
          <w:sz w:val="20"/>
          <w:szCs w:val="20"/>
        </w:rPr>
        <w:t>are valued using quoted prices in active markets and therefore these reflect a market participants’ view of climate change risk. In determining the value of Partnership’s Level 3 investments consideration is made as to whether there are any specific climate risks which could directly impact the value of such investments, including the estimates of future cash flows and future profitability. In the current and previous period there is no material impact to the value of the Partnership’s Level 3 investments.</w:t>
      </w:r>
    </w:p>
    <w:p w14:paraId="609E43CF" w14:textId="77777777" w:rsidR="00213F9C" w:rsidRPr="008A7A35" w:rsidRDefault="00213F9C" w:rsidP="00213F9C">
      <w:pPr>
        <w:tabs>
          <w:tab w:val="left" w:pos="6903"/>
        </w:tabs>
        <w:rPr>
          <w:rFonts w:ascii="Arial" w:hAnsi="Arial" w:cs="Arial"/>
        </w:rPr>
      </w:pPr>
    </w:p>
    <w:p w14:paraId="0A28B166" w14:textId="0FA747FD" w:rsidR="00E41A2E" w:rsidRPr="008A7A35" w:rsidRDefault="00E41A2E">
      <w:pPr>
        <w:ind w:left="567" w:hanging="567"/>
        <w:outlineLvl w:val="1"/>
        <w:rPr>
          <w:rFonts w:ascii="Arial" w:hAnsi="Arial" w:cs="Arial"/>
          <w:b/>
          <w:sz w:val="28"/>
          <w:szCs w:val="28"/>
        </w:rPr>
      </w:pPr>
      <w:r w:rsidRPr="008A7A35">
        <w:rPr>
          <w:rFonts w:ascii="Arial" w:hAnsi="Arial" w:cs="Arial"/>
          <w:b/>
          <w:sz w:val="28"/>
          <w:szCs w:val="28"/>
        </w:rPr>
        <w:t>4.</w:t>
      </w:r>
      <w:r w:rsidRPr="008A7A35">
        <w:rPr>
          <w:rFonts w:ascii="Arial" w:hAnsi="Arial" w:cs="Arial"/>
          <w:b/>
          <w:sz w:val="28"/>
          <w:szCs w:val="28"/>
        </w:rPr>
        <w:tab/>
        <w:t>Taxation</w:t>
      </w:r>
    </w:p>
    <w:p w14:paraId="562A5239" w14:textId="0B3B30A8" w:rsidR="00E41A2E" w:rsidRPr="008A7A35" w:rsidRDefault="00E41A2E" w:rsidP="00E74BA8">
      <w:pPr>
        <w:tabs>
          <w:tab w:val="left" w:pos="6903"/>
        </w:tabs>
        <w:ind w:left="567"/>
        <w:jc w:val="both"/>
        <w:rPr>
          <w:rFonts w:ascii="Arial" w:hAnsi="Arial" w:cs="Arial"/>
          <w:sz w:val="20"/>
          <w:szCs w:val="20"/>
        </w:rPr>
      </w:pPr>
      <w:r w:rsidRPr="008A7A35">
        <w:rPr>
          <w:rFonts w:ascii="Arial" w:hAnsi="Arial" w:cs="Arial"/>
          <w:sz w:val="20"/>
          <w:szCs w:val="20"/>
        </w:rPr>
        <w:t>The taxation basis of the Company remains consistent with that disclosed in the Financial Statements for the year ended 31 December 20</w:t>
      </w:r>
      <w:r w:rsidR="00025DD6" w:rsidRPr="008A7A35">
        <w:rPr>
          <w:rFonts w:ascii="Arial" w:hAnsi="Arial" w:cs="Arial"/>
          <w:sz w:val="20"/>
          <w:szCs w:val="20"/>
        </w:rPr>
        <w:t>2</w:t>
      </w:r>
      <w:r w:rsidR="00D90CEC" w:rsidRPr="008A7A35">
        <w:rPr>
          <w:rFonts w:ascii="Arial" w:hAnsi="Arial" w:cs="Arial"/>
          <w:sz w:val="20"/>
          <w:szCs w:val="20"/>
        </w:rPr>
        <w:t>4</w:t>
      </w:r>
      <w:r w:rsidRPr="008A7A35">
        <w:rPr>
          <w:rFonts w:ascii="Arial" w:hAnsi="Arial" w:cs="Arial"/>
          <w:sz w:val="20"/>
          <w:szCs w:val="20"/>
        </w:rPr>
        <w:t>.</w:t>
      </w:r>
    </w:p>
    <w:p w14:paraId="30A12914" w14:textId="77777777" w:rsidR="00E41A2E" w:rsidRPr="008A7A35" w:rsidRDefault="00E41A2E" w:rsidP="00E74BA8">
      <w:pPr>
        <w:tabs>
          <w:tab w:val="left" w:pos="6903"/>
        </w:tabs>
        <w:ind w:left="567"/>
        <w:jc w:val="both"/>
        <w:rPr>
          <w:rFonts w:ascii="Arial" w:hAnsi="Arial" w:cs="Arial"/>
          <w:sz w:val="20"/>
          <w:szCs w:val="20"/>
        </w:rPr>
      </w:pPr>
    </w:p>
    <w:p w14:paraId="31B1ABF9" w14:textId="51A7D4C8" w:rsidR="008D600C" w:rsidRPr="008A7A35" w:rsidRDefault="008D600C" w:rsidP="00E74BA8">
      <w:pPr>
        <w:pStyle w:val="Bodytext"/>
        <w:ind w:left="567"/>
        <w:jc w:val="both"/>
      </w:pPr>
      <w:r w:rsidRPr="008A7A35">
        <w:t xml:space="preserve">The Company has made an election </w:t>
      </w:r>
      <w:proofErr w:type="gramStart"/>
      <w:r w:rsidRPr="008A7A35">
        <w:t>to, and</w:t>
      </w:r>
      <w:proofErr w:type="gramEnd"/>
      <w:r w:rsidRPr="008A7A35">
        <w:t xml:space="preserve"> currently expects to conduct its activities </w:t>
      </w:r>
      <w:proofErr w:type="gramStart"/>
      <w:r w:rsidRPr="008A7A35">
        <w:t>so as to</w:t>
      </w:r>
      <w:proofErr w:type="gramEnd"/>
      <w:r w:rsidRPr="008A7A35">
        <w:t xml:space="preserve"> be treated as a partnership for U.S. federal income tax purposes. Therefore, the Company expects that it generally will not be liable for U.S. federal income taxes. In the normal course of business, REL may form wholly owned subsidiaries, to be treated as C Corporations for U.S. tax purposes. The C Corporations serve to protect REL’s public investors from incurring U.S. ECI. The C Corporations file U.S. corporate tax returns with the U.S. IRS and pay U.S. corporate taxes on its income. Each of the Company’s Shareholders who are liable for U.S. taxes will </w:t>
      </w:r>
      <w:proofErr w:type="gramStart"/>
      <w:r w:rsidRPr="008A7A35">
        <w:t>take into account</w:t>
      </w:r>
      <w:proofErr w:type="gramEnd"/>
      <w:r w:rsidRPr="008A7A35">
        <w:t xml:space="preserve"> </w:t>
      </w:r>
      <w:r w:rsidR="0066768A" w:rsidRPr="008A7A35">
        <w:t>their</w:t>
      </w:r>
      <w:r w:rsidRPr="008A7A35">
        <w:t xml:space="preserve"> respective share of the Company’s items of income, gain, loss and deduction in computing its U.S. federal income tax liability as if such Shareholder had earned such income directly, even if no cash distributions are made to the Shareholder.</w:t>
      </w:r>
    </w:p>
    <w:p w14:paraId="081F42C8" w14:textId="77777777" w:rsidR="008D600C" w:rsidRPr="008A7A35" w:rsidRDefault="008D600C" w:rsidP="00E74BA8">
      <w:pPr>
        <w:pStyle w:val="Bodytext"/>
        <w:ind w:left="567"/>
        <w:jc w:val="both"/>
      </w:pPr>
    </w:p>
    <w:p w14:paraId="3251A589" w14:textId="78C64EEE" w:rsidR="008D600C" w:rsidRPr="008A7A35" w:rsidRDefault="008D600C" w:rsidP="00E74BA8">
      <w:pPr>
        <w:pStyle w:val="Bodytext"/>
        <w:ind w:left="567"/>
        <w:jc w:val="both"/>
      </w:pPr>
      <w:r w:rsidRPr="008A7A35">
        <w:t xml:space="preserve">The Company is exempt from taxation in Guernsey under the provisions of the </w:t>
      </w:r>
      <w:r w:rsidR="00C031F8" w:rsidRPr="008A7A35">
        <w:t>I</w:t>
      </w:r>
      <w:r w:rsidRPr="008A7A35">
        <w:t>ncome Tax (Exempt Bodies) (Guernsey) Ordinance, 2008 and is charged an annual exemption fee of £1,</w:t>
      </w:r>
      <w:r w:rsidR="00D90CEC" w:rsidRPr="008A7A35">
        <w:t>6</w:t>
      </w:r>
      <w:r w:rsidRPr="008A7A35">
        <w:t xml:space="preserve">00. </w:t>
      </w:r>
    </w:p>
    <w:p w14:paraId="7288E6AA" w14:textId="77777777" w:rsidR="00D90CEC" w:rsidRPr="008A7A35" w:rsidRDefault="00D90CEC" w:rsidP="008A7A35">
      <w:pPr>
        <w:pStyle w:val="Bodytext"/>
        <w:jc w:val="both"/>
      </w:pPr>
    </w:p>
    <w:p w14:paraId="4AC1C872" w14:textId="427DE361" w:rsidR="008D600C" w:rsidRPr="008A7A35" w:rsidRDefault="008D600C" w:rsidP="00E74BA8">
      <w:pPr>
        <w:pStyle w:val="Bodytext"/>
        <w:ind w:left="567"/>
        <w:jc w:val="both"/>
      </w:pPr>
      <w:r w:rsidRPr="008A7A35">
        <w:t>The Cayman Islands at present impose no taxes on profit, income, capital gains or appreciations in value of the Partnership. There are also currently no taxes imposed in the Cayman Islands by withholding or otherwise on the Company as a limited partner of the Partnership on profit, income, capital gains or appreciations in respect of it</w:t>
      </w:r>
      <w:r w:rsidR="008B03DE" w:rsidRPr="008A7A35">
        <w:t>s</w:t>
      </w:r>
      <w:r w:rsidRPr="008A7A35">
        <w:t xml:space="preserve"> partnership interest nor any taxes on the Company as a limited partner of the Partnership </w:t>
      </w:r>
      <w:proofErr w:type="gramStart"/>
      <w:r w:rsidRPr="008A7A35">
        <w:t>in the nature of estate</w:t>
      </w:r>
      <w:proofErr w:type="gramEnd"/>
      <w:r w:rsidRPr="008A7A35">
        <w:t xml:space="preserve"> duty, inheritance or capital transfer tax.</w:t>
      </w:r>
    </w:p>
    <w:p w14:paraId="073388A6" w14:textId="77777777" w:rsidR="008D600C" w:rsidRPr="008A7A35" w:rsidRDefault="008D600C" w:rsidP="00E74BA8">
      <w:pPr>
        <w:pStyle w:val="Bodytext"/>
        <w:ind w:left="567"/>
        <w:jc w:val="both"/>
      </w:pPr>
    </w:p>
    <w:p w14:paraId="34956F72" w14:textId="0F37CF23" w:rsidR="00E41A2E" w:rsidRPr="008A7A35" w:rsidRDefault="008D600C" w:rsidP="00D90CEC">
      <w:pPr>
        <w:pStyle w:val="Bodytext"/>
        <w:ind w:left="567"/>
        <w:jc w:val="both"/>
      </w:pPr>
      <w:r w:rsidRPr="008A7A35">
        <w:t xml:space="preserve">Local taxes may apply at the jurisdictional level on profits arising in operating entity investments. Further taxes may apply on distributions from such operating entity investments. The </w:t>
      </w:r>
      <w:r w:rsidR="001E1D69">
        <w:t>Company</w:t>
      </w:r>
      <w:r w:rsidR="001E1D69" w:rsidRPr="008A7A35">
        <w:t xml:space="preserve"> </w:t>
      </w:r>
      <w:r w:rsidRPr="008A7A35">
        <w:t xml:space="preserve">is structured, and has structured its investments, to eliminate the incurrence of ECI by </w:t>
      </w:r>
      <w:r w:rsidR="001E1D69">
        <w:t>Company’s</w:t>
      </w:r>
      <w:r w:rsidR="001E1D69" w:rsidRPr="008A7A35">
        <w:t xml:space="preserve"> </w:t>
      </w:r>
      <w:r w:rsidRPr="008A7A35">
        <w:t xml:space="preserve">investors. Based upon the current commitments and investments </w:t>
      </w:r>
      <w:r w:rsidR="00F81DAA" w:rsidRPr="008A7A35">
        <w:t>held through REL US Corp.</w:t>
      </w:r>
      <w:r w:rsidRPr="008A7A35">
        <w:t xml:space="preserve">, the future U.S. tax liability on </w:t>
      </w:r>
      <w:r w:rsidRPr="008A7A35">
        <w:lastRenderedPageBreak/>
        <w:t xml:space="preserve">profits is expected to be in the range of </w:t>
      </w:r>
      <w:r w:rsidR="00E1053E" w:rsidRPr="008A7A35">
        <w:t>21</w:t>
      </w:r>
      <w:r w:rsidR="00D90CEC" w:rsidRPr="008A7A35">
        <w:t xml:space="preserve"> </w:t>
      </w:r>
      <w:r w:rsidRPr="008A7A35">
        <w:t xml:space="preserve">to </w:t>
      </w:r>
      <w:r w:rsidR="00E1053E" w:rsidRPr="008A7A35">
        <w:t>2</w:t>
      </w:r>
      <w:r w:rsidR="007A7BCC" w:rsidRPr="008A7A35">
        <w:t>7.5</w:t>
      </w:r>
      <w:r w:rsidR="00D90CEC" w:rsidRPr="008A7A35">
        <w:t xml:space="preserve"> </w:t>
      </w:r>
      <w:r w:rsidRPr="008A7A35">
        <w:t>per cent. (31 December 20</w:t>
      </w:r>
      <w:r w:rsidR="00025DD6" w:rsidRPr="008A7A35">
        <w:t>2</w:t>
      </w:r>
      <w:r w:rsidR="00D90CEC" w:rsidRPr="008A7A35">
        <w:t>4</w:t>
      </w:r>
      <w:r w:rsidRPr="008A7A35">
        <w:t xml:space="preserve">: </w:t>
      </w:r>
      <w:r w:rsidR="002D07DB" w:rsidRPr="008A7A35">
        <w:t>21</w:t>
      </w:r>
      <w:r w:rsidRPr="008A7A35">
        <w:t xml:space="preserve"> to </w:t>
      </w:r>
      <w:r w:rsidR="002D07DB" w:rsidRPr="008A7A35">
        <w:t>27</w:t>
      </w:r>
      <w:r w:rsidRPr="008A7A35">
        <w:t xml:space="preserve">.5 per cent.). </w:t>
      </w:r>
      <w:r w:rsidR="00E7543F" w:rsidRPr="008A7A35">
        <w:t xml:space="preserve">Additionally, depending on REL US Corp’s current and accumulated earnings and profit, the future U.S. tax liability on distributions from REL US Corp is expected to be </w:t>
      </w:r>
      <w:r w:rsidR="00E1053E" w:rsidRPr="008A7A35">
        <w:t>0</w:t>
      </w:r>
      <w:r w:rsidR="00E7543F" w:rsidRPr="008A7A35">
        <w:t xml:space="preserve"> per cent. and </w:t>
      </w:r>
      <w:r w:rsidR="00E1053E" w:rsidRPr="008A7A35">
        <w:t>30</w:t>
      </w:r>
      <w:r w:rsidR="00FB49BD" w:rsidRPr="008A7A35">
        <w:t xml:space="preserve"> </w:t>
      </w:r>
      <w:r w:rsidR="00E7543F" w:rsidRPr="008A7A35">
        <w:t>per cent., respectively, for those distributions determined to be return of capital and dividend income.</w:t>
      </w:r>
      <w:r w:rsidR="00E7543F" w:rsidRPr="008A7A35">
        <w:rPr>
          <w:i/>
          <w:iCs/>
        </w:rPr>
        <w:t xml:space="preserve"> </w:t>
      </w:r>
      <w:r w:rsidR="00E7543F" w:rsidRPr="008A7A35">
        <w:t>Any applicable taxes are captured in the Company’s NAV through the fair value movements in the underlying investments held by the Partnership and its related Investment Undertakings.</w:t>
      </w:r>
    </w:p>
    <w:p w14:paraId="63E1299A" w14:textId="77777777" w:rsidR="00E41A2E" w:rsidRPr="008A7A35" w:rsidRDefault="00E41A2E">
      <w:pPr>
        <w:tabs>
          <w:tab w:val="left" w:pos="6903"/>
        </w:tabs>
        <w:ind w:left="567"/>
        <w:rPr>
          <w:rFonts w:ascii="Arial" w:hAnsi="Arial" w:cs="Arial"/>
        </w:rPr>
      </w:pPr>
    </w:p>
    <w:p w14:paraId="5005D3D5" w14:textId="77777777" w:rsidR="00E41A2E" w:rsidRPr="008A7A35" w:rsidRDefault="00E41A2E">
      <w:pPr>
        <w:ind w:left="567" w:hanging="567"/>
        <w:outlineLvl w:val="1"/>
        <w:rPr>
          <w:rFonts w:ascii="Arial" w:hAnsi="Arial" w:cs="Arial"/>
          <w:b/>
          <w:sz w:val="28"/>
          <w:szCs w:val="28"/>
        </w:rPr>
      </w:pPr>
      <w:r w:rsidRPr="008A7A35">
        <w:rPr>
          <w:rFonts w:ascii="Arial" w:hAnsi="Arial" w:cs="Arial"/>
          <w:b/>
          <w:sz w:val="28"/>
          <w:szCs w:val="28"/>
        </w:rPr>
        <w:t>5.</w:t>
      </w:r>
      <w:r w:rsidRPr="008A7A35">
        <w:rPr>
          <w:rFonts w:ascii="Arial" w:hAnsi="Arial" w:cs="Arial"/>
          <w:b/>
          <w:sz w:val="28"/>
          <w:szCs w:val="28"/>
        </w:rPr>
        <w:tab/>
        <w:t>Fair value</w:t>
      </w:r>
    </w:p>
    <w:p w14:paraId="0A9C78E2" w14:textId="77777777" w:rsidR="00E41A2E" w:rsidRPr="008A7A35" w:rsidRDefault="00E41A2E" w:rsidP="00E74BA8">
      <w:pPr>
        <w:tabs>
          <w:tab w:val="left" w:pos="6903"/>
        </w:tabs>
        <w:ind w:left="567"/>
        <w:jc w:val="both"/>
        <w:rPr>
          <w:rFonts w:ascii="Arial" w:hAnsi="Arial" w:cs="Arial"/>
          <w:sz w:val="20"/>
          <w:szCs w:val="20"/>
        </w:rPr>
      </w:pPr>
      <w:r w:rsidRPr="008A7A35">
        <w:rPr>
          <w:rFonts w:ascii="Arial" w:hAnsi="Arial" w:cs="Arial"/>
          <w:sz w:val="20"/>
          <w:szCs w:val="20"/>
        </w:rPr>
        <w:t xml:space="preserve">IFRS 13 ‘Fair Value Measurement’ requires disclosure of fair value measurement by level. The level in the fair value hierarchy within which the financial assets or financial liabilities are categorised is determined </w:t>
      </w:r>
      <w:proofErr w:type="gramStart"/>
      <w:r w:rsidRPr="008A7A35">
        <w:rPr>
          <w:rFonts w:ascii="Arial" w:hAnsi="Arial" w:cs="Arial"/>
          <w:sz w:val="20"/>
          <w:szCs w:val="20"/>
        </w:rPr>
        <w:t>on the basis of</w:t>
      </w:r>
      <w:proofErr w:type="gramEnd"/>
      <w:r w:rsidRPr="008A7A35">
        <w:rPr>
          <w:rFonts w:ascii="Arial" w:hAnsi="Arial" w:cs="Arial"/>
          <w:sz w:val="20"/>
          <w:szCs w:val="20"/>
        </w:rPr>
        <w:t xml:space="preserve"> the lowest level input that is significant to the fair value measurement, adjusted if necessary.</w:t>
      </w:r>
    </w:p>
    <w:p w14:paraId="2FD63C29" w14:textId="77777777" w:rsidR="00E41A2E" w:rsidRPr="008A7A35" w:rsidRDefault="00E41A2E" w:rsidP="00E74BA8">
      <w:pPr>
        <w:tabs>
          <w:tab w:val="left" w:pos="6903"/>
        </w:tabs>
        <w:ind w:left="567"/>
        <w:jc w:val="both"/>
        <w:rPr>
          <w:rFonts w:ascii="Arial" w:hAnsi="Arial" w:cs="Arial"/>
          <w:sz w:val="20"/>
          <w:szCs w:val="20"/>
        </w:rPr>
      </w:pPr>
    </w:p>
    <w:p w14:paraId="48CEC45D" w14:textId="77777777" w:rsidR="00E41A2E" w:rsidRPr="008A7A35" w:rsidRDefault="00E41A2E" w:rsidP="00E74BA8">
      <w:pPr>
        <w:tabs>
          <w:tab w:val="left" w:pos="6903"/>
        </w:tabs>
        <w:ind w:left="567"/>
        <w:jc w:val="both"/>
        <w:rPr>
          <w:rFonts w:ascii="Arial" w:hAnsi="Arial" w:cs="Arial"/>
          <w:sz w:val="20"/>
          <w:szCs w:val="20"/>
        </w:rPr>
      </w:pPr>
      <w:r w:rsidRPr="008A7A35">
        <w:rPr>
          <w:rFonts w:ascii="Arial" w:hAnsi="Arial" w:cs="Arial"/>
          <w:sz w:val="20"/>
          <w:szCs w:val="20"/>
        </w:rPr>
        <w:t>Financial assets and financial liabilities are classified in their entirety into only one of the three levels:</w:t>
      </w:r>
    </w:p>
    <w:p w14:paraId="3F500AF6" w14:textId="77777777" w:rsidR="00E41A2E" w:rsidRPr="008A7A35" w:rsidRDefault="00E41A2E" w:rsidP="00E74BA8">
      <w:pPr>
        <w:tabs>
          <w:tab w:val="left" w:pos="6903"/>
        </w:tabs>
        <w:ind w:left="567"/>
        <w:jc w:val="both"/>
        <w:rPr>
          <w:rFonts w:ascii="Arial" w:hAnsi="Arial" w:cs="Arial"/>
          <w:sz w:val="20"/>
          <w:szCs w:val="20"/>
        </w:rPr>
      </w:pPr>
    </w:p>
    <w:p w14:paraId="7CC15DC6" w14:textId="184341A6" w:rsidR="00E41A2E" w:rsidRPr="008A7A35" w:rsidRDefault="00E41A2E" w:rsidP="00E74BA8">
      <w:pPr>
        <w:tabs>
          <w:tab w:val="left" w:pos="6903"/>
        </w:tabs>
        <w:spacing w:after="100"/>
        <w:ind w:left="851" w:hanging="284"/>
        <w:jc w:val="both"/>
        <w:rPr>
          <w:rFonts w:ascii="Arial" w:hAnsi="Arial" w:cs="Arial"/>
          <w:sz w:val="20"/>
          <w:szCs w:val="20"/>
        </w:rPr>
      </w:pPr>
      <w:r w:rsidRPr="008A7A35">
        <w:rPr>
          <w:rFonts w:ascii="Arial" w:hAnsi="Arial" w:cs="Arial"/>
          <w:sz w:val="20"/>
          <w:szCs w:val="20"/>
        </w:rPr>
        <w:t>•</w:t>
      </w:r>
      <w:r w:rsidRPr="008A7A35">
        <w:rPr>
          <w:rFonts w:ascii="Arial" w:hAnsi="Arial" w:cs="Arial"/>
          <w:sz w:val="20"/>
          <w:szCs w:val="20"/>
        </w:rPr>
        <w:tab/>
        <w:t>Level 1 – quoted prices (unadjusted) in active markets for identical assets or liabilities</w:t>
      </w:r>
      <w:r w:rsidR="00317456" w:rsidRPr="008A7A35">
        <w:rPr>
          <w:rFonts w:ascii="Arial" w:hAnsi="Arial" w:cs="Arial"/>
          <w:sz w:val="20"/>
          <w:szCs w:val="20"/>
        </w:rPr>
        <w:t>.</w:t>
      </w:r>
    </w:p>
    <w:p w14:paraId="2137700A" w14:textId="673A28E9" w:rsidR="00E41A2E" w:rsidRPr="008A7A35" w:rsidRDefault="00E41A2E" w:rsidP="00E74BA8">
      <w:pPr>
        <w:tabs>
          <w:tab w:val="left" w:pos="6903"/>
        </w:tabs>
        <w:spacing w:after="100"/>
        <w:ind w:left="851" w:hanging="284"/>
        <w:jc w:val="both"/>
        <w:rPr>
          <w:rFonts w:ascii="Arial" w:hAnsi="Arial" w:cs="Arial"/>
          <w:sz w:val="20"/>
          <w:szCs w:val="20"/>
        </w:rPr>
      </w:pPr>
      <w:r w:rsidRPr="008A7A35">
        <w:rPr>
          <w:rFonts w:ascii="Arial" w:hAnsi="Arial" w:cs="Arial"/>
          <w:sz w:val="20"/>
          <w:szCs w:val="20"/>
        </w:rPr>
        <w:t>•</w:t>
      </w:r>
      <w:r w:rsidRPr="008A7A35">
        <w:rPr>
          <w:rFonts w:ascii="Arial" w:hAnsi="Arial" w:cs="Arial"/>
          <w:sz w:val="20"/>
          <w:szCs w:val="20"/>
        </w:rPr>
        <w:tab/>
        <w:t>Level 2 – inputs other than quoted prices included within Level 1 that are observable for the assets or liabilities, either directly (i.e. as prices) or indirectly (i.e. derived from prices)</w:t>
      </w:r>
      <w:r w:rsidR="00317456" w:rsidRPr="008A7A35">
        <w:rPr>
          <w:rFonts w:ascii="Arial" w:hAnsi="Arial" w:cs="Arial"/>
          <w:sz w:val="20"/>
          <w:szCs w:val="20"/>
        </w:rPr>
        <w:t>.</w:t>
      </w:r>
    </w:p>
    <w:p w14:paraId="66D1F3E4" w14:textId="77777777" w:rsidR="00E41A2E" w:rsidRPr="008A7A35" w:rsidRDefault="00E41A2E" w:rsidP="00E74BA8">
      <w:pPr>
        <w:tabs>
          <w:tab w:val="left" w:pos="6903"/>
        </w:tabs>
        <w:ind w:left="851" w:hanging="284"/>
        <w:jc w:val="both"/>
        <w:rPr>
          <w:rFonts w:ascii="Arial" w:hAnsi="Arial" w:cs="Arial"/>
          <w:sz w:val="20"/>
          <w:szCs w:val="20"/>
        </w:rPr>
      </w:pPr>
      <w:r w:rsidRPr="008A7A35">
        <w:rPr>
          <w:rFonts w:ascii="Arial" w:hAnsi="Arial" w:cs="Arial"/>
          <w:sz w:val="20"/>
          <w:szCs w:val="20"/>
        </w:rPr>
        <w:t>•</w:t>
      </w:r>
      <w:r w:rsidRPr="008A7A35">
        <w:rPr>
          <w:rFonts w:ascii="Arial" w:hAnsi="Arial" w:cs="Arial"/>
          <w:sz w:val="20"/>
          <w:szCs w:val="20"/>
        </w:rPr>
        <w:tab/>
        <w:t>Level 3 – inputs for the assets or liabilities that are not based on observable market data (unobservable inputs).</w:t>
      </w:r>
    </w:p>
    <w:p w14:paraId="1F865DE1" w14:textId="77777777" w:rsidR="00E41A2E" w:rsidRPr="008A7A35" w:rsidRDefault="00E41A2E" w:rsidP="00E74BA8">
      <w:pPr>
        <w:tabs>
          <w:tab w:val="left" w:pos="6903"/>
        </w:tabs>
        <w:ind w:left="567"/>
        <w:jc w:val="both"/>
        <w:rPr>
          <w:rFonts w:ascii="Arial" w:hAnsi="Arial" w:cs="Arial"/>
          <w:sz w:val="20"/>
          <w:szCs w:val="20"/>
        </w:rPr>
      </w:pPr>
    </w:p>
    <w:p w14:paraId="00CC315F" w14:textId="23953839" w:rsidR="00E41A2E" w:rsidRPr="008A7A35" w:rsidRDefault="00E41A2E" w:rsidP="00E74BA8">
      <w:pPr>
        <w:tabs>
          <w:tab w:val="left" w:pos="6903"/>
        </w:tabs>
        <w:ind w:left="567"/>
        <w:jc w:val="both"/>
        <w:rPr>
          <w:rFonts w:ascii="Arial" w:hAnsi="Arial" w:cs="Arial"/>
          <w:sz w:val="20"/>
          <w:szCs w:val="20"/>
        </w:rPr>
      </w:pPr>
      <w:r w:rsidRPr="008A7A35">
        <w:rPr>
          <w:rFonts w:ascii="Arial" w:hAnsi="Arial" w:cs="Arial"/>
          <w:sz w:val="20"/>
          <w:szCs w:val="20"/>
        </w:rPr>
        <w:t xml:space="preserve">The Company’s only financial instrument carried at fair value is its investment in the Partnership which has been classified within Level 3 as it is derived using unobservable inputs. Amounts classified under Level 3 </w:t>
      </w:r>
      <w:r w:rsidR="00C75564" w:rsidRPr="008A7A35">
        <w:rPr>
          <w:rFonts w:ascii="Arial" w:hAnsi="Arial" w:cs="Arial"/>
          <w:sz w:val="20"/>
          <w:szCs w:val="20"/>
        </w:rPr>
        <w:t>for the period ended 30 June 202</w:t>
      </w:r>
      <w:r w:rsidR="00D90CEC" w:rsidRPr="008A7A35">
        <w:rPr>
          <w:rFonts w:ascii="Arial" w:hAnsi="Arial" w:cs="Arial"/>
          <w:sz w:val="20"/>
          <w:szCs w:val="20"/>
        </w:rPr>
        <w:t>5</w:t>
      </w:r>
      <w:r w:rsidR="00976057" w:rsidRPr="008A7A35">
        <w:rPr>
          <w:rFonts w:ascii="Arial" w:hAnsi="Arial" w:cs="Arial"/>
          <w:sz w:val="20"/>
          <w:szCs w:val="20"/>
        </w:rPr>
        <w:t>, consisting of only the Company’s investment in the Partnership,</w:t>
      </w:r>
      <w:r w:rsidRPr="008A7A35">
        <w:rPr>
          <w:rFonts w:ascii="Arial" w:hAnsi="Arial" w:cs="Arial"/>
          <w:sz w:val="20"/>
          <w:szCs w:val="20"/>
        </w:rPr>
        <w:t xml:space="preserve"> </w:t>
      </w:r>
      <w:r w:rsidRPr="00040615">
        <w:rPr>
          <w:rFonts w:ascii="Arial" w:hAnsi="Arial" w:cs="Arial"/>
          <w:sz w:val="20"/>
          <w:szCs w:val="20"/>
        </w:rPr>
        <w:t xml:space="preserve">were </w:t>
      </w:r>
      <w:r w:rsidR="0098278D" w:rsidRPr="00040615">
        <w:rPr>
          <w:rFonts w:ascii="Arial" w:hAnsi="Arial" w:cs="Arial"/>
          <w:sz w:val="20"/>
          <w:szCs w:val="20"/>
        </w:rPr>
        <w:t>$</w:t>
      </w:r>
      <w:r w:rsidR="00040615" w:rsidRPr="009B1684">
        <w:rPr>
          <w:rFonts w:ascii="Arial" w:hAnsi="Arial"/>
          <w:sz w:val="20"/>
        </w:rPr>
        <w:t>371</w:t>
      </w:r>
      <w:r w:rsidR="00D90CEC" w:rsidRPr="00040615">
        <w:t xml:space="preserve"> </w:t>
      </w:r>
      <w:r w:rsidRPr="00040615">
        <w:rPr>
          <w:rFonts w:ascii="Arial" w:hAnsi="Arial" w:cs="Arial"/>
          <w:sz w:val="20"/>
          <w:szCs w:val="20"/>
        </w:rPr>
        <w:t>million (</w:t>
      </w:r>
      <w:r w:rsidRPr="008A7A35">
        <w:rPr>
          <w:rFonts w:ascii="Arial" w:hAnsi="Arial" w:cs="Arial"/>
          <w:sz w:val="20"/>
          <w:szCs w:val="20"/>
        </w:rPr>
        <w:t>31 December 20</w:t>
      </w:r>
      <w:r w:rsidR="002A189C" w:rsidRPr="008A7A35">
        <w:rPr>
          <w:rFonts w:ascii="Arial" w:hAnsi="Arial" w:cs="Arial"/>
          <w:sz w:val="20"/>
          <w:szCs w:val="20"/>
        </w:rPr>
        <w:t>2</w:t>
      </w:r>
      <w:r w:rsidR="00D90CEC" w:rsidRPr="008A7A35">
        <w:rPr>
          <w:rFonts w:ascii="Arial" w:hAnsi="Arial" w:cs="Arial"/>
          <w:sz w:val="20"/>
          <w:szCs w:val="20"/>
        </w:rPr>
        <w:t>4</w:t>
      </w:r>
      <w:r w:rsidRPr="008A7A35">
        <w:rPr>
          <w:rFonts w:ascii="Arial" w:hAnsi="Arial" w:cs="Arial"/>
          <w:sz w:val="20"/>
          <w:szCs w:val="20"/>
        </w:rPr>
        <w:t>: $</w:t>
      </w:r>
      <w:r w:rsidR="00D90CEC" w:rsidRPr="008A7A35">
        <w:rPr>
          <w:rFonts w:ascii="Arial" w:hAnsi="Arial" w:cs="Arial"/>
          <w:sz w:val="20"/>
          <w:szCs w:val="20"/>
        </w:rPr>
        <w:t xml:space="preserve">373 </w:t>
      </w:r>
      <w:r w:rsidRPr="008A7A35">
        <w:rPr>
          <w:rFonts w:ascii="Arial" w:hAnsi="Arial" w:cs="Arial"/>
          <w:sz w:val="20"/>
          <w:szCs w:val="20"/>
        </w:rPr>
        <w:t>million).</w:t>
      </w:r>
    </w:p>
    <w:p w14:paraId="348EB891" w14:textId="77777777" w:rsidR="00E41A2E" w:rsidRPr="008A7A35" w:rsidRDefault="00E41A2E" w:rsidP="00E74BA8">
      <w:pPr>
        <w:tabs>
          <w:tab w:val="left" w:pos="6903"/>
        </w:tabs>
        <w:ind w:left="567"/>
        <w:jc w:val="both"/>
        <w:rPr>
          <w:rFonts w:ascii="Arial" w:hAnsi="Arial" w:cs="Arial"/>
          <w:sz w:val="20"/>
          <w:szCs w:val="20"/>
        </w:rPr>
      </w:pPr>
    </w:p>
    <w:p w14:paraId="795ADE3D" w14:textId="02817CF5" w:rsidR="003819CB" w:rsidRDefault="00E41A2E" w:rsidP="00C73E4B">
      <w:pPr>
        <w:tabs>
          <w:tab w:val="left" w:pos="6903"/>
        </w:tabs>
        <w:ind w:left="567"/>
        <w:jc w:val="both"/>
        <w:rPr>
          <w:rFonts w:ascii="Arial" w:hAnsi="Arial" w:cs="Arial"/>
          <w:sz w:val="26"/>
          <w:szCs w:val="26"/>
        </w:rPr>
      </w:pPr>
      <w:r w:rsidRPr="008A7A35">
        <w:rPr>
          <w:rFonts w:ascii="Arial" w:hAnsi="Arial" w:cs="Arial"/>
          <w:sz w:val="20"/>
          <w:szCs w:val="20"/>
        </w:rPr>
        <w:t xml:space="preserve">The fair value of all other financial instruments approximates </w:t>
      </w:r>
      <w:r w:rsidR="00D84769" w:rsidRPr="008A7A35">
        <w:rPr>
          <w:rFonts w:ascii="Arial" w:hAnsi="Arial" w:cs="Arial"/>
          <w:sz w:val="20"/>
          <w:szCs w:val="20"/>
        </w:rPr>
        <w:t xml:space="preserve">to </w:t>
      </w:r>
      <w:r w:rsidRPr="008A7A35">
        <w:rPr>
          <w:rFonts w:ascii="Arial" w:hAnsi="Arial" w:cs="Arial"/>
          <w:sz w:val="20"/>
          <w:szCs w:val="20"/>
        </w:rPr>
        <w:t>their carrying value.</w:t>
      </w:r>
    </w:p>
    <w:p w14:paraId="35A18EF9" w14:textId="77777777" w:rsidR="003819CB" w:rsidRPr="008A7A35" w:rsidRDefault="003819CB" w:rsidP="00E74BA8">
      <w:pPr>
        <w:tabs>
          <w:tab w:val="left" w:pos="6903"/>
        </w:tabs>
        <w:ind w:left="567"/>
        <w:jc w:val="both"/>
        <w:rPr>
          <w:rFonts w:ascii="Arial" w:hAnsi="Arial" w:cs="Arial"/>
          <w:sz w:val="26"/>
          <w:szCs w:val="26"/>
        </w:rPr>
      </w:pPr>
    </w:p>
    <w:p w14:paraId="404654C4" w14:textId="77777777" w:rsidR="00E41A2E" w:rsidRPr="008A7A35" w:rsidRDefault="00E41A2E" w:rsidP="00E74BA8">
      <w:pPr>
        <w:ind w:left="1134" w:hanging="567"/>
        <w:jc w:val="both"/>
        <w:outlineLvl w:val="2"/>
        <w:rPr>
          <w:rFonts w:ascii="Arial" w:hAnsi="Arial" w:cs="Arial"/>
          <w:sz w:val="26"/>
          <w:szCs w:val="26"/>
        </w:rPr>
      </w:pPr>
      <w:r w:rsidRPr="008A7A35">
        <w:rPr>
          <w:rFonts w:ascii="Arial" w:hAnsi="Arial" w:cs="Arial"/>
          <w:sz w:val="26"/>
          <w:szCs w:val="26"/>
        </w:rPr>
        <w:t>Transfers during the period</w:t>
      </w:r>
    </w:p>
    <w:p w14:paraId="2F131130" w14:textId="77777777" w:rsidR="002A0F42" w:rsidRPr="008A7A35" w:rsidRDefault="002A0F42" w:rsidP="00E74BA8">
      <w:pPr>
        <w:tabs>
          <w:tab w:val="left" w:pos="6903"/>
        </w:tabs>
        <w:ind w:left="567"/>
        <w:jc w:val="both"/>
        <w:rPr>
          <w:rFonts w:ascii="Arial" w:hAnsi="Arial" w:cs="Arial"/>
          <w:sz w:val="20"/>
          <w:szCs w:val="20"/>
        </w:rPr>
      </w:pPr>
    </w:p>
    <w:p w14:paraId="1627655B" w14:textId="4BA6FDEB" w:rsidR="00D50792" w:rsidRPr="008A7A35" w:rsidRDefault="00E41A2E" w:rsidP="00E74BA8">
      <w:pPr>
        <w:tabs>
          <w:tab w:val="left" w:pos="6903"/>
        </w:tabs>
        <w:ind w:left="567"/>
        <w:jc w:val="both"/>
        <w:rPr>
          <w:rFonts w:ascii="Arial" w:hAnsi="Arial" w:cs="Arial"/>
          <w:sz w:val="20"/>
          <w:szCs w:val="20"/>
        </w:rPr>
      </w:pPr>
      <w:r w:rsidRPr="008A7A35">
        <w:rPr>
          <w:rFonts w:ascii="Arial" w:hAnsi="Arial" w:cs="Arial"/>
          <w:sz w:val="20"/>
          <w:szCs w:val="20"/>
        </w:rPr>
        <w:t>There have been no transfers between levels dur</w:t>
      </w:r>
      <w:r w:rsidR="005637CA" w:rsidRPr="008A7A35">
        <w:rPr>
          <w:rFonts w:ascii="Arial" w:hAnsi="Arial" w:cs="Arial"/>
          <w:sz w:val="20"/>
          <w:szCs w:val="20"/>
        </w:rPr>
        <w:t>ing the period ended 30 June 202</w:t>
      </w:r>
      <w:r w:rsidR="00D90CEC" w:rsidRPr="008A7A35">
        <w:rPr>
          <w:rFonts w:ascii="Arial" w:hAnsi="Arial" w:cs="Arial"/>
          <w:sz w:val="20"/>
          <w:szCs w:val="20"/>
        </w:rPr>
        <w:t>5</w:t>
      </w:r>
      <w:r w:rsidRPr="008A7A35">
        <w:rPr>
          <w:rFonts w:ascii="Arial" w:hAnsi="Arial" w:cs="Arial"/>
          <w:sz w:val="20"/>
          <w:szCs w:val="20"/>
        </w:rPr>
        <w:t xml:space="preserve"> and the year ended 31 December 20</w:t>
      </w:r>
      <w:r w:rsidR="002A189C" w:rsidRPr="008A7A35">
        <w:rPr>
          <w:rFonts w:ascii="Arial" w:hAnsi="Arial" w:cs="Arial"/>
          <w:sz w:val="20"/>
          <w:szCs w:val="20"/>
        </w:rPr>
        <w:t>2</w:t>
      </w:r>
      <w:r w:rsidR="00D90CEC" w:rsidRPr="008A7A35">
        <w:rPr>
          <w:rFonts w:ascii="Arial" w:hAnsi="Arial" w:cs="Arial"/>
          <w:sz w:val="20"/>
          <w:szCs w:val="20"/>
        </w:rPr>
        <w:t>4</w:t>
      </w:r>
      <w:r w:rsidRPr="008A7A35">
        <w:rPr>
          <w:rFonts w:ascii="Arial" w:hAnsi="Arial" w:cs="Arial"/>
          <w:sz w:val="20"/>
          <w:szCs w:val="20"/>
        </w:rPr>
        <w:t>. Any transfers between the levels will be accounted for on the last day of each financial period. Due to the nature of the investment</w:t>
      </w:r>
      <w:r w:rsidR="00D84769" w:rsidRPr="008A7A35">
        <w:rPr>
          <w:rFonts w:ascii="Arial" w:hAnsi="Arial" w:cs="Arial"/>
          <w:sz w:val="20"/>
          <w:szCs w:val="20"/>
        </w:rPr>
        <w:t xml:space="preserve"> in the </w:t>
      </w:r>
      <w:r w:rsidR="00165FBA" w:rsidRPr="008A7A35">
        <w:rPr>
          <w:rFonts w:ascii="Arial" w:hAnsi="Arial" w:cs="Arial"/>
          <w:sz w:val="20"/>
          <w:szCs w:val="20"/>
        </w:rPr>
        <w:t>P</w:t>
      </w:r>
      <w:r w:rsidR="00D84769" w:rsidRPr="008A7A35">
        <w:rPr>
          <w:rFonts w:ascii="Arial" w:hAnsi="Arial" w:cs="Arial"/>
          <w:sz w:val="20"/>
          <w:szCs w:val="20"/>
        </w:rPr>
        <w:t>artnership</w:t>
      </w:r>
      <w:r w:rsidRPr="008A7A35">
        <w:rPr>
          <w:rFonts w:ascii="Arial" w:hAnsi="Arial" w:cs="Arial"/>
          <w:sz w:val="20"/>
          <w:szCs w:val="20"/>
        </w:rPr>
        <w:t xml:space="preserve">, </w:t>
      </w:r>
      <w:r w:rsidR="001424ED" w:rsidRPr="008A7A35">
        <w:rPr>
          <w:rFonts w:ascii="Arial" w:hAnsi="Arial" w:cs="Arial"/>
          <w:sz w:val="20"/>
          <w:szCs w:val="20"/>
        </w:rPr>
        <w:t>it is</w:t>
      </w:r>
      <w:r w:rsidRPr="008A7A35">
        <w:rPr>
          <w:rFonts w:ascii="Arial" w:hAnsi="Arial" w:cs="Arial"/>
          <w:sz w:val="20"/>
          <w:szCs w:val="20"/>
        </w:rPr>
        <w:t xml:space="preserve"> always expected to be classified under Level 3.</w:t>
      </w:r>
    </w:p>
    <w:p w14:paraId="73B76673" w14:textId="77777777" w:rsidR="0004136F" w:rsidRPr="008A7A35" w:rsidRDefault="0004136F" w:rsidP="00E74BA8">
      <w:pPr>
        <w:jc w:val="both"/>
        <w:outlineLvl w:val="2"/>
        <w:rPr>
          <w:rFonts w:ascii="Arial" w:hAnsi="Arial" w:cs="Arial"/>
          <w:sz w:val="26"/>
          <w:szCs w:val="26"/>
        </w:rPr>
      </w:pPr>
    </w:p>
    <w:p w14:paraId="73838760" w14:textId="2A32A381" w:rsidR="00E41A2E" w:rsidRPr="008A7A35" w:rsidRDefault="00E41A2E" w:rsidP="00E74BA8">
      <w:pPr>
        <w:ind w:left="1134" w:hanging="567"/>
        <w:jc w:val="both"/>
        <w:outlineLvl w:val="2"/>
        <w:rPr>
          <w:rFonts w:ascii="Arial" w:hAnsi="Arial" w:cs="Arial"/>
          <w:sz w:val="26"/>
          <w:szCs w:val="26"/>
        </w:rPr>
      </w:pPr>
      <w:r w:rsidRPr="008A7A35">
        <w:rPr>
          <w:rFonts w:ascii="Arial" w:hAnsi="Arial" w:cs="Arial"/>
          <w:sz w:val="26"/>
          <w:szCs w:val="26"/>
        </w:rPr>
        <w:t>Valuation methodology and process</w:t>
      </w:r>
    </w:p>
    <w:p w14:paraId="21FA1F50" w14:textId="77777777" w:rsidR="002A0F42" w:rsidRPr="008A7A35" w:rsidRDefault="002A0F42" w:rsidP="00E74BA8">
      <w:pPr>
        <w:tabs>
          <w:tab w:val="left" w:pos="6903"/>
        </w:tabs>
        <w:ind w:left="567"/>
        <w:jc w:val="both"/>
        <w:rPr>
          <w:rFonts w:ascii="Arial" w:hAnsi="Arial" w:cs="Arial"/>
          <w:sz w:val="20"/>
          <w:szCs w:val="20"/>
        </w:rPr>
      </w:pPr>
    </w:p>
    <w:p w14:paraId="4F7F6606" w14:textId="0F6421E3" w:rsidR="00D3033E" w:rsidRPr="008A7A35" w:rsidRDefault="00E41A2E" w:rsidP="00E74BA8">
      <w:pPr>
        <w:pStyle w:val="Bodytext"/>
        <w:ind w:left="567"/>
        <w:jc w:val="both"/>
        <w:rPr>
          <w:rFonts w:cs="Arial"/>
          <w:szCs w:val="20"/>
        </w:rPr>
      </w:pPr>
      <w:r w:rsidRPr="008A7A35">
        <w:rPr>
          <w:rFonts w:cs="Arial"/>
          <w:szCs w:val="20"/>
        </w:rPr>
        <w:t xml:space="preserve">The same valuation methodology and process was deployed </w:t>
      </w:r>
      <w:proofErr w:type="gramStart"/>
      <w:r w:rsidR="00D3033E" w:rsidRPr="008A7A35">
        <w:rPr>
          <w:rFonts w:cs="Arial"/>
          <w:szCs w:val="20"/>
        </w:rPr>
        <w:t>at</w:t>
      </w:r>
      <w:proofErr w:type="gramEnd"/>
      <w:r w:rsidR="00D3033E" w:rsidRPr="008A7A35">
        <w:rPr>
          <w:rFonts w:cs="Arial"/>
          <w:szCs w:val="20"/>
        </w:rPr>
        <w:t xml:space="preserve"> 30</w:t>
      </w:r>
      <w:r w:rsidRPr="008A7A35">
        <w:rPr>
          <w:rFonts w:cs="Arial"/>
          <w:szCs w:val="20"/>
        </w:rPr>
        <w:t xml:space="preserve"> June 20</w:t>
      </w:r>
      <w:r w:rsidR="00836680" w:rsidRPr="008A7A35">
        <w:rPr>
          <w:rFonts w:cs="Arial"/>
          <w:szCs w:val="20"/>
        </w:rPr>
        <w:t>2</w:t>
      </w:r>
      <w:r w:rsidR="00D90CEC" w:rsidRPr="008A7A35">
        <w:rPr>
          <w:rFonts w:cs="Arial"/>
          <w:szCs w:val="20"/>
        </w:rPr>
        <w:t>5</w:t>
      </w:r>
      <w:r w:rsidRPr="008A7A35">
        <w:rPr>
          <w:rFonts w:cs="Arial"/>
          <w:szCs w:val="20"/>
        </w:rPr>
        <w:t xml:space="preserve"> and </w:t>
      </w:r>
      <w:r w:rsidR="00D3033E" w:rsidRPr="008A7A35">
        <w:rPr>
          <w:rFonts w:cs="Arial"/>
          <w:szCs w:val="20"/>
        </w:rPr>
        <w:t xml:space="preserve">31 </w:t>
      </w:r>
      <w:r w:rsidRPr="008A7A35">
        <w:rPr>
          <w:rFonts w:cs="Arial"/>
          <w:szCs w:val="20"/>
        </w:rPr>
        <w:t>December 20</w:t>
      </w:r>
      <w:r w:rsidR="002A189C" w:rsidRPr="008A7A35">
        <w:rPr>
          <w:rFonts w:cs="Arial"/>
          <w:szCs w:val="20"/>
        </w:rPr>
        <w:t>2</w:t>
      </w:r>
      <w:r w:rsidR="00D90CEC" w:rsidRPr="008A7A35">
        <w:rPr>
          <w:rFonts w:cs="Arial"/>
          <w:szCs w:val="20"/>
        </w:rPr>
        <w:t>4</w:t>
      </w:r>
      <w:r w:rsidRPr="008A7A35">
        <w:rPr>
          <w:rFonts w:cs="Arial"/>
          <w:szCs w:val="20"/>
        </w:rPr>
        <w:t>.</w:t>
      </w:r>
    </w:p>
    <w:p w14:paraId="1FD19FAC" w14:textId="77777777" w:rsidR="00D3033E" w:rsidRPr="008A7A35" w:rsidRDefault="00D3033E" w:rsidP="00E74BA8">
      <w:pPr>
        <w:pStyle w:val="Bodytext"/>
        <w:ind w:left="567"/>
        <w:jc w:val="both"/>
        <w:rPr>
          <w:rFonts w:cs="Arial"/>
          <w:szCs w:val="20"/>
        </w:rPr>
      </w:pPr>
    </w:p>
    <w:p w14:paraId="015FA3BD" w14:textId="7C3DAFF1" w:rsidR="002A5244" w:rsidRPr="008A7A35" w:rsidRDefault="00D3033E" w:rsidP="002E5E27">
      <w:pPr>
        <w:pStyle w:val="Bodytext"/>
        <w:ind w:left="567"/>
        <w:jc w:val="both"/>
      </w:pPr>
      <w:r w:rsidRPr="008A7A35">
        <w:t xml:space="preserve">The Directors base the fair value of the investment in the Partnership on the value of its limited partnership capital account received from the General Partner, which is determined </w:t>
      </w:r>
      <w:proofErr w:type="gramStart"/>
      <w:r w:rsidRPr="008A7A35">
        <w:t>on the basis of</w:t>
      </w:r>
      <w:proofErr w:type="gramEnd"/>
      <w:r w:rsidRPr="008A7A35">
        <w:t xml:space="preserve"> the fair value of its assets and liabilities, </w:t>
      </w:r>
      <w:proofErr w:type="gramStart"/>
      <w:r w:rsidRPr="008A7A35">
        <w:t>adjusted</w:t>
      </w:r>
      <w:proofErr w:type="gramEnd"/>
      <w:r w:rsidRPr="008A7A35">
        <w:t xml:space="preserve"> if necessary, to reflect liquidity, future commitments, and other specific factors of the Partnership and Investment Manager.</w:t>
      </w:r>
      <w:r w:rsidR="00A24680" w:rsidRPr="008A7A35">
        <w:t xml:space="preserve"> </w:t>
      </w:r>
      <w:r w:rsidRPr="008A7A35">
        <w:t>This is based on the components within the Partnership, principally the value of the Partnership’s investments in addition to cash</w:t>
      </w:r>
      <w:r w:rsidR="00CA69E1" w:rsidRPr="008A7A35">
        <w:t xml:space="preserve"> and both </w:t>
      </w:r>
      <w:r w:rsidRPr="008A7A35">
        <w:t>short-term money market fixed deposits</w:t>
      </w:r>
      <w:r w:rsidR="00CA69E1" w:rsidRPr="008A7A35">
        <w:t xml:space="preserve"> and fixed income investments</w:t>
      </w:r>
      <w:r w:rsidRPr="008A7A35">
        <w:t>. Any fluctuation in the value of the Partnership’s investments in addition to cash</w:t>
      </w:r>
      <w:r w:rsidR="00CA69E1" w:rsidRPr="008A7A35">
        <w:t xml:space="preserve"> and both </w:t>
      </w:r>
      <w:r w:rsidRPr="008A7A35">
        <w:t xml:space="preserve">short-term money market fixed deposits </w:t>
      </w:r>
      <w:r w:rsidR="00CA69E1" w:rsidRPr="008A7A35">
        <w:t xml:space="preserve">and fixed income investments </w:t>
      </w:r>
      <w:r w:rsidRPr="008A7A35">
        <w:t>held will directly impact on the value of the Company’s investment in the Partnership.</w:t>
      </w:r>
    </w:p>
    <w:p w14:paraId="1388C01A" w14:textId="77777777" w:rsidR="00D3033E" w:rsidRPr="008A7A35" w:rsidRDefault="00D3033E" w:rsidP="00E74BA8">
      <w:pPr>
        <w:pStyle w:val="Bodytext"/>
        <w:ind w:left="567"/>
        <w:jc w:val="both"/>
      </w:pPr>
    </w:p>
    <w:p w14:paraId="18471632" w14:textId="749F71BE" w:rsidR="00D3033E" w:rsidRPr="008A7A35" w:rsidRDefault="00D3033E" w:rsidP="007D356F">
      <w:pPr>
        <w:pStyle w:val="Bodytext"/>
        <w:ind w:left="567"/>
        <w:jc w:val="both"/>
        <w:rPr>
          <w:rFonts w:cs="Arial"/>
          <w:szCs w:val="20"/>
        </w:rPr>
      </w:pPr>
      <w:r w:rsidRPr="008A7A35">
        <w:rPr>
          <w:rFonts w:cs="Arial"/>
          <w:szCs w:val="20"/>
        </w:rPr>
        <w:t xml:space="preserve">The Partnership’s investments are valued using the techniques described in the Company’s valuation policy. The Investment Manager’s assessment of fair value of investments held by the Partnership, through Investment Undertakings, is determined in accordance with IPEV Valuation Guidelines. When valuing the Partnership’s investments, the Investment Manager reviews information provided by the underlying investee companies and other business partners and applies IPEV methodologies, to estimate a fair value as at the date of the Statement of Financial Position, subject to Board approval. It is the opinion of the Directors, that the IPEV valuation methodology used in deriving a fair value is generally not different from the fair value requirements of IFRS 13. </w:t>
      </w:r>
      <w:proofErr w:type="gramStart"/>
      <w:r w:rsidRPr="008A7A35">
        <w:rPr>
          <w:rFonts w:cs="Arial"/>
          <w:szCs w:val="20"/>
        </w:rPr>
        <w:t>In the event that</w:t>
      </w:r>
      <w:proofErr w:type="gramEnd"/>
      <w:r w:rsidRPr="008A7A35">
        <w:rPr>
          <w:rFonts w:cs="Arial"/>
          <w:szCs w:val="20"/>
        </w:rPr>
        <w:t xml:space="preserve"> there is a difference, the requirements of IFRS 13 override the IPEV requirements.</w:t>
      </w:r>
    </w:p>
    <w:p w14:paraId="24721BD5" w14:textId="77777777" w:rsidR="009027D0" w:rsidRPr="008A7A35" w:rsidRDefault="009027D0" w:rsidP="007C3B0B">
      <w:pPr>
        <w:pStyle w:val="Bodytext"/>
        <w:ind w:left="567"/>
        <w:jc w:val="both"/>
        <w:rPr>
          <w:rFonts w:cs="Arial"/>
          <w:szCs w:val="20"/>
        </w:rPr>
      </w:pPr>
    </w:p>
    <w:p w14:paraId="413357A9" w14:textId="6DCE2F69" w:rsidR="00824499" w:rsidRPr="008A7A35" w:rsidRDefault="00D3033E" w:rsidP="007C3B0B">
      <w:pPr>
        <w:tabs>
          <w:tab w:val="left" w:pos="6903"/>
        </w:tabs>
        <w:ind w:left="567"/>
        <w:jc w:val="both"/>
        <w:rPr>
          <w:rFonts w:ascii="Arial" w:hAnsi="Arial" w:cs="Arial"/>
          <w:sz w:val="20"/>
          <w:szCs w:val="20"/>
        </w:rPr>
      </w:pPr>
      <w:r w:rsidRPr="008A7A35">
        <w:rPr>
          <w:rFonts w:ascii="Arial" w:hAnsi="Arial" w:cs="Arial"/>
          <w:sz w:val="20"/>
          <w:szCs w:val="20"/>
        </w:rPr>
        <w:t xml:space="preserve">The Investment Manager values the investments on a quarterly basis using common industry valuation techniques, including comparable public market valuation, comparable merger and acquisition transaction valuation and discounted cash flow valuation. For </w:t>
      </w:r>
      <w:r w:rsidR="002E5E27" w:rsidRPr="008A7A35">
        <w:rPr>
          <w:rFonts w:ascii="Arial" w:hAnsi="Arial" w:cs="Arial"/>
          <w:sz w:val="20"/>
          <w:szCs w:val="20"/>
        </w:rPr>
        <w:t>early-stage</w:t>
      </w:r>
      <w:r w:rsidRPr="008A7A35">
        <w:rPr>
          <w:rFonts w:ascii="Arial" w:hAnsi="Arial" w:cs="Arial"/>
          <w:sz w:val="20"/>
          <w:szCs w:val="20"/>
        </w:rPr>
        <w:t xml:space="preserve"> private investments, Riverstone’s investment due diligence process includes assumptions about short-term financial results in determining </w:t>
      </w:r>
      <w:r w:rsidRPr="008A7A35">
        <w:rPr>
          <w:rFonts w:ascii="Arial" w:hAnsi="Arial" w:cs="Arial"/>
          <w:sz w:val="20"/>
          <w:szCs w:val="20"/>
        </w:rPr>
        <w:lastRenderedPageBreak/>
        <w:t xml:space="preserve">the appropriate purchase price for the investment. The techniques used in determining the fair value of the Company’s investments through the Partnership are selected on an </w:t>
      </w:r>
      <w:r w:rsidR="002E5E27" w:rsidRPr="008A7A35">
        <w:rPr>
          <w:rFonts w:ascii="Arial" w:hAnsi="Arial" w:cs="Arial"/>
          <w:sz w:val="20"/>
          <w:szCs w:val="20"/>
        </w:rPr>
        <w:t>investment-by-investment</w:t>
      </w:r>
      <w:r w:rsidRPr="008A7A35">
        <w:rPr>
          <w:rFonts w:ascii="Arial" w:hAnsi="Arial" w:cs="Arial"/>
          <w:sz w:val="20"/>
          <w:szCs w:val="20"/>
        </w:rPr>
        <w:t xml:space="preserve"> basis </w:t>
      </w:r>
      <w:proofErr w:type="gramStart"/>
      <w:r w:rsidRPr="008A7A35">
        <w:rPr>
          <w:rFonts w:ascii="Arial" w:hAnsi="Arial" w:cs="Arial"/>
          <w:sz w:val="20"/>
          <w:szCs w:val="20"/>
        </w:rPr>
        <w:t>so as to</w:t>
      </w:r>
      <w:proofErr w:type="gramEnd"/>
      <w:r w:rsidRPr="008A7A35">
        <w:rPr>
          <w:rFonts w:ascii="Arial" w:hAnsi="Arial" w:cs="Arial"/>
          <w:sz w:val="20"/>
          <w:szCs w:val="20"/>
        </w:rPr>
        <w:t xml:space="preserve"> maximise the use of market based observable inputs.</w:t>
      </w:r>
    </w:p>
    <w:p w14:paraId="0A79A8E2" w14:textId="389CDE92" w:rsidR="00E41A2E" w:rsidRPr="008A7A35" w:rsidRDefault="00E41A2E" w:rsidP="00E74BA8">
      <w:pPr>
        <w:tabs>
          <w:tab w:val="left" w:pos="6903"/>
        </w:tabs>
        <w:ind w:left="567"/>
        <w:jc w:val="both"/>
        <w:rPr>
          <w:rFonts w:ascii="Arial" w:hAnsi="Arial" w:cs="Arial"/>
          <w:sz w:val="20"/>
          <w:szCs w:val="20"/>
        </w:rPr>
      </w:pPr>
    </w:p>
    <w:p w14:paraId="46E6B382" w14:textId="6A2D5BCF" w:rsidR="00D50792" w:rsidRPr="008A7A35" w:rsidRDefault="004B0025" w:rsidP="00E74BA8">
      <w:pPr>
        <w:tabs>
          <w:tab w:val="left" w:pos="6903"/>
        </w:tabs>
        <w:ind w:left="567"/>
        <w:jc w:val="both"/>
        <w:rPr>
          <w:rFonts w:ascii="Arial" w:hAnsi="Arial" w:cs="Arial"/>
          <w:sz w:val="20"/>
          <w:szCs w:val="20"/>
        </w:rPr>
      </w:pPr>
      <w:r>
        <w:rPr>
          <w:rFonts w:ascii="Arial" w:hAnsi="Arial" w:cs="Arial"/>
          <w:sz w:val="20"/>
          <w:szCs w:val="20"/>
        </w:rPr>
        <w:t xml:space="preserve">The Company’s </w:t>
      </w:r>
      <w:r w:rsidR="00D50792" w:rsidRPr="008A7A35">
        <w:rPr>
          <w:rFonts w:ascii="Arial" w:hAnsi="Arial" w:cs="Arial"/>
          <w:sz w:val="20"/>
          <w:szCs w:val="20"/>
        </w:rPr>
        <w:t xml:space="preserve">valuation policy is compliant with both IFRS and IPEV Valuation Guidelines and is applied consistently from period to period. As </w:t>
      </w:r>
      <w:r w:rsidR="004D5038" w:rsidRPr="008A7A35">
        <w:rPr>
          <w:rFonts w:ascii="Arial" w:hAnsi="Arial" w:cs="Arial"/>
          <w:sz w:val="20"/>
          <w:szCs w:val="20"/>
        </w:rPr>
        <w:t xml:space="preserve">some of the Partnership’s </w:t>
      </w:r>
      <w:r w:rsidR="00D50792" w:rsidRPr="008A7A35">
        <w:rPr>
          <w:rFonts w:ascii="Arial" w:hAnsi="Arial" w:cs="Arial"/>
          <w:sz w:val="20"/>
          <w:szCs w:val="20"/>
        </w:rPr>
        <w:t xml:space="preserve">investments are generally not publicly quoted, valuations require meaningful judgement to establish </w:t>
      </w:r>
      <w:r w:rsidR="009D6FE4" w:rsidRPr="008A7A35">
        <w:rPr>
          <w:rFonts w:ascii="Arial" w:hAnsi="Arial" w:cs="Arial"/>
          <w:sz w:val="20"/>
          <w:szCs w:val="20"/>
        </w:rPr>
        <w:t xml:space="preserve">a </w:t>
      </w:r>
      <w:r w:rsidR="00D50792" w:rsidRPr="008A7A35">
        <w:rPr>
          <w:rFonts w:ascii="Arial" w:hAnsi="Arial" w:cs="Arial"/>
          <w:sz w:val="20"/>
          <w:szCs w:val="20"/>
        </w:rPr>
        <w:t>range of values and the ultimate value at which an investment is realised may differ from its most recent valuation and the difference may be significant.</w:t>
      </w:r>
    </w:p>
    <w:p w14:paraId="75136658" w14:textId="77777777" w:rsidR="00D50792" w:rsidRPr="008A7A35" w:rsidRDefault="00D50792" w:rsidP="00E74BA8">
      <w:pPr>
        <w:tabs>
          <w:tab w:val="left" w:pos="6903"/>
        </w:tabs>
        <w:ind w:left="567"/>
        <w:jc w:val="both"/>
        <w:rPr>
          <w:rFonts w:ascii="Arial" w:hAnsi="Arial" w:cs="Arial"/>
          <w:sz w:val="20"/>
          <w:szCs w:val="20"/>
        </w:rPr>
      </w:pPr>
    </w:p>
    <w:p w14:paraId="343C5ED9" w14:textId="253687F5" w:rsidR="00025DA7" w:rsidRPr="008A7A35" w:rsidRDefault="005637CA" w:rsidP="001E2106">
      <w:pPr>
        <w:tabs>
          <w:tab w:val="left" w:pos="6903"/>
        </w:tabs>
        <w:ind w:left="567"/>
        <w:jc w:val="both"/>
        <w:rPr>
          <w:rFonts w:ascii="Arial" w:hAnsi="Arial" w:cs="Arial"/>
          <w:sz w:val="20"/>
          <w:szCs w:val="20"/>
        </w:rPr>
      </w:pPr>
      <w:r w:rsidRPr="008A7A35">
        <w:rPr>
          <w:rFonts w:ascii="Arial" w:hAnsi="Arial" w:cs="Arial"/>
          <w:sz w:val="20"/>
          <w:szCs w:val="20"/>
        </w:rPr>
        <w:t>For the period ended 30 June 202</w:t>
      </w:r>
      <w:r w:rsidR="00D90CEC" w:rsidRPr="008A7A35">
        <w:rPr>
          <w:rFonts w:ascii="Arial" w:hAnsi="Arial" w:cs="Arial"/>
          <w:sz w:val="20"/>
          <w:szCs w:val="20"/>
        </w:rPr>
        <w:t>5</w:t>
      </w:r>
      <w:r w:rsidR="00E41A2E" w:rsidRPr="008A7A35">
        <w:rPr>
          <w:rFonts w:ascii="Arial" w:hAnsi="Arial" w:cs="Arial"/>
          <w:sz w:val="20"/>
          <w:szCs w:val="20"/>
        </w:rPr>
        <w:t>, the valuations of the Company’s investments, through the Partnership, are detailed in the Investment Manager’s Report.</w:t>
      </w:r>
    </w:p>
    <w:p w14:paraId="13D31862" w14:textId="77777777" w:rsidR="003B7D88" w:rsidRPr="008A7A35" w:rsidRDefault="003B7D88" w:rsidP="00391CE4">
      <w:pPr>
        <w:tabs>
          <w:tab w:val="left" w:pos="6903"/>
        </w:tabs>
        <w:jc w:val="both"/>
        <w:rPr>
          <w:rFonts w:ascii="Arial" w:hAnsi="Arial" w:cs="Arial"/>
        </w:rPr>
      </w:pPr>
    </w:p>
    <w:p w14:paraId="63D5E2A8" w14:textId="77777777" w:rsidR="00E41A2E" w:rsidRPr="008A7A35" w:rsidRDefault="00E41A2E" w:rsidP="00E74BA8">
      <w:pPr>
        <w:ind w:left="567" w:hanging="567"/>
        <w:jc w:val="both"/>
        <w:outlineLvl w:val="1"/>
        <w:rPr>
          <w:rFonts w:ascii="Arial" w:hAnsi="Arial" w:cs="Arial"/>
          <w:b/>
          <w:sz w:val="28"/>
          <w:szCs w:val="28"/>
        </w:rPr>
      </w:pPr>
      <w:r w:rsidRPr="008A7A35">
        <w:rPr>
          <w:rFonts w:ascii="Arial" w:hAnsi="Arial" w:cs="Arial"/>
          <w:b/>
          <w:sz w:val="28"/>
          <w:szCs w:val="28"/>
        </w:rPr>
        <w:t>6.</w:t>
      </w:r>
      <w:r w:rsidRPr="008A7A35">
        <w:rPr>
          <w:rFonts w:ascii="Arial" w:hAnsi="Arial" w:cs="Arial"/>
          <w:b/>
          <w:sz w:val="28"/>
          <w:szCs w:val="28"/>
        </w:rPr>
        <w:tab/>
        <w:t>Investment at fair value through profit or loss</w:t>
      </w:r>
    </w:p>
    <w:p w14:paraId="08D9381F" w14:textId="3EA81336" w:rsidR="00025DA7" w:rsidRPr="008A7A35" w:rsidRDefault="00384BC8" w:rsidP="00025DA7">
      <w:pPr>
        <w:tabs>
          <w:tab w:val="left" w:pos="6903"/>
        </w:tabs>
        <w:ind w:left="567"/>
        <w:jc w:val="both"/>
        <w:rPr>
          <w:rFonts w:ascii="Arial" w:hAnsi="Arial" w:cs="Arial"/>
          <w:sz w:val="20"/>
        </w:rPr>
      </w:pPr>
      <w:r w:rsidRPr="008A7A35">
        <w:rPr>
          <w:rFonts w:ascii="Arial" w:hAnsi="Arial" w:cs="Arial"/>
          <w:sz w:val="20"/>
        </w:rPr>
        <w:t>The movement in fair value is derived from the fair value movements in the underlying investments held by the Partnership, net of income</w:t>
      </w:r>
      <w:r w:rsidR="00367595" w:rsidRPr="008A7A35">
        <w:rPr>
          <w:rFonts w:ascii="Arial" w:hAnsi="Arial" w:cs="Arial"/>
          <w:sz w:val="20"/>
        </w:rPr>
        <w:t xml:space="preserve">, </w:t>
      </w:r>
      <w:r w:rsidRPr="008A7A35">
        <w:rPr>
          <w:rFonts w:ascii="Arial" w:hAnsi="Arial" w:cs="Arial"/>
          <w:sz w:val="20"/>
        </w:rPr>
        <w:t>expenses</w:t>
      </w:r>
      <w:r w:rsidR="00367595" w:rsidRPr="008A7A35">
        <w:rPr>
          <w:rFonts w:ascii="Arial" w:hAnsi="Arial" w:cs="Arial"/>
          <w:sz w:val="20"/>
        </w:rPr>
        <w:t xml:space="preserve"> and distributions</w:t>
      </w:r>
      <w:r w:rsidRPr="008A7A35">
        <w:rPr>
          <w:rFonts w:ascii="Arial" w:hAnsi="Arial" w:cs="Arial"/>
          <w:sz w:val="20"/>
        </w:rPr>
        <w:t xml:space="preserve"> of the Partnership</w:t>
      </w:r>
      <w:r w:rsidR="009967E7" w:rsidRPr="008A7A35">
        <w:rPr>
          <w:rFonts w:ascii="Arial" w:hAnsi="Arial" w:cs="Arial"/>
          <w:sz w:val="20"/>
        </w:rPr>
        <w:t xml:space="preserve"> and its related Investment Undertakings,</w:t>
      </w:r>
      <w:r w:rsidR="002B5FD8" w:rsidRPr="008A7A35">
        <w:rPr>
          <w:rFonts w:ascii="Arial" w:hAnsi="Arial" w:cs="Arial"/>
          <w:sz w:val="20"/>
        </w:rPr>
        <w:t xml:space="preserve"> </w:t>
      </w:r>
      <w:r w:rsidRPr="008A7A35">
        <w:rPr>
          <w:rFonts w:ascii="Arial" w:hAnsi="Arial" w:cs="Arial"/>
          <w:sz w:val="20"/>
        </w:rPr>
        <w:t>including any Performance Allocation and applicable taxes.</w:t>
      </w:r>
    </w:p>
    <w:p w14:paraId="772DD15F" w14:textId="017C38EA" w:rsidR="00E642DB" w:rsidRPr="008A7A35" w:rsidRDefault="00E642DB" w:rsidP="00025DA7">
      <w:pPr>
        <w:tabs>
          <w:tab w:val="left" w:pos="6903"/>
        </w:tabs>
        <w:rPr>
          <w:rFonts w:cstheme="minorHAnsi"/>
          <w:sz w:val="24"/>
        </w:rPr>
      </w:pPr>
    </w:p>
    <w:tbl>
      <w:tblPr>
        <w:tblW w:w="9920" w:type="dxa"/>
        <w:tblLook w:val="04A0" w:firstRow="1" w:lastRow="0" w:firstColumn="1" w:lastColumn="0" w:noHBand="0" w:noVBand="1"/>
      </w:tblPr>
      <w:tblGrid>
        <w:gridCol w:w="5954"/>
        <w:gridCol w:w="2126"/>
        <w:gridCol w:w="1840"/>
      </w:tblGrid>
      <w:tr w:rsidR="007B0BCD" w:rsidRPr="008A7A35" w14:paraId="3A725AD8" w14:textId="77777777" w:rsidTr="00040EB0">
        <w:trPr>
          <w:trHeight w:val="290"/>
        </w:trPr>
        <w:tc>
          <w:tcPr>
            <w:tcW w:w="5954" w:type="dxa"/>
            <w:tcBorders>
              <w:top w:val="nil"/>
              <w:left w:val="nil"/>
              <w:bottom w:val="nil"/>
              <w:right w:val="nil"/>
            </w:tcBorders>
            <w:shd w:val="clear" w:color="000000" w:fill="FFFFFF"/>
            <w:noWrap/>
            <w:vAlign w:val="bottom"/>
            <w:hideMark/>
          </w:tcPr>
          <w:p w14:paraId="398654C4" w14:textId="06C60EAE" w:rsidR="00E642DB" w:rsidRPr="008A7A35" w:rsidRDefault="00E642DB" w:rsidP="00E642DB">
            <w:pPr>
              <w:rPr>
                <w:rFonts w:ascii="Arial" w:hAnsi="Arial" w:cs="Arial"/>
                <w:b/>
                <w:bCs/>
                <w:sz w:val="20"/>
                <w:szCs w:val="20"/>
                <w:lang w:eastAsia="en-GB"/>
              </w:rPr>
            </w:pPr>
            <w:r w:rsidRPr="008A7A35">
              <w:rPr>
                <w:rFonts w:ascii="Arial" w:hAnsi="Arial" w:cs="Arial"/>
                <w:b/>
                <w:bCs/>
                <w:sz w:val="20"/>
                <w:szCs w:val="20"/>
                <w:lang w:eastAsia="en-GB"/>
              </w:rPr>
              <w:t> </w:t>
            </w:r>
          </w:p>
        </w:tc>
        <w:tc>
          <w:tcPr>
            <w:tcW w:w="2126" w:type="dxa"/>
            <w:tcBorders>
              <w:top w:val="nil"/>
              <w:left w:val="nil"/>
              <w:bottom w:val="nil"/>
              <w:right w:val="nil"/>
            </w:tcBorders>
            <w:shd w:val="clear" w:color="000000" w:fill="FFFFFF"/>
            <w:vAlign w:val="bottom"/>
            <w:hideMark/>
          </w:tcPr>
          <w:p w14:paraId="716EB6BF" w14:textId="7ECD196B" w:rsidR="00E642DB" w:rsidRPr="00D63466" w:rsidRDefault="00E642DB" w:rsidP="00E642DB">
            <w:pPr>
              <w:jc w:val="right"/>
              <w:rPr>
                <w:rFonts w:ascii="Arial Body" w:hAnsi="Arial Body" w:cs="Calibri"/>
                <w:b/>
                <w:bCs/>
                <w:sz w:val="20"/>
                <w:szCs w:val="20"/>
                <w:lang w:eastAsia="en-GB"/>
              </w:rPr>
            </w:pPr>
            <w:r w:rsidRPr="00D63466">
              <w:rPr>
                <w:rFonts w:ascii="Arial Body" w:hAnsi="Arial Body" w:cs="Calibri"/>
                <w:b/>
                <w:bCs/>
                <w:sz w:val="20"/>
                <w:szCs w:val="20"/>
                <w:lang w:eastAsia="en-GB"/>
              </w:rPr>
              <w:t>30 June</w:t>
            </w:r>
            <w:r w:rsidRPr="00D63466">
              <w:rPr>
                <w:rFonts w:ascii="Arial Body" w:hAnsi="Arial Body" w:cs="Calibri"/>
                <w:b/>
                <w:bCs/>
                <w:sz w:val="20"/>
                <w:szCs w:val="20"/>
                <w:lang w:eastAsia="en-GB"/>
              </w:rPr>
              <w:br/>
              <w:t>202</w:t>
            </w:r>
            <w:r w:rsidR="006A0EE0" w:rsidRPr="00D63466">
              <w:rPr>
                <w:rFonts w:ascii="Arial Body" w:hAnsi="Arial Body" w:cs="Calibri"/>
                <w:b/>
                <w:bCs/>
                <w:sz w:val="20"/>
                <w:szCs w:val="20"/>
                <w:lang w:eastAsia="en-GB"/>
              </w:rPr>
              <w:t>5</w:t>
            </w:r>
          </w:p>
        </w:tc>
        <w:tc>
          <w:tcPr>
            <w:tcW w:w="1840" w:type="dxa"/>
            <w:tcBorders>
              <w:top w:val="nil"/>
              <w:left w:val="nil"/>
              <w:bottom w:val="nil"/>
              <w:right w:val="nil"/>
            </w:tcBorders>
            <w:shd w:val="clear" w:color="000000" w:fill="FFFFFF"/>
            <w:vAlign w:val="bottom"/>
            <w:hideMark/>
          </w:tcPr>
          <w:p w14:paraId="3F65AB88" w14:textId="1D55154F" w:rsidR="00E642DB" w:rsidRPr="00D63466" w:rsidRDefault="00E642DB" w:rsidP="00E642DB">
            <w:pPr>
              <w:jc w:val="right"/>
              <w:rPr>
                <w:rFonts w:ascii="Arial Body" w:hAnsi="Arial Body" w:cs="Calibri"/>
                <w:b/>
                <w:bCs/>
                <w:sz w:val="20"/>
                <w:szCs w:val="20"/>
                <w:lang w:eastAsia="en-GB"/>
              </w:rPr>
            </w:pPr>
            <w:r w:rsidRPr="00D63466">
              <w:rPr>
                <w:rFonts w:ascii="Arial Body" w:hAnsi="Arial Body" w:cs="Calibri"/>
                <w:b/>
                <w:bCs/>
                <w:sz w:val="20"/>
                <w:szCs w:val="20"/>
                <w:lang w:eastAsia="en-GB"/>
              </w:rPr>
              <w:t>31 December</w:t>
            </w:r>
            <w:r w:rsidRPr="00D63466">
              <w:rPr>
                <w:rFonts w:ascii="Arial Body" w:hAnsi="Arial Body" w:cs="Calibri"/>
                <w:b/>
                <w:bCs/>
                <w:sz w:val="20"/>
                <w:szCs w:val="20"/>
                <w:lang w:eastAsia="en-GB"/>
              </w:rPr>
              <w:br/>
              <w:t>202</w:t>
            </w:r>
            <w:r w:rsidR="006A0EE0" w:rsidRPr="00D63466">
              <w:rPr>
                <w:rFonts w:ascii="Arial Body" w:hAnsi="Arial Body" w:cs="Calibri"/>
                <w:b/>
                <w:bCs/>
                <w:sz w:val="20"/>
                <w:szCs w:val="20"/>
                <w:lang w:eastAsia="en-GB"/>
              </w:rPr>
              <w:t>4</w:t>
            </w:r>
          </w:p>
        </w:tc>
      </w:tr>
      <w:tr w:rsidR="007B0BCD" w:rsidRPr="008A7A35" w14:paraId="5E661015" w14:textId="77777777" w:rsidTr="00040EB0">
        <w:trPr>
          <w:trHeight w:val="143"/>
        </w:trPr>
        <w:tc>
          <w:tcPr>
            <w:tcW w:w="5954" w:type="dxa"/>
            <w:tcBorders>
              <w:top w:val="nil"/>
              <w:left w:val="nil"/>
              <w:bottom w:val="single" w:sz="4" w:space="0" w:color="auto"/>
              <w:right w:val="nil"/>
            </w:tcBorders>
            <w:shd w:val="clear" w:color="000000" w:fill="FFFFFF"/>
            <w:noWrap/>
            <w:vAlign w:val="bottom"/>
            <w:hideMark/>
          </w:tcPr>
          <w:p w14:paraId="5013F386" w14:textId="77777777" w:rsidR="00E642DB" w:rsidRPr="008A7A35" w:rsidRDefault="00E642DB" w:rsidP="00E642DB">
            <w:pPr>
              <w:rPr>
                <w:rFonts w:ascii="Arial" w:hAnsi="Arial" w:cs="Arial"/>
                <w:sz w:val="20"/>
                <w:szCs w:val="20"/>
                <w:lang w:eastAsia="en-GB"/>
              </w:rPr>
            </w:pPr>
            <w:r w:rsidRPr="008A7A35">
              <w:rPr>
                <w:rFonts w:ascii="Arial" w:hAnsi="Arial" w:cs="Arial"/>
                <w:sz w:val="20"/>
                <w:szCs w:val="20"/>
                <w:lang w:eastAsia="en-GB"/>
              </w:rPr>
              <w:t> </w:t>
            </w:r>
          </w:p>
        </w:tc>
        <w:tc>
          <w:tcPr>
            <w:tcW w:w="2126" w:type="dxa"/>
            <w:tcBorders>
              <w:top w:val="nil"/>
              <w:left w:val="nil"/>
              <w:bottom w:val="single" w:sz="4" w:space="0" w:color="auto"/>
              <w:right w:val="nil"/>
            </w:tcBorders>
            <w:shd w:val="clear" w:color="000000" w:fill="FFFFFF"/>
            <w:vAlign w:val="center"/>
            <w:hideMark/>
          </w:tcPr>
          <w:p w14:paraId="28723A77" w14:textId="77777777" w:rsidR="00E642DB" w:rsidRPr="00D63466" w:rsidRDefault="00E642DB" w:rsidP="00E642DB">
            <w:pPr>
              <w:jc w:val="right"/>
              <w:rPr>
                <w:rFonts w:ascii="Arial Body" w:hAnsi="Arial Body" w:cs="Calibri"/>
                <w:b/>
                <w:bCs/>
                <w:sz w:val="20"/>
                <w:szCs w:val="20"/>
                <w:lang w:eastAsia="en-GB"/>
              </w:rPr>
            </w:pPr>
            <w:r w:rsidRPr="00D63466">
              <w:rPr>
                <w:rFonts w:ascii="Arial Body" w:hAnsi="Arial Body" w:cs="Calibri"/>
                <w:b/>
                <w:bCs/>
                <w:sz w:val="20"/>
                <w:szCs w:val="20"/>
                <w:lang w:eastAsia="en-GB"/>
              </w:rPr>
              <w:t>$’000</w:t>
            </w:r>
          </w:p>
        </w:tc>
        <w:tc>
          <w:tcPr>
            <w:tcW w:w="1840" w:type="dxa"/>
            <w:tcBorders>
              <w:top w:val="nil"/>
              <w:left w:val="nil"/>
              <w:bottom w:val="single" w:sz="4" w:space="0" w:color="auto"/>
              <w:right w:val="nil"/>
            </w:tcBorders>
            <w:shd w:val="clear" w:color="000000" w:fill="FFFFFF"/>
            <w:vAlign w:val="center"/>
            <w:hideMark/>
          </w:tcPr>
          <w:p w14:paraId="4139B874" w14:textId="77777777" w:rsidR="00E642DB" w:rsidRPr="00D63466" w:rsidRDefault="00E642DB" w:rsidP="00E642DB">
            <w:pPr>
              <w:jc w:val="right"/>
              <w:rPr>
                <w:rFonts w:ascii="Arial Body" w:hAnsi="Arial Body" w:cs="Calibri"/>
                <w:b/>
                <w:bCs/>
                <w:sz w:val="20"/>
                <w:szCs w:val="20"/>
                <w:lang w:eastAsia="en-GB"/>
              </w:rPr>
            </w:pPr>
            <w:r w:rsidRPr="00D63466">
              <w:rPr>
                <w:rFonts w:ascii="Arial Body" w:hAnsi="Arial Body" w:cs="Calibri"/>
                <w:b/>
                <w:bCs/>
                <w:sz w:val="20"/>
                <w:szCs w:val="20"/>
                <w:lang w:eastAsia="en-GB"/>
              </w:rPr>
              <w:t>$’000</w:t>
            </w:r>
          </w:p>
        </w:tc>
      </w:tr>
      <w:tr w:rsidR="007B0BCD" w:rsidRPr="008A7A35" w14:paraId="6FE8DC6D" w14:textId="77777777" w:rsidTr="00040EB0">
        <w:trPr>
          <w:trHeight w:val="143"/>
        </w:trPr>
        <w:tc>
          <w:tcPr>
            <w:tcW w:w="5954" w:type="dxa"/>
            <w:tcBorders>
              <w:top w:val="nil"/>
              <w:left w:val="nil"/>
              <w:bottom w:val="nil"/>
              <w:right w:val="nil"/>
            </w:tcBorders>
            <w:shd w:val="clear" w:color="000000" w:fill="FFFFFF"/>
            <w:noWrap/>
            <w:vAlign w:val="center"/>
            <w:hideMark/>
          </w:tcPr>
          <w:p w14:paraId="0C83DC95" w14:textId="77777777" w:rsidR="00E642DB" w:rsidRPr="008A7A35" w:rsidRDefault="00E642DB" w:rsidP="00E642DB">
            <w:pPr>
              <w:jc w:val="both"/>
              <w:rPr>
                <w:rFonts w:ascii="Arial" w:hAnsi="Arial" w:cs="Arial"/>
                <w:b/>
                <w:bCs/>
                <w:sz w:val="20"/>
                <w:szCs w:val="20"/>
                <w:lang w:eastAsia="en-GB"/>
              </w:rPr>
            </w:pPr>
            <w:r w:rsidRPr="008A7A35">
              <w:rPr>
                <w:rFonts w:ascii="Arial" w:hAnsi="Arial" w:cs="Arial"/>
                <w:b/>
                <w:bCs/>
                <w:sz w:val="20"/>
                <w:szCs w:val="20"/>
                <w:lang w:eastAsia="en-GB"/>
              </w:rPr>
              <w:t>Cost</w:t>
            </w:r>
          </w:p>
        </w:tc>
        <w:tc>
          <w:tcPr>
            <w:tcW w:w="2126" w:type="dxa"/>
            <w:tcBorders>
              <w:top w:val="nil"/>
              <w:left w:val="nil"/>
              <w:bottom w:val="nil"/>
              <w:right w:val="nil"/>
            </w:tcBorders>
            <w:shd w:val="clear" w:color="000000" w:fill="FFFFFF"/>
            <w:vAlign w:val="center"/>
            <w:hideMark/>
          </w:tcPr>
          <w:p w14:paraId="39B209A2" w14:textId="77777777" w:rsidR="00E642DB" w:rsidRPr="008A7A35" w:rsidRDefault="00E642DB" w:rsidP="00E642DB">
            <w:pPr>
              <w:jc w:val="right"/>
              <w:rPr>
                <w:rFonts w:ascii="Arial" w:hAnsi="Arial" w:cs="Arial"/>
                <w:b/>
                <w:bCs/>
                <w:sz w:val="20"/>
                <w:szCs w:val="20"/>
                <w:lang w:eastAsia="en-GB"/>
              </w:rPr>
            </w:pPr>
            <w:r w:rsidRPr="008A7A35">
              <w:rPr>
                <w:rFonts w:ascii="Arial" w:hAnsi="Arial" w:cs="Arial"/>
                <w:b/>
                <w:bCs/>
                <w:sz w:val="20"/>
                <w:szCs w:val="20"/>
                <w:lang w:eastAsia="en-GB"/>
              </w:rPr>
              <w:t> </w:t>
            </w:r>
          </w:p>
        </w:tc>
        <w:tc>
          <w:tcPr>
            <w:tcW w:w="1840" w:type="dxa"/>
            <w:tcBorders>
              <w:top w:val="nil"/>
              <w:left w:val="nil"/>
              <w:bottom w:val="nil"/>
              <w:right w:val="nil"/>
            </w:tcBorders>
            <w:shd w:val="clear" w:color="000000" w:fill="FFFFFF"/>
            <w:vAlign w:val="center"/>
            <w:hideMark/>
          </w:tcPr>
          <w:p w14:paraId="7E286CF5" w14:textId="77777777" w:rsidR="00E642DB" w:rsidRPr="008A7A35" w:rsidRDefault="00E642DB" w:rsidP="00E642DB">
            <w:pPr>
              <w:jc w:val="right"/>
              <w:rPr>
                <w:rFonts w:ascii="Arial" w:hAnsi="Arial" w:cs="Arial"/>
                <w:sz w:val="20"/>
                <w:szCs w:val="20"/>
                <w:lang w:eastAsia="en-GB"/>
              </w:rPr>
            </w:pPr>
            <w:r w:rsidRPr="008A7A35">
              <w:rPr>
                <w:rFonts w:ascii="Arial" w:hAnsi="Arial" w:cs="Arial"/>
                <w:sz w:val="20"/>
                <w:szCs w:val="20"/>
                <w:lang w:eastAsia="en-GB"/>
              </w:rPr>
              <w:t> </w:t>
            </w:r>
          </w:p>
        </w:tc>
      </w:tr>
      <w:tr w:rsidR="006A0EE0" w:rsidRPr="008A7A35" w14:paraId="431029E3" w14:textId="77777777" w:rsidTr="00391CE4">
        <w:trPr>
          <w:trHeight w:val="143"/>
        </w:trPr>
        <w:tc>
          <w:tcPr>
            <w:tcW w:w="5954" w:type="dxa"/>
            <w:tcBorders>
              <w:top w:val="nil"/>
              <w:left w:val="nil"/>
              <w:bottom w:val="nil"/>
              <w:right w:val="nil"/>
            </w:tcBorders>
            <w:shd w:val="clear" w:color="000000" w:fill="FFFFFF"/>
            <w:noWrap/>
            <w:vAlign w:val="center"/>
            <w:hideMark/>
          </w:tcPr>
          <w:p w14:paraId="535D3151" w14:textId="77777777" w:rsidR="006A0EE0" w:rsidRPr="008A7A35" w:rsidRDefault="006A0EE0" w:rsidP="006A0EE0">
            <w:pPr>
              <w:jc w:val="both"/>
              <w:rPr>
                <w:rFonts w:ascii="Arial" w:hAnsi="Arial" w:cs="Arial"/>
                <w:sz w:val="20"/>
                <w:szCs w:val="20"/>
                <w:lang w:eastAsia="en-GB"/>
              </w:rPr>
            </w:pPr>
            <w:r w:rsidRPr="008A7A35">
              <w:rPr>
                <w:rFonts w:ascii="Arial" w:hAnsi="Arial" w:cs="Arial"/>
                <w:sz w:val="20"/>
                <w:szCs w:val="20"/>
                <w:lang w:eastAsia="en-GB"/>
              </w:rPr>
              <w:t>Brought forward</w:t>
            </w:r>
          </w:p>
        </w:tc>
        <w:tc>
          <w:tcPr>
            <w:tcW w:w="2126" w:type="dxa"/>
            <w:tcBorders>
              <w:top w:val="nil"/>
              <w:left w:val="nil"/>
              <w:bottom w:val="nil"/>
              <w:right w:val="nil"/>
            </w:tcBorders>
            <w:shd w:val="clear" w:color="000000" w:fill="FFFFFF"/>
            <w:vAlign w:val="bottom"/>
          </w:tcPr>
          <w:p w14:paraId="3939C3AC" w14:textId="1DE18B54" w:rsidR="006A0EE0" w:rsidRPr="008A7A35" w:rsidRDefault="00A8199F" w:rsidP="006A0EE0">
            <w:pPr>
              <w:jc w:val="right"/>
              <w:rPr>
                <w:rFonts w:ascii="Arial" w:hAnsi="Arial" w:cs="Arial"/>
                <w:b/>
                <w:bCs/>
                <w:sz w:val="20"/>
                <w:szCs w:val="20"/>
                <w:lang w:eastAsia="en-GB"/>
              </w:rPr>
            </w:pPr>
            <w:r w:rsidRPr="008A7A35">
              <w:rPr>
                <w:rFonts w:ascii="Arial" w:hAnsi="Arial" w:cs="Arial"/>
                <w:b/>
                <w:bCs/>
                <w:sz w:val="20"/>
                <w:szCs w:val="20"/>
                <w:lang w:eastAsia="en-GB"/>
              </w:rPr>
              <w:t>769,332</w:t>
            </w:r>
          </w:p>
        </w:tc>
        <w:tc>
          <w:tcPr>
            <w:tcW w:w="1840" w:type="dxa"/>
            <w:tcBorders>
              <w:top w:val="nil"/>
              <w:left w:val="nil"/>
              <w:bottom w:val="nil"/>
              <w:right w:val="nil"/>
            </w:tcBorders>
            <w:shd w:val="clear" w:color="000000" w:fill="FFFFFF"/>
            <w:vAlign w:val="bottom"/>
          </w:tcPr>
          <w:p w14:paraId="78146FC1" w14:textId="64E1B371"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987,014</w:t>
            </w:r>
          </w:p>
        </w:tc>
      </w:tr>
      <w:tr w:rsidR="006A0EE0" w:rsidRPr="008A7A35" w14:paraId="304D4B7F" w14:textId="77777777" w:rsidTr="00391CE4">
        <w:trPr>
          <w:trHeight w:val="143"/>
        </w:trPr>
        <w:tc>
          <w:tcPr>
            <w:tcW w:w="5954" w:type="dxa"/>
            <w:tcBorders>
              <w:top w:val="nil"/>
              <w:left w:val="nil"/>
              <w:bottom w:val="nil"/>
              <w:right w:val="nil"/>
            </w:tcBorders>
            <w:shd w:val="clear" w:color="000000" w:fill="FFFFFF"/>
            <w:noWrap/>
            <w:vAlign w:val="center"/>
            <w:hideMark/>
          </w:tcPr>
          <w:p w14:paraId="5E23BD29" w14:textId="379D9E96" w:rsidR="006A0EE0" w:rsidRPr="008A7A35" w:rsidRDefault="006A0EE0" w:rsidP="006A0EE0">
            <w:pPr>
              <w:jc w:val="both"/>
              <w:rPr>
                <w:rFonts w:ascii="Arial" w:hAnsi="Arial" w:cs="Arial"/>
                <w:sz w:val="20"/>
                <w:szCs w:val="20"/>
                <w:lang w:eastAsia="en-GB"/>
              </w:rPr>
            </w:pPr>
            <w:r w:rsidRPr="008A7A35">
              <w:rPr>
                <w:rFonts w:ascii="Arial" w:hAnsi="Arial" w:cs="Arial"/>
                <w:sz w:val="20"/>
                <w:szCs w:val="20"/>
                <w:lang w:eastAsia="en-GB"/>
              </w:rPr>
              <w:t>Distributions from the Partnership</w:t>
            </w:r>
          </w:p>
        </w:tc>
        <w:tc>
          <w:tcPr>
            <w:tcW w:w="2126" w:type="dxa"/>
            <w:tcBorders>
              <w:top w:val="nil"/>
              <w:left w:val="nil"/>
              <w:bottom w:val="nil"/>
              <w:right w:val="nil"/>
            </w:tcBorders>
            <w:shd w:val="clear" w:color="000000" w:fill="FFFFFF"/>
            <w:vAlign w:val="bottom"/>
          </w:tcPr>
          <w:p w14:paraId="1C1CA39D" w14:textId="2E9AA20F" w:rsidR="006A0EE0" w:rsidRPr="008A7A35" w:rsidRDefault="008C15B3" w:rsidP="006A0EE0">
            <w:pPr>
              <w:jc w:val="right"/>
              <w:rPr>
                <w:rFonts w:ascii="Arial" w:hAnsi="Arial" w:cs="Arial"/>
                <w:b/>
                <w:bCs/>
                <w:sz w:val="20"/>
                <w:szCs w:val="20"/>
                <w:lang w:eastAsia="en-GB"/>
              </w:rPr>
            </w:pPr>
            <w:r w:rsidRPr="008A7A35">
              <w:rPr>
                <w:rFonts w:ascii="Arial" w:hAnsi="Arial"/>
                <w:b/>
                <w:bCs/>
                <w:sz w:val="20"/>
              </w:rPr>
              <w:t>(6,58</w:t>
            </w:r>
            <w:r w:rsidR="002508E4">
              <w:rPr>
                <w:rFonts w:ascii="Arial" w:hAnsi="Arial"/>
                <w:b/>
                <w:bCs/>
                <w:sz w:val="20"/>
              </w:rPr>
              <w:t>3</w:t>
            </w:r>
            <w:r w:rsidRPr="008A7A35">
              <w:rPr>
                <w:rFonts w:ascii="Arial" w:hAnsi="Arial"/>
                <w:b/>
                <w:bCs/>
                <w:sz w:val="20"/>
              </w:rPr>
              <w:t>)</w:t>
            </w:r>
          </w:p>
        </w:tc>
        <w:tc>
          <w:tcPr>
            <w:tcW w:w="1840" w:type="dxa"/>
            <w:tcBorders>
              <w:top w:val="nil"/>
              <w:left w:val="nil"/>
              <w:bottom w:val="nil"/>
              <w:right w:val="nil"/>
            </w:tcBorders>
            <w:shd w:val="clear" w:color="000000" w:fill="FFFFFF"/>
            <w:vAlign w:val="bottom"/>
          </w:tcPr>
          <w:p w14:paraId="11BD9016" w14:textId="673809DF"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(217,682)</w:t>
            </w:r>
          </w:p>
        </w:tc>
      </w:tr>
      <w:tr w:rsidR="006A0EE0" w:rsidRPr="008A7A35" w14:paraId="27336B9C" w14:textId="77777777" w:rsidTr="00391CE4">
        <w:trPr>
          <w:trHeight w:val="143"/>
        </w:trPr>
        <w:tc>
          <w:tcPr>
            <w:tcW w:w="5954" w:type="dxa"/>
            <w:tcBorders>
              <w:top w:val="single" w:sz="4" w:space="0" w:color="auto"/>
              <w:left w:val="nil"/>
              <w:bottom w:val="single" w:sz="4" w:space="0" w:color="auto"/>
              <w:right w:val="nil"/>
            </w:tcBorders>
            <w:shd w:val="clear" w:color="000000" w:fill="FFFFFF"/>
            <w:noWrap/>
            <w:vAlign w:val="center"/>
            <w:hideMark/>
          </w:tcPr>
          <w:p w14:paraId="59AECD0E" w14:textId="77777777" w:rsidR="006A0EE0" w:rsidRPr="008A7A35" w:rsidRDefault="006A0EE0" w:rsidP="006A0EE0">
            <w:pPr>
              <w:jc w:val="both"/>
              <w:rPr>
                <w:rFonts w:ascii="Arial" w:hAnsi="Arial" w:cs="Arial"/>
                <w:sz w:val="20"/>
                <w:szCs w:val="20"/>
                <w:lang w:eastAsia="en-GB"/>
              </w:rPr>
            </w:pPr>
            <w:r w:rsidRPr="008A7A35">
              <w:rPr>
                <w:rFonts w:ascii="Arial" w:hAnsi="Arial" w:cs="Arial"/>
                <w:sz w:val="20"/>
                <w:szCs w:val="20"/>
                <w:lang w:eastAsia="en-GB"/>
              </w:rPr>
              <w:t>Carried forward</w:t>
            </w:r>
          </w:p>
        </w:tc>
        <w:tc>
          <w:tcPr>
            <w:tcW w:w="2126" w:type="dxa"/>
            <w:tcBorders>
              <w:top w:val="single" w:sz="4" w:space="0" w:color="auto"/>
              <w:left w:val="nil"/>
              <w:bottom w:val="single" w:sz="4" w:space="0" w:color="auto"/>
              <w:right w:val="nil"/>
            </w:tcBorders>
            <w:shd w:val="clear" w:color="000000" w:fill="FFFFFF"/>
            <w:vAlign w:val="bottom"/>
          </w:tcPr>
          <w:p w14:paraId="21FD82C8" w14:textId="7D47F63F" w:rsidR="006A0EE0" w:rsidRPr="008A7A35" w:rsidRDefault="008C15B3" w:rsidP="006A0EE0">
            <w:pPr>
              <w:jc w:val="right"/>
              <w:rPr>
                <w:rFonts w:ascii="Arial" w:hAnsi="Arial" w:cs="Arial"/>
                <w:b/>
                <w:bCs/>
                <w:sz w:val="20"/>
                <w:szCs w:val="20"/>
                <w:lang w:eastAsia="en-GB"/>
              </w:rPr>
            </w:pPr>
            <w:r w:rsidRPr="008A7A35">
              <w:rPr>
                <w:rFonts w:ascii="Arial" w:hAnsi="Arial"/>
                <w:b/>
                <w:bCs/>
                <w:sz w:val="20"/>
              </w:rPr>
              <w:t>762,74</w:t>
            </w:r>
            <w:r w:rsidR="002508E4">
              <w:rPr>
                <w:rFonts w:ascii="Arial" w:hAnsi="Arial"/>
                <w:b/>
                <w:bCs/>
                <w:sz w:val="20"/>
              </w:rPr>
              <w:t>9</w:t>
            </w:r>
          </w:p>
        </w:tc>
        <w:tc>
          <w:tcPr>
            <w:tcW w:w="1840" w:type="dxa"/>
            <w:tcBorders>
              <w:top w:val="single" w:sz="4" w:space="0" w:color="auto"/>
              <w:left w:val="nil"/>
              <w:bottom w:val="single" w:sz="4" w:space="0" w:color="auto"/>
              <w:right w:val="nil"/>
            </w:tcBorders>
            <w:shd w:val="clear" w:color="000000" w:fill="FFFFFF"/>
            <w:vAlign w:val="bottom"/>
          </w:tcPr>
          <w:p w14:paraId="158EED54" w14:textId="67AE033C"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769,332</w:t>
            </w:r>
          </w:p>
        </w:tc>
      </w:tr>
      <w:tr w:rsidR="007B0BCD" w:rsidRPr="008A7A35" w14:paraId="771D117F" w14:textId="77777777" w:rsidTr="00391CE4">
        <w:trPr>
          <w:trHeight w:val="143"/>
        </w:trPr>
        <w:tc>
          <w:tcPr>
            <w:tcW w:w="5954" w:type="dxa"/>
            <w:tcBorders>
              <w:top w:val="nil"/>
              <w:left w:val="nil"/>
              <w:bottom w:val="nil"/>
              <w:right w:val="nil"/>
            </w:tcBorders>
            <w:shd w:val="clear" w:color="000000" w:fill="FFFFFF"/>
            <w:noWrap/>
            <w:vAlign w:val="bottom"/>
            <w:hideMark/>
          </w:tcPr>
          <w:p w14:paraId="7AB40D12" w14:textId="61ECDDC6" w:rsidR="00E642DB" w:rsidRPr="008A7A35" w:rsidRDefault="00E642DB" w:rsidP="00E642DB">
            <w:pPr>
              <w:rPr>
                <w:rFonts w:ascii="Arial" w:hAnsi="Arial" w:cs="Arial"/>
                <w:sz w:val="20"/>
                <w:szCs w:val="20"/>
                <w:lang w:eastAsia="en-GB"/>
              </w:rPr>
            </w:pPr>
          </w:p>
        </w:tc>
        <w:tc>
          <w:tcPr>
            <w:tcW w:w="2126" w:type="dxa"/>
            <w:tcBorders>
              <w:top w:val="nil"/>
              <w:left w:val="nil"/>
              <w:bottom w:val="nil"/>
              <w:right w:val="nil"/>
            </w:tcBorders>
            <w:shd w:val="clear" w:color="000000" w:fill="FFFFFF"/>
            <w:vAlign w:val="bottom"/>
          </w:tcPr>
          <w:p w14:paraId="23FC8BFB" w14:textId="77777777" w:rsidR="00E642DB" w:rsidRDefault="00E642DB" w:rsidP="006A0EE0">
            <w:pPr>
              <w:jc w:val="right"/>
              <w:rPr>
                <w:rFonts w:ascii="Arial" w:hAnsi="Arial" w:cs="Arial"/>
                <w:b/>
                <w:bCs/>
                <w:sz w:val="20"/>
                <w:szCs w:val="20"/>
                <w:lang w:eastAsia="en-GB"/>
              </w:rPr>
            </w:pPr>
          </w:p>
          <w:p w14:paraId="1DD1249B" w14:textId="77777777" w:rsidR="00162240" w:rsidRDefault="00162240" w:rsidP="006A0EE0">
            <w:pPr>
              <w:jc w:val="right"/>
              <w:rPr>
                <w:rFonts w:ascii="Arial" w:hAnsi="Arial" w:cs="Arial"/>
                <w:b/>
                <w:bCs/>
                <w:sz w:val="20"/>
                <w:szCs w:val="20"/>
                <w:lang w:eastAsia="en-GB"/>
              </w:rPr>
            </w:pPr>
          </w:p>
          <w:p w14:paraId="3931FC34" w14:textId="77777777" w:rsidR="00162240" w:rsidRDefault="00162240" w:rsidP="006A0EE0">
            <w:pPr>
              <w:jc w:val="right"/>
              <w:rPr>
                <w:rFonts w:ascii="Arial" w:hAnsi="Arial" w:cs="Arial"/>
                <w:b/>
                <w:bCs/>
                <w:sz w:val="20"/>
                <w:szCs w:val="20"/>
                <w:lang w:eastAsia="en-GB"/>
              </w:rPr>
            </w:pPr>
          </w:p>
          <w:p w14:paraId="68665DBA" w14:textId="099CAC1A" w:rsidR="00162240" w:rsidRPr="008A7A35" w:rsidRDefault="00162240" w:rsidP="006A0EE0">
            <w:pPr>
              <w:jc w:val="right"/>
              <w:rPr>
                <w:rFonts w:ascii="Arial" w:hAnsi="Arial" w:cs="Arial"/>
                <w:b/>
                <w:bCs/>
                <w:sz w:val="20"/>
                <w:szCs w:val="20"/>
                <w:lang w:eastAsia="en-GB"/>
              </w:rPr>
            </w:pPr>
          </w:p>
        </w:tc>
        <w:tc>
          <w:tcPr>
            <w:tcW w:w="1840" w:type="dxa"/>
            <w:tcBorders>
              <w:top w:val="nil"/>
              <w:left w:val="nil"/>
              <w:bottom w:val="nil"/>
              <w:right w:val="nil"/>
            </w:tcBorders>
            <w:shd w:val="clear" w:color="000000" w:fill="FFFFFF"/>
            <w:vAlign w:val="bottom"/>
          </w:tcPr>
          <w:p w14:paraId="3A26A1E1" w14:textId="5A832375" w:rsidR="00E642DB" w:rsidRPr="008A7A35" w:rsidRDefault="00E642DB" w:rsidP="006A0EE0">
            <w:pPr>
              <w:jc w:val="right"/>
              <w:rPr>
                <w:rFonts w:ascii="Arial" w:hAnsi="Arial" w:cs="Arial"/>
                <w:sz w:val="20"/>
                <w:szCs w:val="20"/>
                <w:lang w:eastAsia="en-GB"/>
              </w:rPr>
            </w:pPr>
          </w:p>
        </w:tc>
      </w:tr>
      <w:tr w:rsidR="007B0BCD" w:rsidRPr="008A7A35" w14:paraId="7D31FACE" w14:textId="77777777" w:rsidTr="00391CE4">
        <w:trPr>
          <w:trHeight w:val="143"/>
        </w:trPr>
        <w:tc>
          <w:tcPr>
            <w:tcW w:w="5954" w:type="dxa"/>
            <w:tcBorders>
              <w:top w:val="nil"/>
              <w:left w:val="nil"/>
              <w:bottom w:val="nil"/>
              <w:right w:val="nil"/>
            </w:tcBorders>
            <w:shd w:val="clear" w:color="000000" w:fill="FFFFFF"/>
            <w:noWrap/>
            <w:vAlign w:val="center"/>
            <w:hideMark/>
          </w:tcPr>
          <w:p w14:paraId="31353065" w14:textId="77777777" w:rsidR="00E642DB" w:rsidRPr="008A7A35" w:rsidRDefault="00E642DB" w:rsidP="00E642DB">
            <w:pPr>
              <w:jc w:val="both"/>
              <w:rPr>
                <w:rFonts w:ascii="Arial" w:hAnsi="Arial" w:cs="Arial"/>
                <w:b/>
                <w:bCs/>
                <w:sz w:val="20"/>
                <w:szCs w:val="20"/>
                <w:lang w:eastAsia="en-GB"/>
              </w:rPr>
            </w:pPr>
            <w:r w:rsidRPr="008A7A35">
              <w:rPr>
                <w:rFonts w:ascii="Arial" w:hAnsi="Arial" w:cs="Arial"/>
                <w:b/>
                <w:bCs/>
                <w:sz w:val="20"/>
                <w:szCs w:val="20"/>
                <w:lang w:eastAsia="en-GB"/>
              </w:rPr>
              <w:t>Fair value adjustment through profit or loss</w:t>
            </w:r>
          </w:p>
        </w:tc>
        <w:tc>
          <w:tcPr>
            <w:tcW w:w="2126" w:type="dxa"/>
            <w:tcBorders>
              <w:top w:val="nil"/>
              <w:left w:val="nil"/>
              <w:bottom w:val="nil"/>
              <w:right w:val="nil"/>
            </w:tcBorders>
            <w:shd w:val="clear" w:color="000000" w:fill="FFFFFF"/>
            <w:vAlign w:val="bottom"/>
          </w:tcPr>
          <w:p w14:paraId="608E64E3" w14:textId="73F41A50" w:rsidR="00E642DB" w:rsidRPr="008A7A35" w:rsidRDefault="00E642DB" w:rsidP="006A0EE0">
            <w:pPr>
              <w:jc w:val="right"/>
              <w:rPr>
                <w:rFonts w:ascii="Arial" w:hAnsi="Arial" w:cs="Arial"/>
                <w:b/>
                <w:bCs/>
                <w:sz w:val="20"/>
                <w:szCs w:val="20"/>
                <w:lang w:eastAsia="en-GB"/>
              </w:rPr>
            </w:pPr>
          </w:p>
        </w:tc>
        <w:tc>
          <w:tcPr>
            <w:tcW w:w="1840" w:type="dxa"/>
            <w:tcBorders>
              <w:top w:val="nil"/>
              <w:left w:val="nil"/>
              <w:bottom w:val="nil"/>
              <w:right w:val="nil"/>
            </w:tcBorders>
            <w:shd w:val="clear" w:color="000000" w:fill="FFFFFF"/>
            <w:vAlign w:val="bottom"/>
          </w:tcPr>
          <w:p w14:paraId="51C13C45" w14:textId="76A274F5" w:rsidR="00E642DB" w:rsidRPr="008A7A35" w:rsidRDefault="00E642DB" w:rsidP="006A0EE0">
            <w:pPr>
              <w:jc w:val="right"/>
              <w:rPr>
                <w:rFonts w:ascii="Arial" w:hAnsi="Arial" w:cs="Arial"/>
                <w:sz w:val="20"/>
                <w:szCs w:val="20"/>
                <w:lang w:eastAsia="en-GB"/>
              </w:rPr>
            </w:pPr>
          </w:p>
        </w:tc>
      </w:tr>
      <w:tr w:rsidR="006A0EE0" w:rsidRPr="008A7A35" w14:paraId="66DA710E" w14:textId="77777777" w:rsidTr="00391CE4">
        <w:trPr>
          <w:trHeight w:val="143"/>
        </w:trPr>
        <w:tc>
          <w:tcPr>
            <w:tcW w:w="5954" w:type="dxa"/>
            <w:tcBorders>
              <w:top w:val="nil"/>
              <w:left w:val="nil"/>
              <w:bottom w:val="nil"/>
              <w:right w:val="nil"/>
            </w:tcBorders>
            <w:shd w:val="clear" w:color="000000" w:fill="FFFFFF"/>
            <w:noWrap/>
            <w:vAlign w:val="center"/>
            <w:hideMark/>
          </w:tcPr>
          <w:p w14:paraId="016FA594" w14:textId="77777777" w:rsidR="006A0EE0" w:rsidRPr="008A7A35" w:rsidRDefault="006A0EE0" w:rsidP="006A0EE0">
            <w:pPr>
              <w:jc w:val="both"/>
              <w:rPr>
                <w:rFonts w:ascii="Arial" w:hAnsi="Arial" w:cs="Arial"/>
                <w:sz w:val="20"/>
                <w:szCs w:val="20"/>
                <w:lang w:eastAsia="en-GB"/>
              </w:rPr>
            </w:pPr>
            <w:r w:rsidRPr="008A7A35">
              <w:rPr>
                <w:rFonts w:ascii="Arial" w:hAnsi="Arial" w:cs="Arial"/>
                <w:sz w:val="20"/>
                <w:szCs w:val="20"/>
                <w:lang w:eastAsia="en-GB"/>
              </w:rPr>
              <w:t>Brought forward</w:t>
            </w:r>
          </w:p>
        </w:tc>
        <w:tc>
          <w:tcPr>
            <w:tcW w:w="2126" w:type="dxa"/>
            <w:tcBorders>
              <w:top w:val="nil"/>
              <w:left w:val="nil"/>
              <w:bottom w:val="nil"/>
              <w:right w:val="nil"/>
            </w:tcBorders>
            <w:shd w:val="clear" w:color="000000" w:fill="FFFFFF"/>
            <w:vAlign w:val="bottom"/>
          </w:tcPr>
          <w:p w14:paraId="332FD23E" w14:textId="5098A990" w:rsidR="006A0EE0" w:rsidRPr="008A7A35" w:rsidRDefault="00A8199F" w:rsidP="006A0EE0">
            <w:pPr>
              <w:jc w:val="right"/>
              <w:rPr>
                <w:rFonts w:ascii="Arial" w:hAnsi="Arial" w:cs="Arial"/>
                <w:b/>
                <w:bCs/>
                <w:sz w:val="20"/>
                <w:szCs w:val="20"/>
                <w:lang w:eastAsia="en-GB"/>
              </w:rPr>
            </w:pPr>
            <w:r w:rsidRPr="008A7A35">
              <w:rPr>
                <w:rFonts w:ascii="Arial" w:hAnsi="Arial" w:cs="Arial"/>
                <w:b/>
                <w:bCs/>
                <w:sz w:val="20"/>
                <w:szCs w:val="20"/>
                <w:lang w:eastAsia="en-GB"/>
              </w:rPr>
              <w:t>(396,768)</w:t>
            </w:r>
            <w:r w:rsidRPr="008A7A35" w:rsidDel="00A8199F">
              <w:rPr>
                <w:rFonts w:ascii="Arial" w:hAnsi="Arial"/>
                <w:b/>
                <w:bCs/>
                <w:sz w:val="20"/>
              </w:rPr>
              <w:t xml:space="preserve"> </w:t>
            </w:r>
          </w:p>
        </w:tc>
        <w:tc>
          <w:tcPr>
            <w:tcW w:w="1840" w:type="dxa"/>
            <w:tcBorders>
              <w:top w:val="nil"/>
              <w:left w:val="nil"/>
              <w:bottom w:val="nil"/>
              <w:right w:val="nil"/>
            </w:tcBorders>
            <w:shd w:val="clear" w:color="000000" w:fill="FFFFFF"/>
            <w:vAlign w:val="bottom"/>
          </w:tcPr>
          <w:p w14:paraId="4CA16632" w14:textId="0BADD33B"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(320,990)</w:t>
            </w:r>
          </w:p>
        </w:tc>
      </w:tr>
      <w:tr w:rsidR="006A0EE0" w:rsidRPr="008A7A35" w14:paraId="639E3BB1" w14:textId="77777777" w:rsidTr="00391CE4">
        <w:trPr>
          <w:trHeight w:val="143"/>
        </w:trPr>
        <w:tc>
          <w:tcPr>
            <w:tcW w:w="5954" w:type="dxa"/>
            <w:tcBorders>
              <w:top w:val="nil"/>
              <w:left w:val="nil"/>
              <w:bottom w:val="nil"/>
              <w:right w:val="nil"/>
            </w:tcBorders>
            <w:shd w:val="clear" w:color="000000" w:fill="FFFFFF"/>
            <w:noWrap/>
            <w:vAlign w:val="center"/>
            <w:hideMark/>
          </w:tcPr>
          <w:p w14:paraId="653002FF" w14:textId="77777777" w:rsidR="006A0EE0" w:rsidRPr="008A7A35" w:rsidRDefault="006A0EE0" w:rsidP="006A0EE0">
            <w:pPr>
              <w:jc w:val="both"/>
              <w:rPr>
                <w:rFonts w:ascii="Arial" w:hAnsi="Arial" w:cs="Arial"/>
                <w:sz w:val="20"/>
                <w:szCs w:val="20"/>
                <w:lang w:eastAsia="en-GB"/>
              </w:rPr>
            </w:pPr>
            <w:r w:rsidRPr="008A7A35">
              <w:rPr>
                <w:rFonts w:ascii="Arial" w:hAnsi="Arial" w:cs="Arial"/>
                <w:sz w:val="20"/>
                <w:szCs w:val="20"/>
                <w:lang w:eastAsia="en-GB"/>
              </w:rPr>
              <w:t>Fair value movement during period/year – see Summary Income Statement below</w:t>
            </w:r>
          </w:p>
        </w:tc>
        <w:tc>
          <w:tcPr>
            <w:tcW w:w="2126" w:type="dxa"/>
            <w:tcBorders>
              <w:top w:val="nil"/>
              <w:left w:val="nil"/>
              <w:bottom w:val="nil"/>
              <w:right w:val="nil"/>
            </w:tcBorders>
            <w:shd w:val="clear" w:color="000000" w:fill="FFFFFF"/>
            <w:vAlign w:val="bottom"/>
          </w:tcPr>
          <w:p w14:paraId="7DEFD377" w14:textId="4CBEBA72" w:rsidR="006A0EE0" w:rsidRPr="008A7A35" w:rsidRDefault="00462EF0" w:rsidP="006A0EE0">
            <w:pPr>
              <w:jc w:val="right"/>
              <w:rPr>
                <w:rFonts w:ascii="Arial" w:hAnsi="Arial" w:cs="Arial"/>
                <w:b/>
                <w:bCs/>
                <w:sz w:val="20"/>
                <w:szCs w:val="20"/>
                <w:lang w:eastAsia="en-GB"/>
              </w:rPr>
            </w:pPr>
            <w:r>
              <w:rPr>
                <w:rFonts w:ascii="Arial" w:hAnsi="Arial"/>
                <w:b/>
                <w:bCs/>
                <w:sz w:val="20"/>
              </w:rPr>
              <w:t>4,953</w:t>
            </w:r>
          </w:p>
        </w:tc>
        <w:tc>
          <w:tcPr>
            <w:tcW w:w="1840" w:type="dxa"/>
            <w:tcBorders>
              <w:top w:val="nil"/>
              <w:left w:val="nil"/>
              <w:bottom w:val="nil"/>
              <w:right w:val="nil"/>
            </w:tcBorders>
            <w:shd w:val="clear" w:color="000000" w:fill="FFFFFF"/>
            <w:vAlign w:val="bottom"/>
          </w:tcPr>
          <w:p w14:paraId="5C39D2C3" w14:textId="77777777" w:rsidR="006A0EE0" w:rsidRPr="008A7A35" w:rsidRDefault="006A0EE0" w:rsidP="006A0EE0">
            <w:pPr>
              <w:jc w:val="right"/>
              <w:rPr>
                <w:rFonts w:ascii="Arial" w:hAnsi="Arial" w:cs="Arial"/>
                <w:sz w:val="20"/>
                <w:szCs w:val="20"/>
                <w:lang w:eastAsia="en-GB"/>
              </w:rPr>
            </w:pPr>
          </w:p>
          <w:p w14:paraId="74906C78" w14:textId="4DB41735"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(75,778)</w:t>
            </w:r>
          </w:p>
        </w:tc>
      </w:tr>
      <w:tr w:rsidR="006A0EE0" w:rsidRPr="008A7A35" w14:paraId="786AFFA2" w14:textId="77777777" w:rsidTr="00391CE4">
        <w:trPr>
          <w:trHeight w:val="143"/>
        </w:trPr>
        <w:tc>
          <w:tcPr>
            <w:tcW w:w="5954" w:type="dxa"/>
            <w:tcBorders>
              <w:top w:val="single" w:sz="4" w:space="0" w:color="auto"/>
              <w:left w:val="nil"/>
              <w:bottom w:val="single" w:sz="4" w:space="0" w:color="auto"/>
              <w:right w:val="nil"/>
            </w:tcBorders>
            <w:shd w:val="clear" w:color="000000" w:fill="FFFFFF"/>
            <w:noWrap/>
            <w:vAlign w:val="center"/>
            <w:hideMark/>
          </w:tcPr>
          <w:p w14:paraId="4864D822" w14:textId="77777777" w:rsidR="006A0EE0" w:rsidRPr="008A7A35" w:rsidRDefault="006A0EE0" w:rsidP="006A0EE0">
            <w:pPr>
              <w:jc w:val="both"/>
              <w:rPr>
                <w:rFonts w:ascii="Arial" w:hAnsi="Arial" w:cs="Arial"/>
                <w:sz w:val="20"/>
                <w:szCs w:val="20"/>
                <w:lang w:eastAsia="en-GB"/>
              </w:rPr>
            </w:pPr>
            <w:r w:rsidRPr="008A7A35">
              <w:rPr>
                <w:rFonts w:ascii="Arial" w:hAnsi="Arial" w:cs="Arial"/>
                <w:sz w:val="20"/>
                <w:szCs w:val="20"/>
                <w:lang w:eastAsia="en-GB"/>
              </w:rPr>
              <w:t>Carried forward</w:t>
            </w:r>
          </w:p>
        </w:tc>
        <w:tc>
          <w:tcPr>
            <w:tcW w:w="2126" w:type="dxa"/>
            <w:tcBorders>
              <w:top w:val="single" w:sz="4" w:space="0" w:color="auto"/>
              <w:left w:val="nil"/>
              <w:bottom w:val="single" w:sz="4" w:space="0" w:color="auto"/>
              <w:right w:val="nil"/>
            </w:tcBorders>
            <w:shd w:val="clear" w:color="000000" w:fill="FFFFFF"/>
            <w:vAlign w:val="bottom"/>
          </w:tcPr>
          <w:p w14:paraId="5FC45A3B" w14:textId="4C038AB2" w:rsidR="006A0EE0" w:rsidRPr="008A7A35" w:rsidRDefault="008C15B3" w:rsidP="006A0EE0">
            <w:pPr>
              <w:jc w:val="right"/>
              <w:rPr>
                <w:rFonts w:ascii="Arial" w:hAnsi="Arial" w:cs="Arial"/>
                <w:b/>
                <w:bCs/>
                <w:sz w:val="20"/>
                <w:szCs w:val="20"/>
                <w:lang w:eastAsia="en-GB"/>
              </w:rPr>
            </w:pPr>
            <w:r w:rsidRPr="008A7A35">
              <w:rPr>
                <w:rFonts w:ascii="Arial" w:hAnsi="Arial"/>
                <w:b/>
                <w:bCs/>
                <w:sz w:val="20"/>
              </w:rPr>
              <w:t>(</w:t>
            </w:r>
            <w:r w:rsidR="00EE7BCF">
              <w:rPr>
                <w:rFonts w:ascii="Arial" w:hAnsi="Arial"/>
                <w:b/>
                <w:bCs/>
                <w:sz w:val="20"/>
              </w:rPr>
              <w:t>391,815</w:t>
            </w:r>
            <w:r w:rsidRPr="008A7A35">
              <w:rPr>
                <w:rFonts w:ascii="Arial" w:hAnsi="Arial"/>
                <w:b/>
                <w:bCs/>
                <w:sz w:val="20"/>
              </w:rPr>
              <w:t>)</w:t>
            </w:r>
          </w:p>
        </w:tc>
        <w:tc>
          <w:tcPr>
            <w:tcW w:w="1840" w:type="dxa"/>
            <w:tcBorders>
              <w:top w:val="single" w:sz="4" w:space="0" w:color="auto"/>
              <w:left w:val="nil"/>
              <w:bottom w:val="single" w:sz="4" w:space="0" w:color="auto"/>
              <w:right w:val="nil"/>
            </w:tcBorders>
            <w:shd w:val="clear" w:color="000000" w:fill="FFFFFF"/>
            <w:vAlign w:val="bottom"/>
          </w:tcPr>
          <w:p w14:paraId="0AC66706" w14:textId="5A266331"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(396,768)</w:t>
            </w:r>
          </w:p>
        </w:tc>
      </w:tr>
      <w:tr w:rsidR="006A0EE0" w:rsidRPr="008A7A35" w14:paraId="59C0C005" w14:textId="77777777" w:rsidTr="00391CE4">
        <w:trPr>
          <w:trHeight w:val="149"/>
        </w:trPr>
        <w:tc>
          <w:tcPr>
            <w:tcW w:w="5954" w:type="dxa"/>
            <w:tcBorders>
              <w:top w:val="nil"/>
              <w:left w:val="nil"/>
              <w:bottom w:val="single" w:sz="8" w:space="0" w:color="auto"/>
              <w:right w:val="nil"/>
            </w:tcBorders>
            <w:shd w:val="clear" w:color="000000" w:fill="FFFFFF"/>
            <w:noWrap/>
            <w:vAlign w:val="center"/>
            <w:hideMark/>
          </w:tcPr>
          <w:p w14:paraId="3BDDDB5E" w14:textId="77777777" w:rsidR="006A0EE0" w:rsidRPr="008A7A35" w:rsidRDefault="006A0EE0" w:rsidP="006A0EE0">
            <w:pPr>
              <w:jc w:val="both"/>
              <w:rPr>
                <w:rFonts w:ascii="Arial" w:hAnsi="Arial" w:cs="Arial"/>
                <w:b/>
                <w:bCs/>
                <w:sz w:val="20"/>
                <w:szCs w:val="20"/>
                <w:lang w:eastAsia="en-GB"/>
              </w:rPr>
            </w:pPr>
            <w:r w:rsidRPr="008A7A35">
              <w:rPr>
                <w:rFonts w:ascii="Arial" w:hAnsi="Arial" w:cs="Arial"/>
                <w:b/>
                <w:bCs/>
                <w:sz w:val="20"/>
                <w:szCs w:val="20"/>
                <w:lang w:eastAsia="en-GB"/>
              </w:rPr>
              <w:t>Fair value at period/year end</w:t>
            </w:r>
          </w:p>
        </w:tc>
        <w:tc>
          <w:tcPr>
            <w:tcW w:w="2126" w:type="dxa"/>
            <w:tcBorders>
              <w:top w:val="nil"/>
              <w:left w:val="nil"/>
              <w:bottom w:val="single" w:sz="8" w:space="0" w:color="auto"/>
              <w:right w:val="nil"/>
            </w:tcBorders>
            <w:shd w:val="clear" w:color="000000" w:fill="FFFFFF"/>
            <w:vAlign w:val="bottom"/>
          </w:tcPr>
          <w:p w14:paraId="4935862E" w14:textId="16292423" w:rsidR="006A0EE0" w:rsidRPr="008A7A35" w:rsidRDefault="00EE7BCF" w:rsidP="006A0EE0">
            <w:pPr>
              <w:jc w:val="right"/>
              <w:rPr>
                <w:rFonts w:ascii="Arial" w:hAnsi="Arial" w:cs="Arial"/>
                <w:b/>
                <w:bCs/>
                <w:sz w:val="20"/>
                <w:szCs w:val="20"/>
                <w:lang w:eastAsia="en-GB"/>
              </w:rPr>
            </w:pPr>
            <w:r>
              <w:rPr>
                <w:rFonts w:ascii="Arial" w:hAnsi="Arial"/>
                <w:b/>
                <w:bCs/>
                <w:sz w:val="20"/>
              </w:rPr>
              <w:t>370,934</w:t>
            </w:r>
          </w:p>
        </w:tc>
        <w:tc>
          <w:tcPr>
            <w:tcW w:w="1840" w:type="dxa"/>
            <w:tcBorders>
              <w:top w:val="nil"/>
              <w:left w:val="nil"/>
              <w:bottom w:val="single" w:sz="8" w:space="0" w:color="auto"/>
              <w:right w:val="nil"/>
            </w:tcBorders>
            <w:shd w:val="clear" w:color="000000" w:fill="FFFFFF"/>
            <w:vAlign w:val="bottom"/>
          </w:tcPr>
          <w:p w14:paraId="2569752B" w14:textId="56E7E068"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372,564</w:t>
            </w:r>
          </w:p>
        </w:tc>
      </w:tr>
    </w:tbl>
    <w:p w14:paraId="645422DE" w14:textId="77777777" w:rsidR="000128C8" w:rsidRPr="008A7A35" w:rsidRDefault="000128C8" w:rsidP="00597350">
      <w:pPr>
        <w:tabs>
          <w:tab w:val="left" w:pos="6903"/>
        </w:tabs>
        <w:rPr>
          <w:rFonts w:ascii="Arial" w:hAnsi="Arial" w:cs="Arial"/>
          <w:sz w:val="26"/>
          <w:szCs w:val="26"/>
        </w:rPr>
      </w:pPr>
    </w:p>
    <w:p w14:paraId="32DA934E" w14:textId="1F8153D1" w:rsidR="00A62E17" w:rsidRPr="008A7A35" w:rsidRDefault="00E41A2E" w:rsidP="00BB03B1">
      <w:pPr>
        <w:tabs>
          <w:tab w:val="left" w:pos="6903"/>
        </w:tabs>
        <w:rPr>
          <w:rFonts w:cstheme="minorHAnsi"/>
          <w:sz w:val="24"/>
        </w:rPr>
      </w:pPr>
      <w:r w:rsidRPr="008A7A35">
        <w:rPr>
          <w:rFonts w:ascii="Arial" w:hAnsi="Arial" w:cs="Arial"/>
          <w:sz w:val="26"/>
          <w:szCs w:val="26"/>
        </w:rPr>
        <w:t>Summary financial information for the Partnership</w:t>
      </w:r>
      <w:r w:rsidR="00964849" w:rsidRPr="008A7A35">
        <w:rPr>
          <w:rFonts w:ascii="Arial" w:hAnsi="Arial" w:cs="Arial"/>
          <w:sz w:val="26"/>
          <w:szCs w:val="26"/>
        </w:rPr>
        <w:t>’s</w:t>
      </w:r>
      <w:r w:rsidR="00BA7B8E" w:rsidRPr="008A7A35">
        <w:rPr>
          <w:rFonts w:ascii="Arial" w:hAnsi="Arial" w:cs="Arial"/>
          <w:sz w:val="26"/>
          <w:szCs w:val="26"/>
        </w:rPr>
        <w:t xml:space="preserve"> </w:t>
      </w:r>
      <w:r w:rsidR="00964849" w:rsidRPr="008A7A35">
        <w:rPr>
          <w:rFonts w:ascii="Arial" w:hAnsi="Arial" w:cs="Arial"/>
          <w:sz w:val="26"/>
          <w:szCs w:val="26"/>
        </w:rPr>
        <w:t xml:space="preserve">investments </w:t>
      </w:r>
      <w:r w:rsidR="00BA7B8E" w:rsidRPr="008A7A35">
        <w:rPr>
          <w:rFonts w:ascii="Arial" w:hAnsi="Arial" w:cs="Arial"/>
          <w:sz w:val="26"/>
          <w:szCs w:val="26"/>
        </w:rPr>
        <w:t>and its related Investment Unde</w:t>
      </w:r>
      <w:r w:rsidR="004E4C9E" w:rsidRPr="008A7A35">
        <w:rPr>
          <w:rFonts w:ascii="Arial" w:hAnsi="Arial" w:cs="Arial"/>
          <w:sz w:val="26"/>
          <w:szCs w:val="26"/>
        </w:rPr>
        <w:t>r</w:t>
      </w:r>
      <w:r w:rsidR="00BA7B8E" w:rsidRPr="008A7A35">
        <w:rPr>
          <w:rFonts w:ascii="Arial" w:hAnsi="Arial" w:cs="Arial"/>
          <w:sz w:val="26"/>
          <w:szCs w:val="26"/>
        </w:rPr>
        <w:t>takings</w:t>
      </w:r>
      <w:bookmarkStart w:id="15" w:name="_Hlk108818960"/>
      <w:bookmarkEnd w:id="15"/>
    </w:p>
    <w:tbl>
      <w:tblPr>
        <w:tblW w:w="9923" w:type="dxa"/>
        <w:tblLook w:val="04A0" w:firstRow="1" w:lastRow="0" w:firstColumn="1" w:lastColumn="0" w:noHBand="0" w:noVBand="1"/>
      </w:tblPr>
      <w:tblGrid>
        <w:gridCol w:w="6096"/>
        <w:gridCol w:w="1984"/>
        <w:gridCol w:w="1843"/>
      </w:tblGrid>
      <w:tr w:rsidR="007B0BCD" w:rsidRPr="008A7A35" w14:paraId="3C737F07" w14:textId="77777777" w:rsidTr="00391CE4">
        <w:trPr>
          <w:trHeight w:val="373"/>
        </w:trPr>
        <w:tc>
          <w:tcPr>
            <w:tcW w:w="6096" w:type="dxa"/>
            <w:tcBorders>
              <w:top w:val="nil"/>
              <w:left w:val="nil"/>
              <w:bottom w:val="nil"/>
              <w:right w:val="nil"/>
            </w:tcBorders>
            <w:shd w:val="clear" w:color="000000" w:fill="FFFFFF"/>
            <w:noWrap/>
            <w:vAlign w:val="bottom"/>
            <w:hideMark/>
          </w:tcPr>
          <w:p w14:paraId="5440C795" w14:textId="2A9F57FD" w:rsidR="00A62E17" w:rsidRPr="008A7A35" w:rsidRDefault="00A62E17" w:rsidP="00A62E17">
            <w:pPr>
              <w:jc w:val="center"/>
              <w:rPr>
                <w:rFonts w:ascii="Arial" w:hAnsi="Arial" w:cs="Arial"/>
                <w:sz w:val="20"/>
                <w:szCs w:val="20"/>
                <w:lang w:eastAsia="en-GB"/>
              </w:rPr>
            </w:pPr>
          </w:p>
        </w:tc>
        <w:tc>
          <w:tcPr>
            <w:tcW w:w="1984" w:type="dxa"/>
            <w:tcBorders>
              <w:top w:val="nil"/>
              <w:left w:val="nil"/>
              <w:bottom w:val="nil"/>
              <w:right w:val="nil"/>
            </w:tcBorders>
            <w:shd w:val="clear" w:color="000000" w:fill="FFFFFF"/>
            <w:vAlign w:val="bottom"/>
            <w:hideMark/>
          </w:tcPr>
          <w:p w14:paraId="543573DF" w14:textId="65BB2238" w:rsidR="00A62E17" w:rsidRPr="00D63466" w:rsidRDefault="00A62E17" w:rsidP="00A62E17">
            <w:pPr>
              <w:jc w:val="right"/>
              <w:rPr>
                <w:rFonts w:ascii="Arial Body" w:hAnsi="Arial Body" w:cs="Calibri"/>
                <w:b/>
                <w:bCs/>
                <w:sz w:val="20"/>
                <w:szCs w:val="20"/>
                <w:lang w:eastAsia="en-GB"/>
              </w:rPr>
            </w:pPr>
            <w:r w:rsidRPr="00D63466">
              <w:rPr>
                <w:rFonts w:ascii="Arial Body" w:hAnsi="Arial Body" w:cs="Calibri"/>
                <w:b/>
                <w:bCs/>
                <w:sz w:val="20"/>
                <w:szCs w:val="20"/>
                <w:lang w:eastAsia="en-GB"/>
              </w:rPr>
              <w:t>30 June</w:t>
            </w:r>
            <w:r w:rsidRPr="00D63466">
              <w:rPr>
                <w:rFonts w:ascii="Arial Body" w:hAnsi="Arial Body" w:cs="Calibri"/>
                <w:b/>
                <w:bCs/>
                <w:sz w:val="20"/>
                <w:szCs w:val="20"/>
                <w:lang w:eastAsia="en-GB"/>
              </w:rPr>
              <w:br/>
              <w:t>202</w:t>
            </w:r>
            <w:r w:rsidR="006A0EE0" w:rsidRPr="00D63466">
              <w:rPr>
                <w:rFonts w:ascii="Arial Body" w:hAnsi="Arial Body" w:cs="Calibri"/>
                <w:b/>
                <w:bCs/>
                <w:sz w:val="20"/>
                <w:szCs w:val="20"/>
                <w:lang w:eastAsia="en-GB"/>
              </w:rPr>
              <w:t>5</w:t>
            </w:r>
          </w:p>
        </w:tc>
        <w:tc>
          <w:tcPr>
            <w:tcW w:w="1843" w:type="dxa"/>
            <w:tcBorders>
              <w:top w:val="nil"/>
              <w:left w:val="nil"/>
              <w:bottom w:val="nil"/>
              <w:right w:val="nil"/>
            </w:tcBorders>
            <w:shd w:val="clear" w:color="000000" w:fill="FFFFFF"/>
            <w:vAlign w:val="bottom"/>
            <w:hideMark/>
          </w:tcPr>
          <w:p w14:paraId="6A76B88D" w14:textId="77777777" w:rsidR="00E7543F" w:rsidRPr="00D63466" w:rsidRDefault="00A62E17" w:rsidP="00A62E17">
            <w:pPr>
              <w:jc w:val="right"/>
              <w:rPr>
                <w:rFonts w:ascii="Arial Body" w:hAnsi="Arial Body" w:cs="Calibri"/>
                <w:b/>
                <w:bCs/>
                <w:sz w:val="20"/>
                <w:szCs w:val="20"/>
                <w:lang w:eastAsia="en-GB"/>
              </w:rPr>
            </w:pPr>
            <w:r w:rsidRPr="00D63466">
              <w:rPr>
                <w:rFonts w:ascii="Arial Body" w:hAnsi="Arial Body" w:cs="Calibri"/>
                <w:b/>
                <w:bCs/>
                <w:sz w:val="20"/>
                <w:szCs w:val="20"/>
                <w:lang w:eastAsia="en-GB"/>
              </w:rPr>
              <w:t xml:space="preserve">31 December </w:t>
            </w:r>
          </w:p>
          <w:p w14:paraId="21AB1C90" w14:textId="571CA226" w:rsidR="00A62E17" w:rsidRPr="00D63466" w:rsidRDefault="00A62E17" w:rsidP="00A62E17">
            <w:pPr>
              <w:jc w:val="right"/>
              <w:rPr>
                <w:rFonts w:ascii="Arial Body" w:hAnsi="Arial Body" w:cs="Calibri"/>
                <w:b/>
                <w:bCs/>
                <w:sz w:val="20"/>
                <w:szCs w:val="20"/>
                <w:lang w:eastAsia="en-GB"/>
              </w:rPr>
            </w:pPr>
            <w:r w:rsidRPr="00D63466">
              <w:rPr>
                <w:rFonts w:ascii="Arial Body" w:hAnsi="Arial Body" w:cs="Calibri"/>
                <w:b/>
                <w:bCs/>
                <w:sz w:val="20"/>
                <w:szCs w:val="20"/>
                <w:lang w:eastAsia="en-GB"/>
              </w:rPr>
              <w:t>202</w:t>
            </w:r>
            <w:r w:rsidR="006A0EE0" w:rsidRPr="00D63466">
              <w:rPr>
                <w:rFonts w:ascii="Arial Body" w:hAnsi="Arial Body" w:cs="Calibri"/>
                <w:b/>
                <w:bCs/>
                <w:sz w:val="20"/>
                <w:szCs w:val="20"/>
                <w:lang w:eastAsia="en-GB"/>
              </w:rPr>
              <w:t>4</w:t>
            </w:r>
          </w:p>
        </w:tc>
      </w:tr>
      <w:tr w:rsidR="007B0BCD" w:rsidRPr="008A7A35" w14:paraId="1EAA4E1D" w14:textId="77777777" w:rsidTr="00391CE4">
        <w:trPr>
          <w:trHeight w:val="184"/>
        </w:trPr>
        <w:tc>
          <w:tcPr>
            <w:tcW w:w="6096" w:type="dxa"/>
            <w:tcBorders>
              <w:top w:val="nil"/>
              <w:left w:val="nil"/>
              <w:bottom w:val="single" w:sz="4" w:space="0" w:color="auto"/>
              <w:right w:val="nil"/>
            </w:tcBorders>
            <w:shd w:val="clear" w:color="000000" w:fill="FFFFFF"/>
            <w:noWrap/>
            <w:vAlign w:val="bottom"/>
            <w:hideMark/>
          </w:tcPr>
          <w:p w14:paraId="35DD0AA8" w14:textId="77777777" w:rsidR="00A62E17" w:rsidRPr="008A7A35" w:rsidRDefault="00A62E17" w:rsidP="00A62E17">
            <w:pPr>
              <w:rPr>
                <w:rFonts w:ascii="Arial" w:hAnsi="Arial" w:cs="Arial"/>
                <w:b/>
                <w:bCs/>
                <w:sz w:val="20"/>
                <w:szCs w:val="20"/>
                <w:lang w:eastAsia="en-GB"/>
              </w:rPr>
            </w:pPr>
            <w:r w:rsidRPr="008A7A35">
              <w:rPr>
                <w:rFonts w:ascii="Arial" w:hAnsi="Arial" w:cs="Arial"/>
                <w:b/>
                <w:bCs/>
                <w:sz w:val="20"/>
                <w:szCs w:val="20"/>
                <w:lang w:eastAsia="en-GB"/>
              </w:rPr>
              <w:t>Summary Balance Sheet</w:t>
            </w:r>
          </w:p>
        </w:tc>
        <w:tc>
          <w:tcPr>
            <w:tcW w:w="1984" w:type="dxa"/>
            <w:tcBorders>
              <w:top w:val="nil"/>
              <w:left w:val="nil"/>
              <w:bottom w:val="single" w:sz="4" w:space="0" w:color="auto"/>
              <w:right w:val="nil"/>
            </w:tcBorders>
            <w:shd w:val="clear" w:color="000000" w:fill="FFFFFF"/>
            <w:vAlign w:val="center"/>
            <w:hideMark/>
          </w:tcPr>
          <w:p w14:paraId="7BEEA412" w14:textId="77777777" w:rsidR="00A62E17" w:rsidRPr="00D63466" w:rsidRDefault="00A62E17" w:rsidP="00A62E17">
            <w:pPr>
              <w:jc w:val="right"/>
              <w:rPr>
                <w:rFonts w:ascii="Arial Body" w:hAnsi="Arial Body" w:cs="Calibri"/>
                <w:b/>
                <w:bCs/>
                <w:sz w:val="20"/>
                <w:szCs w:val="20"/>
                <w:lang w:eastAsia="en-GB"/>
              </w:rPr>
            </w:pPr>
            <w:r w:rsidRPr="00D63466">
              <w:rPr>
                <w:rFonts w:ascii="Arial Body" w:hAnsi="Arial Body" w:cs="Calibri"/>
                <w:b/>
                <w:bCs/>
                <w:sz w:val="20"/>
                <w:szCs w:val="20"/>
                <w:lang w:eastAsia="en-GB"/>
              </w:rPr>
              <w:t>$’000</w:t>
            </w:r>
          </w:p>
        </w:tc>
        <w:tc>
          <w:tcPr>
            <w:tcW w:w="1843" w:type="dxa"/>
            <w:tcBorders>
              <w:top w:val="nil"/>
              <w:left w:val="nil"/>
              <w:bottom w:val="single" w:sz="4" w:space="0" w:color="auto"/>
              <w:right w:val="nil"/>
            </w:tcBorders>
            <w:shd w:val="clear" w:color="000000" w:fill="FFFFFF"/>
            <w:vAlign w:val="center"/>
            <w:hideMark/>
          </w:tcPr>
          <w:p w14:paraId="0D194CF7" w14:textId="77777777" w:rsidR="00A62E17" w:rsidRPr="00D63466" w:rsidRDefault="00A62E17" w:rsidP="00A62E17">
            <w:pPr>
              <w:jc w:val="right"/>
              <w:rPr>
                <w:rFonts w:ascii="Arial Body" w:hAnsi="Arial Body" w:cs="Calibri"/>
                <w:b/>
                <w:bCs/>
                <w:sz w:val="20"/>
                <w:szCs w:val="20"/>
                <w:lang w:eastAsia="en-GB"/>
              </w:rPr>
            </w:pPr>
            <w:r w:rsidRPr="00D63466">
              <w:rPr>
                <w:rFonts w:ascii="Arial Body" w:hAnsi="Arial Body" w:cs="Calibri"/>
                <w:b/>
                <w:bCs/>
                <w:sz w:val="20"/>
                <w:szCs w:val="20"/>
                <w:lang w:eastAsia="en-GB"/>
              </w:rPr>
              <w:t>$’000</w:t>
            </w:r>
          </w:p>
        </w:tc>
      </w:tr>
      <w:tr w:rsidR="006A0EE0" w:rsidRPr="008A7A35" w14:paraId="67435AE0" w14:textId="77777777" w:rsidTr="00391CE4">
        <w:trPr>
          <w:trHeight w:val="184"/>
        </w:trPr>
        <w:tc>
          <w:tcPr>
            <w:tcW w:w="6096" w:type="dxa"/>
            <w:tcBorders>
              <w:top w:val="nil"/>
              <w:left w:val="nil"/>
              <w:bottom w:val="nil"/>
              <w:right w:val="nil"/>
            </w:tcBorders>
            <w:shd w:val="clear" w:color="000000" w:fill="FFFFFF"/>
            <w:noWrap/>
            <w:vAlign w:val="bottom"/>
            <w:hideMark/>
          </w:tcPr>
          <w:p w14:paraId="068372B9" w14:textId="77777777" w:rsidR="006A0EE0" w:rsidRPr="008A7A35" w:rsidRDefault="006A0EE0" w:rsidP="006A0EE0">
            <w:pPr>
              <w:rPr>
                <w:rFonts w:ascii="Arial" w:hAnsi="Arial" w:cs="Arial"/>
                <w:sz w:val="20"/>
                <w:szCs w:val="20"/>
                <w:lang w:eastAsia="en-GB"/>
              </w:rPr>
            </w:pPr>
            <w:r w:rsidRPr="008A7A35">
              <w:rPr>
                <w:rFonts w:ascii="Arial" w:hAnsi="Arial" w:cs="Arial"/>
                <w:sz w:val="20"/>
                <w:szCs w:val="20"/>
                <w:lang w:eastAsia="en-GB"/>
              </w:rPr>
              <w:t>Investments at fair value (net)</w:t>
            </w:r>
          </w:p>
        </w:tc>
        <w:tc>
          <w:tcPr>
            <w:tcW w:w="1984" w:type="dxa"/>
            <w:tcBorders>
              <w:top w:val="nil"/>
              <w:left w:val="nil"/>
              <w:bottom w:val="nil"/>
              <w:right w:val="nil"/>
            </w:tcBorders>
            <w:shd w:val="clear" w:color="000000" w:fill="FFFFFF"/>
            <w:vAlign w:val="bottom"/>
          </w:tcPr>
          <w:p w14:paraId="7BD4E1EB" w14:textId="17D0F9EE" w:rsidR="006A0EE0" w:rsidRPr="008A7A35" w:rsidRDefault="00162240" w:rsidP="006A0EE0">
            <w:pPr>
              <w:jc w:val="right"/>
              <w:rPr>
                <w:rFonts w:ascii="Arial" w:hAnsi="Arial" w:cs="Arial"/>
                <w:b/>
                <w:bCs/>
                <w:sz w:val="20"/>
                <w:szCs w:val="20"/>
                <w:lang w:eastAsia="en-GB"/>
              </w:rPr>
            </w:pPr>
            <w:r>
              <w:rPr>
                <w:rFonts w:ascii="Arial" w:hAnsi="Arial"/>
                <w:b/>
                <w:bCs/>
                <w:sz w:val="20"/>
              </w:rPr>
              <w:t>317,</w:t>
            </w:r>
            <w:r w:rsidR="00455F2B">
              <w:rPr>
                <w:rFonts w:ascii="Arial" w:hAnsi="Arial"/>
                <w:b/>
                <w:bCs/>
                <w:sz w:val="20"/>
              </w:rPr>
              <w:t>832</w:t>
            </w:r>
          </w:p>
        </w:tc>
        <w:tc>
          <w:tcPr>
            <w:tcW w:w="1843" w:type="dxa"/>
            <w:tcBorders>
              <w:top w:val="nil"/>
              <w:left w:val="nil"/>
              <w:bottom w:val="nil"/>
              <w:right w:val="nil"/>
            </w:tcBorders>
            <w:shd w:val="clear" w:color="000000" w:fill="FFFFFF"/>
            <w:vAlign w:val="center"/>
          </w:tcPr>
          <w:p w14:paraId="30EBF5D9" w14:textId="3A03977D"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311,611</w:t>
            </w:r>
          </w:p>
        </w:tc>
      </w:tr>
      <w:tr w:rsidR="006A0EE0" w:rsidRPr="008A7A35" w14:paraId="4D1DC681" w14:textId="77777777" w:rsidTr="00391CE4">
        <w:trPr>
          <w:trHeight w:val="213"/>
        </w:trPr>
        <w:tc>
          <w:tcPr>
            <w:tcW w:w="6096" w:type="dxa"/>
            <w:tcBorders>
              <w:top w:val="nil"/>
              <w:left w:val="nil"/>
              <w:bottom w:val="nil"/>
              <w:right w:val="nil"/>
            </w:tcBorders>
            <w:shd w:val="clear" w:color="000000" w:fill="FFFFFF"/>
            <w:noWrap/>
            <w:vAlign w:val="bottom"/>
            <w:hideMark/>
          </w:tcPr>
          <w:p w14:paraId="1E02236F" w14:textId="77777777" w:rsidR="006A0EE0" w:rsidRPr="008A7A35" w:rsidRDefault="006A0EE0" w:rsidP="006A0EE0">
            <w:pPr>
              <w:rPr>
                <w:rFonts w:ascii="Arial" w:hAnsi="Arial" w:cs="Arial"/>
                <w:sz w:val="20"/>
                <w:szCs w:val="20"/>
                <w:lang w:eastAsia="en-GB"/>
              </w:rPr>
            </w:pPr>
            <w:r w:rsidRPr="008A7A35">
              <w:rPr>
                <w:rFonts w:ascii="Arial" w:hAnsi="Arial" w:cs="Arial"/>
                <w:sz w:val="20"/>
                <w:szCs w:val="20"/>
                <w:lang w:eastAsia="en-GB"/>
              </w:rPr>
              <w:t>Cash and cash equivalents</w:t>
            </w:r>
            <w:r w:rsidRPr="008A7A35">
              <w:rPr>
                <w:rFonts w:ascii="Arial" w:hAnsi="Arial" w:cs="Arial"/>
                <w:sz w:val="20"/>
                <w:szCs w:val="20"/>
                <w:vertAlign w:val="superscript"/>
                <w:lang w:eastAsia="en-GB"/>
              </w:rPr>
              <w:t xml:space="preserve"> (1)</w:t>
            </w:r>
          </w:p>
        </w:tc>
        <w:tc>
          <w:tcPr>
            <w:tcW w:w="1984" w:type="dxa"/>
            <w:tcBorders>
              <w:top w:val="nil"/>
              <w:left w:val="nil"/>
              <w:bottom w:val="nil"/>
              <w:right w:val="nil"/>
            </w:tcBorders>
            <w:shd w:val="clear" w:color="000000" w:fill="FFFFFF"/>
            <w:vAlign w:val="bottom"/>
          </w:tcPr>
          <w:p w14:paraId="53162DEB" w14:textId="4710CCDE" w:rsidR="006A0EE0" w:rsidRPr="008A7A35" w:rsidRDefault="00EE7BCF" w:rsidP="006A0EE0">
            <w:pPr>
              <w:jc w:val="right"/>
              <w:rPr>
                <w:rFonts w:ascii="Arial" w:hAnsi="Arial" w:cs="Arial"/>
                <w:b/>
                <w:bCs/>
                <w:sz w:val="20"/>
                <w:szCs w:val="20"/>
                <w:lang w:eastAsia="en-GB"/>
              </w:rPr>
            </w:pPr>
            <w:r>
              <w:rPr>
                <w:rFonts w:ascii="Arial" w:hAnsi="Arial"/>
                <w:b/>
                <w:bCs/>
                <w:sz w:val="20"/>
              </w:rPr>
              <w:t>53,</w:t>
            </w:r>
            <w:r w:rsidR="00455F2B">
              <w:rPr>
                <w:rFonts w:ascii="Arial" w:hAnsi="Arial"/>
                <w:b/>
                <w:bCs/>
                <w:sz w:val="20"/>
              </w:rPr>
              <w:t>809</w:t>
            </w:r>
          </w:p>
        </w:tc>
        <w:tc>
          <w:tcPr>
            <w:tcW w:w="1843" w:type="dxa"/>
            <w:tcBorders>
              <w:top w:val="nil"/>
              <w:left w:val="nil"/>
              <w:bottom w:val="nil"/>
              <w:right w:val="nil"/>
            </w:tcBorders>
            <w:shd w:val="clear" w:color="000000" w:fill="FFFFFF"/>
            <w:vAlign w:val="center"/>
          </w:tcPr>
          <w:p w14:paraId="14EC6CFC" w14:textId="7EADF7A8"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62,604</w:t>
            </w:r>
          </w:p>
        </w:tc>
      </w:tr>
      <w:tr w:rsidR="006A0EE0" w:rsidRPr="008A7A35" w14:paraId="3234CEA2" w14:textId="77777777" w:rsidTr="00391CE4">
        <w:trPr>
          <w:trHeight w:val="184"/>
        </w:trPr>
        <w:tc>
          <w:tcPr>
            <w:tcW w:w="6096" w:type="dxa"/>
            <w:tcBorders>
              <w:top w:val="nil"/>
              <w:left w:val="nil"/>
              <w:bottom w:val="nil"/>
              <w:right w:val="nil"/>
            </w:tcBorders>
            <w:shd w:val="clear" w:color="000000" w:fill="FFFFFF"/>
            <w:noWrap/>
            <w:vAlign w:val="bottom"/>
            <w:hideMark/>
          </w:tcPr>
          <w:p w14:paraId="4D430D3C" w14:textId="77777777" w:rsidR="006A0EE0" w:rsidRPr="008A7A35" w:rsidRDefault="006A0EE0" w:rsidP="006A0EE0">
            <w:pPr>
              <w:rPr>
                <w:rFonts w:ascii="Arial" w:hAnsi="Arial" w:cs="Arial"/>
                <w:sz w:val="20"/>
                <w:szCs w:val="20"/>
                <w:lang w:eastAsia="en-GB"/>
              </w:rPr>
            </w:pPr>
            <w:r w:rsidRPr="008A7A35">
              <w:rPr>
                <w:rFonts w:ascii="Arial" w:hAnsi="Arial" w:cs="Arial"/>
                <w:sz w:val="20"/>
                <w:szCs w:val="20"/>
                <w:lang w:eastAsia="en-GB"/>
              </w:rPr>
              <w:t>Management fee payable - see Note 7</w:t>
            </w:r>
          </w:p>
        </w:tc>
        <w:tc>
          <w:tcPr>
            <w:tcW w:w="1984" w:type="dxa"/>
            <w:tcBorders>
              <w:top w:val="nil"/>
              <w:left w:val="nil"/>
              <w:bottom w:val="nil"/>
              <w:right w:val="nil"/>
            </w:tcBorders>
            <w:shd w:val="clear" w:color="000000" w:fill="FFFFFF"/>
            <w:vAlign w:val="bottom"/>
          </w:tcPr>
          <w:p w14:paraId="205F8BFE" w14:textId="4D094864" w:rsidR="006A0EE0" w:rsidRPr="008A7A35" w:rsidRDefault="008C15B3" w:rsidP="006A0EE0">
            <w:pPr>
              <w:jc w:val="right"/>
              <w:rPr>
                <w:rFonts w:ascii="Arial" w:hAnsi="Arial" w:cs="Arial"/>
                <w:b/>
                <w:bCs/>
                <w:sz w:val="20"/>
                <w:szCs w:val="20"/>
                <w:lang w:eastAsia="en-GB"/>
              </w:rPr>
            </w:pPr>
            <w:r w:rsidRPr="008A7A35">
              <w:rPr>
                <w:rFonts w:ascii="Arial" w:hAnsi="Arial"/>
                <w:b/>
                <w:bCs/>
                <w:sz w:val="20"/>
              </w:rPr>
              <w:t>(</w:t>
            </w:r>
            <w:r w:rsidR="00162240">
              <w:rPr>
                <w:rFonts w:ascii="Arial" w:hAnsi="Arial"/>
                <w:b/>
                <w:bCs/>
                <w:sz w:val="20"/>
              </w:rPr>
              <w:t>1,39</w:t>
            </w:r>
            <w:r w:rsidR="001D1A33">
              <w:rPr>
                <w:rFonts w:ascii="Arial" w:hAnsi="Arial"/>
                <w:b/>
                <w:bCs/>
                <w:sz w:val="20"/>
              </w:rPr>
              <w:t>4</w:t>
            </w:r>
            <w:r w:rsidRPr="008A7A35">
              <w:rPr>
                <w:rFonts w:ascii="Arial" w:hAnsi="Arial"/>
                <w:b/>
                <w:bCs/>
                <w:sz w:val="20"/>
              </w:rPr>
              <w:t>)</w:t>
            </w:r>
          </w:p>
        </w:tc>
        <w:tc>
          <w:tcPr>
            <w:tcW w:w="1843" w:type="dxa"/>
            <w:tcBorders>
              <w:top w:val="nil"/>
              <w:left w:val="nil"/>
              <w:bottom w:val="nil"/>
              <w:right w:val="nil"/>
            </w:tcBorders>
            <w:shd w:val="clear" w:color="000000" w:fill="FFFFFF"/>
            <w:vAlign w:val="center"/>
          </w:tcPr>
          <w:p w14:paraId="0C8A56E9" w14:textId="6BF7F210"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(1,041)</w:t>
            </w:r>
          </w:p>
        </w:tc>
      </w:tr>
      <w:tr w:rsidR="006A0EE0" w:rsidRPr="008A7A35" w14:paraId="34550E97" w14:textId="77777777" w:rsidTr="00391CE4">
        <w:trPr>
          <w:trHeight w:val="184"/>
        </w:trPr>
        <w:tc>
          <w:tcPr>
            <w:tcW w:w="6096" w:type="dxa"/>
            <w:tcBorders>
              <w:top w:val="nil"/>
              <w:left w:val="nil"/>
              <w:bottom w:val="nil"/>
              <w:right w:val="nil"/>
            </w:tcBorders>
            <w:shd w:val="clear" w:color="000000" w:fill="FFFFFF"/>
            <w:noWrap/>
            <w:vAlign w:val="bottom"/>
            <w:hideMark/>
          </w:tcPr>
          <w:p w14:paraId="2EE7FA37" w14:textId="035E32D9" w:rsidR="006A0EE0" w:rsidRPr="008A7A35" w:rsidRDefault="006A0EE0" w:rsidP="006A0EE0">
            <w:pPr>
              <w:rPr>
                <w:rFonts w:ascii="Arial" w:hAnsi="Arial" w:cs="Arial"/>
                <w:sz w:val="20"/>
                <w:szCs w:val="20"/>
                <w:lang w:eastAsia="en-GB"/>
              </w:rPr>
            </w:pPr>
            <w:r w:rsidRPr="008A7A35">
              <w:rPr>
                <w:rFonts w:ascii="Arial" w:hAnsi="Arial" w:cs="Arial"/>
                <w:sz w:val="20"/>
                <w:szCs w:val="20"/>
                <w:lang w:eastAsia="en-GB"/>
              </w:rPr>
              <w:t>Other net assets</w:t>
            </w:r>
            <w:r w:rsidR="00227D93">
              <w:rPr>
                <w:rFonts w:ascii="Arial" w:hAnsi="Arial" w:cs="Arial"/>
                <w:sz w:val="20"/>
                <w:szCs w:val="20"/>
                <w:lang w:eastAsia="en-GB"/>
              </w:rPr>
              <w:t>/(liabilities)</w:t>
            </w:r>
            <w:r w:rsidRPr="008A7A35">
              <w:rPr>
                <w:rFonts w:ascii="Arial" w:hAnsi="Arial" w:cs="Arial"/>
                <w:sz w:val="20"/>
                <w:szCs w:val="20"/>
                <w:lang w:eastAsia="en-GB"/>
              </w:rPr>
              <w:t xml:space="preserve"> </w:t>
            </w:r>
          </w:p>
        </w:tc>
        <w:tc>
          <w:tcPr>
            <w:tcW w:w="1984" w:type="dxa"/>
            <w:tcBorders>
              <w:top w:val="nil"/>
              <w:left w:val="nil"/>
              <w:bottom w:val="nil"/>
              <w:right w:val="nil"/>
            </w:tcBorders>
            <w:shd w:val="clear" w:color="000000" w:fill="FFFFFF"/>
            <w:vAlign w:val="bottom"/>
          </w:tcPr>
          <w:p w14:paraId="1476CFE6" w14:textId="2653F30D" w:rsidR="006A0EE0" w:rsidRPr="008A7A35" w:rsidRDefault="00162240" w:rsidP="006A0EE0">
            <w:pPr>
              <w:jc w:val="right"/>
              <w:rPr>
                <w:rFonts w:ascii="Arial" w:hAnsi="Arial" w:cs="Arial"/>
                <w:b/>
                <w:bCs/>
                <w:sz w:val="20"/>
                <w:szCs w:val="20"/>
                <w:lang w:eastAsia="en-GB"/>
              </w:rPr>
            </w:pPr>
            <w:r>
              <w:rPr>
                <w:rFonts w:ascii="Arial" w:hAnsi="Arial"/>
                <w:b/>
                <w:bCs/>
                <w:sz w:val="20"/>
              </w:rPr>
              <w:t>68</w:t>
            </w:r>
            <w:r w:rsidR="00C25A30">
              <w:rPr>
                <w:rFonts w:ascii="Arial" w:hAnsi="Arial"/>
                <w:b/>
                <w:bCs/>
                <w:sz w:val="20"/>
              </w:rPr>
              <w:t>7</w:t>
            </w:r>
          </w:p>
        </w:tc>
        <w:tc>
          <w:tcPr>
            <w:tcW w:w="1843" w:type="dxa"/>
            <w:tcBorders>
              <w:top w:val="nil"/>
              <w:left w:val="nil"/>
              <w:bottom w:val="nil"/>
              <w:right w:val="nil"/>
            </w:tcBorders>
            <w:shd w:val="clear" w:color="000000" w:fill="FFFFFF"/>
            <w:vAlign w:val="center"/>
          </w:tcPr>
          <w:p w14:paraId="2D125BB6" w14:textId="21800F4D"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(610)</w:t>
            </w:r>
          </w:p>
        </w:tc>
      </w:tr>
      <w:tr w:rsidR="006A0EE0" w:rsidRPr="008A7A35" w14:paraId="4178C850" w14:textId="77777777" w:rsidTr="00391CE4">
        <w:trPr>
          <w:trHeight w:val="193"/>
        </w:trPr>
        <w:tc>
          <w:tcPr>
            <w:tcW w:w="6096" w:type="dxa"/>
            <w:tcBorders>
              <w:top w:val="single" w:sz="4" w:space="0" w:color="auto"/>
              <w:left w:val="nil"/>
              <w:bottom w:val="single" w:sz="8" w:space="0" w:color="auto"/>
              <w:right w:val="nil"/>
            </w:tcBorders>
            <w:shd w:val="clear" w:color="000000" w:fill="FFFFFF"/>
            <w:noWrap/>
            <w:vAlign w:val="bottom"/>
            <w:hideMark/>
          </w:tcPr>
          <w:p w14:paraId="3E1D768C" w14:textId="77777777" w:rsidR="006A0EE0" w:rsidRPr="008A7A35" w:rsidRDefault="006A0EE0" w:rsidP="006A0EE0">
            <w:pPr>
              <w:rPr>
                <w:rFonts w:ascii="Arial" w:hAnsi="Arial" w:cs="Arial"/>
                <w:b/>
                <w:bCs/>
                <w:sz w:val="20"/>
                <w:szCs w:val="20"/>
                <w:lang w:eastAsia="en-GB"/>
              </w:rPr>
            </w:pPr>
            <w:r w:rsidRPr="008A7A35">
              <w:rPr>
                <w:rFonts w:ascii="Arial" w:hAnsi="Arial" w:cs="Arial"/>
                <w:b/>
                <w:bCs/>
                <w:sz w:val="20"/>
                <w:szCs w:val="20"/>
                <w:lang w:eastAsia="en-GB"/>
              </w:rPr>
              <w:t>Fair value of REL's investment in the Partnership</w:t>
            </w:r>
          </w:p>
        </w:tc>
        <w:tc>
          <w:tcPr>
            <w:tcW w:w="1984" w:type="dxa"/>
            <w:tcBorders>
              <w:top w:val="single" w:sz="4" w:space="0" w:color="auto"/>
              <w:left w:val="nil"/>
              <w:bottom w:val="single" w:sz="8" w:space="0" w:color="auto"/>
              <w:right w:val="nil"/>
            </w:tcBorders>
            <w:shd w:val="clear" w:color="000000" w:fill="FFFFFF"/>
            <w:noWrap/>
            <w:vAlign w:val="bottom"/>
          </w:tcPr>
          <w:p w14:paraId="0B599B79" w14:textId="7DA000FA" w:rsidR="006A0EE0" w:rsidRPr="008A7A35" w:rsidRDefault="001B7171" w:rsidP="006A0EE0">
            <w:pPr>
              <w:jc w:val="right"/>
              <w:rPr>
                <w:rFonts w:ascii="Arial" w:hAnsi="Arial" w:cs="Arial"/>
                <w:b/>
                <w:bCs/>
                <w:sz w:val="20"/>
                <w:szCs w:val="20"/>
                <w:lang w:eastAsia="en-GB"/>
              </w:rPr>
            </w:pPr>
            <w:r>
              <w:rPr>
                <w:rFonts w:ascii="Arial" w:hAnsi="Arial"/>
                <w:b/>
                <w:bCs/>
                <w:sz w:val="20"/>
              </w:rPr>
              <w:t>370,934</w:t>
            </w:r>
          </w:p>
        </w:tc>
        <w:tc>
          <w:tcPr>
            <w:tcW w:w="1843" w:type="dxa"/>
            <w:tcBorders>
              <w:top w:val="single" w:sz="4" w:space="0" w:color="auto"/>
              <w:left w:val="nil"/>
              <w:bottom w:val="single" w:sz="8" w:space="0" w:color="auto"/>
              <w:right w:val="nil"/>
            </w:tcBorders>
            <w:shd w:val="clear" w:color="000000" w:fill="FFFFFF"/>
            <w:noWrap/>
            <w:vAlign w:val="bottom"/>
          </w:tcPr>
          <w:p w14:paraId="07AE36CB" w14:textId="40CD5D93" w:rsidR="006A0EE0" w:rsidRPr="008A7A35" w:rsidRDefault="006A0EE0" w:rsidP="006A0EE0">
            <w:pPr>
              <w:jc w:val="right"/>
              <w:rPr>
                <w:rFonts w:ascii="Arial" w:hAnsi="Arial" w:cs="Arial"/>
                <w:sz w:val="20"/>
                <w:szCs w:val="20"/>
                <w:lang w:eastAsia="en-GB"/>
              </w:rPr>
            </w:pPr>
            <w:r w:rsidRPr="008A7A35">
              <w:rPr>
                <w:rFonts w:ascii="Arial" w:hAnsi="Arial" w:cs="Arial"/>
                <w:sz w:val="20"/>
                <w:szCs w:val="20"/>
                <w:lang w:eastAsia="en-GB"/>
              </w:rPr>
              <w:t>372,564</w:t>
            </w:r>
          </w:p>
        </w:tc>
      </w:tr>
    </w:tbl>
    <w:p w14:paraId="4593FF87" w14:textId="6B123DB1" w:rsidR="00025DA7" w:rsidRPr="008A7A35" w:rsidRDefault="002570B8" w:rsidP="00BB03B1">
      <w:pPr>
        <w:tabs>
          <w:tab w:val="left" w:pos="6903"/>
        </w:tabs>
        <w:rPr>
          <w:rFonts w:ascii="Arial" w:hAnsi="Arial" w:cs="Arial"/>
          <w:sz w:val="16"/>
          <w:szCs w:val="16"/>
        </w:rPr>
      </w:pPr>
      <w:r w:rsidRPr="002101DF">
        <w:rPr>
          <w:rFonts w:ascii="Arial" w:hAnsi="Arial" w:cs="Arial"/>
          <w:sz w:val="20"/>
          <w:szCs w:val="20"/>
          <w:vertAlign w:val="superscript"/>
          <w:lang w:eastAsia="en-GB"/>
        </w:rPr>
        <w:t xml:space="preserve">(1) </w:t>
      </w:r>
      <w:r w:rsidRPr="002101DF">
        <w:rPr>
          <w:rFonts w:ascii="Arial" w:hAnsi="Arial" w:cs="Arial"/>
          <w:sz w:val="16"/>
          <w:szCs w:val="16"/>
        </w:rPr>
        <w:t>These figures, together with the $</w:t>
      </w:r>
      <w:r w:rsidR="00500BF4" w:rsidRPr="002101DF">
        <w:rPr>
          <w:rFonts w:ascii="Arial" w:hAnsi="Arial" w:cs="Arial"/>
          <w:sz w:val="16"/>
          <w:szCs w:val="16"/>
        </w:rPr>
        <w:t>1</w:t>
      </w:r>
      <w:r w:rsidR="002F7774" w:rsidRPr="002101DF">
        <w:rPr>
          <w:rFonts w:ascii="Arial" w:hAnsi="Arial" w:cs="Arial"/>
          <w:sz w:val="16"/>
          <w:szCs w:val="16"/>
        </w:rPr>
        <w:t>7.7</w:t>
      </w:r>
      <w:r w:rsidR="00DE33F5" w:rsidRPr="002101DF">
        <w:rPr>
          <w:rFonts w:ascii="Arial" w:hAnsi="Arial" w:cs="Arial"/>
          <w:sz w:val="16"/>
          <w:szCs w:val="16"/>
        </w:rPr>
        <w:t xml:space="preserve"> </w:t>
      </w:r>
      <w:r w:rsidRPr="002101DF">
        <w:rPr>
          <w:rFonts w:ascii="Arial" w:hAnsi="Arial" w:cs="Arial"/>
          <w:sz w:val="16"/>
          <w:szCs w:val="16"/>
        </w:rPr>
        <w:t>m</w:t>
      </w:r>
      <w:r w:rsidR="007D64C6" w:rsidRPr="002101DF">
        <w:rPr>
          <w:rFonts w:ascii="Arial" w:hAnsi="Arial" w:cs="Arial"/>
          <w:sz w:val="16"/>
          <w:szCs w:val="16"/>
        </w:rPr>
        <w:t>illion</w:t>
      </w:r>
      <w:r w:rsidRPr="002101DF">
        <w:rPr>
          <w:rFonts w:ascii="Arial" w:hAnsi="Arial" w:cs="Arial"/>
          <w:sz w:val="16"/>
          <w:szCs w:val="16"/>
        </w:rPr>
        <w:t xml:space="preserve"> held at REL US Corp (31 December 202</w:t>
      </w:r>
      <w:r w:rsidR="006A0EE0" w:rsidRPr="002101DF">
        <w:rPr>
          <w:rFonts w:ascii="Arial" w:hAnsi="Arial" w:cs="Arial"/>
          <w:sz w:val="16"/>
          <w:szCs w:val="16"/>
        </w:rPr>
        <w:t>4</w:t>
      </w:r>
      <w:r w:rsidRPr="002101DF">
        <w:rPr>
          <w:rFonts w:ascii="Arial" w:hAnsi="Arial" w:cs="Arial"/>
          <w:sz w:val="16"/>
          <w:szCs w:val="16"/>
        </w:rPr>
        <w:t>:</w:t>
      </w:r>
      <w:r w:rsidR="00563A04" w:rsidRPr="002101DF">
        <w:rPr>
          <w:rFonts w:ascii="Arial" w:hAnsi="Arial" w:cs="Arial"/>
          <w:sz w:val="16"/>
          <w:szCs w:val="16"/>
        </w:rPr>
        <w:t xml:space="preserve"> </w:t>
      </w:r>
      <w:r w:rsidRPr="002101DF">
        <w:rPr>
          <w:rFonts w:ascii="Arial" w:hAnsi="Arial" w:cs="Arial"/>
          <w:sz w:val="16"/>
          <w:szCs w:val="16"/>
        </w:rPr>
        <w:t>$</w:t>
      </w:r>
      <w:r w:rsidR="006A0EE0" w:rsidRPr="002101DF">
        <w:rPr>
          <w:rFonts w:ascii="Arial" w:hAnsi="Arial" w:cs="Arial"/>
          <w:sz w:val="16"/>
          <w:szCs w:val="16"/>
        </w:rPr>
        <w:t>14</w:t>
      </w:r>
      <w:r w:rsidR="000167E3" w:rsidRPr="002101DF">
        <w:rPr>
          <w:rFonts w:ascii="Arial" w:hAnsi="Arial" w:cs="Arial"/>
          <w:sz w:val="16"/>
          <w:szCs w:val="16"/>
        </w:rPr>
        <w:t>.4</w:t>
      </w:r>
      <w:r w:rsidR="007D64C6" w:rsidRPr="002101DF">
        <w:rPr>
          <w:rFonts w:ascii="Arial" w:hAnsi="Arial" w:cs="Arial"/>
          <w:sz w:val="16"/>
          <w:szCs w:val="16"/>
        </w:rPr>
        <w:t xml:space="preserve"> </w:t>
      </w:r>
      <w:r w:rsidR="00977360" w:rsidRPr="002101DF">
        <w:rPr>
          <w:rFonts w:ascii="Arial" w:hAnsi="Arial" w:cs="Arial"/>
          <w:sz w:val="16"/>
          <w:szCs w:val="16"/>
        </w:rPr>
        <w:t>m</w:t>
      </w:r>
      <w:r w:rsidR="007D64C6" w:rsidRPr="002101DF">
        <w:rPr>
          <w:rFonts w:ascii="Arial" w:hAnsi="Arial" w:cs="Arial"/>
          <w:sz w:val="16"/>
          <w:szCs w:val="16"/>
        </w:rPr>
        <w:t>illion</w:t>
      </w:r>
      <w:r w:rsidRPr="002101DF">
        <w:rPr>
          <w:rFonts w:ascii="Arial" w:hAnsi="Arial" w:cs="Arial"/>
          <w:sz w:val="16"/>
          <w:szCs w:val="16"/>
        </w:rPr>
        <w:t>)</w:t>
      </w:r>
      <w:r w:rsidR="005A74BC">
        <w:rPr>
          <w:rFonts w:ascii="Arial" w:hAnsi="Arial" w:cs="Arial"/>
          <w:sz w:val="16"/>
          <w:szCs w:val="16"/>
        </w:rPr>
        <w:t xml:space="preserve"> and the $0.</w:t>
      </w:r>
      <w:r w:rsidR="001167C4">
        <w:rPr>
          <w:rFonts w:ascii="Arial" w:hAnsi="Arial" w:cs="Arial"/>
          <w:sz w:val="16"/>
          <w:szCs w:val="16"/>
        </w:rPr>
        <w:t>1</w:t>
      </w:r>
      <w:r w:rsidR="005A74BC">
        <w:rPr>
          <w:rFonts w:ascii="Arial" w:hAnsi="Arial" w:cs="Arial"/>
          <w:sz w:val="16"/>
          <w:szCs w:val="16"/>
        </w:rPr>
        <w:t xml:space="preserve"> million held at REL Cayman Holdings (31 Dec 2024: $nil)</w:t>
      </w:r>
      <w:r w:rsidRPr="002101DF">
        <w:rPr>
          <w:rFonts w:ascii="Arial" w:hAnsi="Arial" w:cs="Arial"/>
          <w:sz w:val="16"/>
          <w:szCs w:val="16"/>
        </w:rPr>
        <w:t xml:space="preserve">, comprise the </w:t>
      </w:r>
      <w:r w:rsidR="00BA6B7A" w:rsidRPr="002101DF">
        <w:rPr>
          <w:rFonts w:ascii="Arial" w:hAnsi="Arial" w:cs="Arial"/>
          <w:sz w:val="16"/>
          <w:szCs w:val="16"/>
        </w:rPr>
        <w:t>$</w:t>
      </w:r>
      <w:r w:rsidR="00500BF4" w:rsidRPr="002101DF">
        <w:rPr>
          <w:rFonts w:ascii="Arial" w:hAnsi="Arial" w:cs="Arial"/>
          <w:sz w:val="16"/>
          <w:szCs w:val="16"/>
        </w:rPr>
        <w:t>7</w:t>
      </w:r>
      <w:r w:rsidR="00E53D6E" w:rsidRPr="002101DF">
        <w:rPr>
          <w:rFonts w:ascii="Arial" w:hAnsi="Arial" w:cs="Arial"/>
          <w:sz w:val="16"/>
          <w:szCs w:val="16"/>
        </w:rPr>
        <w:t>1.</w:t>
      </w:r>
      <w:r w:rsidR="005A74BC">
        <w:rPr>
          <w:rFonts w:ascii="Arial" w:hAnsi="Arial" w:cs="Arial"/>
          <w:sz w:val="16"/>
          <w:szCs w:val="16"/>
        </w:rPr>
        <w:t>7</w:t>
      </w:r>
      <w:r w:rsidR="002101DF" w:rsidRPr="009B1684">
        <w:rPr>
          <w:rFonts w:ascii="Arial" w:hAnsi="Arial" w:cs="Arial"/>
          <w:sz w:val="16"/>
          <w:szCs w:val="16"/>
        </w:rPr>
        <w:t xml:space="preserve"> </w:t>
      </w:r>
      <w:r w:rsidRPr="002101DF">
        <w:rPr>
          <w:rFonts w:ascii="Arial" w:hAnsi="Arial" w:cs="Arial"/>
          <w:sz w:val="16"/>
          <w:szCs w:val="16"/>
        </w:rPr>
        <w:t>m</w:t>
      </w:r>
      <w:r w:rsidR="007D64C6" w:rsidRPr="002101DF">
        <w:rPr>
          <w:rFonts w:ascii="Arial" w:hAnsi="Arial" w:cs="Arial"/>
          <w:sz w:val="16"/>
          <w:szCs w:val="16"/>
        </w:rPr>
        <w:t>illion</w:t>
      </w:r>
      <w:r w:rsidRPr="002101DF">
        <w:rPr>
          <w:rFonts w:ascii="Arial" w:hAnsi="Arial" w:cs="Arial"/>
          <w:sz w:val="16"/>
          <w:szCs w:val="16"/>
        </w:rPr>
        <w:t xml:space="preserve"> cash held in the Partnership (31 December 202</w:t>
      </w:r>
      <w:r w:rsidR="006A0EE0" w:rsidRPr="002101DF">
        <w:rPr>
          <w:rFonts w:ascii="Arial" w:hAnsi="Arial" w:cs="Arial"/>
          <w:sz w:val="16"/>
          <w:szCs w:val="16"/>
        </w:rPr>
        <w:t>4</w:t>
      </w:r>
      <w:r w:rsidRPr="002101DF">
        <w:rPr>
          <w:rFonts w:ascii="Arial" w:hAnsi="Arial" w:cs="Arial"/>
          <w:sz w:val="16"/>
          <w:szCs w:val="16"/>
        </w:rPr>
        <w:t>:</w:t>
      </w:r>
      <w:r w:rsidR="007D64C6" w:rsidRPr="002101DF">
        <w:rPr>
          <w:rFonts w:ascii="Arial" w:hAnsi="Arial" w:cs="Arial"/>
          <w:sz w:val="16"/>
          <w:szCs w:val="16"/>
        </w:rPr>
        <w:t xml:space="preserve"> </w:t>
      </w:r>
      <w:r w:rsidRPr="002101DF">
        <w:rPr>
          <w:rFonts w:ascii="Arial" w:hAnsi="Arial" w:cs="Arial"/>
          <w:sz w:val="16"/>
          <w:szCs w:val="16"/>
        </w:rPr>
        <w:t>$</w:t>
      </w:r>
      <w:r w:rsidR="006A0EE0" w:rsidRPr="002101DF">
        <w:rPr>
          <w:rFonts w:ascii="Arial" w:hAnsi="Arial" w:cs="Arial"/>
          <w:sz w:val="16"/>
          <w:szCs w:val="16"/>
        </w:rPr>
        <w:t>77</w:t>
      </w:r>
      <w:r w:rsidR="00E53D6E" w:rsidRPr="002101DF">
        <w:rPr>
          <w:rFonts w:ascii="Arial" w:hAnsi="Arial" w:cs="Arial"/>
          <w:sz w:val="16"/>
          <w:szCs w:val="16"/>
        </w:rPr>
        <w:t>.0</w:t>
      </w:r>
      <w:r w:rsidR="006A0EE0" w:rsidRPr="002101DF">
        <w:rPr>
          <w:rFonts w:ascii="Arial" w:hAnsi="Arial" w:cs="Arial"/>
          <w:sz w:val="16"/>
          <w:szCs w:val="16"/>
        </w:rPr>
        <w:t xml:space="preserve"> </w:t>
      </w:r>
      <w:r w:rsidRPr="002101DF">
        <w:rPr>
          <w:rFonts w:ascii="Arial" w:hAnsi="Arial" w:cs="Arial"/>
          <w:sz w:val="16"/>
          <w:szCs w:val="16"/>
        </w:rPr>
        <w:t>m</w:t>
      </w:r>
      <w:r w:rsidR="007D64C6" w:rsidRPr="002101DF">
        <w:rPr>
          <w:rFonts w:ascii="Arial" w:hAnsi="Arial" w:cs="Arial"/>
          <w:sz w:val="16"/>
          <w:szCs w:val="16"/>
        </w:rPr>
        <w:t>illion</w:t>
      </w:r>
      <w:r w:rsidRPr="002101DF">
        <w:rPr>
          <w:rFonts w:ascii="Arial" w:hAnsi="Arial" w:cs="Arial"/>
          <w:sz w:val="16"/>
          <w:szCs w:val="16"/>
        </w:rPr>
        <w:t>).</w:t>
      </w:r>
    </w:p>
    <w:p w14:paraId="3559D113" w14:textId="424B24EA" w:rsidR="00DA678D" w:rsidRPr="008A7A35" w:rsidDel="00A62E17" w:rsidRDefault="00DA678D" w:rsidP="00025DA7">
      <w:pPr>
        <w:tabs>
          <w:tab w:val="left" w:pos="6903"/>
        </w:tabs>
        <w:ind w:left="567"/>
        <w:rPr>
          <w:rFonts w:ascii="Arial" w:hAnsi="Arial" w:cs="Arial"/>
          <w:sz w:val="16"/>
          <w:szCs w:val="16"/>
        </w:rPr>
      </w:pPr>
    </w:p>
    <w:tbl>
      <w:tblPr>
        <w:tblW w:w="9923" w:type="dxa"/>
        <w:tblLayout w:type="fixed"/>
        <w:tblLook w:val="04A0" w:firstRow="1" w:lastRow="0" w:firstColumn="1" w:lastColumn="0" w:noHBand="0" w:noVBand="1"/>
      </w:tblPr>
      <w:tblGrid>
        <w:gridCol w:w="6237"/>
        <w:gridCol w:w="1843"/>
        <w:gridCol w:w="1843"/>
      </w:tblGrid>
      <w:tr w:rsidR="00FF3D8C" w:rsidRPr="008A7A35" w14:paraId="10416910" w14:textId="77777777" w:rsidTr="00921C04">
        <w:trPr>
          <w:trHeight w:val="443"/>
        </w:trPr>
        <w:tc>
          <w:tcPr>
            <w:tcW w:w="6237" w:type="dxa"/>
            <w:tcBorders>
              <w:top w:val="nil"/>
              <w:left w:val="nil"/>
              <w:bottom w:val="nil"/>
              <w:right w:val="nil"/>
            </w:tcBorders>
            <w:shd w:val="clear" w:color="000000" w:fill="FFFFFF"/>
            <w:noWrap/>
            <w:vAlign w:val="bottom"/>
            <w:hideMark/>
          </w:tcPr>
          <w:p w14:paraId="51B69374" w14:textId="0378332F" w:rsidR="00DA678D" w:rsidRPr="008A7A35" w:rsidRDefault="00DA678D" w:rsidP="00DA678D">
            <w:pPr>
              <w:rPr>
                <w:rFonts w:ascii="Arial Body" w:hAnsi="Arial Body" w:cs="Calibri"/>
                <w:sz w:val="20"/>
                <w:szCs w:val="20"/>
                <w:lang w:eastAsia="en-GB"/>
              </w:rPr>
            </w:pPr>
          </w:p>
        </w:tc>
        <w:tc>
          <w:tcPr>
            <w:tcW w:w="1843" w:type="dxa"/>
            <w:tcBorders>
              <w:top w:val="nil"/>
              <w:left w:val="nil"/>
              <w:bottom w:val="nil"/>
              <w:right w:val="nil"/>
            </w:tcBorders>
            <w:shd w:val="clear" w:color="000000" w:fill="FFFFFF"/>
            <w:vAlign w:val="bottom"/>
            <w:hideMark/>
          </w:tcPr>
          <w:p w14:paraId="63CF9B43" w14:textId="77777777" w:rsidR="00CA69E1" w:rsidRPr="001543BC" w:rsidRDefault="00CA69E1" w:rsidP="00630995">
            <w:pPr>
              <w:jc w:val="right"/>
              <w:rPr>
                <w:rFonts w:ascii="Arial Body" w:hAnsi="Arial Body" w:cs="Calibri"/>
                <w:b/>
                <w:bCs/>
                <w:sz w:val="20"/>
                <w:szCs w:val="20"/>
                <w:lang w:eastAsia="en-GB"/>
              </w:rPr>
            </w:pPr>
          </w:p>
          <w:p w14:paraId="73151861" w14:textId="77777777" w:rsidR="00CA69E1" w:rsidRPr="001543BC" w:rsidRDefault="00CA69E1" w:rsidP="00630995">
            <w:pPr>
              <w:jc w:val="right"/>
              <w:rPr>
                <w:rFonts w:ascii="Arial Body" w:hAnsi="Arial Body" w:cs="Calibri"/>
                <w:b/>
                <w:bCs/>
                <w:sz w:val="20"/>
                <w:szCs w:val="20"/>
                <w:lang w:eastAsia="en-GB"/>
              </w:rPr>
            </w:pPr>
          </w:p>
          <w:p w14:paraId="6443A2E7" w14:textId="7DC83318" w:rsidR="00DA678D" w:rsidRPr="001543BC" w:rsidRDefault="00DA678D" w:rsidP="00630995">
            <w:pPr>
              <w:jc w:val="right"/>
              <w:rPr>
                <w:rFonts w:ascii="Arial Body" w:hAnsi="Arial Body" w:cs="Calibri"/>
                <w:b/>
                <w:bCs/>
                <w:sz w:val="20"/>
                <w:szCs w:val="20"/>
                <w:lang w:eastAsia="en-GB"/>
              </w:rPr>
            </w:pPr>
            <w:r w:rsidRPr="001543BC">
              <w:rPr>
                <w:rFonts w:ascii="Arial Body" w:hAnsi="Arial Body" w:cs="Calibri"/>
                <w:b/>
                <w:bCs/>
                <w:sz w:val="20"/>
                <w:szCs w:val="20"/>
                <w:lang w:eastAsia="en-GB"/>
              </w:rPr>
              <w:t>30 June</w:t>
            </w:r>
            <w:r w:rsidRPr="001543BC">
              <w:rPr>
                <w:rFonts w:ascii="Arial Body" w:hAnsi="Arial Body" w:cs="Calibri"/>
                <w:b/>
                <w:bCs/>
                <w:sz w:val="20"/>
                <w:szCs w:val="20"/>
                <w:lang w:eastAsia="en-GB"/>
              </w:rPr>
              <w:br/>
              <w:t>202</w:t>
            </w:r>
            <w:r w:rsidR="006A0EE0" w:rsidRPr="001543BC">
              <w:rPr>
                <w:rFonts w:ascii="Arial Body" w:hAnsi="Arial Body" w:cs="Calibri"/>
                <w:b/>
                <w:bCs/>
                <w:sz w:val="20"/>
                <w:szCs w:val="20"/>
                <w:lang w:eastAsia="en-GB"/>
              </w:rPr>
              <w:t>5</w:t>
            </w:r>
          </w:p>
        </w:tc>
        <w:tc>
          <w:tcPr>
            <w:tcW w:w="1843" w:type="dxa"/>
            <w:tcBorders>
              <w:top w:val="nil"/>
              <w:left w:val="nil"/>
              <w:bottom w:val="nil"/>
              <w:right w:val="nil"/>
            </w:tcBorders>
            <w:shd w:val="clear" w:color="000000" w:fill="FFFFFF"/>
            <w:vAlign w:val="bottom"/>
            <w:hideMark/>
          </w:tcPr>
          <w:p w14:paraId="2BD5AA22" w14:textId="77777777" w:rsidR="00CA69E1" w:rsidRPr="001543BC" w:rsidRDefault="00CA69E1" w:rsidP="00630995">
            <w:pPr>
              <w:jc w:val="right"/>
              <w:rPr>
                <w:rFonts w:ascii="Arial Body" w:hAnsi="Arial Body" w:cs="Calibri"/>
                <w:b/>
                <w:bCs/>
                <w:sz w:val="20"/>
                <w:szCs w:val="20"/>
                <w:lang w:eastAsia="en-GB"/>
              </w:rPr>
            </w:pPr>
          </w:p>
          <w:p w14:paraId="3FEA0590" w14:textId="77777777" w:rsidR="00CA69E1" w:rsidRPr="001543BC" w:rsidRDefault="00CA69E1" w:rsidP="00630995">
            <w:pPr>
              <w:jc w:val="right"/>
              <w:rPr>
                <w:rFonts w:ascii="Arial Body" w:hAnsi="Arial Body" w:cs="Calibri"/>
                <w:b/>
                <w:bCs/>
                <w:sz w:val="20"/>
                <w:szCs w:val="20"/>
                <w:lang w:eastAsia="en-GB"/>
              </w:rPr>
            </w:pPr>
          </w:p>
          <w:p w14:paraId="11CD68FD" w14:textId="045D179C" w:rsidR="00DA678D" w:rsidRPr="001543BC" w:rsidRDefault="00DA678D" w:rsidP="00630995">
            <w:pPr>
              <w:jc w:val="right"/>
              <w:rPr>
                <w:rFonts w:ascii="Arial Body" w:hAnsi="Arial Body" w:cs="Calibri"/>
                <w:b/>
                <w:bCs/>
                <w:sz w:val="20"/>
                <w:szCs w:val="20"/>
                <w:lang w:eastAsia="en-GB"/>
              </w:rPr>
            </w:pPr>
            <w:r w:rsidRPr="001543BC">
              <w:rPr>
                <w:rFonts w:ascii="Arial Body" w:hAnsi="Arial Body" w:cs="Calibri"/>
                <w:b/>
                <w:bCs/>
                <w:sz w:val="20"/>
                <w:szCs w:val="20"/>
                <w:lang w:eastAsia="en-GB"/>
              </w:rPr>
              <w:t>31 December 202</w:t>
            </w:r>
            <w:r w:rsidR="006A0EE0" w:rsidRPr="001543BC">
              <w:rPr>
                <w:rFonts w:ascii="Arial Body" w:hAnsi="Arial Body" w:cs="Calibri"/>
                <w:b/>
                <w:bCs/>
                <w:sz w:val="20"/>
                <w:szCs w:val="20"/>
                <w:lang w:eastAsia="en-GB"/>
              </w:rPr>
              <w:t>4</w:t>
            </w:r>
          </w:p>
        </w:tc>
      </w:tr>
      <w:tr w:rsidR="00FF3D8C" w:rsidRPr="008A7A35" w14:paraId="202C229B" w14:textId="77777777" w:rsidTr="00921C04">
        <w:trPr>
          <w:trHeight w:val="475"/>
        </w:trPr>
        <w:tc>
          <w:tcPr>
            <w:tcW w:w="6237" w:type="dxa"/>
            <w:tcBorders>
              <w:top w:val="nil"/>
              <w:left w:val="nil"/>
              <w:bottom w:val="single" w:sz="4" w:space="0" w:color="auto"/>
              <w:right w:val="nil"/>
            </w:tcBorders>
            <w:shd w:val="clear" w:color="000000" w:fill="FFFFFF"/>
            <w:noWrap/>
            <w:vAlign w:val="center"/>
            <w:hideMark/>
          </w:tcPr>
          <w:p w14:paraId="3868324D" w14:textId="77777777" w:rsidR="00DA678D" w:rsidRPr="008A7A35" w:rsidRDefault="00DA678D" w:rsidP="00DA678D">
            <w:pPr>
              <w:rPr>
                <w:rFonts w:ascii="Arial Body" w:hAnsi="Arial Body" w:cs="Calibri"/>
                <w:b/>
                <w:bCs/>
                <w:sz w:val="20"/>
                <w:szCs w:val="20"/>
                <w:lang w:eastAsia="en-GB"/>
              </w:rPr>
            </w:pPr>
            <w:r w:rsidRPr="008A7A35">
              <w:rPr>
                <w:rFonts w:ascii="Arial Body" w:hAnsi="Arial Body" w:cs="Calibri"/>
                <w:b/>
                <w:bCs/>
                <w:sz w:val="20"/>
                <w:szCs w:val="20"/>
                <w:lang w:eastAsia="en-GB"/>
              </w:rPr>
              <w:t xml:space="preserve"> Reconciliation of Partnership’s investments at fair value </w:t>
            </w:r>
          </w:p>
        </w:tc>
        <w:tc>
          <w:tcPr>
            <w:tcW w:w="1843" w:type="dxa"/>
            <w:tcBorders>
              <w:top w:val="nil"/>
              <w:left w:val="nil"/>
              <w:bottom w:val="single" w:sz="4" w:space="0" w:color="auto"/>
              <w:right w:val="nil"/>
            </w:tcBorders>
            <w:shd w:val="clear" w:color="000000" w:fill="FFFFFF"/>
            <w:vAlign w:val="center"/>
            <w:hideMark/>
          </w:tcPr>
          <w:p w14:paraId="105E8340" w14:textId="77777777" w:rsidR="00DA678D" w:rsidRPr="001543BC" w:rsidRDefault="00DA678D" w:rsidP="00DA678D">
            <w:pPr>
              <w:jc w:val="right"/>
              <w:rPr>
                <w:rFonts w:ascii="Arial Body" w:hAnsi="Arial Body" w:cs="Calibri"/>
                <w:b/>
                <w:bCs/>
                <w:sz w:val="20"/>
                <w:szCs w:val="20"/>
                <w:lang w:eastAsia="en-GB"/>
              </w:rPr>
            </w:pPr>
            <w:r w:rsidRPr="001543BC">
              <w:rPr>
                <w:rFonts w:ascii="Arial Body" w:hAnsi="Arial Body" w:cs="Calibri"/>
                <w:b/>
                <w:bCs/>
                <w:sz w:val="20"/>
                <w:szCs w:val="20"/>
                <w:lang w:eastAsia="en-GB"/>
              </w:rPr>
              <w:t>$’000</w:t>
            </w:r>
          </w:p>
        </w:tc>
        <w:tc>
          <w:tcPr>
            <w:tcW w:w="1843" w:type="dxa"/>
            <w:tcBorders>
              <w:top w:val="nil"/>
              <w:left w:val="nil"/>
              <w:bottom w:val="single" w:sz="4" w:space="0" w:color="auto"/>
              <w:right w:val="nil"/>
            </w:tcBorders>
            <w:shd w:val="clear" w:color="000000" w:fill="FFFFFF"/>
            <w:vAlign w:val="center"/>
            <w:hideMark/>
          </w:tcPr>
          <w:p w14:paraId="14DDE879" w14:textId="77777777" w:rsidR="00DA678D" w:rsidRPr="001543BC" w:rsidRDefault="00DA678D" w:rsidP="00DA678D">
            <w:pPr>
              <w:jc w:val="right"/>
              <w:rPr>
                <w:rFonts w:ascii="Arial Body" w:hAnsi="Arial Body" w:cs="Calibri"/>
                <w:b/>
                <w:bCs/>
                <w:sz w:val="20"/>
                <w:szCs w:val="20"/>
                <w:lang w:eastAsia="en-GB"/>
              </w:rPr>
            </w:pPr>
            <w:r w:rsidRPr="001543BC">
              <w:rPr>
                <w:rFonts w:ascii="Arial Body" w:hAnsi="Arial Body" w:cs="Calibri"/>
                <w:b/>
                <w:bCs/>
                <w:sz w:val="20"/>
                <w:szCs w:val="20"/>
                <w:lang w:eastAsia="en-GB"/>
              </w:rPr>
              <w:t>$’000</w:t>
            </w:r>
          </w:p>
        </w:tc>
      </w:tr>
      <w:tr w:rsidR="006A0EE0" w:rsidRPr="008A7A35" w14:paraId="3AEA0BC8" w14:textId="77777777" w:rsidTr="00921C04">
        <w:trPr>
          <w:trHeight w:val="236"/>
        </w:trPr>
        <w:tc>
          <w:tcPr>
            <w:tcW w:w="6237" w:type="dxa"/>
            <w:tcBorders>
              <w:top w:val="nil"/>
              <w:left w:val="nil"/>
              <w:bottom w:val="nil"/>
              <w:right w:val="nil"/>
            </w:tcBorders>
            <w:shd w:val="clear" w:color="000000" w:fill="FFFFFF"/>
            <w:vAlign w:val="center"/>
            <w:hideMark/>
          </w:tcPr>
          <w:p w14:paraId="58385412" w14:textId="6CB5E700"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 xml:space="preserve"> Investments at fair value - Level 1 </w:t>
            </w:r>
          </w:p>
        </w:tc>
        <w:tc>
          <w:tcPr>
            <w:tcW w:w="1843" w:type="dxa"/>
            <w:tcBorders>
              <w:top w:val="nil"/>
              <w:left w:val="nil"/>
              <w:bottom w:val="nil"/>
              <w:right w:val="nil"/>
            </w:tcBorders>
            <w:shd w:val="clear" w:color="000000" w:fill="FFFFFF"/>
            <w:vAlign w:val="bottom"/>
          </w:tcPr>
          <w:p w14:paraId="03FE267C" w14:textId="128998CE" w:rsidR="006A0EE0" w:rsidRPr="008A7A35" w:rsidRDefault="00227D93" w:rsidP="006A0EE0">
            <w:pPr>
              <w:jc w:val="right"/>
              <w:rPr>
                <w:rFonts w:ascii="Arial Body" w:hAnsi="Arial Body" w:cs="Calibri"/>
                <w:b/>
                <w:bCs/>
                <w:sz w:val="20"/>
                <w:szCs w:val="20"/>
                <w:lang w:eastAsia="en-GB"/>
              </w:rPr>
            </w:pPr>
            <w:r>
              <w:rPr>
                <w:rFonts w:ascii="Arial" w:hAnsi="Arial"/>
                <w:b/>
                <w:bCs/>
                <w:sz w:val="20"/>
              </w:rPr>
              <w:t>211,348</w:t>
            </w:r>
          </w:p>
        </w:tc>
        <w:tc>
          <w:tcPr>
            <w:tcW w:w="1843" w:type="dxa"/>
            <w:tcBorders>
              <w:top w:val="nil"/>
              <w:left w:val="nil"/>
              <w:bottom w:val="nil"/>
              <w:right w:val="nil"/>
            </w:tcBorders>
            <w:shd w:val="clear" w:color="000000" w:fill="FFFFFF"/>
            <w:vAlign w:val="center"/>
          </w:tcPr>
          <w:p w14:paraId="481724C2" w14:textId="1E5C74B5" w:rsidR="006A0EE0" w:rsidRPr="009A6BA4" w:rsidRDefault="006A0EE0" w:rsidP="006A0EE0">
            <w:pPr>
              <w:jc w:val="right"/>
              <w:rPr>
                <w:rFonts w:ascii="Arial" w:hAnsi="Arial" w:cs="Arial"/>
                <w:sz w:val="20"/>
                <w:szCs w:val="20"/>
                <w:lang w:eastAsia="en-GB"/>
              </w:rPr>
            </w:pPr>
            <w:r w:rsidRPr="009A6BA4">
              <w:rPr>
                <w:rFonts w:ascii="Arial" w:hAnsi="Arial" w:cs="Arial"/>
                <w:sz w:val="20"/>
                <w:szCs w:val="20"/>
                <w:lang w:eastAsia="en-GB"/>
              </w:rPr>
              <w:t>201,075</w:t>
            </w:r>
          </w:p>
        </w:tc>
      </w:tr>
      <w:tr w:rsidR="006A0EE0" w:rsidRPr="008A7A35" w14:paraId="203FDF49" w14:textId="77777777" w:rsidTr="00921C04">
        <w:trPr>
          <w:trHeight w:val="236"/>
        </w:trPr>
        <w:tc>
          <w:tcPr>
            <w:tcW w:w="6237" w:type="dxa"/>
            <w:tcBorders>
              <w:top w:val="nil"/>
              <w:left w:val="nil"/>
              <w:bottom w:val="single" w:sz="4" w:space="0" w:color="auto"/>
              <w:right w:val="nil"/>
            </w:tcBorders>
            <w:shd w:val="clear" w:color="000000" w:fill="FFFFFF"/>
            <w:vAlign w:val="center"/>
            <w:hideMark/>
          </w:tcPr>
          <w:p w14:paraId="3FD2C150" w14:textId="196BEEF4"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 xml:space="preserve"> Investments at fair value - Level 3 - see Note 5 </w:t>
            </w:r>
          </w:p>
        </w:tc>
        <w:tc>
          <w:tcPr>
            <w:tcW w:w="1843" w:type="dxa"/>
            <w:tcBorders>
              <w:top w:val="nil"/>
              <w:left w:val="nil"/>
              <w:bottom w:val="single" w:sz="4" w:space="0" w:color="auto"/>
              <w:right w:val="nil"/>
            </w:tcBorders>
            <w:shd w:val="clear" w:color="000000" w:fill="FFFFFF"/>
            <w:vAlign w:val="bottom"/>
          </w:tcPr>
          <w:p w14:paraId="134EE2BF" w14:textId="68668613" w:rsidR="006A0EE0" w:rsidRPr="008A7A35" w:rsidRDefault="00494306" w:rsidP="006A0EE0">
            <w:pPr>
              <w:jc w:val="right"/>
              <w:rPr>
                <w:rFonts w:ascii="Arial Body" w:hAnsi="Arial Body" w:cs="Calibri"/>
                <w:b/>
                <w:bCs/>
                <w:sz w:val="20"/>
                <w:szCs w:val="20"/>
                <w:lang w:eastAsia="en-GB"/>
              </w:rPr>
            </w:pPr>
            <w:r w:rsidRPr="006E09E9">
              <w:rPr>
                <w:rFonts w:ascii="Arial" w:hAnsi="Arial"/>
                <w:b/>
                <w:bCs/>
                <w:sz w:val="20"/>
              </w:rPr>
              <w:t>88</w:t>
            </w:r>
            <w:r w:rsidR="00227D93" w:rsidRPr="006E09E9">
              <w:rPr>
                <w:rFonts w:ascii="Arial" w:hAnsi="Arial"/>
                <w:b/>
                <w:bCs/>
                <w:sz w:val="20"/>
              </w:rPr>
              <w:t>,606</w:t>
            </w:r>
          </w:p>
        </w:tc>
        <w:tc>
          <w:tcPr>
            <w:tcW w:w="1843" w:type="dxa"/>
            <w:tcBorders>
              <w:top w:val="nil"/>
              <w:left w:val="nil"/>
              <w:bottom w:val="single" w:sz="4" w:space="0" w:color="auto"/>
              <w:right w:val="nil"/>
            </w:tcBorders>
            <w:shd w:val="clear" w:color="000000" w:fill="FFFFFF"/>
            <w:vAlign w:val="center"/>
          </w:tcPr>
          <w:p w14:paraId="545D7434" w14:textId="48E89195" w:rsidR="006A0EE0" w:rsidRPr="009A6BA4" w:rsidRDefault="006A0EE0" w:rsidP="006A0EE0">
            <w:pPr>
              <w:jc w:val="right"/>
              <w:rPr>
                <w:rFonts w:ascii="Arial" w:hAnsi="Arial" w:cs="Arial"/>
                <w:sz w:val="20"/>
                <w:szCs w:val="20"/>
                <w:lang w:eastAsia="en-GB"/>
              </w:rPr>
            </w:pPr>
            <w:r w:rsidRPr="009A6BA4">
              <w:rPr>
                <w:rFonts w:ascii="Arial" w:hAnsi="Arial" w:cs="Arial"/>
                <w:sz w:val="20"/>
                <w:szCs w:val="20"/>
                <w:lang w:eastAsia="en-GB"/>
              </w:rPr>
              <w:t>96,106</w:t>
            </w:r>
          </w:p>
        </w:tc>
      </w:tr>
      <w:tr w:rsidR="006A0EE0" w:rsidRPr="008A7A35" w14:paraId="6627A66E" w14:textId="77777777" w:rsidTr="00921C04">
        <w:trPr>
          <w:trHeight w:val="236"/>
        </w:trPr>
        <w:tc>
          <w:tcPr>
            <w:tcW w:w="6237" w:type="dxa"/>
            <w:tcBorders>
              <w:top w:val="nil"/>
              <w:left w:val="nil"/>
              <w:bottom w:val="nil"/>
              <w:right w:val="nil"/>
            </w:tcBorders>
            <w:shd w:val="clear" w:color="000000" w:fill="FFFFFF"/>
            <w:vAlign w:val="center"/>
            <w:hideMark/>
          </w:tcPr>
          <w:p w14:paraId="4D65B8AE" w14:textId="64AF4D39"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 xml:space="preserve"> Investments at fair value </w:t>
            </w:r>
            <w:r w:rsidRPr="008A7A35">
              <w:rPr>
                <w:rFonts w:ascii="Arial" w:hAnsi="Arial" w:cs="Arial"/>
                <w:sz w:val="20"/>
                <w:szCs w:val="20"/>
                <w:vertAlign w:val="superscript"/>
                <w:lang w:eastAsia="en-GB"/>
              </w:rPr>
              <w:t>(2)</w:t>
            </w:r>
          </w:p>
        </w:tc>
        <w:tc>
          <w:tcPr>
            <w:tcW w:w="1843" w:type="dxa"/>
            <w:tcBorders>
              <w:top w:val="nil"/>
              <w:left w:val="nil"/>
              <w:bottom w:val="nil"/>
              <w:right w:val="nil"/>
            </w:tcBorders>
            <w:shd w:val="clear" w:color="000000" w:fill="FFFFFF"/>
            <w:vAlign w:val="bottom"/>
          </w:tcPr>
          <w:p w14:paraId="526AB7C9" w14:textId="40326683" w:rsidR="006A0EE0" w:rsidRPr="008A7A35" w:rsidRDefault="00494306" w:rsidP="006A0EE0">
            <w:pPr>
              <w:jc w:val="right"/>
              <w:rPr>
                <w:rFonts w:ascii="Arial Body" w:hAnsi="Arial Body" w:cs="Calibri"/>
                <w:b/>
                <w:bCs/>
                <w:sz w:val="20"/>
                <w:szCs w:val="20"/>
                <w:lang w:eastAsia="en-GB"/>
              </w:rPr>
            </w:pPr>
            <w:r>
              <w:rPr>
                <w:rFonts w:ascii="Arial" w:hAnsi="Arial"/>
                <w:b/>
                <w:bCs/>
                <w:sz w:val="20"/>
              </w:rPr>
              <w:t>299</w:t>
            </w:r>
            <w:r w:rsidR="00F772FD" w:rsidRPr="008A7A35">
              <w:rPr>
                <w:rFonts w:ascii="Arial" w:hAnsi="Arial"/>
                <w:b/>
                <w:bCs/>
                <w:sz w:val="20"/>
              </w:rPr>
              <w:t>,954</w:t>
            </w:r>
          </w:p>
        </w:tc>
        <w:tc>
          <w:tcPr>
            <w:tcW w:w="1843" w:type="dxa"/>
            <w:tcBorders>
              <w:top w:val="nil"/>
              <w:left w:val="nil"/>
              <w:bottom w:val="nil"/>
              <w:right w:val="nil"/>
            </w:tcBorders>
            <w:shd w:val="clear" w:color="000000" w:fill="FFFFFF"/>
            <w:vAlign w:val="center"/>
          </w:tcPr>
          <w:p w14:paraId="63198C49" w14:textId="3D039E6B" w:rsidR="006A0EE0" w:rsidRPr="009A6BA4" w:rsidRDefault="006A0EE0" w:rsidP="006A0EE0">
            <w:pPr>
              <w:jc w:val="right"/>
              <w:rPr>
                <w:rFonts w:ascii="Arial" w:hAnsi="Arial" w:cs="Arial"/>
                <w:sz w:val="20"/>
                <w:szCs w:val="20"/>
                <w:lang w:eastAsia="en-GB"/>
              </w:rPr>
            </w:pPr>
            <w:r w:rsidRPr="009A6BA4">
              <w:rPr>
                <w:rFonts w:ascii="Arial" w:hAnsi="Arial" w:cs="Arial"/>
                <w:sz w:val="20"/>
                <w:szCs w:val="20"/>
                <w:lang w:eastAsia="en-GB"/>
              </w:rPr>
              <w:t>297,181</w:t>
            </w:r>
          </w:p>
        </w:tc>
      </w:tr>
      <w:tr w:rsidR="006A0EE0" w:rsidRPr="008A7A35" w14:paraId="7B60B1C8" w14:textId="77777777" w:rsidTr="00921C04">
        <w:trPr>
          <w:trHeight w:val="236"/>
        </w:trPr>
        <w:tc>
          <w:tcPr>
            <w:tcW w:w="6237" w:type="dxa"/>
            <w:tcBorders>
              <w:top w:val="nil"/>
              <w:left w:val="nil"/>
              <w:bottom w:val="nil"/>
              <w:right w:val="nil"/>
            </w:tcBorders>
            <w:shd w:val="clear" w:color="000000" w:fill="FFFFFF"/>
            <w:vAlign w:val="center"/>
            <w:hideMark/>
          </w:tcPr>
          <w:p w14:paraId="0891371A" w14:textId="77777777"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 xml:space="preserve"> Cash and cash equivalents </w:t>
            </w:r>
          </w:p>
        </w:tc>
        <w:tc>
          <w:tcPr>
            <w:tcW w:w="1843" w:type="dxa"/>
            <w:tcBorders>
              <w:top w:val="nil"/>
              <w:left w:val="nil"/>
              <w:bottom w:val="nil"/>
              <w:right w:val="nil"/>
            </w:tcBorders>
            <w:shd w:val="clear" w:color="000000" w:fill="FFFFFF"/>
            <w:vAlign w:val="bottom"/>
          </w:tcPr>
          <w:p w14:paraId="45FB9FD6" w14:textId="6A903D55" w:rsidR="006A0EE0" w:rsidRPr="008A7A35" w:rsidRDefault="00F772FD" w:rsidP="006A0EE0">
            <w:pPr>
              <w:jc w:val="right"/>
              <w:rPr>
                <w:rFonts w:ascii="Arial Body" w:hAnsi="Arial Body" w:cs="Calibri"/>
                <w:b/>
                <w:bCs/>
                <w:sz w:val="20"/>
                <w:szCs w:val="20"/>
                <w:lang w:eastAsia="en-GB"/>
              </w:rPr>
            </w:pPr>
            <w:r w:rsidRPr="008A7A35">
              <w:rPr>
                <w:rFonts w:ascii="Arial" w:hAnsi="Arial"/>
                <w:b/>
                <w:bCs/>
                <w:sz w:val="20"/>
              </w:rPr>
              <w:t>17,</w:t>
            </w:r>
            <w:r w:rsidR="00236AB6">
              <w:rPr>
                <w:rFonts w:ascii="Arial" w:hAnsi="Arial"/>
                <w:b/>
                <w:bCs/>
                <w:sz w:val="20"/>
              </w:rPr>
              <w:t>878</w:t>
            </w:r>
          </w:p>
        </w:tc>
        <w:tc>
          <w:tcPr>
            <w:tcW w:w="1843" w:type="dxa"/>
            <w:tcBorders>
              <w:top w:val="nil"/>
              <w:left w:val="nil"/>
              <w:bottom w:val="nil"/>
              <w:right w:val="nil"/>
            </w:tcBorders>
            <w:shd w:val="clear" w:color="000000" w:fill="FFFFFF"/>
            <w:vAlign w:val="center"/>
          </w:tcPr>
          <w:p w14:paraId="612FA1D7" w14:textId="7339ECDC" w:rsidR="006A0EE0" w:rsidRPr="009A6BA4" w:rsidRDefault="006A0EE0" w:rsidP="006A0EE0">
            <w:pPr>
              <w:jc w:val="right"/>
              <w:rPr>
                <w:rFonts w:ascii="Arial" w:hAnsi="Arial" w:cs="Arial"/>
                <w:sz w:val="20"/>
                <w:szCs w:val="20"/>
                <w:lang w:eastAsia="en-GB"/>
              </w:rPr>
            </w:pPr>
            <w:r w:rsidRPr="009A6BA4">
              <w:rPr>
                <w:rFonts w:ascii="Arial" w:hAnsi="Arial" w:cs="Arial"/>
                <w:sz w:val="20"/>
                <w:szCs w:val="20"/>
                <w:lang w:eastAsia="en-GB"/>
              </w:rPr>
              <w:t>14,430</w:t>
            </w:r>
          </w:p>
        </w:tc>
      </w:tr>
      <w:tr w:rsidR="006A0EE0" w:rsidRPr="008A7A35" w14:paraId="3359FCBE" w14:textId="77777777" w:rsidTr="00921C04">
        <w:trPr>
          <w:trHeight w:val="246"/>
        </w:trPr>
        <w:tc>
          <w:tcPr>
            <w:tcW w:w="6237" w:type="dxa"/>
            <w:tcBorders>
              <w:top w:val="single" w:sz="4" w:space="0" w:color="auto"/>
              <w:left w:val="nil"/>
              <w:bottom w:val="single" w:sz="8" w:space="0" w:color="auto"/>
              <w:right w:val="nil"/>
            </w:tcBorders>
            <w:shd w:val="clear" w:color="000000" w:fill="FFFFFF"/>
            <w:vAlign w:val="center"/>
            <w:hideMark/>
          </w:tcPr>
          <w:p w14:paraId="47914F73" w14:textId="01C52B1C" w:rsidR="006A0EE0" w:rsidRPr="008A7A35" w:rsidRDefault="006A0EE0" w:rsidP="006A0EE0">
            <w:pPr>
              <w:rPr>
                <w:rFonts w:ascii="Arial Body" w:hAnsi="Arial Body" w:cs="Calibri"/>
                <w:b/>
                <w:bCs/>
                <w:sz w:val="20"/>
                <w:szCs w:val="20"/>
                <w:lang w:eastAsia="en-GB"/>
              </w:rPr>
            </w:pPr>
            <w:r w:rsidRPr="008A7A35">
              <w:rPr>
                <w:rFonts w:ascii="Arial Body" w:hAnsi="Arial Body" w:cs="Calibri"/>
                <w:b/>
                <w:bCs/>
                <w:sz w:val="20"/>
                <w:szCs w:val="20"/>
                <w:lang w:eastAsia="en-GB"/>
              </w:rPr>
              <w:t xml:space="preserve"> Partnership's investments at fair value </w:t>
            </w:r>
          </w:p>
        </w:tc>
        <w:tc>
          <w:tcPr>
            <w:tcW w:w="1843" w:type="dxa"/>
            <w:tcBorders>
              <w:top w:val="single" w:sz="4" w:space="0" w:color="auto"/>
              <w:left w:val="nil"/>
              <w:bottom w:val="single" w:sz="8" w:space="0" w:color="auto"/>
              <w:right w:val="nil"/>
            </w:tcBorders>
            <w:shd w:val="clear" w:color="000000" w:fill="FFFFFF"/>
            <w:noWrap/>
            <w:vAlign w:val="bottom"/>
          </w:tcPr>
          <w:p w14:paraId="2CA1CA1E" w14:textId="3A8DDA2B" w:rsidR="006A0EE0" w:rsidRPr="008A7A35" w:rsidRDefault="00F772FD" w:rsidP="006A0EE0">
            <w:pPr>
              <w:jc w:val="right"/>
              <w:rPr>
                <w:rFonts w:ascii="Arial Body" w:hAnsi="Arial Body" w:cs="Calibri"/>
                <w:b/>
                <w:bCs/>
                <w:sz w:val="20"/>
                <w:szCs w:val="20"/>
                <w:lang w:eastAsia="en-GB"/>
              </w:rPr>
            </w:pPr>
            <w:r w:rsidRPr="008A7A35">
              <w:rPr>
                <w:rFonts w:ascii="Arial" w:hAnsi="Arial"/>
                <w:b/>
                <w:bCs/>
                <w:sz w:val="20"/>
              </w:rPr>
              <w:t>31</w:t>
            </w:r>
            <w:r w:rsidR="00494306">
              <w:rPr>
                <w:rFonts w:ascii="Arial" w:hAnsi="Arial"/>
                <w:b/>
                <w:bCs/>
                <w:sz w:val="20"/>
              </w:rPr>
              <w:t>7</w:t>
            </w:r>
            <w:r w:rsidRPr="008A7A35">
              <w:rPr>
                <w:rFonts w:ascii="Arial" w:hAnsi="Arial"/>
                <w:b/>
                <w:bCs/>
                <w:sz w:val="20"/>
              </w:rPr>
              <w:t>,</w:t>
            </w:r>
            <w:r w:rsidR="00236AB6">
              <w:rPr>
                <w:rFonts w:ascii="Arial" w:hAnsi="Arial"/>
                <w:b/>
                <w:bCs/>
                <w:sz w:val="20"/>
              </w:rPr>
              <w:t>832</w:t>
            </w:r>
          </w:p>
        </w:tc>
        <w:tc>
          <w:tcPr>
            <w:tcW w:w="1843" w:type="dxa"/>
            <w:tcBorders>
              <w:top w:val="single" w:sz="4" w:space="0" w:color="auto"/>
              <w:left w:val="nil"/>
              <w:bottom w:val="single" w:sz="8" w:space="0" w:color="auto"/>
              <w:right w:val="nil"/>
            </w:tcBorders>
            <w:shd w:val="clear" w:color="000000" w:fill="FFFFFF"/>
            <w:noWrap/>
            <w:vAlign w:val="bottom"/>
          </w:tcPr>
          <w:p w14:paraId="55D3A47C" w14:textId="6FEB9C26" w:rsidR="006A0EE0" w:rsidRPr="009A6BA4" w:rsidRDefault="006A0EE0" w:rsidP="006A0EE0">
            <w:pPr>
              <w:jc w:val="right"/>
              <w:rPr>
                <w:rFonts w:ascii="Arial" w:hAnsi="Arial" w:cs="Arial"/>
                <w:sz w:val="20"/>
                <w:szCs w:val="20"/>
                <w:lang w:eastAsia="en-GB"/>
              </w:rPr>
            </w:pPr>
            <w:r w:rsidRPr="009A6BA4">
              <w:rPr>
                <w:rFonts w:ascii="Arial" w:hAnsi="Arial" w:cs="Arial"/>
                <w:sz w:val="20"/>
                <w:szCs w:val="20"/>
                <w:lang w:eastAsia="en-GB"/>
              </w:rPr>
              <w:t>311,611</w:t>
            </w:r>
          </w:p>
        </w:tc>
      </w:tr>
    </w:tbl>
    <w:p w14:paraId="49313DD2" w14:textId="34326F3B" w:rsidR="00A840B1" w:rsidRPr="008A7A35" w:rsidRDefault="00A840B1" w:rsidP="00A62E17">
      <w:pPr>
        <w:tabs>
          <w:tab w:val="left" w:pos="6903"/>
        </w:tabs>
        <w:rPr>
          <w:rFonts w:ascii="Arial" w:hAnsi="Arial" w:cs="Arial"/>
          <w:sz w:val="16"/>
          <w:szCs w:val="16"/>
        </w:rPr>
      </w:pPr>
      <w:r w:rsidRPr="008A7A35">
        <w:rPr>
          <w:rFonts w:ascii="Arial" w:hAnsi="Arial" w:cs="Arial"/>
          <w:sz w:val="20"/>
          <w:szCs w:val="20"/>
          <w:vertAlign w:val="superscript"/>
          <w:lang w:eastAsia="en-GB"/>
        </w:rPr>
        <w:t>(</w:t>
      </w:r>
      <w:r w:rsidR="00AA7849" w:rsidRPr="008A7A35">
        <w:rPr>
          <w:rFonts w:ascii="Arial" w:hAnsi="Arial" w:cs="Arial"/>
          <w:sz w:val="20"/>
          <w:szCs w:val="20"/>
          <w:vertAlign w:val="superscript"/>
          <w:lang w:eastAsia="en-GB"/>
        </w:rPr>
        <w:t>2</w:t>
      </w:r>
      <w:r w:rsidRPr="008A7A35">
        <w:rPr>
          <w:rFonts w:ascii="Arial" w:hAnsi="Arial" w:cs="Arial"/>
          <w:sz w:val="20"/>
          <w:szCs w:val="20"/>
          <w:vertAlign w:val="superscript"/>
          <w:lang w:eastAsia="en-GB"/>
        </w:rPr>
        <w:t xml:space="preserve">) </w:t>
      </w:r>
      <w:r w:rsidRPr="008A7A35">
        <w:rPr>
          <w:rFonts w:ascii="Arial" w:hAnsi="Arial" w:cs="Arial"/>
          <w:sz w:val="16"/>
          <w:szCs w:val="16"/>
        </w:rPr>
        <w:t>Partnership holds investments indirectly through Investment Undertaking.</w:t>
      </w:r>
    </w:p>
    <w:p w14:paraId="703F6CED" w14:textId="3A28C598" w:rsidR="00A62E17" w:rsidRPr="008A7A35" w:rsidRDefault="00A62E17" w:rsidP="00A62E17">
      <w:pPr>
        <w:tabs>
          <w:tab w:val="left" w:pos="6903"/>
        </w:tabs>
        <w:rPr>
          <w:rFonts w:cstheme="minorHAnsi"/>
          <w:sz w:val="24"/>
        </w:rPr>
      </w:pPr>
    </w:p>
    <w:tbl>
      <w:tblPr>
        <w:tblW w:w="9923" w:type="dxa"/>
        <w:tblLayout w:type="fixed"/>
        <w:tblLook w:val="04A0" w:firstRow="1" w:lastRow="0" w:firstColumn="1" w:lastColumn="0" w:noHBand="0" w:noVBand="1"/>
      </w:tblPr>
      <w:tblGrid>
        <w:gridCol w:w="5387"/>
        <w:gridCol w:w="2693"/>
        <w:gridCol w:w="1843"/>
      </w:tblGrid>
      <w:tr w:rsidR="002761B1" w:rsidRPr="008A7A35" w14:paraId="7BFE504B" w14:textId="77777777" w:rsidTr="00921C04">
        <w:trPr>
          <w:trHeight w:val="270"/>
        </w:trPr>
        <w:tc>
          <w:tcPr>
            <w:tcW w:w="5387" w:type="dxa"/>
            <w:tcBorders>
              <w:top w:val="nil"/>
              <w:left w:val="nil"/>
              <w:bottom w:val="nil"/>
              <w:right w:val="nil"/>
            </w:tcBorders>
            <w:shd w:val="clear" w:color="000000" w:fill="FFFFFF"/>
            <w:noWrap/>
            <w:vAlign w:val="bottom"/>
            <w:hideMark/>
          </w:tcPr>
          <w:p w14:paraId="78355DD0" w14:textId="309571E7" w:rsidR="002761B1" w:rsidRPr="008A7A35" w:rsidRDefault="002761B1" w:rsidP="002761B1">
            <w:pPr>
              <w:rPr>
                <w:rFonts w:ascii="Arial Body" w:hAnsi="Arial Body" w:cs="Calibri"/>
                <w:sz w:val="20"/>
                <w:szCs w:val="20"/>
                <w:lang w:eastAsia="en-GB"/>
              </w:rPr>
            </w:pPr>
            <w:r w:rsidRPr="008A7A35">
              <w:rPr>
                <w:rFonts w:ascii="Arial Body" w:hAnsi="Arial Body" w:cs="Calibri"/>
                <w:sz w:val="20"/>
                <w:szCs w:val="20"/>
                <w:lang w:eastAsia="en-GB"/>
              </w:rPr>
              <w:lastRenderedPageBreak/>
              <w:t> </w:t>
            </w:r>
          </w:p>
        </w:tc>
        <w:tc>
          <w:tcPr>
            <w:tcW w:w="2693" w:type="dxa"/>
            <w:tcBorders>
              <w:top w:val="nil"/>
              <w:left w:val="nil"/>
              <w:bottom w:val="nil"/>
              <w:right w:val="nil"/>
            </w:tcBorders>
            <w:shd w:val="clear" w:color="000000" w:fill="FFFFFF"/>
            <w:noWrap/>
            <w:vAlign w:val="bottom"/>
            <w:hideMark/>
          </w:tcPr>
          <w:p w14:paraId="325CE734" w14:textId="3CD2407C"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1 January 202</w:t>
            </w:r>
            <w:r w:rsidR="006A0EE0" w:rsidRPr="008A7A35">
              <w:rPr>
                <w:rFonts w:ascii="Arial Body" w:hAnsi="Arial Body" w:cs="Calibri"/>
                <w:b/>
                <w:bCs/>
                <w:sz w:val="20"/>
                <w:szCs w:val="20"/>
                <w:lang w:eastAsia="en-GB"/>
              </w:rPr>
              <w:t>5</w:t>
            </w:r>
          </w:p>
        </w:tc>
        <w:tc>
          <w:tcPr>
            <w:tcW w:w="1843" w:type="dxa"/>
            <w:tcBorders>
              <w:top w:val="nil"/>
              <w:left w:val="nil"/>
              <w:bottom w:val="nil"/>
              <w:right w:val="nil"/>
            </w:tcBorders>
            <w:shd w:val="clear" w:color="000000" w:fill="FFFFFF"/>
            <w:noWrap/>
            <w:vAlign w:val="bottom"/>
            <w:hideMark/>
          </w:tcPr>
          <w:p w14:paraId="311E8C6F" w14:textId="6900B76D"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1 January 202</w:t>
            </w:r>
            <w:r w:rsidR="006A0EE0" w:rsidRPr="008A7A35">
              <w:rPr>
                <w:rFonts w:ascii="Arial Body" w:hAnsi="Arial Body" w:cs="Calibri"/>
                <w:b/>
                <w:bCs/>
                <w:sz w:val="20"/>
                <w:szCs w:val="20"/>
                <w:lang w:eastAsia="en-GB"/>
              </w:rPr>
              <w:t>4</w:t>
            </w:r>
          </w:p>
        </w:tc>
      </w:tr>
      <w:tr w:rsidR="002761B1" w:rsidRPr="008A7A35" w14:paraId="71014321" w14:textId="77777777" w:rsidTr="00921C04">
        <w:trPr>
          <w:trHeight w:val="270"/>
        </w:trPr>
        <w:tc>
          <w:tcPr>
            <w:tcW w:w="5387" w:type="dxa"/>
            <w:tcBorders>
              <w:top w:val="nil"/>
              <w:left w:val="nil"/>
              <w:bottom w:val="nil"/>
              <w:right w:val="nil"/>
            </w:tcBorders>
            <w:shd w:val="clear" w:color="000000" w:fill="FFFFFF"/>
            <w:noWrap/>
            <w:vAlign w:val="bottom"/>
            <w:hideMark/>
          </w:tcPr>
          <w:p w14:paraId="665B4282" w14:textId="77777777" w:rsidR="002761B1" w:rsidRPr="008A7A35" w:rsidRDefault="002761B1" w:rsidP="002761B1">
            <w:pPr>
              <w:rPr>
                <w:rFonts w:ascii="Arial Body" w:hAnsi="Arial Body" w:cs="Calibri"/>
                <w:sz w:val="20"/>
                <w:szCs w:val="20"/>
                <w:lang w:eastAsia="en-GB"/>
              </w:rPr>
            </w:pPr>
            <w:r w:rsidRPr="008A7A35">
              <w:rPr>
                <w:rFonts w:ascii="Arial Body" w:hAnsi="Arial Body" w:cs="Calibri"/>
                <w:sz w:val="20"/>
                <w:szCs w:val="20"/>
                <w:lang w:eastAsia="en-GB"/>
              </w:rPr>
              <w:t> </w:t>
            </w:r>
          </w:p>
        </w:tc>
        <w:tc>
          <w:tcPr>
            <w:tcW w:w="2693" w:type="dxa"/>
            <w:tcBorders>
              <w:top w:val="nil"/>
              <w:left w:val="nil"/>
              <w:bottom w:val="nil"/>
              <w:right w:val="nil"/>
            </w:tcBorders>
            <w:shd w:val="clear" w:color="000000" w:fill="FFFFFF"/>
            <w:noWrap/>
            <w:vAlign w:val="bottom"/>
            <w:hideMark/>
          </w:tcPr>
          <w:p w14:paraId="56135968" w14:textId="5B89BD64"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to 30 June 202</w:t>
            </w:r>
            <w:r w:rsidR="006A0EE0" w:rsidRPr="008A7A35">
              <w:rPr>
                <w:rFonts w:ascii="Arial Body" w:hAnsi="Arial Body" w:cs="Calibri"/>
                <w:b/>
                <w:bCs/>
                <w:sz w:val="20"/>
                <w:szCs w:val="20"/>
                <w:lang w:eastAsia="en-GB"/>
              </w:rPr>
              <w:t>5</w:t>
            </w:r>
          </w:p>
        </w:tc>
        <w:tc>
          <w:tcPr>
            <w:tcW w:w="1843" w:type="dxa"/>
            <w:tcBorders>
              <w:top w:val="nil"/>
              <w:left w:val="nil"/>
              <w:bottom w:val="nil"/>
              <w:right w:val="nil"/>
            </w:tcBorders>
            <w:shd w:val="clear" w:color="000000" w:fill="FFFFFF"/>
            <w:noWrap/>
            <w:vAlign w:val="bottom"/>
            <w:hideMark/>
          </w:tcPr>
          <w:p w14:paraId="3F59BF00" w14:textId="4E339BA4"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to 30 June 202</w:t>
            </w:r>
            <w:r w:rsidR="006A0EE0" w:rsidRPr="008A7A35">
              <w:rPr>
                <w:rFonts w:ascii="Arial Body" w:hAnsi="Arial Body" w:cs="Calibri"/>
                <w:b/>
                <w:bCs/>
                <w:sz w:val="20"/>
                <w:szCs w:val="20"/>
                <w:lang w:eastAsia="en-GB"/>
              </w:rPr>
              <w:t>4</w:t>
            </w:r>
          </w:p>
        </w:tc>
      </w:tr>
      <w:tr w:rsidR="006A0EE0" w:rsidRPr="008A7A35" w14:paraId="1984FA01" w14:textId="77777777" w:rsidTr="00921C04">
        <w:trPr>
          <w:trHeight w:val="270"/>
        </w:trPr>
        <w:tc>
          <w:tcPr>
            <w:tcW w:w="5387" w:type="dxa"/>
            <w:tcBorders>
              <w:top w:val="nil"/>
              <w:left w:val="nil"/>
              <w:bottom w:val="single" w:sz="4" w:space="0" w:color="auto"/>
              <w:right w:val="nil"/>
            </w:tcBorders>
            <w:shd w:val="clear" w:color="000000" w:fill="FFFFFF"/>
            <w:noWrap/>
            <w:vAlign w:val="bottom"/>
            <w:hideMark/>
          </w:tcPr>
          <w:p w14:paraId="58794AEA" w14:textId="77777777" w:rsidR="006A0EE0" w:rsidRPr="008A7A35" w:rsidRDefault="006A0EE0" w:rsidP="006A0EE0">
            <w:pPr>
              <w:rPr>
                <w:rFonts w:ascii="Arial Body" w:hAnsi="Arial Body" w:cs="Calibri"/>
                <w:b/>
                <w:bCs/>
                <w:sz w:val="20"/>
                <w:szCs w:val="20"/>
                <w:lang w:eastAsia="en-GB"/>
              </w:rPr>
            </w:pPr>
            <w:r w:rsidRPr="008A7A35">
              <w:rPr>
                <w:rFonts w:ascii="Arial Body" w:hAnsi="Arial Body" w:cs="Calibri"/>
                <w:b/>
                <w:bCs/>
                <w:sz w:val="20"/>
                <w:szCs w:val="20"/>
                <w:lang w:eastAsia="en-GB"/>
              </w:rPr>
              <w:t>Summary Income Statement</w:t>
            </w:r>
          </w:p>
        </w:tc>
        <w:tc>
          <w:tcPr>
            <w:tcW w:w="2693" w:type="dxa"/>
            <w:tcBorders>
              <w:top w:val="nil"/>
              <w:left w:val="nil"/>
              <w:bottom w:val="single" w:sz="4" w:space="0" w:color="auto"/>
              <w:right w:val="nil"/>
            </w:tcBorders>
            <w:shd w:val="clear" w:color="000000" w:fill="FFFFFF"/>
            <w:noWrap/>
            <w:vAlign w:val="center"/>
            <w:hideMark/>
          </w:tcPr>
          <w:p w14:paraId="403BCBA6" w14:textId="77777777" w:rsidR="006A0EE0" w:rsidRPr="008A7A35" w:rsidRDefault="006A0EE0" w:rsidP="006A0EE0">
            <w:pPr>
              <w:jc w:val="right"/>
              <w:rPr>
                <w:rFonts w:ascii="Arial Body" w:hAnsi="Arial Body" w:cs="Calibri"/>
                <w:b/>
                <w:bCs/>
                <w:sz w:val="20"/>
                <w:szCs w:val="20"/>
                <w:lang w:eastAsia="en-GB"/>
              </w:rPr>
            </w:pPr>
            <w:r w:rsidRPr="008A7A35">
              <w:rPr>
                <w:rFonts w:ascii="Arial Body" w:hAnsi="Arial Body" w:cs="Calibri"/>
                <w:b/>
                <w:bCs/>
                <w:sz w:val="20"/>
                <w:szCs w:val="20"/>
                <w:lang w:eastAsia="en-GB"/>
              </w:rPr>
              <w:t>$’000</w:t>
            </w:r>
          </w:p>
        </w:tc>
        <w:tc>
          <w:tcPr>
            <w:tcW w:w="1843" w:type="dxa"/>
            <w:tcBorders>
              <w:top w:val="nil"/>
              <w:left w:val="nil"/>
              <w:bottom w:val="single" w:sz="4" w:space="0" w:color="auto"/>
              <w:right w:val="nil"/>
            </w:tcBorders>
            <w:shd w:val="clear" w:color="000000" w:fill="FFFFFF"/>
            <w:noWrap/>
            <w:vAlign w:val="center"/>
            <w:hideMark/>
          </w:tcPr>
          <w:p w14:paraId="51007493" w14:textId="2CE6B527" w:rsidR="006A0EE0" w:rsidRPr="008A7A35" w:rsidRDefault="006A0EE0" w:rsidP="006A0EE0">
            <w:pPr>
              <w:jc w:val="right"/>
              <w:rPr>
                <w:rFonts w:ascii="Arial Body" w:hAnsi="Arial Body" w:cs="Calibri"/>
                <w:b/>
                <w:bCs/>
                <w:sz w:val="20"/>
                <w:szCs w:val="20"/>
                <w:lang w:eastAsia="en-GB"/>
              </w:rPr>
            </w:pPr>
            <w:r w:rsidRPr="008A7A35">
              <w:rPr>
                <w:rFonts w:ascii="Arial Body" w:hAnsi="Arial Body" w:cs="Calibri"/>
                <w:b/>
                <w:bCs/>
                <w:sz w:val="20"/>
                <w:szCs w:val="20"/>
                <w:lang w:eastAsia="en-GB"/>
              </w:rPr>
              <w:t>$’000</w:t>
            </w:r>
          </w:p>
        </w:tc>
      </w:tr>
      <w:tr w:rsidR="006A0EE0" w:rsidRPr="008A7A35" w14:paraId="2F8B56F8" w14:textId="77777777" w:rsidTr="00921C04">
        <w:trPr>
          <w:trHeight w:val="270"/>
        </w:trPr>
        <w:tc>
          <w:tcPr>
            <w:tcW w:w="5387" w:type="dxa"/>
            <w:tcBorders>
              <w:top w:val="nil"/>
              <w:left w:val="nil"/>
              <w:bottom w:val="nil"/>
              <w:right w:val="nil"/>
            </w:tcBorders>
            <w:shd w:val="clear" w:color="000000" w:fill="FFFFFF"/>
            <w:noWrap/>
            <w:vAlign w:val="bottom"/>
            <w:hideMark/>
          </w:tcPr>
          <w:p w14:paraId="1D77C099" w14:textId="3D6F1C35"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 xml:space="preserve">Unrealised and realised </w:t>
            </w:r>
            <w:r w:rsidR="00F772FD" w:rsidRPr="008A7A35">
              <w:rPr>
                <w:rFonts w:ascii="Arial Body" w:hAnsi="Arial Body" w:cs="Calibri"/>
                <w:sz w:val="20"/>
                <w:szCs w:val="20"/>
                <w:lang w:eastAsia="en-GB"/>
              </w:rPr>
              <w:t>gain/(</w:t>
            </w:r>
            <w:r w:rsidRPr="008A7A35">
              <w:rPr>
                <w:rFonts w:ascii="Arial Body" w:hAnsi="Arial Body" w:cs="Calibri"/>
                <w:sz w:val="20"/>
                <w:szCs w:val="20"/>
                <w:lang w:eastAsia="en-GB"/>
              </w:rPr>
              <w:t>loss</w:t>
            </w:r>
            <w:r w:rsidR="00F772FD" w:rsidRPr="008A7A35">
              <w:rPr>
                <w:rFonts w:ascii="Arial Body" w:hAnsi="Arial Body" w:cs="Calibri"/>
                <w:sz w:val="20"/>
                <w:szCs w:val="20"/>
                <w:lang w:eastAsia="en-GB"/>
              </w:rPr>
              <w:t>)</w:t>
            </w:r>
            <w:r w:rsidRPr="008A7A35">
              <w:rPr>
                <w:rFonts w:ascii="Arial Body" w:hAnsi="Arial Body" w:cs="Calibri"/>
                <w:sz w:val="20"/>
                <w:szCs w:val="20"/>
                <w:lang w:eastAsia="en-GB"/>
              </w:rPr>
              <w:t xml:space="preserve"> on Partnership's investments (net)</w:t>
            </w:r>
          </w:p>
        </w:tc>
        <w:tc>
          <w:tcPr>
            <w:tcW w:w="2693" w:type="dxa"/>
            <w:tcBorders>
              <w:top w:val="nil"/>
              <w:left w:val="nil"/>
              <w:bottom w:val="nil"/>
              <w:right w:val="nil"/>
            </w:tcBorders>
            <w:shd w:val="clear" w:color="000000" w:fill="FFFFFF"/>
            <w:vAlign w:val="bottom"/>
          </w:tcPr>
          <w:p w14:paraId="162464F5" w14:textId="075E2AF2" w:rsidR="006A0EE0" w:rsidRPr="008A7A35" w:rsidRDefault="00162240" w:rsidP="006A0EE0">
            <w:pPr>
              <w:jc w:val="right"/>
              <w:rPr>
                <w:rFonts w:ascii="Arial Body" w:hAnsi="Arial Body" w:cs="Calibri"/>
                <w:b/>
                <w:bCs/>
                <w:sz w:val="20"/>
                <w:szCs w:val="20"/>
                <w:lang w:eastAsia="en-GB"/>
              </w:rPr>
            </w:pPr>
            <w:r>
              <w:rPr>
                <w:rFonts w:ascii="Arial" w:hAnsi="Arial"/>
                <w:b/>
                <w:bCs/>
                <w:sz w:val="20"/>
              </w:rPr>
              <w:t>2,735</w:t>
            </w:r>
          </w:p>
        </w:tc>
        <w:tc>
          <w:tcPr>
            <w:tcW w:w="1843" w:type="dxa"/>
            <w:tcBorders>
              <w:top w:val="nil"/>
              <w:left w:val="nil"/>
              <w:bottom w:val="nil"/>
              <w:right w:val="nil"/>
            </w:tcBorders>
            <w:shd w:val="clear" w:color="000000" w:fill="FFFFFF"/>
            <w:vAlign w:val="bottom"/>
            <w:hideMark/>
          </w:tcPr>
          <w:p w14:paraId="0D41C766" w14:textId="0A291E06" w:rsidR="006A0EE0" w:rsidRPr="006837AE" w:rsidRDefault="006A0EE0" w:rsidP="006A0EE0">
            <w:pPr>
              <w:jc w:val="right"/>
              <w:rPr>
                <w:rFonts w:ascii="Arial Body" w:hAnsi="Arial Body" w:cs="Calibri"/>
                <w:sz w:val="20"/>
                <w:szCs w:val="20"/>
                <w:lang w:eastAsia="en-GB"/>
              </w:rPr>
            </w:pPr>
            <w:r w:rsidRPr="006837AE">
              <w:rPr>
                <w:rFonts w:ascii="Arial" w:hAnsi="Arial" w:cs="Arial"/>
                <w:sz w:val="20"/>
                <w:szCs w:val="20"/>
              </w:rPr>
              <w:t>(13,500)</w:t>
            </w:r>
          </w:p>
        </w:tc>
      </w:tr>
      <w:tr w:rsidR="006A0EE0" w:rsidRPr="008A7A35" w14:paraId="453EBABE" w14:textId="77777777" w:rsidTr="00921C04">
        <w:trPr>
          <w:trHeight w:val="270"/>
        </w:trPr>
        <w:tc>
          <w:tcPr>
            <w:tcW w:w="5387" w:type="dxa"/>
            <w:tcBorders>
              <w:top w:val="nil"/>
              <w:left w:val="nil"/>
              <w:bottom w:val="nil"/>
              <w:right w:val="nil"/>
            </w:tcBorders>
            <w:shd w:val="clear" w:color="000000" w:fill="FFFFFF"/>
            <w:noWrap/>
            <w:vAlign w:val="bottom"/>
            <w:hideMark/>
          </w:tcPr>
          <w:p w14:paraId="0F942371" w14:textId="77777777"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Interest and other income</w:t>
            </w:r>
          </w:p>
        </w:tc>
        <w:tc>
          <w:tcPr>
            <w:tcW w:w="2693" w:type="dxa"/>
            <w:tcBorders>
              <w:top w:val="nil"/>
              <w:left w:val="nil"/>
              <w:bottom w:val="nil"/>
              <w:right w:val="nil"/>
            </w:tcBorders>
            <w:shd w:val="clear" w:color="000000" w:fill="FFFFFF"/>
            <w:vAlign w:val="bottom"/>
          </w:tcPr>
          <w:p w14:paraId="41205422" w14:textId="42A24767" w:rsidR="006A0EE0" w:rsidRPr="008A7A35" w:rsidRDefault="00896F52" w:rsidP="006A0EE0">
            <w:pPr>
              <w:jc w:val="right"/>
              <w:rPr>
                <w:rFonts w:ascii="Arial Body" w:hAnsi="Arial Body" w:cs="Calibri"/>
                <w:b/>
                <w:bCs/>
                <w:sz w:val="20"/>
                <w:szCs w:val="20"/>
                <w:lang w:eastAsia="en-GB"/>
              </w:rPr>
            </w:pPr>
            <w:r>
              <w:rPr>
                <w:rFonts w:ascii="Arial" w:hAnsi="Arial"/>
                <w:b/>
                <w:bCs/>
                <w:sz w:val="20"/>
              </w:rPr>
              <w:t>5,873</w:t>
            </w:r>
          </w:p>
        </w:tc>
        <w:tc>
          <w:tcPr>
            <w:tcW w:w="1843" w:type="dxa"/>
            <w:tcBorders>
              <w:top w:val="nil"/>
              <w:left w:val="nil"/>
              <w:bottom w:val="nil"/>
              <w:right w:val="nil"/>
            </w:tcBorders>
            <w:shd w:val="clear" w:color="000000" w:fill="FFFFFF"/>
            <w:vAlign w:val="bottom"/>
            <w:hideMark/>
          </w:tcPr>
          <w:p w14:paraId="10486B08" w14:textId="0C2C8FB7" w:rsidR="006A0EE0" w:rsidRPr="006837AE" w:rsidRDefault="006A0EE0" w:rsidP="006A0EE0">
            <w:pPr>
              <w:jc w:val="right"/>
              <w:rPr>
                <w:rFonts w:ascii="Arial Body" w:hAnsi="Arial Body" w:cs="Calibri"/>
                <w:sz w:val="20"/>
                <w:szCs w:val="20"/>
                <w:lang w:eastAsia="en-GB"/>
              </w:rPr>
            </w:pPr>
            <w:r w:rsidRPr="006837AE">
              <w:rPr>
                <w:rFonts w:ascii="Arial" w:hAnsi="Arial" w:cs="Arial"/>
                <w:sz w:val="20"/>
                <w:szCs w:val="20"/>
              </w:rPr>
              <w:t>4,741</w:t>
            </w:r>
          </w:p>
        </w:tc>
      </w:tr>
      <w:tr w:rsidR="006A0EE0" w:rsidRPr="008A7A35" w14:paraId="4A066B4F" w14:textId="77777777" w:rsidTr="00921C04">
        <w:trPr>
          <w:trHeight w:val="270"/>
        </w:trPr>
        <w:tc>
          <w:tcPr>
            <w:tcW w:w="5387" w:type="dxa"/>
            <w:tcBorders>
              <w:top w:val="nil"/>
              <w:left w:val="nil"/>
              <w:bottom w:val="nil"/>
              <w:right w:val="nil"/>
            </w:tcBorders>
            <w:shd w:val="clear" w:color="000000" w:fill="FFFFFF"/>
            <w:noWrap/>
            <w:vAlign w:val="bottom"/>
            <w:hideMark/>
          </w:tcPr>
          <w:p w14:paraId="128EE4A4" w14:textId="77777777"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Management fee expense - see Note 7</w:t>
            </w:r>
          </w:p>
        </w:tc>
        <w:tc>
          <w:tcPr>
            <w:tcW w:w="2693" w:type="dxa"/>
            <w:tcBorders>
              <w:top w:val="nil"/>
              <w:left w:val="nil"/>
              <w:bottom w:val="nil"/>
              <w:right w:val="nil"/>
            </w:tcBorders>
            <w:shd w:val="clear" w:color="000000" w:fill="FFFFFF"/>
            <w:vAlign w:val="bottom"/>
          </w:tcPr>
          <w:p w14:paraId="0EE62459" w14:textId="669A0AD0" w:rsidR="006A0EE0" w:rsidRPr="008A7A35" w:rsidRDefault="00F772FD" w:rsidP="006A0EE0">
            <w:pPr>
              <w:jc w:val="right"/>
              <w:rPr>
                <w:rFonts w:ascii="Arial Body" w:hAnsi="Arial Body" w:cs="Calibri"/>
                <w:b/>
                <w:bCs/>
                <w:sz w:val="20"/>
                <w:szCs w:val="20"/>
                <w:lang w:eastAsia="en-GB"/>
              </w:rPr>
            </w:pPr>
            <w:r w:rsidRPr="008A7A35">
              <w:rPr>
                <w:rFonts w:ascii="Arial" w:hAnsi="Arial"/>
                <w:b/>
                <w:bCs/>
                <w:sz w:val="20"/>
              </w:rPr>
              <w:t>(</w:t>
            </w:r>
            <w:r w:rsidR="00162240">
              <w:rPr>
                <w:rFonts w:ascii="Arial" w:hAnsi="Arial"/>
                <w:b/>
                <w:bCs/>
                <w:sz w:val="20"/>
              </w:rPr>
              <w:t>2,77</w:t>
            </w:r>
            <w:r w:rsidR="00896F52">
              <w:rPr>
                <w:rFonts w:ascii="Arial" w:hAnsi="Arial"/>
                <w:b/>
                <w:bCs/>
                <w:sz w:val="20"/>
              </w:rPr>
              <w:t>2</w:t>
            </w:r>
            <w:r w:rsidRPr="008A7A35">
              <w:rPr>
                <w:rFonts w:ascii="Arial" w:hAnsi="Arial"/>
                <w:b/>
                <w:bCs/>
                <w:sz w:val="20"/>
              </w:rPr>
              <w:t>)</w:t>
            </w:r>
          </w:p>
        </w:tc>
        <w:tc>
          <w:tcPr>
            <w:tcW w:w="1843" w:type="dxa"/>
            <w:tcBorders>
              <w:top w:val="nil"/>
              <w:left w:val="nil"/>
              <w:bottom w:val="nil"/>
              <w:right w:val="nil"/>
            </w:tcBorders>
            <w:shd w:val="clear" w:color="000000" w:fill="FFFFFF"/>
            <w:vAlign w:val="bottom"/>
            <w:hideMark/>
          </w:tcPr>
          <w:p w14:paraId="2E0D29B9" w14:textId="403862CF" w:rsidR="006A0EE0" w:rsidRPr="006837AE" w:rsidRDefault="006A0EE0" w:rsidP="006A0EE0">
            <w:pPr>
              <w:jc w:val="right"/>
              <w:rPr>
                <w:rFonts w:ascii="Arial Body" w:hAnsi="Arial Body" w:cs="Calibri"/>
                <w:sz w:val="20"/>
                <w:szCs w:val="20"/>
                <w:lang w:eastAsia="en-GB"/>
              </w:rPr>
            </w:pPr>
            <w:r w:rsidRPr="006837AE">
              <w:rPr>
                <w:rFonts w:ascii="Arial" w:hAnsi="Arial" w:cs="Arial"/>
                <w:sz w:val="20"/>
                <w:szCs w:val="20"/>
              </w:rPr>
              <w:t>(3,581)</w:t>
            </w:r>
          </w:p>
        </w:tc>
      </w:tr>
      <w:tr w:rsidR="006A0EE0" w:rsidRPr="008A7A35" w14:paraId="6A9CFFA2" w14:textId="77777777" w:rsidTr="00921C04">
        <w:trPr>
          <w:trHeight w:val="270"/>
        </w:trPr>
        <w:tc>
          <w:tcPr>
            <w:tcW w:w="5387" w:type="dxa"/>
            <w:tcBorders>
              <w:top w:val="nil"/>
              <w:left w:val="nil"/>
              <w:bottom w:val="single" w:sz="4" w:space="0" w:color="auto"/>
              <w:right w:val="nil"/>
            </w:tcBorders>
            <w:shd w:val="clear" w:color="000000" w:fill="FFFFFF"/>
            <w:noWrap/>
            <w:vAlign w:val="bottom"/>
            <w:hideMark/>
          </w:tcPr>
          <w:p w14:paraId="734F8C04" w14:textId="77777777" w:rsidR="006A0EE0" w:rsidRPr="008A7A35" w:rsidRDefault="006A0EE0" w:rsidP="006A0EE0">
            <w:pPr>
              <w:rPr>
                <w:rFonts w:ascii="Arial Body" w:hAnsi="Arial Body" w:cs="Calibri"/>
                <w:sz w:val="20"/>
                <w:szCs w:val="20"/>
                <w:lang w:eastAsia="en-GB"/>
              </w:rPr>
            </w:pPr>
            <w:r w:rsidRPr="008A7A35">
              <w:rPr>
                <w:rFonts w:ascii="Arial Body" w:hAnsi="Arial Body" w:cs="Calibri"/>
                <w:sz w:val="20"/>
                <w:szCs w:val="20"/>
                <w:lang w:eastAsia="en-GB"/>
              </w:rPr>
              <w:t>Other operating expenses</w:t>
            </w:r>
          </w:p>
        </w:tc>
        <w:tc>
          <w:tcPr>
            <w:tcW w:w="2693" w:type="dxa"/>
            <w:tcBorders>
              <w:top w:val="nil"/>
              <w:left w:val="nil"/>
              <w:bottom w:val="single" w:sz="4" w:space="0" w:color="auto"/>
              <w:right w:val="nil"/>
            </w:tcBorders>
            <w:shd w:val="clear" w:color="000000" w:fill="FFFFFF"/>
            <w:vAlign w:val="bottom"/>
          </w:tcPr>
          <w:p w14:paraId="4DBB58E2" w14:textId="3E9DC9F2" w:rsidR="006A0EE0" w:rsidRPr="008A7A35" w:rsidRDefault="00F772FD" w:rsidP="006A0EE0">
            <w:pPr>
              <w:jc w:val="right"/>
              <w:rPr>
                <w:rFonts w:ascii="Arial Body" w:hAnsi="Arial Body" w:cs="Calibri"/>
                <w:b/>
                <w:bCs/>
                <w:sz w:val="20"/>
                <w:szCs w:val="20"/>
                <w:lang w:eastAsia="en-GB"/>
              </w:rPr>
            </w:pPr>
            <w:r w:rsidRPr="008A7A35">
              <w:rPr>
                <w:rFonts w:ascii="Arial" w:hAnsi="Arial"/>
                <w:b/>
                <w:bCs/>
                <w:sz w:val="20"/>
              </w:rPr>
              <w:t>(88</w:t>
            </w:r>
            <w:r w:rsidR="00162240">
              <w:rPr>
                <w:rFonts w:ascii="Arial" w:hAnsi="Arial"/>
                <w:b/>
                <w:bCs/>
                <w:sz w:val="20"/>
              </w:rPr>
              <w:t>3</w:t>
            </w:r>
            <w:r w:rsidRPr="008A7A35">
              <w:rPr>
                <w:rFonts w:ascii="Arial" w:hAnsi="Arial"/>
                <w:b/>
                <w:bCs/>
                <w:sz w:val="20"/>
              </w:rPr>
              <w:t>)</w:t>
            </w:r>
          </w:p>
        </w:tc>
        <w:tc>
          <w:tcPr>
            <w:tcW w:w="1843" w:type="dxa"/>
            <w:tcBorders>
              <w:top w:val="nil"/>
              <w:left w:val="nil"/>
              <w:bottom w:val="single" w:sz="4" w:space="0" w:color="auto"/>
              <w:right w:val="nil"/>
            </w:tcBorders>
            <w:shd w:val="clear" w:color="000000" w:fill="FFFFFF"/>
            <w:vAlign w:val="bottom"/>
            <w:hideMark/>
          </w:tcPr>
          <w:p w14:paraId="274DB171" w14:textId="0454A77D" w:rsidR="006A0EE0" w:rsidRPr="006837AE" w:rsidRDefault="006A0EE0" w:rsidP="006A0EE0">
            <w:pPr>
              <w:jc w:val="right"/>
              <w:rPr>
                <w:rFonts w:ascii="Arial Body" w:hAnsi="Arial Body" w:cs="Calibri"/>
                <w:sz w:val="20"/>
                <w:szCs w:val="20"/>
                <w:lang w:eastAsia="en-GB"/>
              </w:rPr>
            </w:pPr>
            <w:r w:rsidRPr="006837AE">
              <w:rPr>
                <w:rFonts w:ascii="Arial" w:hAnsi="Arial" w:cs="Arial"/>
                <w:sz w:val="20"/>
                <w:szCs w:val="20"/>
              </w:rPr>
              <w:t>(437)</w:t>
            </w:r>
          </w:p>
        </w:tc>
      </w:tr>
      <w:tr w:rsidR="006A0EE0" w:rsidRPr="008A7A35" w14:paraId="5754D6D2" w14:textId="77777777" w:rsidTr="00921C04">
        <w:trPr>
          <w:trHeight w:val="280"/>
        </w:trPr>
        <w:tc>
          <w:tcPr>
            <w:tcW w:w="5387" w:type="dxa"/>
            <w:tcBorders>
              <w:top w:val="single" w:sz="4" w:space="0" w:color="auto"/>
              <w:left w:val="nil"/>
              <w:bottom w:val="single" w:sz="8" w:space="0" w:color="auto"/>
              <w:right w:val="nil"/>
            </w:tcBorders>
            <w:shd w:val="clear" w:color="000000" w:fill="FFFFFF"/>
            <w:vAlign w:val="bottom"/>
            <w:hideMark/>
          </w:tcPr>
          <w:p w14:paraId="07A00BC2" w14:textId="6B6C5084" w:rsidR="006A0EE0" w:rsidRPr="008A7A35" w:rsidRDefault="006A0EE0" w:rsidP="006A0EE0">
            <w:pPr>
              <w:rPr>
                <w:rFonts w:ascii="Arial Body" w:hAnsi="Arial Body" w:cs="Calibri"/>
                <w:b/>
                <w:bCs/>
                <w:sz w:val="20"/>
                <w:szCs w:val="20"/>
                <w:lang w:eastAsia="en-GB"/>
              </w:rPr>
            </w:pPr>
            <w:r w:rsidRPr="008A7A35">
              <w:rPr>
                <w:rFonts w:ascii="Arial Body" w:hAnsi="Arial Body" w:cs="Calibri"/>
                <w:b/>
                <w:bCs/>
                <w:sz w:val="20"/>
                <w:szCs w:val="20"/>
                <w:lang w:eastAsia="en-GB"/>
              </w:rPr>
              <w:t xml:space="preserve">Portion of the operating </w:t>
            </w:r>
            <w:r w:rsidR="00055035" w:rsidRPr="008A7A35">
              <w:rPr>
                <w:rFonts w:ascii="Arial Body" w:hAnsi="Arial Body" w:cs="Calibri"/>
                <w:b/>
                <w:bCs/>
                <w:sz w:val="20"/>
                <w:szCs w:val="20"/>
                <w:lang w:eastAsia="en-GB"/>
              </w:rPr>
              <w:t>gain/(</w:t>
            </w:r>
            <w:r w:rsidRPr="008A7A35">
              <w:rPr>
                <w:rFonts w:ascii="Arial Body" w:hAnsi="Arial Body" w:cs="Calibri"/>
                <w:b/>
                <w:bCs/>
                <w:sz w:val="20"/>
                <w:szCs w:val="20"/>
                <w:lang w:eastAsia="en-GB"/>
              </w:rPr>
              <w:t>loss</w:t>
            </w:r>
            <w:r w:rsidR="00055035" w:rsidRPr="008A7A35">
              <w:rPr>
                <w:rFonts w:ascii="Arial Body" w:hAnsi="Arial Body" w:cs="Calibri"/>
                <w:b/>
                <w:bCs/>
                <w:sz w:val="20"/>
                <w:szCs w:val="20"/>
                <w:lang w:eastAsia="en-GB"/>
              </w:rPr>
              <w:t>)</w:t>
            </w:r>
            <w:r w:rsidRPr="008A7A35">
              <w:rPr>
                <w:rFonts w:ascii="Arial Body" w:hAnsi="Arial Body" w:cs="Calibri"/>
                <w:b/>
                <w:bCs/>
                <w:sz w:val="20"/>
                <w:szCs w:val="20"/>
                <w:lang w:eastAsia="en-GB"/>
              </w:rPr>
              <w:t xml:space="preserve"> for the period attributable to REL's investment in the Partnership</w:t>
            </w:r>
          </w:p>
        </w:tc>
        <w:tc>
          <w:tcPr>
            <w:tcW w:w="2693" w:type="dxa"/>
            <w:tcBorders>
              <w:top w:val="single" w:sz="4" w:space="0" w:color="auto"/>
              <w:left w:val="nil"/>
              <w:bottom w:val="single" w:sz="8" w:space="0" w:color="auto"/>
              <w:right w:val="nil"/>
            </w:tcBorders>
            <w:shd w:val="clear" w:color="000000" w:fill="FFFFFF"/>
            <w:noWrap/>
            <w:vAlign w:val="bottom"/>
          </w:tcPr>
          <w:p w14:paraId="54F0B357" w14:textId="77777777" w:rsidR="006A0EE0" w:rsidRPr="008A7A35" w:rsidRDefault="006A0EE0" w:rsidP="00391CE4">
            <w:pPr>
              <w:jc w:val="center"/>
              <w:rPr>
                <w:rFonts w:ascii="Arial" w:hAnsi="Arial" w:cs="Arial"/>
                <w:b/>
                <w:bCs/>
                <w:sz w:val="20"/>
                <w:szCs w:val="20"/>
              </w:rPr>
            </w:pPr>
          </w:p>
          <w:p w14:paraId="21EFB85E" w14:textId="46591078" w:rsidR="006A0EE0" w:rsidRPr="008A7A35" w:rsidRDefault="00896F52" w:rsidP="006A0EE0">
            <w:pPr>
              <w:jc w:val="right"/>
              <w:rPr>
                <w:rFonts w:ascii="Arial Body" w:hAnsi="Arial Body" w:cs="Calibri"/>
                <w:b/>
                <w:bCs/>
                <w:sz w:val="20"/>
                <w:szCs w:val="20"/>
                <w:lang w:eastAsia="en-GB"/>
              </w:rPr>
            </w:pPr>
            <w:r>
              <w:rPr>
                <w:rFonts w:ascii="Arial" w:hAnsi="Arial"/>
                <w:b/>
                <w:bCs/>
                <w:sz w:val="20"/>
              </w:rPr>
              <w:t>4,953</w:t>
            </w:r>
            <w:r w:rsidR="006A0EE0" w:rsidRPr="008A7A35" w:rsidDel="006A0EE0">
              <w:rPr>
                <w:rFonts w:ascii="Arial" w:hAnsi="Arial" w:cs="Arial"/>
                <w:b/>
                <w:bCs/>
                <w:sz w:val="20"/>
                <w:szCs w:val="20"/>
              </w:rPr>
              <w:t xml:space="preserve"> </w:t>
            </w:r>
          </w:p>
        </w:tc>
        <w:tc>
          <w:tcPr>
            <w:tcW w:w="1843" w:type="dxa"/>
            <w:tcBorders>
              <w:top w:val="single" w:sz="4" w:space="0" w:color="auto"/>
              <w:left w:val="nil"/>
              <w:bottom w:val="single" w:sz="8" w:space="0" w:color="auto"/>
              <w:right w:val="nil"/>
            </w:tcBorders>
            <w:shd w:val="clear" w:color="000000" w:fill="FFFFFF"/>
            <w:noWrap/>
            <w:vAlign w:val="bottom"/>
            <w:hideMark/>
          </w:tcPr>
          <w:p w14:paraId="4262DEAC" w14:textId="77777777" w:rsidR="006A0EE0" w:rsidRPr="006837AE" w:rsidRDefault="006A0EE0" w:rsidP="006A0EE0">
            <w:pPr>
              <w:jc w:val="right"/>
              <w:rPr>
                <w:rFonts w:ascii="Arial" w:hAnsi="Arial" w:cs="Arial"/>
                <w:sz w:val="20"/>
                <w:szCs w:val="20"/>
              </w:rPr>
            </w:pPr>
          </w:p>
          <w:p w14:paraId="0480AC0B" w14:textId="173458E2" w:rsidR="006A0EE0" w:rsidRPr="006837AE" w:rsidRDefault="006A0EE0" w:rsidP="006A0EE0">
            <w:pPr>
              <w:jc w:val="right"/>
              <w:rPr>
                <w:rFonts w:ascii="Arial Body" w:hAnsi="Arial Body" w:cs="Calibri"/>
                <w:sz w:val="20"/>
                <w:szCs w:val="20"/>
                <w:lang w:eastAsia="en-GB"/>
              </w:rPr>
            </w:pPr>
            <w:r w:rsidRPr="006837AE">
              <w:rPr>
                <w:rFonts w:ascii="Arial" w:hAnsi="Arial" w:cs="Arial"/>
                <w:sz w:val="20"/>
                <w:szCs w:val="20"/>
              </w:rPr>
              <w:t>(12,778)</w:t>
            </w:r>
          </w:p>
        </w:tc>
      </w:tr>
    </w:tbl>
    <w:p w14:paraId="18632960" w14:textId="77777777" w:rsidR="00AF3A1E" w:rsidRPr="008A7A35" w:rsidRDefault="00AF3A1E" w:rsidP="00A62E17">
      <w:pPr>
        <w:tabs>
          <w:tab w:val="left" w:pos="6903"/>
        </w:tabs>
        <w:rPr>
          <w:rFonts w:ascii="Arial" w:hAnsi="Arial" w:cs="Arial"/>
          <w:sz w:val="26"/>
          <w:szCs w:val="26"/>
        </w:rPr>
      </w:pPr>
    </w:p>
    <w:tbl>
      <w:tblPr>
        <w:tblW w:w="9923" w:type="dxa"/>
        <w:tblLook w:val="04A0" w:firstRow="1" w:lastRow="0" w:firstColumn="1" w:lastColumn="0" w:noHBand="0" w:noVBand="1"/>
      </w:tblPr>
      <w:tblGrid>
        <w:gridCol w:w="5387"/>
        <w:gridCol w:w="2693"/>
        <w:gridCol w:w="1843"/>
      </w:tblGrid>
      <w:tr w:rsidR="006C2D6D" w:rsidRPr="008A7A35" w14:paraId="4CF63BAE" w14:textId="77777777" w:rsidTr="00921C04">
        <w:trPr>
          <w:trHeight w:val="267"/>
        </w:trPr>
        <w:tc>
          <w:tcPr>
            <w:tcW w:w="5387" w:type="dxa"/>
            <w:tcBorders>
              <w:top w:val="nil"/>
              <w:left w:val="nil"/>
              <w:bottom w:val="nil"/>
              <w:right w:val="nil"/>
            </w:tcBorders>
            <w:shd w:val="clear" w:color="000000" w:fill="FFFFFF"/>
            <w:noWrap/>
            <w:vAlign w:val="bottom"/>
            <w:hideMark/>
          </w:tcPr>
          <w:p w14:paraId="4C770E00" w14:textId="77777777" w:rsidR="002761B1" w:rsidRPr="008A7A35" w:rsidRDefault="002761B1" w:rsidP="002761B1">
            <w:pPr>
              <w:rPr>
                <w:rFonts w:ascii="Arial Body" w:hAnsi="Arial Body" w:cs="Calibri"/>
                <w:sz w:val="20"/>
                <w:szCs w:val="20"/>
                <w:lang w:eastAsia="en-GB"/>
              </w:rPr>
            </w:pPr>
            <w:r w:rsidRPr="008A7A35">
              <w:rPr>
                <w:rFonts w:ascii="Arial Body" w:hAnsi="Arial Body" w:cs="Calibri"/>
                <w:sz w:val="20"/>
                <w:szCs w:val="20"/>
                <w:lang w:eastAsia="en-GB"/>
              </w:rPr>
              <w:t> </w:t>
            </w:r>
          </w:p>
        </w:tc>
        <w:tc>
          <w:tcPr>
            <w:tcW w:w="2693" w:type="dxa"/>
            <w:tcBorders>
              <w:top w:val="nil"/>
              <w:left w:val="nil"/>
              <w:bottom w:val="nil"/>
              <w:right w:val="nil"/>
            </w:tcBorders>
            <w:shd w:val="clear" w:color="000000" w:fill="FFFFFF"/>
            <w:noWrap/>
            <w:vAlign w:val="bottom"/>
            <w:hideMark/>
          </w:tcPr>
          <w:p w14:paraId="0E610725" w14:textId="4E429B7C"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1 January 202</w:t>
            </w:r>
            <w:r w:rsidR="00D26880" w:rsidRPr="008A7A35">
              <w:rPr>
                <w:rFonts w:ascii="Arial Body" w:hAnsi="Arial Body" w:cs="Calibri"/>
                <w:b/>
                <w:bCs/>
                <w:sz w:val="20"/>
                <w:szCs w:val="20"/>
                <w:lang w:eastAsia="en-GB"/>
              </w:rPr>
              <w:t>5</w:t>
            </w:r>
          </w:p>
        </w:tc>
        <w:tc>
          <w:tcPr>
            <w:tcW w:w="1843" w:type="dxa"/>
            <w:tcBorders>
              <w:top w:val="nil"/>
              <w:left w:val="nil"/>
              <w:bottom w:val="nil"/>
              <w:right w:val="nil"/>
            </w:tcBorders>
            <w:shd w:val="clear" w:color="000000" w:fill="FFFFFF"/>
            <w:noWrap/>
            <w:vAlign w:val="bottom"/>
            <w:hideMark/>
          </w:tcPr>
          <w:p w14:paraId="3B5BD48F" w14:textId="6C53C587"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1 January 202</w:t>
            </w:r>
            <w:r w:rsidR="00D26880" w:rsidRPr="008A7A35">
              <w:rPr>
                <w:rFonts w:ascii="Arial Body" w:hAnsi="Arial Body" w:cs="Calibri"/>
                <w:b/>
                <w:bCs/>
                <w:sz w:val="20"/>
                <w:szCs w:val="20"/>
                <w:lang w:eastAsia="en-GB"/>
              </w:rPr>
              <w:t>4</w:t>
            </w:r>
          </w:p>
        </w:tc>
      </w:tr>
      <w:tr w:rsidR="006C2D6D" w:rsidRPr="008A7A35" w14:paraId="4B11945A" w14:textId="77777777" w:rsidTr="00921C04">
        <w:trPr>
          <w:trHeight w:val="267"/>
        </w:trPr>
        <w:tc>
          <w:tcPr>
            <w:tcW w:w="5387" w:type="dxa"/>
            <w:tcBorders>
              <w:top w:val="nil"/>
              <w:left w:val="nil"/>
              <w:bottom w:val="nil"/>
              <w:right w:val="nil"/>
            </w:tcBorders>
            <w:shd w:val="clear" w:color="000000" w:fill="FFFFFF"/>
            <w:noWrap/>
            <w:vAlign w:val="bottom"/>
            <w:hideMark/>
          </w:tcPr>
          <w:p w14:paraId="1D5C51DD" w14:textId="77777777" w:rsidR="002761B1" w:rsidRPr="008A7A35" w:rsidRDefault="002761B1" w:rsidP="002761B1">
            <w:pPr>
              <w:rPr>
                <w:rFonts w:ascii="Arial Body" w:hAnsi="Arial Body" w:cs="Calibri"/>
                <w:sz w:val="20"/>
                <w:szCs w:val="20"/>
                <w:lang w:eastAsia="en-GB"/>
              </w:rPr>
            </w:pPr>
            <w:r w:rsidRPr="008A7A35">
              <w:rPr>
                <w:rFonts w:ascii="Arial Body" w:hAnsi="Arial Body" w:cs="Calibri"/>
                <w:sz w:val="20"/>
                <w:szCs w:val="20"/>
                <w:lang w:eastAsia="en-GB"/>
              </w:rPr>
              <w:t> </w:t>
            </w:r>
          </w:p>
        </w:tc>
        <w:tc>
          <w:tcPr>
            <w:tcW w:w="2693" w:type="dxa"/>
            <w:tcBorders>
              <w:top w:val="nil"/>
              <w:left w:val="nil"/>
              <w:bottom w:val="nil"/>
              <w:right w:val="nil"/>
            </w:tcBorders>
            <w:shd w:val="clear" w:color="000000" w:fill="FFFFFF"/>
            <w:noWrap/>
            <w:vAlign w:val="bottom"/>
            <w:hideMark/>
          </w:tcPr>
          <w:p w14:paraId="79BD41FB" w14:textId="64CDB1F2"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to 30 June 202</w:t>
            </w:r>
            <w:r w:rsidR="00D26880" w:rsidRPr="008A7A35">
              <w:rPr>
                <w:rFonts w:ascii="Arial Body" w:hAnsi="Arial Body" w:cs="Calibri"/>
                <w:b/>
                <w:bCs/>
                <w:sz w:val="20"/>
                <w:szCs w:val="20"/>
                <w:lang w:eastAsia="en-GB"/>
              </w:rPr>
              <w:t>5</w:t>
            </w:r>
          </w:p>
        </w:tc>
        <w:tc>
          <w:tcPr>
            <w:tcW w:w="1843" w:type="dxa"/>
            <w:tcBorders>
              <w:top w:val="nil"/>
              <w:left w:val="nil"/>
              <w:bottom w:val="nil"/>
              <w:right w:val="nil"/>
            </w:tcBorders>
            <w:shd w:val="clear" w:color="000000" w:fill="FFFFFF"/>
            <w:noWrap/>
            <w:vAlign w:val="bottom"/>
            <w:hideMark/>
          </w:tcPr>
          <w:p w14:paraId="6C992AF3" w14:textId="42306BF4" w:rsidR="002761B1" w:rsidRPr="008A7A35" w:rsidRDefault="002761B1" w:rsidP="004D5A3F">
            <w:pPr>
              <w:jc w:val="right"/>
              <w:rPr>
                <w:rFonts w:ascii="Arial Body" w:hAnsi="Arial Body" w:cs="Calibri"/>
                <w:b/>
                <w:bCs/>
                <w:sz w:val="20"/>
                <w:szCs w:val="20"/>
                <w:lang w:eastAsia="en-GB"/>
              </w:rPr>
            </w:pPr>
            <w:r w:rsidRPr="008A7A35">
              <w:rPr>
                <w:rFonts w:ascii="Arial Body" w:hAnsi="Arial Body" w:cs="Calibri"/>
                <w:b/>
                <w:bCs/>
                <w:sz w:val="20"/>
                <w:szCs w:val="20"/>
                <w:lang w:eastAsia="en-GB"/>
              </w:rPr>
              <w:t>to 30 June 202</w:t>
            </w:r>
            <w:r w:rsidR="00D26880" w:rsidRPr="008A7A35">
              <w:rPr>
                <w:rFonts w:ascii="Arial Body" w:hAnsi="Arial Body" w:cs="Calibri"/>
                <w:b/>
                <w:bCs/>
                <w:sz w:val="20"/>
                <w:szCs w:val="20"/>
                <w:lang w:eastAsia="en-GB"/>
              </w:rPr>
              <w:t>4</w:t>
            </w:r>
          </w:p>
        </w:tc>
      </w:tr>
      <w:tr w:rsidR="006C2D6D" w:rsidRPr="008A7A35" w14:paraId="08050781" w14:textId="77777777" w:rsidTr="00921C04">
        <w:trPr>
          <w:trHeight w:val="267"/>
        </w:trPr>
        <w:tc>
          <w:tcPr>
            <w:tcW w:w="5387" w:type="dxa"/>
            <w:tcBorders>
              <w:top w:val="nil"/>
              <w:left w:val="nil"/>
              <w:bottom w:val="single" w:sz="4" w:space="0" w:color="auto"/>
              <w:right w:val="nil"/>
            </w:tcBorders>
            <w:shd w:val="clear" w:color="000000" w:fill="FFFFFF"/>
            <w:noWrap/>
            <w:vAlign w:val="bottom"/>
            <w:hideMark/>
          </w:tcPr>
          <w:p w14:paraId="7C752612" w14:textId="5E032BC6" w:rsidR="0017698A" w:rsidRPr="008A7A35" w:rsidRDefault="0017698A" w:rsidP="002E692B">
            <w:pPr>
              <w:rPr>
                <w:rFonts w:ascii="Arial Body" w:hAnsi="Arial Body" w:cs="Calibri"/>
                <w:b/>
                <w:bCs/>
                <w:sz w:val="20"/>
                <w:szCs w:val="20"/>
                <w:lang w:eastAsia="en-GB"/>
              </w:rPr>
            </w:pPr>
            <w:r w:rsidRPr="008A7A35">
              <w:rPr>
                <w:rFonts w:ascii="Arial Body" w:hAnsi="Arial Body" w:cs="Calibri"/>
                <w:b/>
                <w:bCs/>
                <w:sz w:val="20"/>
                <w:szCs w:val="20"/>
                <w:lang w:eastAsia="en-GB"/>
              </w:rPr>
              <w:t>Reconciliation of unrealised and realised gain/(loss) on Partnership's investments</w:t>
            </w:r>
          </w:p>
        </w:tc>
        <w:tc>
          <w:tcPr>
            <w:tcW w:w="2693" w:type="dxa"/>
            <w:tcBorders>
              <w:top w:val="nil"/>
              <w:left w:val="nil"/>
              <w:bottom w:val="single" w:sz="4" w:space="0" w:color="auto"/>
              <w:right w:val="nil"/>
            </w:tcBorders>
            <w:shd w:val="clear" w:color="000000" w:fill="FFFFFF"/>
            <w:noWrap/>
            <w:vAlign w:val="center"/>
            <w:hideMark/>
          </w:tcPr>
          <w:p w14:paraId="35427787" w14:textId="77777777" w:rsidR="0017698A" w:rsidRPr="008A7A35" w:rsidRDefault="0017698A" w:rsidP="002E692B">
            <w:pPr>
              <w:jc w:val="right"/>
              <w:rPr>
                <w:rFonts w:ascii="Arial Body" w:hAnsi="Arial Body" w:cs="Calibri"/>
                <w:b/>
                <w:bCs/>
                <w:sz w:val="20"/>
                <w:szCs w:val="20"/>
                <w:lang w:eastAsia="en-GB"/>
              </w:rPr>
            </w:pPr>
            <w:r w:rsidRPr="008A7A35">
              <w:rPr>
                <w:rFonts w:ascii="Arial Body" w:hAnsi="Arial Body" w:cs="Calibri"/>
                <w:b/>
                <w:bCs/>
                <w:sz w:val="20"/>
                <w:szCs w:val="20"/>
                <w:lang w:eastAsia="en-GB"/>
              </w:rPr>
              <w:t>$’000</w:t>
            </w:r>
          </w:p>
        </w:tc>
        <w:tc>
          <w:tcPr>
            <w:tcW w:w="1843" w:type="dxa"/>
            <w:tcBorders>
              <w:top w:val="nil"/>
              <w:left w:val="nil"/>
              <w:bottom w:val="single" w:sz="4" w:space="0" w:color="auto"/>
              <w:right w:val="nil"/>
            </w:tcBorders>
            <w:shd w:val="clear" w:color="000000" w:fill="FFFFFF"/>
            <w:noWrap/>
            <w:vAlign w:val="center"/>
            <w:hideMark/>
          </w:tcPr>
          <w:p w14:paraId="51F03A9A" w14:textId="77777777" w:rsidR="0017698A" w:rsidRPr="008A7A35" w:rsidRDefault="0017698A" w:rsidP="002E692B">
            <w:pPr>
              <w:jc w:val="right"/>
              <w:rPr>
                <w:rFonts w:ascii="Arial Body" w:hAnsi="Arial Body" w:cs="Calibri"/>
                <w:b/>
                <w:bCs/>
                <w:sz w:val="20"/>
                <w:szCs w:val="20"/>
                <w:lang w:eastAsia="en-GB"/>
              </w:rPr>
            </w:pPr>
            <w:r w:rsidRPr="008A7A35">
              <w:rPr>
                <w:rFonts w:ascii="Arial Body" w:hAnsi="Arial Body" w:cs="Calibri"/>
                <w:b/>
                <w:bCs/>
                <w:sz w:val="20"/>
                <w:szCs w:val="20"/>
                <w:lang w:eastAsia="en-GB"/>
              </w:rPr>
              <w:t>$’000</w:t>
            </w:r>
          </w:p>
        </w:tc>
      </w:tr>
      <w:tr w:rsidR="006C2D6D" w:rsidRPr="008A7A35" w14:paraId="0FA9A7E1" w14:textId="77777777" w:rsidTr="00921C04">
        <w:trPr>
          <w:trHeight w:val="267"/>
        </w:trPr>
        <w:tc>
          <w:tcPr>
            <w:tcW w:w="5387" w:type="dxa"/>
            <w:tcBorders>
              <w:top w:val="nil"/>
              <w:left w:val="nil"/>
              <w:bottom w:val="nil"/>
              <w:right w:val="nil"/>
            </w:tcBorders>
            <w:shd w:val="clear" w:color="000000" w:fill="FFFFFF"/>
            <w:noWrap/>
            <w:vAlign w:val="bottom"/>
            <w:hideMark/>
          </w:tcPr>
          <w:p w14:paraId="43FDA65F" w14:textId="6D524864" w:rsidR="00D26880" w:rsidRPr="008A7A35" w:rsidRDefault="00D26880" w:rsidP="00D26880">
            <w:pPr>
              <w:rPr>
                <w:rFonts w:ascii="Arial Body" w:hAnsi="Arial Body" w:cs="Calibri"/>
                <w:sz w:val="20"/>
                <w:szCs w:val="20"/>
                <w:lang w:eastAsia="en-GB"/>
              </w:rPr>
            </w:pPr>
            <w:r w:rsidRPr="008A7A35">
              <w:rPr>
                <w:rFonts w:ascii="Arial Body" w:hAnsi="Arial Body" w:cs="Calibri"/>
                <w:sz w:val="20"/>
                <w:szCs w:val="20"/>
                <w:lang w:eastAsia="en-GB"/>
              </w:rPr>
              <w:t xml:space="preserve">Unrealised </w:t>
            </w:r>
            <w:r w:rsidR="009238B1" w:rsidRPr="008A7A35">
              <w:rPr>
                <w:rFonts w:ascii="Arial Body" w:hAnsi="Arial Body" w:cs="Calibri"/>
                <w:sz w:val="20"/>
                <w:szCs w:val="20"/>
                <w:lang w:eastAsia="en-GB"/>
              </w:rPr>
              <w:t>gain/(</w:t>
            </w:r>
            <w:r w:rsidRPr="008A7A35">
              <w:rPr>
                <w:rFonts w:ascii="Arial Body" w:hAnsi="Arial Body" w:cs="Calibri"/>
                <w:sz w:val="20"/>
                <w:szCs w:val="20"/>
                <w:lang w:eastAsia="en-GB"/>
              </w:rPr>
              <w:t>loss</w:t>
            </w:r>
            <w:r w:rsidR="009238B1" w:rsidRPr="008A7A35">
              <w:rPr>
                <w:rFonts w:ascii="Arial Body" w:hAnsi="Arial Body" w:cs="Calibri"/>
                <w:sz w:val="20"/>
                <w:szCs w:val="20"/>
                <w:lang w:eastAsia="en-GB"/>
              </w:rPr>
              <w:t>)</w:t>
            </w:r>
            <w:r w:rsidRPr="008A7A35">
              <w:rPr>
                <w:rFonts w:ascii="Arial Body" w:hAnsi="Arial Body" w:cs="Calibri"/>
                <w:sz w:val="20"/>
                <w:szCs w:val="20"/>
                <w:lang w:eastAsia="en-GB"/>
              </w:rPr>
              <w:t xml:space="preserve"> on investments (gross)</w:t>
            </w:r>
          </w:p>
        </w:tc>
        <w:tc>
          <w:tcPr>
            <w:tcW w:w="2693" w:type="dxa"/>
            <w:tcBorders>
              <w:top w:val="nil"/>
              <w:left w:val="nil"/>
              <w:bottom w:val="nil"/>
              <w:right w:val="nil"/>
            </w:tcBorders>
            <w:shd w:val="clear" w:color="000000" w:fill="FFFFFF"/>
            <w:vAlign w:val="bottom"/>
          </w:tcPr>
          <w:p w14:paraId="74E4616D" w14:textId="61D9B757" w:rsidR="00D26880" w:rsidRPr="008A7A35" w:rsidRDefault="00162240" w:rsidP="00D26880">
            <w:pPr>
              <w:jc w:val="right"/>
              <w:rPr>
                <w:rFonts w:ascii="Arial Body" w:hAnsi="Arial Body" w:cs="Calibri"/>
                <w:b/>
                <w:bCs/>
                <w:sz w:val="20"/>
                <w:szCs w:val="20"/>
                <w:lang w:eastAsia="en-GB"/>
              </w:rPr>
            </w:pPr>
            <w:r>
              <w:rPr>
                <w:rFonts w:ascii="Arial" w:hAnsi="Arial"/>
                <w:b/>
                <w:bCs/>
                <w:sz w:val="20"/>
              </w:rPr>
              <w:t>2,773</w:t>
            </w:r>
            <w:r w:rsidR="00D26880" w:rsidRPr="008A7A35" w:rsidDel="006A0EE0">
              <w:rPr>
                <w:rFonts w:ascii="Arial" w:hAnsi="Arial" w:cs="Arial"/>
                <w:b/>
                <w:bCs/>
                <w:sz w:val="20"/>
                <w:szCs w:val="20"/>
              </w:rPr>
              <w:t xml:space="preserve"> </w:t>
            </w:r>
          </w:p>
        </w:tc>
        <w:tc>
          <w:tcPr>
            <w:tcW w:w="1843" w:type="dxa"/>
            <w:tcBorders>
              <w:top w:val="nil"/>
              <w:left w:val="nil"/>
              <w:bottom w:val="nil"/>
              <w:right w:val="nil"/>
            </w:tcBorders>
            <w:shd w:val="clear" w:color="000000" w:fill="FFFFFF"/>
            <w:vAlign w:val="bottom"/>
            <w:hideMark/>
          </w:tcPr>
          <w:p w14:paraId="787A8768" w14:textId="4926B42F" w:rsidR="00D26880" w:rsidRPr="006837AE" w:rsidRDefault="00D26880" w:rsidP="00D26880">
            <w:pPr>
              <w:jc w:val="right"/>
              <w:rPr>
                <w:rFonts w:ascii="Arial Body" w:hAnsi="Arial Body" w:cs="Calibri"/>
                <w:sz w:val="20"/>
                <w:szCs w:val="20"/>
                <w:lang w:eastAsia="en-GB"/>
              </w:rPr>
            </w:pPr>
            <w:r w:rsidRPr="006837AE">
              <w:rPr>
                <w:rFonts w:ascii="Arial" w:hAnsi="Arial" w:cs="Arial"/>
                <w:sz w:val="20"/>
                <w:szCs w:val="20"/>
              </w:rPr>
              <w:t>(13,374)</w:t>
            </w:r>
          </w:p>
        </w:tc>
      </w:tr>
      <w:tr w:rsidR="006C2D6D" w:rsidRPr="008A7A35" w14:paraId="4C359653" w14:textId="77777777" w:rsidTr="00921C04">
        <w:trPr>
          <w:trHeight w:val="267"/>
        </w:trPr>
        <w:tc>
          <w:tcPr>
            <w:tcW w:w="5387" w:type="dxa"/>
            <w:tcBorders>
              <w:top w:val="nil"/>
              <w:left w:val="nil"/>
              <w:bottom w:val="nil"/>
              <w:right w:val="nil"/>
            </w:tcBorders>
            <w:shd w:val="clear" w:color="000000" w:fill="FFFFFF"/>
            <w:noWrap/>
            <w:vAlign w:val="bottom"/>
            <w:hideMark/>
          </w:tcPr>
          <w:p w14:paraId="7A9A2964" w14:textId="6318DF25" w:rsidR="00D26880" w:rsidRPr="008A7A35" w:rsidRDefault="00D26880" w:rsidP="00D26880">
            <w:pPr>
              <w:rPr>
                <w:rFonts w:ascii="Arial Body" w:hAnsi="Arial Body" w:cs="Calibri"/>
                <w:sz w:val="20"/>
                <w:szCs w:val="20"/>
                <w:lang w:eastAsia="en-GB"/>
              </w:rPr>
            </w:pPr>
            <w:r w:rsidRPr="008A7A35">
              <w:rPr>
                <w:rFonts w:ascii="Arial Body" w:hAnsi="Arial Body" w:cs="Calibri"/>
                <w:sz w:val="20"/>
                <w:szCs w:val="20"/>
                <w:lang w:eastAsia="en-GB"/>
              </w:rPr>
              <w:t xml:space="preserve">Realised </w:t>
            </w:r>
            <w:r w:rsidR="00F772FD" w:rsidRPr="008A7A35">
              <w:rPr>
                <w:rFonts w:ascii="Arial Body" w:hAnsi="Arial Body" w:cs="Calibri"/>
                <w:sz w:val="20"/>
                <w:szCs w:val="20"/>
                <w:lang w:eastAsia="en-GB"/>
              </w:rPr>
              <w:t>gain/(</w:t>
            </w:r>
            <w:r w:rsidRPr="008A7A35">
              <w:rPr>
                <w:rFonts w:ascii="Arial Body" w:hAnsi="Arial Body" w:cs="Calibri"/>
                <w:sz w:val="20"/>
                <w:szCs w:val="20"/>
                <w:lang w:eastAsia="en-GB"/>
              </w:rPr>
              <w:t>loss</w:t>
            </w:r>
            <w:r w:rsidR="00F772FD" w:rsidRPr="008A7A35">
              <w:rPr>
                <w:rFonts w:ascii="Arial Body" w:hAnsi="Arial Body" w:cs="Calibri"/>
                <w:sz w:val="20"/>
                <w:szCs w:val="20"/>
                <w:lang w:eastAsia="en-GB"/>
              </w:rPr>
              <w:t>)</w:t>
            </w:r>
            <w:r w:rsidRPr="008A7A35">
              <w:rPr>
                <w:rFonts w:ascii="Arial Body" w:hAnsi="Arial Body" w:cs="Calibri"/>
                <w:sz w:val="20"/>
                <w:szCs w:val="20"/>
                <w:lang w:eastAsia="en-GB"/>
              </w:rPr>
              <w:t xml:space="preserve"> on Partnership's investments (gross)</w:t>
            </w:r>
          </w:p>
        </w:tc>
        <w:tc>
          <w:tcPr>
            <w:tcW w:w="2693" w:type="dxa"/>
            <w:tcBorders>
              <w:top w:val="nil"/>
              <w:left w:val="nil"/>
              <w:bottom w:val="nil"/>
              <w:right w:val="nil"/>
            </w:tcBorders>
            <w:shd w:val="clear" w:color="000000" w:fill="FFFFFF"/>
            <w:vAlign w:val="bottom"/>
          </w:tcPr>
          <w:p w14:paraId="0732EC8C" w14:textId="33554D02" w:rsidR="00D26880" w:rsidRPr="008A7A35" w:rsidRDefault="00F772FD" w:rsidP="00D26880">
            <w:pPr>
              <w:jc w:val="right"/>
              <w:rPr>
                <w:rFonts w:ascii="Arial Body" w:hAnsi="Arial Body" w:cs="Calibri"/>
                <w:b/>
                <w:bCs/>
                <w:sz w:val="20"/>
                <w:szCs w:val="20"/>
                <w:lang w:eastAsia="en-GB"/>
              </w:rPr>
            </w:pPr>
            <w:r w:rsidRPr="008A7A35">
              <w:rPr>
                <w:rFonts w:ascii="Arial" w:hAnsi="Arial"/>
                <w:b/>
                <w:bCs/>
                <w:sz w:val="20"/>
              </w:rPr>
              <w:t>-</w:t>
            </w:r>
            <w:r w:rsidR="00D26880" w:rsidRPr="008A7A35" w:rsidDel="006A0EE0">
              <w:rPr>
                <w:rFonts w:ascii="Arial" w:hAnsi="Arial" w:cs="Arial"/>
                <w:b/>
                <w:bCs/>
                <w:sz w:val="20"/>
                <w:szCs w:val="20"/>
              </w:rPr>
              <w:t xml:space="preserve"> </w:t>
            </w:r>
          </w:p>
        </w:tc>
        <w:tc>
          <w:tcPr>
            <w:tcW w:w="1843" w:type="dxa"/>
            <w:tcBorders>
              <w:top w:val="nil"/>
              <w:left w:val="nil"/>
              <w:bottom w:val="nil"/>
              <w:right w:val="nil"/>
            </w:tcBorders>
            <w:shd w:val="clear" w:color="000000" w:fill="FFFFFF"/>
            <w:vAlign w:val="bottom"/>
            <w:hideMark/>
          </w:tcPr>
          <w:p w14:paraId="47A97D38" w14:textId="44A1D718" w:rsidR="00D26880" w:rsidRPr="006837AE" w:rsidRDefault="00D26880" w:rsidP="00D26880">
            <w:pPr>
              <w:jc w:val="right"/>
              <w:rPr>
                <w:rFonts w:ascii="Arial Body" w:hAnsi="Arial Body" w:cs="Calibri"/>
                <w:sz w:val="20"/>
                <w:szCs w:val="20"/>
                <w:lang w:eastAsia="en-GB"/>
              </w:rPr>
            </w:pPr>
            <w:r w:rsidRPr="006837AE">
              <w:rPr>
                <w:rFonts w:ascii="Arial" w:hAnsi="Arial" w:cs="Arial"/>
                <w:sz w:val="20"/>
                <w:szCs w:val="20"/>
              </w:rPr>
              <w:t>-</w:t>
            </w:r>
          </w:p>
        </w:tc>
      </w:tr>
      <w:tr w:rsidR="006C2D6D" w:rsidRPr="008A7A35" w14:paraId="00686B0D" w14:textId="77777777" w:rsidTr="00921C04">
        <w:trPr>
          <w:trHeight w:val="267"/>
        </w:trPr>
        <w:tc>
          <w:tcPr>
            <w:tcW w:w="5387" w:type="dxa"/>
            <w:tcBorders>
              <w:top w:val="nil"/>
              <w:left w:val="nil"/>
              <w:bottom w:val="nil"/>
              <w:right w:val="nil"/>
            </w:tcBorders>
            <w:shd w:val="clear" w:color="000000" w:fill="FFFFFF"/>
            <w:noWrap/>
            <w:vAlign w:val="bottom"/>
            <w:hideMark/>
          </w:tcPr>
          <w:p w14:paraId="3ED4C4D8" w14:textId="578B8CAC" w:rsidR="00D26880" w:rsidRPr="008A7A35" w:rsidRDefault="00D26880" w:rsidP="00D26880">
            <w:pPr>
              <w:rPr>
                <w:rFonts w:ascii="Arial Body" w:hAnsi="Arial Body" w:cs="Calibri"/>
                <w:sz w:val="20"/>
                <w:szCs w:val="20"/>
                <w:lang w:eastAsia="en-GB"/>
              </w:rPr>
            </w:pPr>
            <w:r w:rsidRPr="008A7A35">
              <w:rPr>
                <w:rFonts w:ascii="Arial Body" w:hAnsi="Arial Body" w:cs="Calibri"/>
                <w:sz w:val="20"/>
                <w:szCs w:val="20"/>
                <w:lang w:eastAsia="en-GB"/>
              </w:rPr>
              <w:t>General Partner's Performance Allocation - see Note 7</w:t>
            </w:r>
          </w:p>
        </w:tc>
        <w:tc>
          <w:tcPr>
            <w:tcW w:w="2693" w:type="dxa"/>
            <w:tcBorders>
              <w:top w:val="nil"/>
              <w:left w:val="nil"/>
              <w:bottom w:val="nil"/>
              <w:right w:val="nil"/>
            </w:tcBorders>
            <w:shd w:val="clear" w:color="000000" w:fill="FFFFFF"/>
            <w:vAlign w:val="bottom"/>
          </w:tcPr>
          <w:p w14:paraId="03907262" w14:textId="2A97C452" w:rsidR="00D26880" w:rsidRPr="008A7A35" w:rsidRDefault="00F772FD" w:rsidP="00D26880">
            <w:pPr>
              <w:jc w:val="right"/>
              <w:rPr>
                <w:rFonts w:ascii="Arial Body" w:hAnsi="Arial Body" w:cs="Calibri"/>
                <w:b/>
                <w:bCs/>
                <w:sz w:val="20"/>
                <w:szCs w:val="20"/>
                <w:lang w:eastAsia="en-GB"/>
              </w:rPr>
            </w:pPr>
            <w:r w:rsidRPr="008A7A35">
              <w:rPr>
                <w:rFonts w:ascii="Arial" w:hAnsi="Arial"/>
                <w:b/>
                <w:bCs/>
                <w:sz w:val="20"/>
              </w:rPr>
              <w:t>-</w:t>
            </w:r>
            <w:r w:rsidR="00D26880" w:rsidRPr="008A7A35" w:rsidDel="006A0EE0">
              <w:rPr>
                <w:rFonts w:ascii="Arial" w:hAnsi="Arial" w:cs="Arial"/>
                <w:b/>
                <w:bCs/>
                <w:sz w:val="20"/>
                <w:szCs w:val="20"/>
              </w:rPr>
              <w:t xml:space="preserve"> </w:t>
            </w:r>
          </w:p>
        </w:tc>
        <w:tc>
          <w:tcPr>
            <w:tcW w:w="1843" w:type="dxa"/>
            <w:tcBorders>
              <w:top w:val="nil"/>
              <w:left w:val="nil"/>
              <w:bottom w:val="nil"/>
              <w:right w:val="nil"/>
            </w:tcBorders>
            <w:shd w:val="clear" w:color="000000" w:fill="FFFFFF"/>
            <w:vAlign w:val="bottom"/>
            <w:hideMark/>
          </w:tcPr>
          <w:p w14:paraId="5780B9E5" w14:textId="1B5335FD" w:rsidR="00D26880" w:rsidRPr="006837AE" w:rsidRDefault="00D26880" w:rsidP="00D26880">
            <w:pPr>
              <w:jc w:val="right"/>
              <w:rPr>
                <w:rFonts w:ascii="Arial Body" w:hAnsi="Arial Body" w:cs="Calibri"/>
                <w:sz w:val="20"/>
                <w:szCs w:val="20"/>
                <w:lang w:eastAsia="en-GB"/>
              </w:rPr>
            </w:pPr>
            <w:r w:rsidRPr="006837AE">
              <w:rPr>
                <w:rFonts w:ascii="Arial" w:hAnsi="Arial" w:cs="Arial"/>
                <w:sz w:val="20"/>
                <w:szCs w:val="20"/>
              </w:rPr>
              <w:t>-</w:t>
            </w:r>
          </w:p>
        </w:tc>
      </w:tr>
      <w:tr w:rsidR="006C2D6D" w:rsidRPr="008A7A35" w14:paraId="09B17FA5" w14:textId="77777777" w:rsidTr="00921C04">
        <w:trPr>
          <w:trHeight w:val="267"/>
        </w:trPr>
        <w:tc>
          <w:tcPr>
            <w:tcW w:w="5387" w:type="dxa"/>
            <w:tcBorders>
              <w:top w:val="nil"/>
              <w:left w:val="nil"/>
              <w:bottom w:val="single" w:sz="4" w:space="0" w:color="auto"/>
              <w:right w:val="nil"/>
            </w:tcBorders>
            <w:shd w:val="clear" w:color="000000" w:fill="FFFFFF"/>
            <w:noWrap/>
            <w:vAlign w:val="bottom"/>
            <w:hideMark/>
          </w:tcPr>
          <w:p w14:paraId="40DF7191" w14:textId="6D637014" w:rsidR="00D26880" w:rsidRPr="008A7A35" w:rsidRDefault="00D26880" w:rsidP="00D26880">
            <w:pPr>
              <w:rPr>
                <w:rFonts w:ascii="Arial Body" w:hAnsi="Arial Body" w:cs="Calibri"/>
                <w:sz w:val="20"/>
                <w:szCs w:val="20"/>
                <w:lang w:eastAsia="en-GB"/>
              </w:rPr>
            </w:pPr>
            <w:r w:rsidRPr="008A7A35">
              <w:rPr>
                <w:rFonts w:ascii="Arial Body" w:hAnsi="Arial Body" w:cs="Calibri"/>
                <w:sz w:val="20"/>
                <w:szCs w:val="20"/>
                <w:lang w:eastAsia="en-GB"/>
              </w:rPr>
              <w:t>Provision for taxation</w:t>
            </w:r>
          </w:p>
        </w:tc>
        <w:tc>
          <w:tcPr>
            <w:tcW w:w="2693" w:type="dxa"/>
            <w:tcBorders>
              <w:top w:val="nil"/>
              <w:left w:val="nil"/>
              <w:bottom w:val="single" w:sz="4" w:space="0" w:color="auto"/>
              <w:right w:val="nil"/>
            </w:tcBorders>
            <w:shd w:val="clear" w:color="000000" w:fill="FFFFFF"/>
            <w:vAlign w:val="bottom"/>
          </w:tcPr>
          <w:p w14:paraId="5714A915" w14:textId="6E957E60" w:rsidR="00D26880" w:rsidRPr="008A7A35" w:rsidRDefault="00F772FD" w:rsidP="00D26880">
            <w:pPr>
              <w:jc w:val="right"/>
              <w:rPr>
                <w:rFonts w:ascii="Arial Body" w:hAnsi="Arial Body" w:cs="Calibri"/>
                <w:b/>
                <w:bCs/>
                <w:sz w:val="20"/>
                <w:szCs w:val="20"/>
                <w:lang w:eastAsia="en-GB"/>
              </w:rPr>
            </w:pPr>
            <w:r w:rsidRPr="008A7A35">
              <w:rPr>
                <w:rFonts w:ascii="Arial" w:hAnsi="Arial"/>
                <w:b/>
                <w:bCs/>
                <w:sz w:val="20"/>
              </w:rPr>
              <w:t>(38)</w:t>
            </w:r>
            <w:r w:rsidR="00D26880" w:rsidRPr="008A7A35" w:rsidDel="006A0EE0">
              <w:rPr>
                <w:rFonts w:ascii="Arial" w:hAnsi="Arial" w:cs="Arial"/>
                <w:b/>
                <w:bCs/>
                <w:sz w:val="20"/>
                <w:szCs w:val="20"/>
              </w:rPr>
              <w:t xml:space="preserve"> </w:t>
            </w:r>
          </w:p>
        </w:tc>
        <w:tc>
          <w:tcPr>
            <w:tcW w:w="1843" w:type="dxa"/>
            <w:tcBorders>
              <w:top w:val="nil"/>
              <w:left w:val="nil"/>
              <w:bottom w:val="single" w:sz="4" w:space="0" w:color="auto"/>
              <w:right w:val="nil"/>
            </w:tcBorders>
            <w:shd w:val="clear" w:color="000000" w:fill="FFFFFF"/>
            <w:vAlign w:val="bottom"/>
            <w:hideMark/>
          </w:tcPr>
          <w:p w14:paraId="4EA777F3" w14:textId="781E0EB3" w:rsidR="00D26880" w:rsidRPr="006837AE" w:rsidRDefault="00D26880" w:rsidP="00D26880">
            <w:pPr>
              <w:jc w:val="right"/>
              <w:rPr>
                <w:rFonts w:ascii="Arial Body" w:hAnsi="Arial Body" w:cs="Calibri"/>
                <w:sz w:val="20"/>
                <w:szCs w:val="20"/>
                <w:lang w:eastAsia="en-GB"/>
              </w:rPr>
            </w:pPr>
            <w:r w:rsidRPr="006837AE">
              <w:rPr>
                <w:rFonts w:ascii="Arial" w:hAnsi="Arial" w:cs="Arial"/>
                <w:sz w:val="20"/>
                <w:szCs w:val="20"/>
              </w:rPr>
              <w:t>(126)</w:t>
            </w:r>
          </w:p>
        </w:tc>
      </w:tr>
      <w:tr w:rsidR="006C2D6D" w:rsidRPr="008A7A35" w14:paraId="65880BD9" w14:textId="77777777" w:rsidTr="00921C04">
        <w:trPr>
          <w:trHeight w:val="277"/>
        </w:trPr>
        <w:tc>
          <w:tcPr>
            <w:tcW w:w="5387" w:type="dxa"/>
            <w:tcBorders>
              <w:top w:val="single" w:sz="4" w:space="0" w:color="auto"/>
              <w:left w:val="nil"/>
              <w:bottom w:val="single" w:sz="8" w:space="0" w:color="auto"/>
              <w:right w:val="nil"/>
            </w:tcBorders>
            <w:shd w:val="clear" w:color="000000" w:fill="FFFFFF"/>
            <w:vAlign w:val="bottom"/>
            <w:hideMark/>
          </w:tcPr>
          <w:p w14:paraId="797A92A9" w14:textId="52AD600B" w:rsidR="00D26880" w:rsidRPr="008A7A35" w:rsidRDefault="00D26880" w:rsidP="00D26880">
            <w:pPr>
              <w:rPr>
                <w:rFonts w:ascii="Arial Body" w:hAnsi="Arial Body" w:cs="Calibri"/>
                <w:b/>
                <w:bCs/>
                <w:sz w:val="20"/>
                <w:szCs w:val="20"/>
                <w:lang w:eastAsia="en-GB"/>
              </w:rPr>
            </w:pPr>
            <w:r w:rsidRPr="008A7A35">
              <w:rPr>
                <w:rFonts w:ascii="Arial Body" w:hAnsi="Arial Body" w:cs="Calibri"/>
                <w:b/>
                <w:bCs/>
                <w:sz w:val="20"/>
                <w:szCs w:val="20"/>
                <w:lang w:eastAsia="en-GB"/>
              </w:rPr>
              <w:t xml:space="preserve">Unrealised and realised </w:t>
            </w:r>
            <w:r w:rsidR="000E1DB1" w:rsidRPr="008A7A35">
              <w:rPr>
                <w:rFonts w:ascii="Arial Body" w:hAnsi="Arial Body" w:cs="Calibri"/>
                <w:b/>
                <w:bCs/>
                <w:sz w:val="20"/>
                <w:szCs w:val="20"/>
                <w:lang w:eastAsia="en-GB"/>
              </w:rPr>
              <w:t>gain/(</w:t>
            </w:r>
            <w:r w:rsidRPr="008A7A35">
              <w:rPr>
                <w:rFonts w:ascii="Arial Body" w:hAnsi="Arial Body" w:cs="Calibri"/>
                <w:b/>
                <w:bCs/>
                <w:sz w:val="20"/>
                <w:szCs w:val="20"/>
                <w:lang w:eastAsia="en-GB"/>
              </w:rPr>
              <w:t>loss</w:t>
            </w:r>
            <w:r w:rsidR="000E1DB1" w:rsidRPr="008A7A35">
              <w:rPr>
                <w:rFonts w:ascii="Arial Body" w:hAnsi="Arial Body" w:cs="Calibri"/>
                <w:b/>
                <w:bCs/>
                <w:sz w:val="20"/>
                <w:szCs w:val="20"/>
                <w:lang w:eastAsia="en-GB"/>
              </w:rPr>
              <w:t>)</w:t>
            </w:r>
            <w:r w:rsidRPr="008A7A35">
              <w:rPr>
                <w:rFonts w:ascii="Arial Body" w:hAnsi="Arial Body" w:cs="Calibri"/>
                <w:b/>
                <w:bCs/>
                <w:sz w:val="20"/>
                <w:szCs w:val="20"/>
                <w:lang w:eastAsia="en-GB"/>
              </w:rPr>
              <w:t xml:space="preserve"> on Partnership's investments (net)</w:t>
            </w:r>
          </w:p>
        </w:tc>
        <w:tc>
          <w:tcPr>
            <w:tcW w:w="2693" w:type="dxa"/>
            <w:tcBorders>
              <w:top w:val="single" w:sz="4" w:space="0" w:color="auto"/>
              <w:left w:val="nil"/>
              <w:bottom w:val="single" w:sz="8" w:space="0" w:color="auto"/>
              <w:right w:val="nil"/>
            </w:tcBorders>
            <w:shd w:val="clear" w:color="000000" w:fill="FFFFFF"/>
            <w:noWrap/>
            <w:vAlign w:val="bottom"/>
          </w:tcPr>
          <w:p w14:paraId="6E5966A9" w14:textId="785B6616" w:rsidR="00D26880" w:rsidRPr="008A7A35" w:rsidRDefault="00162240" w:rsidP="00D26880">
            <w:pPr>
              <w:jc w:val="right"/>
              <w:rPr>
                <w:rFonts w:ascii="Arial Body" w:hAnsi="Arial Body" w:cs="Calibri"/>
                <w:b/>
                <w:bCs/>
                <w:sz w:val="20"/>
                <w:szCs w:val="20"/>
                <w:lang w:eastAsia="en-GB"/>
              </w:rPr>
            </w:pPr>
            <w:r>
              <w:rPr>
                <w:rFonts w:ascii="Arial" w:hAnsi="Arial"/>
                <w:b/>
                <w:bCs/>
                <w:sz w:val="20"/>
              </w:rPr>
              <w:t>2,735</w:t>
            </w:r>
            <w:r w:rsidR="00D26880" w:rsidRPr="008A7A35" w:rsidDel="006A0EE0">
              <w:rPr>
                <w:rFonts w:ascii="Arial" w:hAnsi="Arial" w:cs="Arial"/>
                <w:b/>
                <w:bCs/>
                <w:sz w:val="20"/>
                <w:szCs w:val="20"/>
              </w:rPr>
              <w:t xml:space="preserve"> </w:t>
            </w:r>
          </w:p>
        </w:tc>
        <w:tc>
          <w:tcPr>
            <w:tcW w:w="1843" w:type="dxa"/>
            <w:tcBorders>
              <w:top w:val="single" w:sz="4" w:space="0" w:color="auto"/>
              <w:left w:val="nil"/>
              <w:bottom w:val="single" w:sz="8" w:space="0" w:color="auto"/>
              <w:right w:val="nil"/>
            </w:tcBorders>
            <w:shd w:val="clear" w:color="000000" w:fill="FFFFFF"/>
            <w:noWrap/>
            <w:vAlign w:val="bottom"/>
            <w:hideMark/>
          </w:tcPr>
          <w:p w14:paraId="76C4589A" w14:textId="6FB2AB60" w:rsidR="00D26880" w:rsidRPr="006837AE" w:rsidRDefault="00D26880" w:rsidP="00D26880">
            <w:pPr>
              <w:jc w:val="right"/>
              <w:rPr>
                <w:rFonts w:ascii="Arial Body" w:hAnsi="Arial Body" w:cs="Calibri"/>
                <w:sz w:val="20"/>
                <w:szCs w:val="20"/>
                <w:lang w:eastAsia="en-GB"/>
              </w:rPr>
            </w:pPr>
            <w:r w:rsidRPr="006837AE">
              <w:rPr>
                <w:rFonts w:ascii="Arial" w:hAnsi="Arial" w:cs="Arial"/>
                <w:sz w:val="20"/>
                <w:szCs w:val="20"/>
              </w:rPr>
              <w:t>(13,500)</w:t>
            </w:r>
          </w:p>
        </w:tc>
      </w:tr>
    </w:tbl>
    <w:p w14:paraId="073D46A3" w14:textId="1A20A8EB" w:rsidR="00E148CC" w:rsidRDefault="00E148CC">
      <w:pPr>
        <w:tabs>
          <w:tab w:val="left" w:pos="6903"/>
        </w:tabs>
        <w:ind w:left="567"/>
        <w:rPr>
          <w:rFonts w:ascii="Arial" w:hAnsi="Arial" w:cs="Arial"/>
          <w:sz w:val="20"/>
          <w:szCs w:val="20"/>
        </w:rPr>
      </w:pPr>
    </w:p>
    <w:p w14:paraId="6B6C34DC" w14:textId="77777777" w:rsidR="00896F52" w:rsidRPr="008A7A35" w:rsidRDefault="00896F52">
      <w:pPr>
        <w:tabs>
          <w:tab w:val="left" w:pos="6903"/>
        </w:tabs>
        <w:ind w:left="567"/>
        <w:rPr>
          <w:rFonts w:ascii="Arial" w:hAnsi="Arial" w:cs="Arial"/>
          <w:sz w:val="20"/>
          <w:szCs w:val="20"/>
        </w:rPr>
      </w:pPr>
    </w:p>
    <w:p w14:paraId="5B943FF1" w14:textId="5BEE5335" w:rsidR="000128C8" w:rsidRPr="008A7A35" w:rsidRDefault="002B5FD8" w:rsidP="008A7A35">
      <w:pPr>
        <w:pStyle w:val="Bodytext"/>
        <w:jc w:val="both"/>
      </w:pPr>
      <w:r w:rsidRPr="008A7A35">
        <w:rPr>
          <w:rFonts w:cs="Arial"/>
        </w:rPr>
        <w:t xml:space="preserve">The Board reviews the valuations performed by the Investment Manager and monitors the range of reasonably possible changes in significant unobservable inputs on a regular basis </w:t>
      </w:r>
      <w:r w:rsidRPr="008A7A35">
        <w:rPr>
          <w:bCs/>
        </w:rPr>
        <w:t>with consultation from the Investment Manager</w:t>
      </w:r>
      <w:r w:rsidRPr="008A7A35">
        <w:t xml:space="preserve">. </w:t>
      </w:r>
      <w:r w:rsidRPr="008A7A35">
        <w:rPr>
          <w:bCs/>
        </w:rPr>
        <w:t>Using its extensive industry experience, the Investment Manager provides the Board with its determination of the reasonably possible changes in significant unobservable inputs in the market conditions as of the period end.</w:t>
      </w:r>
    </w:p>
    <w:p w14:paraId="59219EEB" w14:textId="77777777" w:rsidR="00C73E4B" w:rsidRPr="008A7A35" w:rsidRDefault="00C73E4B" w:rsidP="002B5FD8">
      <w:pPr>
        <w:tabs>
          <w:tab w:val="left" w:pos="6903"/>
        </w:tabs>
        <w:rPr>
          <w:rFonts w:ascii="Arial" w:hAnsi="Arial" w:cs="Arial"/>
          <w:sz w:val="20"/>
          <w:szCs w:val="20"/>
        </w:rPr>
      </w:pPr>
    </w:p>
    <w:p w14:paraId="56908699" w14:textId="77777777" w:rsidR="002761B1" w:rsidRPr="008A7A35" w:rsidRDefault="002761B1" w:rsidP="002B5FD8">
      <w:pPr>
        <w:tabs>
          <w:tab w:val="left" w:pos="6903"/>
        </w:tabs>
        <w:rPr>
          <w:rFonts w:ascii="Arial" w:hAnsi="Arial" w:cs="Arial"/>
          <w:sz w:val="20"/>
          <w:szCs w:val="20"/>
        </w:rPr>
      </w:pPr>
    </w:p>
    <w:p w14:paraId="5804F795" w14:textId="34657C3C" w:rsidR="001E2106" w:rsidRPr="008A7A35" w:rsidRDefault="001E2106" w:rsidP="007C3B0B">
      <w:pPr>
        <w:tabs>
          <w:tab w:val="left" w:pos="6903"/>
        </w:tabs>
        <w:rPr>
          <w:rFonts w:ascii="Arial" w:hAnsi="Arial" w:cs="Arial"/>
          <w:sz w:val="26"/>
          <w:szCs w:val="26"/>
        </w:rPr>
      </w:pPr>
      <w:r w:rsidRPr="008A7A35">
        <w:rPr>
          <w:rFonts w:ascii="Arial" w:hAnsi="Arial" w:cs="Arial"/>
          <w:sz w:val="26"/>
          <w:szCs w:val="26"/>
        </w:rPr>
        <w:t xml:space="preserve">Quantitative information about Level 3 fair value measurements in the Partnership as </w:t>
      </w:r>
      <w:proofErr w:type="gramStart"/>
      <w:r w:rsidRPr="008A7A35">
        <w:rPr>
          <w:rFonts w:ascii="Arial" w:hAnsi="Arial" w:cs="Arial"/>
          <w:sz w:val="26"/>
          <w:szCs w:val="26"/>
        </w:rPr>
        <w:t>at</w:t>
      </w:r>
      <w:proofErr w:type="gramEnd"/>
      <w:r w:rsidRPr="008A7A35">
        <w:rPr>
          <w:rFonts w:ascii="Arial" w:hAnsi="Arial" w:cs="Arial"/>
          <w:sz w:val="26"/>
          <w:szCs w:val="26"/>
        </w:rPr>
        <w:t xml:space="preserve"> 30 June 202</w:t>
      </w:r>
      <w:r w:rsidR="00D26880" w:rsidRPr="008A7A35">
        <w:rPr>
          <w:rFonts w:ascii="Arial" w:hAnsi="Arial" w:cs="Arial"/>
          <w:sz w:val="26"/>
          <w:szCs w:val="26"/>
        </w:rPr>
        <w:t>5</w:t>
      </w:r>
    </w:p>
    <w:p w14:paraId="519AE2C0" w14:textId="77777777" w:rsidR="001E2106" w:rsidRPr="008A7A35" w:rsidRDefault="001E2106" w:rsidP="001E2106">
      <w:pPr>
        <w:tabs>
          <w:tab w:val="left" w:pos="6903"/>
        </w:tabs>
        <w:jc w:val="both"/>
        <w:rPr>
          <w:rFonts w:ascii="Arial" w:hAnsi="Arial" w:cs="Arial"/>
          <w:b/>
          <w:bCs/>
          <w:sz w:val="16"/>
          <w:szCs w:val="16"/>
        </w:rPr>
      </w:pPr>
    </w:p>
    <w:tbl>
      <w:tblPr>
        <w:tblW w:w="5507" w:type="pct"/>
        <w:tblInd w:w="-567" w:type="dxa"/>
        <w:tblLayout w:type="fixed"/>
        <w:tblLook w:val="04A0" w:firstRow="1" w:lastRow="0" w:firstColumn="1" w:lastColumn="0" w:noHBand="0" w:noVBand="1"/>
      </w:tblPr>
      <w:tblGrid>
        <w:gridCol w:w="1294"/>
        <w:gridCol w:w="1405"/>
        <w:gridCol w:w="1276"/>
        <w:gridCol w:w="726"/>
        <w:gridCol w:w="847"/>
        <w:gridCol w:w="991"/>
        <w:gridCol w:w="2411"/>
        <w:gridCol w:w="1823"/>
      </w:tblGrid>
      <w:tr w:rsidR="00B65919" w:rsidRPr="008A7A35" w14:paraId="1522072D" w14:textId="77777777" w:rsidTr="00B65919">
        <w:trPr>
          <w:trHeight w:val="212"/>
        </w:trPr>
        <w:tc>
          <w:tcPr>
            <w:tcW w:w="5000" w:type="pct"/>
            <w:gridSpan w:val="8"/>
            <w:tcBorders>
              <w:top w:val="nil"/>
              <w:left w:val="nil"/>
              <w:bottom w:val="nil"/>
              <w:right w:val="nil"/>
            </w:tcBorders>
            <w:noWrap/>
            <w:hideMark/>
          </w:tcPr>
          <w:p w14:paraId="3774C122" w14:textId="60EA8B6A" w:rsidR="00B65919" w:rsidRPr="008A7A35" w:rsidRDefault="00B65919" w:rsidP="002E692B">
            <w:pPr>
              <w:rPr>
                <w:rFonts w:ascii="Arial" w:hAnsi="Arial" w:cs="Arial"/>
                <w:sz w:val="16"/>
                <w:szCs w:val="16"/>
                <w:lang w:eastAsia="en-GB"/>
              </w:rPr>
            </w:pPr>
            <w:r w:rsidRPr="008A7A35">
              <w:rPr>
                <w:rFonts w:ascii="Arial" w:hAnsi="Arial" w:cs="Arial"/>
                <w:b/>
                <w:bCs/>
                <w:sz w:val="16"/>
                <w:szCs w:val="16"/>
                <w:lang w:eastAsia="en-GB"/>
              </w:rPr>
              <w:t>Industry: Energy</w:t>
            </w:r>
          </w:p>
        </w:tc>
      </w:tr>
      <w:tr w:rsidR="00A54234" w:rsidRPr="008A7A35" w14:paraId="0C4175C3" w14:textId="77777777" w:rsidTr="003C67B6">
        <w:trPr>
          <w:trHeight w:val="133"/>
        </w:trPr>
        <w:tc>
          <w:tcPr>
            <w:tcW w:w="601" w:type="pct"/>
            <w:noWrap/>
            <w:hideMark/>
          </w:tcPr>
          <w:p w14:paraId="557A0A4F" w14:textId="77777777" w:rsidR="001E2106" w:rsidRPr="008A7A35" w:rsidRDefault="001E2106" w:rsidP="002E692B">
            <w:pPr>
              <w:tabs>
                <w:tab w:val="left" w:pos="884"/>
              </w:tabs>
              <w:rPr>
                <w:rFonts w:ascii="Arial" w:hAnsi="Arial" w:cs="Arial"/>
                <w:b/>
                <w:bCs/>
                <w:sz w:val="16"/>
                <w:szCs w:val="16"/>
                <w:lang w:eastAsia="en-GB"/>
              </w:rPr>
            </w:pPr>
          </w:p>
          <w:p w14:paraId="45EA650C" w14:textId="77777777" w:rsidR="001E2106" w:rsidRPr="008A7A35" w:rsidRDefault="001E2106" w:rsidP="002E692B">
            <w:pPr>
              <w:rPr>
                <w:rFonts w:ascii="Arial" w:hAnsi="Arial" w:cs="Arial"/>
                <w:sz w:val="16"/>
                <w:szCs w:val="16"/>
                <w:lang w:eastAsia="en-GB"/>
              </w:rPr>
            </w:pPr>
          </w:p>
        </w:tc>
        <w:tc>
          <w:tcPr>
            <w:tcW w:w="652" w:type="pct"/>
            <w:noWrap/>
            <w:vAlign w:val="bottom"/>
            <w:hideMark/>
          </w:tcPr>
          <w:p w14:paraId="4C3349DC" w14:textId="77777777" w:rsidR="001E2106" w:rsidRPr="008A7A35" w:rsidRDefault="001E2106" w:rsidP="002E692B">
            <w:pPr>
              <w:jc w:val="right"/>
              <w:rPr>
                <w:rFonts w:ascii="Arial" w:hAnsi="Arial" w:cs="Arial"/>
                <w:b/>
                <w:bCs/>
                <w:sz w:val="16"/>
                <w:szCs w:val="16"/>
                <w:lang w:eastAsia="en-GB"/>
              </w:rPr>
            </w:pPr>
          </w:p>
        </w:tc>
        <w:tc>
          <w:tcPr>
            <w:tcW w:w="592" w:type="pct"/>
            <w:noWrap/>
            <w:vAlign w:val="bottom"/>
            <w:hideMark/>
          </w:tcPr>
          <w:p w14:paraId="66A56838" w14:textId="77777777" w:rsidR="001E2106" w:rsidRPr="008A7A35" w:rsidRDefault="001E2106" w:rsidP="002E692B">
            <w:pPr>
              <w:jc w:val="right"/>
              <w:rPr>
                <w:rFonts w:ascii="Arial" w:hAnsi="Arial" w:cs="Arial"/>
                <w:b/>
                <w:bCs/>
                <w:sz w:val="16"/>
                <w:szCs w:val="16"/>
                <w:lang w:eastAsia="en-GB"/>
              </w:rPr>
            </w:pPr>
          </w:p>
        </w:tc>
        <w:tc>
          <w:tcPr>
            <w:tcW w:w="730" w:type="pct"/>
            <w:gridSpan w:val="2"/>
            <w:noWrap/>
            <w:vAlign w:val="bottom"/>
            <w:hideMark/>
          </w:tcPr>
          <w:p w14:paraId="729C0A60" w14:textId="77777777" w:rsidR="001E2106" w:rsidRPr="008A7A35" w:rsidRDefault="001E2106" w:rsidP="002E692B">
            <w:pPr>
              <w:jc w:val="center"/>
              <w:rPr>
                <w:rFonts w:ascii="Arial" w:hAnsi="Arial" w:cs="Arial"/>
                <w:b/>
                <w:bCs/>
                <w:sz w:val="16"/>
                <w:szCs w:val="16"/>
                <w:lang w:eastAsia="en-GB"/>
              </w:rPr>
            </w:pPr>
            <w:r w:rsidRPr="008A7A35">
              <w:rPr>
                <w:rFonts w:ascii="Arial" w:hAnsi="Arial" w:cs="Arial"/>
                <w:b/>
                <w:bCs/>
                <w:sz w:val="16"/>
                <w:szCs w:val="16"/>
                <w:lang w:eastAsia="en-GB"/>
              </w:rPr>
              <w:t>Range</w:t>
            </w:r>
          </w:p>
        </w:tc>
        <w:tc>
          <w:tcPr>
            <w:tcW w:w="460" w:type="pct"/>
            <w:tcBorders>
              <w:top w:val="nil"/>
              <w:left w:val="nil"/>
              <w:right w:val="nil"/>
            </w:tcBorders>
            <w:vAlign w:val="bottom"/>
            <w:hideMark/>
          </w:tcPr>
          <w:p w14:paraId="67470380" w14:textId="77777777" w:rsidR="001E2106" w:rsidRPr="008A7A35" w:rsidRDefault="001E2106" w:rsidP="002E692B">
            <w:pPr>
              <w:jc w:val="right"/>
              <w:rPr>
                <w:rFonts w:ascii="Arial" w:hAnsi="Arial" w:cs="Arial"/>
                <w:b/>
                <w:bCs/>
                <w:sz w:val="16"/>
                <w:szCs w:val="16"/>
                <w:lang w:eastAsia="en-GB"/>
              </w:rPr>
            </w:pPr>
          </w:p>
        </w:tc>
        <w:tc>
          <w:tcPr>
            <w:tcW w:w="1119" w:type="pct"/>
            <w:noWrap/>
            <w:vAlign w:val="bottom"/>
            <w:hideMark/>
          </w:tcPr>
          <w:p w14:paraId="2A5E44CE" w14:textId="77777777" w:rsidR="001E2106" w:rsidRPr="008A7A35" w:rsidRDefault="001E2106" w:rsidP="002E692B">
            <w:pPr>
              <w:jc w:val="right"/>
              <w:rPr>
                <w:rFonts w:ascii="Arial" w:hAnsi="Arial" w:cs="Arial"/>
                <w:b/>
                <w:bCs/>
                <w:sz w:val="16"/>
                <w:szCs w:val="16"/>
                <w:lang w:eastAsia="en-GB"/>
              </w:rPr>
            </w:pPr>
          </w:p>
          <w:p w14:paraId="7D825D9C" w14:textId="77777777" w:rsidR="001E2106" w:rsidRPr="008A7A35" w:rsidRDefault="001E2106" w:rsidP="002E692B">
            <w:pPr>
              <w:jc w:val="right"/>
              <w:rPr>
                <w:rFonts w:ascii="Arial" w:hAnsi="Arial" w:cs="Arial"/>
                <w:b/>
                <w:bCs/>
                <w:sz w:val="16"/>
                <w:szCs w:val="16"/>
                <w:lang w:eastAsia="en-GB"/>
              </w:rPr>
            </w:pPr>
          </w:p>
        </w:tc>
        <w:tc>
          <w:tcPr>
            <w:tcW w:w="846" w:type="pct"/>
            <w:noWrap/>
            <w:vAlign w:val="bottom"/>
            <w:hideMark/>
          </w:tcPr>
          <w:p w14:paraId="0D4E3484" w14:textId="77777777" w:rsidR="001E2106" w:rsidRPr="008A7A35" w:rsidRDefault="001E2106" w:rsidP="002E692B">
            <w:pPr>
              <w:jc w:val="right"/>
              <w:rPr>
                <w:rFonts w:ascii="Arial" w:hAnsi="Arial" w:cs="Arial"/>
                <w:b/>
                <w:bCs/>
                <w:sz w:val="16"/>
                <w:szCs w:val="16"/>
                <w:lang w:eastAsia="en-GB"/>
              </w:rPr>
            </w:pPr>
          </w:p>
        </w:tc>
      </w:tr>
      <w:tr w:rsidR="00A54234" w:rsidRPr="008A7A35" w14:paraId="7714D5E1" w14:textId="77777777" w:rsidTr="003C67B6">
        <w:trPr>
          <w:trHeight w:val="239"/>
        </w:trPr>
        <w:tc>
          <w:tcPr>
            <w:tcW w:w="601" w:type="pct"/>
            <w:tcBorders>
              <w:top w:val="nil"/>
              <w:left w:val="nil"/>
              <w:bottom w:val="single" w:sz="4" w:space="0" w:color="auto"/>
              <w:right w:val="nil"/>
            </w:tcBorders>
            <w:noWrap/>
            <w:hideMark/>
          </w:tcPr>
          <w:p w14:paraId="464F6A18" w14:textId="77777777" w:rsidR="001E2106" w:rsidRPr="008A7A35" w:rsidRDefault="001E2106" w:rsidP="002E692B">
            <w:pPr>
              <w:rPr>
                <w:rFonts w:ascii="Arial" w:hAnsi="Arial" w:cs="Arial"/>
                <w:b/>
                <w:bCs/>
                <w:sz w:val="16"/>
                <w:szCs w:val="16"/>
                <w:lang w:eastAsia="en-GB"/>
              </w:rPr>
            </w:pPr>
            <w:r w:rsidRPr="008A7A35">
              <w:rPr>
                <w:rFonts w:ascii="Arial" w:hAnsi="Arial" w:cs="Arial"/>
                <w:b/>
                <w:bCs/>
                <w:sz w:val="16"/>
                <w:szCs w:val="16"/>
                <w:lang w:eastAsia="en-GB"/>
              </w:rPr>
              <w:t>Fair value of Level 3 Investments (in thousands)</w:t>
            </w:r>
          </w:p>
        </w:tc>
        <w:tc>
          <w:tcPr>
            <w:tcW w:w="652" w:type="pct"/>
            <w:tcBorders>
              <w:top w:val="nil"/>
              <w:left w:val="nil"/>
              <w:bottom w:val="single" w:sz="4" w:space="0" w:color="auto"/>
              <w:right w:val="nil"/>
            </w:tcBorders>
            <w:noWrap/>
            <w:vAlign w:val="bottom"/>
            <w:hideMark/>
          </w:tcPr>
          <w:p w14:paraId="6FA5F3A8"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Valuation technique(s)</w:t>
            </w:r>
          </w:p>
        </w:tc>
        <w:tc>
          <w:tcPr>
            <w:tcW w:w="592" w:type="pct"/>
            <w:tcBorders>
              <w:top w:val="nil"/>
              <w:left w:val="nil"/>
              <w:bottom w:val="single" w:sz="4" w:space="0" w:color="auto"/>
              <w:right w:val="nil"/>
            </w:tcBorders>
            <w:noWrap/>
            <w:vAlign w:val="bottom"/>
            <w:hideMark/>
          </w:tcPr>
          <w:p w14:paraId="4C81652C"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Unobservable input(s)</w:t>
            </w:r>
          </w:p>
        </w:tc>
        <w:tc>
          <w:tcPr>
            <w:tcW w:w="337" w:type="pct"/>
            <w:tcBorders>
              <w:top w:val="nil"/>
              <w:left w:val="nil"/>
              <w:bottom w:val="single" w:sz="4" w:space="0" w:color="auto"/>
              <w:right w:val="nil"/>
            </w:tcBorders>
            <w:noWrap/>
            <w:vAlign w:val="bottom"/>
            <w:hideMark/>
          </w:tcPr>
          <w:p w14:paraId="1B132D9E"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Low </w:t>
            </w:r>
            <w:r w:rsidRPr="008A7A35">
              <w:rPr>
                <w:rFonts w:ascii="Arial" w:hAnsi="Arial" w:cs="Arial"/>
                <w:b/>
                <w:bCs/>
                <w:sz w:val="16"/>
                <w:szCs w:val="16"/>
                <w:vertAlign w:val="superscript"/>
                <w:lang w:eastAsia="en-GB"/>
              </w:rPr>
              <w:t>(1)</w:t>
            </w:r>
          </w:p>
        </w:tc>
        <w:tc>
          <w:tcPr>
            <w:tcW w:w="393" w:type="pct"/>
            <w:tcBorders>
              <w:top w:val="nil"/>
              <w:left w:val="nil"/>
              <w:bottom w:val="single" w:sz="4" w:space="0" w:color="auto"/>
              <w:right w:val="nil"/>
            </w:tcBorders>
            <w:noWrap/>
            <w:vAlign w:val="bottom"/>
            <w:hideMark/>
          </w:tcPr>
          <w:p w14:paraId="49C9B7B3" w14:textId="77777777" w:rsidR="001E2106" w:rsidRPr="008A7A35" w:rsidRDefault="001E2106" w:rsidP="002E692B">
            <w:pPr>
              <w:jc w:val="right"/>
              <w:rPr>
                <w:rFonts w:ascii="Arial" w:hAnsi="Arial" w:cs="Arial"/>
                <w:b/>
                <w:bCs/>
                <w:sz w:val="16"/>
                <w:szCs w:val="16"/>
                <w:lang w:eastAsia="en-GB"/>
              </w:rPr>
            </w:pPr>
            <w:proofErr w:type="gramStart"/>
            <w:r w:rsidRPr="008A7A35">
              <w:rPr>
                <w:rFonts w:ascii="Arial" w:hAnsi="Arial" w:cs="Arial"/>
                <w:b/>
                <w:bCs/>
                <w:sz w:val="16"/>
                <w:szCs w:val="16"/>
                <w:lang w:eastAsia="en-GB"/>
              </w:rPr>
              <w:t>High</w:t>
            </w:r>
            <w:r w:rsidRPr="008A7A35">
              <w:rPr>
                <w:rFonts w:ascii="Arial" w:hAnsi="Arial" w:cs="Arial"/>
                <w:b/>
                <w:bCs/>
                <w:sz w:val="16"/>
                <w:szCs w:val="16"/>
                <w:vertAlign w:val="superscript"/>
                <w:lang w:eastAsia="en-GB"/>
              </w:rPr>
              <w:t>(</w:t>
            </w:r>
            <w:proofErr w:type="gramEnd"/>
            <w:r w:rsidRPr="008A7A35">
              <w:rPr>
                <w:rFonts w:ascii="Arial" w:hAnsi="Arial" w:cs="Arial"/>
                <w:b/>
                <w:bCs/>
                <w:sz w:val="16"/>
                <w:szCs w:val="16"/>
                <w:vertAlign w:val="superscript"/>
                <w:lang w:eastAsia="en-GB"/>
              </w:rPr>
              <w:t>1)</w:t>
            </w:r>
          </w:p>
        </w:tc>
        <w:tc>
          <w:tcPr>
            <w:tcW w:w="460" w:type="pct"/>
            <w:tcBorders>
              <w:top w:val="nil"/>
              <w:left w:val="nil"/>
              <w:bottom w:val="single" w:sz="4" w:space="0" w:color="auto"/>
              <w:right w:val="nil"/>
            </w:tcBorders>
            <w:vAlign w:val="bottom"/>
            <w:hideMark/>
          </w:tcPr>
          <w:p w14:paraId="5A993BCC" w14:textId="77777777" w:rsidR="001E2106" w:rsidRPr="008A7A35" w:rsidRDefault="001E2106" w:rsidP="002E692B">
            <w:pPr>
              <w:rPr>
                <w:rFonts w:ascii="Arial" w:hAnsi="Arial" w:cs="Arial"/>
                <w:b/>
                <w:bCs/>
                <w:sz w:val="16"/>
                <w:szCs w:val="16"/>
                <w:lang w:eastAsia="en-GB"/>
              </w:rPr>
            </w:pPr>
            <w:r w:rsidRPr="008A7A35">
              <w:rPr>
                <w:rFonts w:ascii="Arial" w:hAnsi="Arial" w:cs="Arial"/>
                <w:b/>
                <w:bCs/>
                <w:sz w:val="16"/>
                <w:szCs w:val="16"/>
                <w:lang w:eastAsia="en-GB"/>
              </w:rPr>
              <w:t xml:space="preserve">Weighted Average </w:t>
            </w:r>
            <w:r w:rsidRPr="008A7A35">
              <w:rPr>
                <w:rFonts w:ascii="Arial" w:hAnsi="Arial" w:cs="Arial"/>
                <w:b/>
                <w:bCs/>
                <w:sz w:val="16"/>
                <w:szCs w:val="16"/>
                <w:vertAlign w:val="superscript"/>
                <w:lang w:eastAsia="en-GB"/>
              </w:rPr>
              <w:t>(1)</w:t>
            </w:r>
          </w:p>
        </w:tc>
        <w:tc>
          <w:tcPr>
            <w:tcW w:w="1119" w:type="pct"/>
            <w:tcBorders>
              <w:top w:val="nil"/>
              <w:left w:val="nil"/>
              <w:bottom w:val="single" w:sz="4" w:space="0" w:color="auto"/>
              <w:right w:val="nil"/>
            </w:tcBorders>
            <w:noWrap/>
            <w:vAlign w:val="bottom"/>
            <w:hideMark/>
          </w:tcPr>
          <w:p w14:paraId="4397DEEB"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Sensitivity of the </w:t>
            </w:r>
          </w:p>
          <w:p w14:paraId="344FC719"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input to fair value of </w:t>
            </w:r>
          </w:p>
          <w:p w14:paraId="7395C8DE"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Level 3 </w:t>
            </w:r>
            <w:proofErr w:type="gramStart"/>
            <w:r w:rsidRPr="008A7A35">
              <w:rPr>
                <w:rFonts w:ascii="Arial" w:hAnsi="Arial" w:cs="Arial"/>
                <w:b/>
                <w:bCs/>
                <w:sz w:val="16"/>
                <w:szCs w:val="16"/>
                <w:lang w:eastAsia="en-GB"/>
              </w:rPr>
              <w:t>investments</w:t>
            </w:r>
            <w:r w:rsidRPr="008A7A35">
              <w:rPr>
                <w:rFonts w:ascii="Arial" w:hAnsi="Arial" w:cs="Arial"/>
                <w:b/>
                <w:bCs/>
                <w:sz w:val="16"/>
                <w:szCs w:val="16"/>
                <w:vertAlign w:val="superscript"/>
                <w:lang w:eastAsia="en-GB"/>
              </w:rPr>
              <w:t>(</w:t>
            </w:r>
            <w:proofErr w:type="gramEnd"/>
            <w:r w:rsidRPr="008A7A35">
              <w:rPr>
                <w:rFonts w:ascii="Arial" w:hAnsi="Arial" w:cs="Arial"/>
                <w:b/>
                <w:bCs/>
                <w:sz w:val="16"/>
                <w:szCs w:val="16"/>
                <w:vertAlign w:val="superscript"/>
                <w:lang w:eastAsia="en-GB"/>
              </w:rPr>
              <w:t>2)</w:t>
            </w:r>
          </w:p>
        </w:tc>
        <w:tc>
          <w:tcPr>
            <w:tcW w:w="846" w:type="pct"/>
            <w:tcBorders>
              <w:top w:val="nil"/>
              <w:left w:val="nil"/>
              <w:bottom w:val="single" w:sz="4" w:space="0" w:color="auto"/>
              <w:right w:val="nil"/>
            </w:tcBorders>
            <w:noWrap/>
            <w:vAlign w:val="bottom"/>
            <w:hideMark/>
          </w:tcPr>
          <w:p w14:paraId="5447F518"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Fair value of Level 3</w:t>
            </w:r>
          </w:p>
          <w:p w14:paraId="67926AB7"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Investments affected by unobservable input </w:t>
            </w:r>
            <w:r w:rsidRPr="008A7A35">
              <w:rPr>
                <w:rFonts w:ascii="Arial" w:hAnsi="Arial" w:cs="Arial"/>
                <w:b/>
                <w:bCs/>
                <w:sz w:val="16"/>
                <w:szCs w:val="16"/>
                <w:vertAlign w:val="superscript"/>
                <w:lang w:eastAsia="en-GB"/>
              </w:rPr>
              <w:t>(3)</w:t>
            </w:r>
            <w:r w:rsidRPr="008A7A35">
              <w:rPr>
                <w:rFonts w:ascii="Arial" w:hAnsi="Arial" w:cs="Arial"/>
                <w:b/>
                <w:bCs/>
                <w:sz w:val="16"/>
                <w:szCs w:val="16"/>
                <w:lang w:eastAsia="en-GB"/>
              </w:rPr>
              <w:t xml:space="preserve"> (in thousands)</w:t>
            </w:r>
          </w:p>
        </w:tc>
      </w:tr>
      <w:tr w:rsidR="00A54234" w:rsidRPr="008A7A35" w14:paraId="65C6D3D7" w14:textId="77777777" w:rsidTr="003C67B6">
        <w:trPr>
          <w:trHeight w:val="75"/>
        </w:trPr>
        <w:tc>
          <w:tcPr>
            <w:tcW w:w="601" w:type="pct"/>
            <w:tcBorders>
              <w:top w:val="single" w:sz="4" w:space="0" w:color="auto"/>
              <w:left w:val="nil"/>
              <w:bottom w:val="nil"/>
              <w:right w:val="nil"/>
            </w:tcBorders>
            <w:noWrap/>
            <w:vAlign w:val="bottom"/>
            <w:hideMark/>
          </w:tcPr>
          <w:p w14:paraId="755E0C0D"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c>
          <w:tcPr>
            <w:tcW w:w="652" w:type="pct"/>
            <w:tcBorders>
              <w:top w:val="single" w:sz="4" w:space="0" w:color="auto"/>
              <w:left w:val="nil"/>
              <w:bottom w:val="nil"/>
              <w:right w:val="nil"/>
            </w:tcBorders>
            <w:noWrap/>
            <w:vAlign w:val="bottom"/>
            <w:hideMark/>
          </w:tcPr>
          <w:p w14:paraId="34013D8B"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c>
          <w:tcPr>
            <w:tcW w:w="592" w:type="pct"/>
            <w:tcBorders>
              <w:top w:val="single" w:sz="4" w:space="0" w:color="auto"/>
              <w:left w:val="nil"/>
              <w:bottom w:val="nil"/>
              <w:right w:val="nil"/>
            </w:tcBorders>
            <w:noWrap/>
            <w:vAlign w:val="bottom"/>
            <w:hideMark/>
          </w:tcPr>
          <w:p w14:paraId="2EA2C9D9"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c>
          <w:tcPr>
            <w:tcW w:w="337" w:type="pct"/>
            <w:tcBorders>
              <w:top w:val="single" w:sz="4" w:space="0" w:color="auto"/>
              <w:left w:val="nil"/>
              <w:bottom w:val="nil"/>
              <w:right w:val="nil"/>
            </w:tcBorders>
            <w:noWrap/>
            <w:vAlign w:val="bottom"/>
            <w:hideMark/>
          </w:tcPr>
          <w:p w14:paraId="36266732" w14:textId="77777777" w:rsidR="001E2106" w:rsidRPr="008A7A35" w:rsidRDefault="001E2106" w:rsidP="002E692B">
            <w:pPr>
              <w:spacing w:line="256" w:lineRule="auto"/>
              <w:ind w:firstLineChars="100" w:firstLine="160"/>
              <w:jc w:val="right"/>
              <w:rPr>
                <w:rFonts w:ascii="Arial" w:hAnsi="Arial" w:cs="Arial"/>
                <w:sz w:val="16"/>
                <w:szCs w:val="16"/>
                <w:lang w:eastAsia="en-GB"/>
              </w:rPr>
            </w:pPr>
            <w:r w:rsidRPr="008A7A35">
              <w:rPr>
                <w:rFonts w:ascii="Arial" w:hAnsi="Arial" w:cs="Arial"/>
                <w:sz w:val="16"/>
                <w:szCs w:val="16"/>
                <w:lang w:eastAsia="en-GB"/>
              </w:rPr>
              <w:t> </w:t>
            </w:r>
          </w:p>
        </w:tc>
        <w:tc>
          <w:tcPr>
            <w:tcW w:w="393" w:type="pct"/>
            <w:tcBorders>
              <w:top w:val="single" w:sz="4" w:space="0" w:color="auto"/>
              <w:left w:val="nil"/>
              <w:bottom w:val="nil"/>
              <w:right w:val="nil"/>
            </w:tcBorders>
            <w:noWrap/>
            <w:vAlign w:val="bottom"/>
            <w:hideMark/>
          </w:tcPr>
          <w:p w14:paraId="7A51A913" w14:textId="77777777" w:rsidR="001E2106" w:rsidRPr="008A7A35" w:rsidRDefault="001E2106" w:rsidP="002E692B">
            <w:pPr>
              <w:spacing w:line="256" w:lineRule="auto"/>
              <w:ind w:firstLineChars="100" w:firstLine="160"/>
              <w:jc w:val="right"/>
              <w:rPr>
                <w:rFonts w:ascii="Arial" w:hAnsi="Arial" w:cs="Arial"/>
                <w:sz w:val="16"/>
                <w:szCs w:val="16"/>
                <w:lang w:eastAsia="en-GB"/>
              </w:rPr>
            </w:pPr>
            <w:r w:rsidRPr="008A7A35">
              <w:rPr>
                <w:rFonts w:ascii="Arial" w:hAnsi="Arial" w:cs="Arial"/>
                <w:sz w:val="16"/>
                <w:szCs w:val="16"/>
                <w:lang w:eastAsia="en-GB"/>
              </w:rPr>
              <w:t> </w:t>
            </w:r>
          </w:p>
        </w:tc>
        <w:tc>
          <w:tcPr>
            <w:tcW w:w="460" w:type="pct"/>
            <w:tcBorders>
              <w:top w:val="single" w:sz="4" w:space="0" w:color="auto"/>
              <w:left w:val="nil"/>
              <w:bottom w:val="nil"/>
              <w:right w:val="nil"/>
            </w:tcBorders>
            <w:noWrap/>
            <w:vAlign w:val="bottom"/>
            <w:hideMark/>
          </w:tcPr>
          <w:p w14:paraId="29D03BC9" w14:textId="77777777" w:rsidR="001E2106" w:rsidRPr="008A7A35" w:rsidRDefault="001E2106" w:rsidP="002E692B">
            <w:pPr>
              <w:spacing w:line="256" w:lineRule="auto"/>
              <w:ind w:firstLineChars="200" w:firstLine="320"/>
              <w:jc w:val="right"/>
              <w:rPr>
                <w:rFonts w:ascii="Arial" w:hAnsi="Arial" w:cs="Arial"/>
                <w:sz w:val="16"/>
                <w:szCs w:val="16"/>
                <w:lang w:eastAsia="en-GB"/>
              </w:rPr>
            </w:pPr>
            <w:r w:rsidRPr="008A7A35">
              <w:rPr>
                <w:rFonts w:ascii="Arial" w:hAnsi="Arial" w:cs="Arial"/>
                <w:sz w:val="16"/>
                <w:szCs w:val="16"/>
                <w:lang w:eastAsia="en-GB"/>
              </w:rPr>
              <w:t> </w:t>
            </w:r>
          </w:p>
        </w:tc>
        <w:tc>
          <w:tcPr>
            <w:tcW w:w="1119" w:type="pct"/>
            <w:tcBorders>
              <w:top w:val="single" w:sz="4" w:space="0" w:color="auto"/>
              <w:left w:val="nil"/>
              <w:bottom w:val="nil"/>
              <w:right w:val="nil"/>
            </w:tcBorders>
            <w:noWrap/>
            <w:vAlign w:val="bottom"/>
            <w:hideMark/>
          </w:tcPr>
          <w:p w14:paraId="3492477E" w14:textId="77777777" w:rsidR="001E2106" w:rsidRPr="008A7A35" w:rsidRDefault="001E2106" w:rsidP="002E692B">
            <w:pPr>
              <w:rPr>
                <w:rFonts w:ascii="Arial" w:hAnsi="Arial" w:cs="Arial"/>
                <w:sz w:val="16"/>
                <w:szCs w:val="16"/>
                <w:lang w:eastAsia="en-GB"/>
              </w:rPr>
            </w:pPr>
          </w:p>
        </w:tc>
        <w:tc>
          <w:tcPr>
            <w:tcW w:w="846" w:type="pct"/>
            <w:tcBorders>
              <w:top w:val="single" w:sz="4" w:space="0" w:color="auto"/>
              <w:left w:val="nil"/>
              <w:bottom w:val="nil"/>
              <w:right w:val="nil"/>
            </w:tcBorders>
            <w:noWrap/>
            <w:vAlign w:val="bottom"/>
            <w:hideMark/>
          </w:tcPr>
          <w:p w14:paraId="6ACD6C76"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r>
      <w:tr w:rsidR="00C61A8E" w:rsidRPr="008A7A35" w14:paraId="3D2459D2" w14:textId="77777777" w:rsidTr="00391CE4">
        <w:trPr>
          <w:trHeight w:val="799"/>
        </w:trPr>
        <w:tc>
          <w:tcPr>
            <w:tcW w:w="601" w:type="pct"/>
            <w:noWrap/>
          </w:tcPr>
          <w:p w14:paraId="34B4AD18" w14:textId="038D7909" w:rsidR="00372153" w:rsidRPr="008A7A35" w:rsidRDefault="00372153" w:rsidP="00372153">
            <w:pPr>
              <w:spacing w:line="256" w:lineRule="auto"/>
              <w:rPr>
                <w:rFonts w:ascii="Arial" w:hAnsi="Arial" w:cs="Arial"/>
                <w:sz w:val="16"/>
                <w:szCs w:val="16"/>
                <w:lang w:eastAsia="en-GB"/>
              </w:rPr>
            </w:pPr>
            <w:r w:rsidRPr="008A7A35">
              <w:rPr>
                <w:rFonts w:ascii="Arial" w:hAnsi="Arial" w:cs="Arial"/>
                <w:sz w:val="16"/>
                <w:szCs w:val="16"/>
                <w:lang w:eastAsia="en-GB"/>
              </w:rPr>
              <w:t>$</w:t>
            </w:r>
            <w:r>
              <w:rPr>
                <w:rFonts w:ascii="Arial" w:hAnsi="Arial" w:cs="Arial"/>
                <w:sz w:val="16"/>
                <w:szCs w:val="16"/>
                <w:lang w:eastAsia="en-GB"/>
              </w:rPr>
              <w:t>42,031</w:t>
            </w:r>
          </w:p>
        </w:tc>
        <w:tc>
          <w:tcPr>
            <w:tcW w:w="652" w:type="pct"/>
            <w:noWrap/>
          </w:tcPr>
          <w:p w14:paraId="12613395" w14:textId="6EF779DC" w:rsidR="00372153" w:rsidRPr="008A7A35" w:rsidRDefault="00372153" w:rsidP="00372153">
            <w:pPr>
              <w:spacing w:line="256" w:lineRule="auto"/>
              <w:rPr>
                <w:rFonts w:ascii="Arial" w:hAnsi="Arial" w:cs="Arial"/>
                <w:sz w:val="16"/>
                <w:szCs w:val="16"/>
                <w:lang w:eastAsia="en-GB"/>
              </w:rPr>
            </w:pPr>
            <w:r w:rsidRPr="008A7A35">
              <w:rPr>
                <w:rFonts w:ascii="Arial" w:hAnsi="Arial" w:cs="Arial"/>
                <w:sz w:val="16"/>
                <w:szCs w:val="16"/>
                <w:lang w:eastAsia="en-GB"/>
              </w:rPr>
              <w:t xml:space="preserve">Public </w:t>
            </w:r>
            <w:proofErr w:type="spellStart"/>
            <w:r w:rsidR="00135530">
              <w:rPr>
                <w:rFonts w:ascii="Arial" w:hAnsi="Arial" w:cs="Arial"/>
                <w:sz w:val="16"/>
                <w:szCs w:val="16"/>
                <w:lang w:eastAsia="en-GB"/>
              </w:rPr>
              <w:t>c</w:t>
            </w:r>
            <w:r w:rsidRPr="008A7A35">
              <w:rPr>
                <w:rFonts w:ascii="Arial" w:hAnsi="Arial" w:cs="Arial"/>
                <w:sz w:val="16"/>
                <w:szCs w:val="16"/>
                <w:lang w:eastAsia="en-GB"/>
              </w:rPr>
              <w:t>omparables</w:t>
            </w:r>
            <w:proofErr w:type="spellEnd"/>
          </w:p>
        </w:tc>
        <w:tc>
          <w:tcPr>
            <w:tcW w:w="592" w:type="pct"/>
            <w:noWrap/>
          </w:tcPr>
          <w:p w14:paraId="3604A802" w14:textId="6C7BB6A5" w:rsidR="00372153" w:rsidRPr="008A7A35" w:rsidRDefault="00372153" w:rsidP="00372153">
            <w:pPr>
              <w:spacing w:line="256" w:lineRule="auto"/>
              <w:rPr>
                <w:rFonts w:ascii="Arial" w:hAnsi="Arial" w:cs="Arial"/>
                <w:sz w:val="16"/>
                <w:szCs w:val="16"/>
                <w:lang w:eastAsia="en-GB"/>
              </w:rPr>
            </w:pPr>
            <w:r w:rsidRPr="008A7A35">
              <w:rPr>
                <w:rFonts w:ascii="Arial" w:hAnsi="Arial" w:cs="Arial"/>
                <w:sz w:val="16"/>
                <w:szCs w:val="16"/>
                <w:lang w:eastAsia="en-GB"/>
              </w:rPr>
              <w:t>202</w:t>
            </w:r>
            <w:r>
              <w:rPr>
                <w:rFonts w:ascii="Arial" w:hAnsi="Arial" w:cs="Arial"/>
                <w:sz w:val="16"/>
                <w:szCs w:val="16"/>
                <w:lang w:eastAsia="en-GB"/>
              </w:rPr>
              <w:t>4A</w:t>
            </w:r>
            <w:r w:rsidRPr="008A7A35">
              <w:rPr>
                <w:rFonts w:ascii="Arial" w:hAnsi="Arial" w:cs="Arial"/>
                <w:sz w:val="16"/>
                <w:szCs w:val="16"/>
                <w:lang w:eastAsia="en-GB"/>
              </w:rPr>
              <w:t xml:space="preserve"> EV / EBITDA Multipl</w:t>
            </w:r>
            <w:r>
              <w:rPr>
                <w:rFonts w:ascii="Arial" w:hAnsi="Arial" w:cs="Arial"/>
                <w:sz w:val="16"/>
                <w:szCs w:val="16"/>
                <w:lang w:eastAsia="en-GB"/>
              </w:rPr>
              <w:t>e</w:t>
            </w:r>
          </w:p>
        </w:tc>
        <w:tc>
          <w:tcPr>
            <w:tcW w:w="337" w:type="pct"/>
            <w:noWrap/>
          </w:tcPr>
          <w:p w14:paraId="6BAE1623" w14:textId="3D044F53" w:rsidR="00372153" w:rsidRDefault="00372153" w:rsidP="00372153">
            <w:pPr>
              <w:spacing w:line="256" w:lineRule="auto"/>
              <w:rPr>
                <w:rFonts w:ascii="Arial" w:hAnsi="Arial" w:cs="Arial"/>
                <w:sz w:val="16"/>
                <w:szCs w:val="16"/>
                <w:lang w:eastAsia="en-GB"/>
              </w:rPr>
            </w:pPr>
            <w:r>
              <w:rPr>
                <w:rFonts w:ascii="Arial" w:hAnsi="Arial" w:cs="Arial"/>
                <w:sz w:val="16"/>
                <w:szCs w:val="16"/>
                <w:lang w:eastAsia="en-GB"/>
              </w:rPr>
              <w:t>10.0</w:t>
            </w:r>
            <w:r w:rsidRPr="008A7A35">
              <w:rPr>
                <w:rFonts w:ascii="Arial" w:hAnsi="Arial" w:cs="Arial"/>
                <w:sz w:val="16"/>
                <w:szCs w:val="16"/>
              </w:rPr>
              <w:t>x</w:t>
            </w:r>
          </w:p>
        </w:tc>
        <w:tc>
          <w:tcPr>
            <w:tcW w:w="393" w:type="pct"/>
            <w:noWrap/>
          </w:tcPr>
          <w:p w14:paraId="10942C83" w14:textId="353867C8" w:rsidR="00372153" w:rsidRDefault="00372153" w:rsidP="00372153">
            <w:pPr>
              <w:spacing w:line="256" w:lineRule="auto"/>
              <w:rPr>
                <w:rFonts w:ascii="Arial" w:hAnsi="Arial" w:cs="Arial"/>
                <w:sz w:val="16"/>
                <w:szCs w:val="16"/>
                <w:lang w:eastAsia="en-GB"/>
              </w:rPr>
            </w:pPr>
            <w:r>
              <w:rPr>
                <w:rFonts w:ascii="Arial" w:hAnsi="Arial" w:cs="Arial"/>
                <w:sz w:val="16"/>
                <w:szCs w:val="16"/>
                <w:lang w:eastAsia="en-GB"/>
              </w:rPr>
              <w:t>40.0</w:t>
            </w:r>
            <w:r w:rsidRPr="008A7A35">
              <w:rPr>
                <w:rFonts w:ascii="Arial" w:hAnsi="Arial" w:cs="Arial"/>
                <w:sz w:val="16"/>
                <w:szCs w:val="16"/>
              </w:rPr>
              <w:t>x</w:t>
            </w:r>
          </w:p>
        </w:tc>
        <w:tc>
          <w:tcPr>
            <w:tcW w:w="460" w:type="pct"/>
            <w:noWrap/>
          </w:tcPr>
          <w:p w14:paraId="1F7C515E" w14:textId="5E587AA2" w:rsidR="00372153" w:rsidRDefault="00A35435" w:rsidP="00372153">
            <w:pPr>
              <w:spacing w:line="256" w:lineRule="auto"/>
              <w:rPr>
                <w:rFonts w:ascii="Arial" w:hAnsi="Arial" w:cs="Arial"/>
                <w:sz w:val="16"/>
                <w:szCs w:val="16"/>
                <w:lang w:eastAsia="en-GB"/>
              </w:rPr>
            </w:pPr>
            <w:r>
              <w:rPr>
                <w:rFonts w:ascii="Arial" w:hAnsi="Arial" w:cs="Arial"/>
                <w:sz w:val="16"/>
                <w:szCs w:val="16"/>
              </w:rPr>
              <w:t>37</w:t>
            </w:r>
            <w:r w:rsidR="00372153">
              <w:rPr>
                <w:rFonts w:ascii="Arial" w:hAnsi="Arial" w:cs="Arial"/>
                <w:sz w:val="16"/>
                <w:szCs w:val="16"/>
              </w:rPr>
              <w:t>.</w:t>
            </w:r>
            <w:r>
              <w:rPr>
                <w:rFonts w:ascii="Arial" w:hAnsi="Arial" w:cs="Arial"/>
                <w:sz w:val="16"/>
                <w:szCs w:val="16"/>
              </w:rPr>
              <w:t>1</w:t>
            </w:r>
            <w:r w:rsidRPr="008A7A35">
              <w:rPr>
                <w:rFonts w:ascii="Arial" w:hAnsi="Arial" w:cs="Arial"/>
                <w:sz w:val="16"/>
                <w:szCs w:val="16"/>
              </w:rPr>
              <w:t>x</w:t>
            </w:r>
          </w:p>
        </w:tc>
        <w:tc>
          <w:tcPr>
            <w:tcW w:w="1119" w:type="pct"/>
            <w:shd w:val="clear" w:color="auto" w:fill="FFFFFF"/>
            <w:vAlign w:val="bottom"/>
          </w:tcPr>
          <w:p w14:paraId="7F4A4A54" w14:textId="488473DD" w:rsidR="00372153" w:rsidRDefault="00372153" w:rsidP="00372153">
            <w:pPr>
              <w:spacing w:line="256" w:lineRule="auto"/>
              <w:rPr>
                <w:rFonts w:ascii="Arial" w:hAnsi="Arial" w:cs="Arial"/>
                <w:sz w:val="16"/>
                <w:szCs w:val="16"/>
                <w:lang w:eastAsia="en-GB"/>
              </w:rPr>
            </w:pPr>
            <w:r>
              <w:rPr>
                <w:rFonts w:ascii="Arial" w:hAnsi="Arial" w:cs="Arial"/>
                <w:sz w:val="16"/>
                <w:szCs w:val="16"/>
                <w:lang w:eastAsia="en-GB"/>
              </w:rPr>
              <w:t>25</w:t>
            </w:r>
            <w:r w:rsidRPr="008A7A35">
              <w:rPr>
                <w:rFonts w:ascii="Arial" w:hAnsi="Arial" w:cs="Arial"/>
                <w:sz w:val="16"/>
                <w:szCs w:val="16"/>
              </w:rPr>
              <w:t xml:space="preserve"> </w:t>
            </w:r>
            <w:r w:rsidRPr="008A7A35">
              <w:rPr>
                <w:rFonts w:ascii="Arial" w:hAnsi="Arial" w:cs="Arial"/>
                <w:sz w:val="16"/>
                <w:szCs w:val="16"/>
                <w:lang w:eastAsia="en-GB"/>
              </w:rPr>
              <w:t xml:space="preserve">per cent. change in the input would result in </w:t>
            </w:r>
            <w:r>
              <w:rPr>
                <w:rFonts w:ascii="Arial" w:hAnsi="Arial" w:cs="Arial"/>
                <w:sz w:val="16"/>
                <w:szCs w:val="16"/>
                <w:lang w:eastAsia="en-GB"/>
              </w:rPr>
              <w:t>2</w:t>
            </w:r>
            <w:r w:rsidRPr="008A7A35">
              <w:rPr>
                <w:rFonts w:ascii="Arial" w:hAnsi="Arial" w:cs="Arial"/>
                <w:sz w:val="16"/>
                <w:szCs w:val="16"/>
                <w:lang w:eastAsia="en-GB"/>
              </w:rPr>
              <w:t xml:space="preserve"> per cent. change in the total fair value of Level 3 investments</w:t>
            </w:r>
          </w:p>
        </w:tc>
        <w:tc>
          <w:tcPr>
            <w:tcW w:w="846" w:type="pct"/>
            <w:noWrap/>
          </w:tcPr>
          <w:p w14:paraId="601267C8" w14:textId="76CC2BFB" w:rsidR="00372153" w:rsidRDefault="00372153" w:rsidP="00372153">
            <w:pPr>
              <w:spacing w:line="256" w:lineRule="auto"/>
              <w:jc w:val="right"/>
              <w:rPr>
                <w:rFonts w:ascii="Arial" w:hAnsi="Arial" w:cs="Arial"/>
                <w:sz w:val="16"/>
                <w:szCs w:val="16"/>
                <w:lang w:eastAsia="en-GB"/>
              </w:rPr>
            </w:pPr>
            <w:r>
              <w:rPr>
                <w:rFonts w:ascii="Arial" w:hAnsi="Arial" w:cs="Arial"/>
                <w:sz w:val="16"/>
                <w:szCs w:val="16"/>
                <w:lang w:eastAsia="en-GB"/>
              </w:rPr>
              <w:t>23,156</w:t>
            </w:r>
          </w:p>
        </w:tc>
      </w:tr>
      <w:tr w:rsidR="0017280D" w:rsidRPr="008A7A35" w14:paraId="137AAA5D" w14:textId="77777777" w:rsidTr="00027502">
        <w:trPr>
          <w:trHeight w:val="799"/>
        </w:trPr>
        <w:tc>
          <w:tcPr>
            <w:tcW w:w="601" w:type="pct"/>
            <w:noWrap/>
            <w:vAlign w:val="bottom"/>
          </w:tcPr>
          <w:p w14:paraId="093BB735" w14:textId="77777777" w:rsidR="001C1E55" w:rsidRPr="008A7A35" w:rsidDel="00372153" w:rsidRDefault="001C1E55" w:rsidP="001C1E55">
            <w:pPr>
              <w:spacing w:line="256" w:lineRule="auto"/>
              <w:rPr>
                <w:rFonts w:ascii="Arial" w:hAnsi="Arial" w:cs="Arial"/>
                <w:sz w:val="16"/>
                <w:szCs w:val="16"/>
                <w:lang w:eastAsia="en-GB"/>
              </w:rPr>
            </w:pPr>
          </w:p>
        </w:tc>
        <w:tc>
          <w:tcPr>
            <w:tcW w:w="652" w:type="pct"/>
            <w:noWrap/>
            <w:vAlign w:val="bottom"/>
          </w:tcPr>
          <w:p w14:paraId="52F02413" w14:textId="77777777" w:rsidR="001C1E55" w:rsidRPr="008A7A35" w:rsidDel="00372153" w:rsidRDefault="001C1E55" w:rsidP="001C1E55">
            <w:pPr>
              <w:spacing w:line="256" w:lineRule="auto"/>
              <w:rPr>
                <w:rFonts w:ascii="Arial" w:hAnsi="Arial" w:cs="Arial"/>
                <w:sz w:val="16"/>
                <w:szCs w:val="16"/>
                <w:lang w:eastAsia="en-GB"/>
              </w:rPr>
            </w:pPr>
          </w:p>
        </w:tc>
        <w:tc>
          <w:tcPr>
            <w:tcW w:w="592" w:type="pct"/>
            <w:noWrap/>
          </w:tcPr>
          <w:p w14:paraId="61A4D31A" w14:textId="0F776838" w:rsidR="001C1E55" w:rsidRPr="008A7A35" w:rsidRDefault="001C1E55" w:rsidP="001C1E55">
            <w:pPr>
              <w:spacing w:line="256" w:lineRule="auto"/>
              <w:rPr>
                <w:rFonts w:ascii="Arial" w:hAnsi="Arial" w:cs="Arial"/>
                <w:sz w:val="16"/>
                <w:szCs w:val="16"/>
                <w:lang w:eastAsia="en-GB"/>
              </w:rPr>
            </w:pPr>
            <w:r w:rsidRPr="008A7A35">
              <w:rPr>
                <w:rFonts w:ascii="Arial" w:hAnsi="Arial" w:cs="Arial"/>
                <w:sz w:val="16"/>
                <w:szCs w:val="16"/>
                <w:lang w:eastAsia="en-GB"/>
              </w:rPr>
              <w:t>202</w:t>
            </w:r>
            <w:r>
              <w:rPr>
                <w:rFonts w:ascii="Arial" w:hAnsi="Arial" w:cs="Arial"/>
                <w:sz w:val="16"/>
                <w:szCs w:val="16"/>
                <w:lang w:eastAsia="en-GB"/>
              </w:rPr>
              <w:t>4A</w:t>
            </w:r>
            <w:r w:rsidRPr="008A7A35">
              <w:rPr>
                <w:rFonts w:ascii="Arial" w:hAnsi="Arial" w:cs="Arial"/>
                <w:sz w:val="16"/>
                <w:szCs w:val="16"/>
                <w:lang w:eastAsia="en-GB"/>
              </w:rPr>
              <w:t xml:space="preserve"> EV / Revenue Multipl</w:t>
            </w:r>
            <w:r>
              <w:rPr>
                <w:rFonts w:ascii="Arial" w:hAnsi="Arial" w:cs="Arial"/>
                <w:sz w:val="16"/>
                <w:szCs w:val="16"/>
                <w:lang w:eastAsia="en-GB"/>
              </w:rPr>
              <w:t>e</w:t>
            </w:r>
          </w:p>
        </w:tc>
        <w:tc>
          <w:tcPr>
            <w:tcW w:w="337" w:type="pct"/>
            <w:noWrap/>
          </w:tcPr>
          <w:p w14:paraId="0B43835C" w14:textId="72E5E729" w:rsidR="001C1E55" w:rsidRDefault="001C1E55" w:rsidP="001C1E55">
            <w:pPr>
              <w:spacing w:line="256" w:lineRule="auto"/>
              <w:rPr>
                <w:rFonts w:ascii="Arial" w:hAnsi="Arial" w:cs="Arial"/>
                <w:sz w:val="16"/>
                <w:szCs w:val="16"/>
                <w:lang w:eastAsia="en-GB"/>
              </w:rPr>
            </w:pPr>
            <w:r>
              <w:rPr>
                <w:rFonts w:ascii="Arial" w:hAnsi="Arial" w:cs="Arial"/>
                <w:sz w:val="16"/>
                <w:szCs w:val="16"/>
              </w:rPr>
              <w:t>5.0</w:t>
            </w:r>
            <w:r w:rsidRPr="008A7A35">
              <w:rPr>
                <w:rFonts w:ascii="Arial" w:hAnsi="Arial" w:cs="Arial"/>
                <w:sz w:val="16"/>
                <w:szCs w:val="16"/>
              </w:rPr>
              <w:t>x</w:t>
            </w:r>
          </w:p>
        </w:tc>
        <w:tc>
          <w:tcPr>
            <w:tcW w:w="393" w:type="pct"/>
            <w:noWrap/>
          </w:tcPr>
          <w:p w14:paraId="38131E04" w14:textId="78E20049" w:rsidR="001C1E55" w:rsidRDefault="001C1E55" w:rsidP="001C1E55">
            <w:pPr>
              <w:spacing w:line="256" w:lineRule="auto"/>
              <w:rPr>
                <w:rFonts w:ascii="Arial" w:hAnsi="Arial" w:cs="Arial"/>
                <w:sz w:val="16"/>
                <w:szCs w:val="16"/>
                <w:lang w:eastAsia="en-GB"/>
              </w:rPr>
            </w:pPr>
            <w:r>
              <w:rPr>
                <w:rFonts w:ascii="Arial" w:hAnsi="Arial" w:cs="Arial"/>
                <w:sz w:val="16"/>
                <w:szCs w:val="16"/>
                <w:lang w:eastAsia="en-GB"/>
              </w:rPr>
              <w:t>11.0</w:t>
            </w:r>
            <w:r w:rsidRPr="008A7A35">
              <w:rPr>
                <w:rFonts w:ascii="Arial" w:hAnsi="Arial" w:cs="Arial"/>
                <w:sz w:val="16"/>
                <w:szCs w:val="16"/>
              </w:rPr>
              <w:t>x</w:t>
            </w:r>
          </w:p>
        </w:tc>
        <w:tc>
          <w:tcPr>
            <w:tcW w:w="460" w:type="pct"/>
            <w:noWrap/>
          </w:tcPr>
          <w:p w14:paraId="50733EC4" w14:textId="66667C8A" w:rsidR="001C1E55" w:rsidRDefault="001C1E55" w:rsidP="001C1E55">
            <w:pPr>
              <w:spacing w:line="256" w:lineRule="auto"/>
              <w:rPr>
                <w:rFonts w:ascii="Arial" w:hAnsi="Arial" w:cs="Arial"/>
                <w:sz w:val="16"/>
                <w:szCs w:val="16"/>
                <w:lang w:eastAsia="en-GB"/>
              </w:rPr>
            </w:pPr>
            <w:r>
              <w:rPr>
                <w:rFonts w:ascii="Arial" w:hAnsi="Arial" w:cs="Arial"/>
                <w:sz w:val="16"/>
                <w:szCs w:val="16"/>
              </w:rPr>
              <w:t>10.</w:t>
            </w:r>
            <w:r w:rsidR="00A35435">
              <w:rPr>
                <w:rFonts w:ascii="Arial" w:hAnsi="Arial" w:cs="Arial"/>
                <w:sz w:val="16"/>
                <w:szCs w:val="16"/>
              </w:rPr>
              <w:t>4</w:t>
            </w:r>
            <w:r w:rsidR="00A35435" w:rsidRPr="008A7A35">
              <w:rPr>
                <w:rFonts w:ascii="Arial" w:hAnsi="Arial" w:cs="Arial"/>
                <w:sz w:val="16"/>
                <w:szCs w:val="16"/>
              </w:rPr>
              <w:t>x</w:t>
            </w:r>
          </w:p>
        </w:tc>
        <w:tc>
          <w:tcPr>
            <w:tcW w:w="1119" w:type="pct"/>
            <w:shd w:val="clear" w:color="auto" w:fill="FFFFFF"/>
            <w:vAlign w:val="bottom"/>
          </w:tcPr>
          <w:p w14:paraId="703BD1B2" w14:textId="699C51EB" w:rsidR="001C1E55" w:rsidRDefault="001C1E55" w:rsidP="001C1E55">
            <w:pPr>
              <w:spacing w:line="256" w:lineRule="auto"/>
              <w:rPr>
                <w:rFonts w:ascii="Arial" w:hAnsi="Arial" w:cs="Arial"/>
                <w:sz w:val="16"/>
                <w:szCs w:val="16"/>
                <w:lang w:eastAsia="en-GB"/>
              </w:rPr>
            </w:pPr>
            <w:r>
              <w:rPr>
                <w:rFonts w:ascii="Arial" w:hAnsi="Arial" w:cs="Arial"/>
                <w:sz w:val="16"/>
                <w:szCs w:val="16"/>
                <w:lang w:eastAsia="en-GB"/>
              </w:rPr>
              <w:t>25</w:t>
            </w:r>
            <w:r w:rsidRPr="008A7A35">
              <w:rPr>
                <w:rFonts w:ascii="Arial" w:hAnsi="Arial" w:cs="Arial"/>
                <w:sz w:val="16"/>
                <w:szCs w:val="16"/>
                <w:lang w:eastAsia="en-GB"/>
              </w:rPr>
              <w:t xml:space="preserve"> per cent. change in the input would result in </w:t>
            </w:r>
            <w:r w:rsidR="00A54234">
              <w:rPr>
                <w:rFonts w:ascii="Arial" w:hAnsi="Arial" w:cs="Arial"/>
                <w:sz w:val="16"/>
                <w:szCs w:val="16"/>
                <w:lang w:eastAsia="en-GB"/>
              </w:rPr>
              <w:t>1</w:t>
            </w:r>
            <w:r>
              <w:rPr>
                <w:rFonts w:ascii="Arial" w:hAnsi="Arial" w:cs="Arial"/>
                <w:sz w:val="16"/>
                <w:szCs w:val="16"/>
                <w:lang w:eastAsia="en-GB"/>
              </w:rPr>
              <w:t xml:space="preserve"> </w:t>
            </w:r>
            <w:r w:rsidRPr="008A7A35">
              <w:rPr>
                <w:rFonts w:ascii="Arial" w:hAnsi="Arial" w:cs="Arial"/>
                <w:sz w:val="16"/>
                <w:szCs w:val="16"/>
                <w:lang w:eastAsia="en-GB"/>
              </w:rPr>
              <w:t>per cent. change in the total fair value of Level 3 investments</w:t>
            </w:r>
          </w:p>
        </w:tc>
        <w:tc>
          <w:tcPr>
            <w:tcW w:w="846" w:type="pct"/>
            <w:noWrap/>
          </w:tcPr>
          <w:p w14:paraId="41E89A77" w14:textId="07E2D92E" w:rsidR="001C1E55" w:rsidRDefault="001C1E55" w:rsidP="001C1E55">
            <w:pPr>
              <w:spacing w:line="256" w:lineRule="auto"/>
              <w:jc w:val="right"/>
              <w:rPr>
                <w:rFonts w:ascii="Arial" w:hAnsi="Arial" w:cs="Arial"/>
                <w:sz w:val="16"/>
                <w:szCs w:val="16"/>
                <w:lang w:eastAsia="en-GB"/>
              </w:rPr>
            </w:pPr>
            <w:r>
              <w:rPr>
                <w:rFonts w:ascii="Arial" w:hAnsi="Arial" w:cs="Arial"/>
                <w:sz w:val="16"/>
                <w:szCs w:val="16"/>
                <w:lang w:eastAsia="en-GB"/>
              </w:rPr>
              <w:t>23,156</w:t>
            </w:r>
          </w:p>
        </w:tc>
      </w:tr>
      <w:tr w:rsidR="00A54234" w:rsidRPr="008A7A35" w14:paraId="114DF6C2" w14:textId="77777777" w:rsidTr="00372153">
        <w:trPr>
          <w:trHeight w:val="799"/>
        </w:trPr>
        <w:tc>
          <w:tcPr>
            <w:tcW w:w="601" w:type="pct"/>
            <w:noWrap/>
          </w:tcPr>
          <w:p w14:paraId="17B9CB61" w14:textId="6400A81A" w:rsidR="001C1E55" w:rsidRPr="008A7A35" w:rsidRDefault="001C1E55" w:rsidP="001C1E55">
            <w:pPr>
              <w:spacing w:line="256" w:lineRule="auto"/>
              <w:rPr>
                <w:rFonts w:ascii="Arial" w:hAnsi="Arial" w:cs="Arial"/>
                <w:sz w:val="16"/>
                <w:szCs w:val="16"/>
                <w:lang w:eastAsia="en-GB"/>
              </w:rPr>
            </w:pPr>
          </w:p>
        </w:tc>
        <w:tc>
          <w:tcPr>
            <w:tcW w:w="652" w:type="pct"/>
            <w:noWrap/>
          </w:tcPr>
          <w:p w14:paraId="4DBC0DC5" w14:textId="083DD826" w:rsidR="001C1E55" w:rsidRPr="008A7A35" w:rsidRDefault="001C1E55" w:rsidP="001C1E55">
            <w:pPr>
              <w:spacing w:line="256" w:lineRule="auto"/>
              <w:rPr>
                <w:rFonts w:ascii="Arial" w:hAnsi="Arial" w:cs="Arial"/>
                <w:sz w:val="16"/>
                <w:szCs w:val="16"/>
                <w:lang w:eastAsia="en-GB"/>
              </w:rPr>
            </w:pPr>
          </w:p>
        </w:tc>
        <w:tc>
          <w:tcPr>
            <w:tcW w:w="592" w:type="pct"/>
            <w:noWrap/>
            <w:hideMark/>
          </w:tcPr>
          <w:p w14:paraId="42692DFC" w14:textId="2173AA4A" w:rsidR="001C1E55" w:rsidRPr="008A7A35" w:rsidRDefault="001C1E55" w:rsidP="001C1E55">
            <w:pPr>
              <w:spacing w:line="256" w:lineRule="auto"/>
              <w:rPr>
                <w:rFonts w:ascii="Arial" w:hAnsi="Arial" w:cs="Arial"/>
                <w:sz w:val="16"/>
                <w:szCs w:val="16"/>
                <w:lang w:eastAsia="en-GB"/>
              </w:rPr>
            </w:pPr>
            <w:r w:rsidRPr="008A7A35">
              <w:rPr>
                <w:rFonts w:ascii="Arial" w:hAnsi="Arial" w:cs="Arial"/>
                <w:sz w:val="16"/>
                <w:szCs w:val="16"/>
                <w:lang w:eastAsia="en-GB"/>
              </w:rPr>
              <w:t>2025E EV / EBITDA Multipl</w:t>
            </w:r>
            <w:r>
              <w:rPr>
                <w:rFonts w:ascii="Arial" w:hAnsi="Arial" w:cs="Arial"/>
                <w:sz w:val="16"/>
                <w:szCs w:val="16"/>
                <w:lang w:eastAsia="en-GB"/>
              </w:rPr>
              <w:t>e</w:t>
            </w:r>
          </w:p>
        </w:tc>
        <w:tc>
          <w:tcPr>
            <w:tcW w:w="337" w:type="pct"/>
            <w:noWrap/>
            <w:hideMark/>
          </w:tcPr>
          <w:p w14:paraId="5815FA35" w14:textId="6D58AD06" w:rsidR="001C1E55" w:rsidRPr="008A7A35" w:rsidRDefault="001C1E55" w:rsidP="001C1E55">
            <w:pPr>
              <w:spacing w:line="256" w:lineRule="auto"/>
              <w:rPr>
                <w:rFonts w:ascii="Arial" w:hAnsi="Arial" w:cs="Arial"/>
                <w:sz w:val="16"/>
                <w:szCs w:val="16"/>
              </w:rPr>
            </w:pPr>
            <w:r>
              <w:rPr>
                <w:rFonts w:ascii="Arial" w:hAnsi="Arial" w:cs="Arial"/>
                <w:sz w:val="16"/>
                <w:szCs w:val="16"/>
                <w:lang w:eastAsia="en-GB"/>
              </w:rPr>
              <w:t>5.0</w:t>
            </w:r>
            <w:r w:rsidRPr="008A7A35">
              <w:rPr>
                <w:rFonts w:ascii="Arial" w:hAnsi="Arial" w:cs="Arial"/>
                <w:sz w:val="16"/>
                <w:szCs w:val="16"/>
              </w:rPr>
              <w:t>x</w:t>
            </w:r>
          </w:p>
        </w:tc>
        <w:tc>
          <w:tcPr>
            <w:tcW w:w="393" w:type="pct"/>
            <w:noWrap/>
            <w:hideMark/>
          </w:tcPr>
          <w:p w14:paraId="5E2C9F0A" w14:textId="7DF2BEB4" w:rsidR="001C1E55" w:rsidRPr="008A7A35" w:rsidRDefault="001C1E55" w:rsidP="001C1E55">
            <w:pPr>
              <w:spacing w:line="256" w:lineRule="auto"/>
              <w:rPr>
                <w:rFonts w:ascii="Arial" w:hAnsi="Arial" w:cs="Arial"/>
                <w:sz w:val="16"/>
                <w:szCs w:val="16"/>
                <w:lang w:eastAsia="en-GB"/>
              </w:rPr>
            </w:pPr>
            <w:r>
              <w:rPr>
                <w:rFonts w:ascii="Arial" w:hAnsi="Arial" w:cs="Arial"/>
                <w:sz w:val="16"/>
                <w:szCs w:val="16"/>
                <w:lang w:eastAsia="en-GB"/>
              </w:rPr>
              <w:t>29.0</w:t>
            </w:r>
            <w:r w:rsidRPr="008A7A35">
              <w:rPr>
                <w:rFonts w:ascii="Arial" w:hAnsi="Arial" w:cs="Arial"/>
                <w:sz w:val="16"/>
                <w:szCs w:val="16"/>
              </w:rPr>
              <w:t>x</w:t>
            </w:r>
          </w:p>
        </w:tc>
        <w:tc>
          <w:tcPr>
            <w:tcW w:w="460" w:type="pct"/>
            <w:noWrap/>
            <w:hideMark/>
          </w:tcPr>
          <w:p w14:paraId="70DE3007" w14:textId="04C4A642" w:rsidR="001C1E55" w:rsidRPr="008A7A35" w:rsidRDefault="00A35435" w:rsidP="001C1E55">
            <w:pPr>
              <w:spacing w:line="256" w:lineRule="auto"/>
              <w:rPr>
                <w:rFonts w:ascii="Arial" w:hAnsi="Arial" w:cs="Arial"/>
                <w:sz w:val="16"/>
                <w:szCs w:val="16"/>
                <w:lang w:eastAsia="en-GB"/>
              </w:rPr>
            </w:pPr>
            <w:r>
              <w:rPr>
                <w:rFonts w:ascii="Arial" w:hAnsi="Arial" w:cs="Arial"/>
                <w:sz w:val="16"/>
                <w:szCs w:val="16"/>
                <w:lang w:eastAsia="en-GB"/>
              </w:rPr>
              <w:t>26.7</w:t>
            </w:r>
            <w:r w:rsidR="001C1E55" w:rsidRPr="008A7A35">
              <w:rPr>
                <w:rFonts w:ascii="Arial" w:hAnsi="Arial" w:cs="Arial"/>
                <w:sz w:val="16"/>
                <w:szCs w:val="16"/>
              </w:rPr>
              <w:t>x</w:t>
            </w:r>
          </w:p>
        </w:tc>
        <w:tc>
          <w:tcPr>
            <w:tcW w:w="1119" w:type="pct"/>
            <w:shd w:val="clear" w:color="auto" w:fill="FFFFFF"/>
            <w:vAlign w:val="bottom"/>
            <w:hideMark/>
          </w:tcPr>
          <w:p w14:paraId="16E55DE1" w14:textId="72D0FB96" w:rsidR="001C1E55" w:rsidRPr="008A7A35" w:rsidRDefault="001C1E55" w:rsidP="001C1E55">
            <w:pPr>
              <w:spacing w:line="256" w:lineRule="auto"/>
              <w:rPr>
                <w:rFonts w:ascii="Arial" w:hAnsi="Arial" w:cs="Arial"/>
                <w:sz w:val="16"/>
                <w:szCs w:val="16"/>
                <w:lang w:eastAsia="en-GB"/>
              </w:rPr>
            </w:pPr>
            <w:r>
              <w:rPr>
                <w:rFonts w:ascii="Arial" w:hAnsi="Arial" w:cs="Arial"/>
                <w:sz w:val="16"/>
                <w:szCs w:val="16"/>
                <w:lang w:eastAsia="en-GB"/>
              </w:rPr>
              <w:t>25</w:t>
            </w:r>
            <w:r w:rsidRPr="008A7A35">
              <w:rPr>
                <w:rFonts w:ascii="Arial" w:hAnsi="Arial" w:cs="Arial"/>
                <w:sz w:val="16"/>
                <w:szCs w:val="16"/>
              </w:rPr>
              <w:t xml:space="preserve"> </w:t>
            </w:r>
            <w:r w:rsidRPr="008A7A35">
              <w:rPr>
                <w:rFonts w:ascii="Arial" w:hAnsi="Arial" w:cs="Arial"/>
                <w:sz w:val="16"/>
                <w:szCs w:val="16"/>
                <w:lang w:eastAsia="en-GB"/>
              </w:rPr>
              <w:t xml:space="preserve">per cent. change in the input would result in </w:t>
            </w:r>
            <w:r>
              <w:rPr>
                <w:rFonts w:ascii="Arial" w:hAnsi="Arial" w:cs="Arial"/>
                <w:sz w:val="16"/>
                <w:szCs w:val="16"/>
                <w:lang w:eastAsia="en-GB"/>
              </w:rPr>
              <w:t>2</w:t>
            </w:r>
            <w:r w:rsidRPr="008A7A35">
              <w:rPr>
                <w:rFonts w:ascii="Arial" w:hAnsi="Arial" w:cs="Arial"/>
                <w:sz w:val="16"/>
                <w:szCs w:val="16"/>
                <w:lang w:eastAsia="en-GB"/>
              </w:rPr>
              <w:t xml:space="preserve"> per cent. change in the total fair value of Level 3 investments</w:t>
            </w:r>
          </w:p>
        </w:tc>
        <w:tc>
          <w:tcPr>
            <w:tcW w:w="846" w:type="pct"/>
            <w:noWrap/>
            <w:hideMark/>
          </w:tcPr>
          <w:p w14:paraId="784F326A" w14:textId="24FA73AF" w:rsidR="001C1E55" w:rsidRPr="008A7A35" w:rsidRDefault="001C1E55" w:rsidP="001C1E55">
            <w:pPr>
              <w:spacing w:line="256" w:lineRule="auto"/>
              <w:jc w:val="right"/>
              <w:rPr>
                <w:rFonts w:ascii="Arial" w:hAnsi="Arial" w:cs="Arial"/>
                <w:sz w:val="16"/>
                <w:szCs w:val="16"/>
                <w:lang w:eastAsia="en-GB"/>
              </w:rPr>
            </w:pPr>
            <w:r>
              <w:rPr>
                <w:rFonts w:ascii="Arial" w:hAnsi="Arial" w:cs="Arial"/>
                <w:sz w:val="16"/>
                <w:szCs w:val="16"/>
                <w:lang w:eastAsia="en-GB"/>
              </w:rPr>
              <w:t>23,156</w:t>
            </w:r>
          </w:p>
        </w:tc>
      </w:tr>
      <w:tr w:rsidR="00A54234" w:rsidRPr="008A7A35" w14:paraId="1DDC1E0D" w14:textId="77777777" w:rsidTr="00391CE4">
        <w:trPr>
          <w:trHeight w:val="799"/>
        </w:trPr>
        <w:tc>
          <w:tcPr>
            <w:tcW w:w="601" w:type="pct"/>
            <w:noWrap/>
            <w:vAlign w:val="bottom"/>
          </w:tcPr>
          <w:p w14:paraId="31DF173A" w14:textId="77777777" w:rsidR="001C1E55" w:rsidRPr="008A7A35" w:rsidRDefault="001C1E55" w:rsidP="001C1E55">
            <w:pPr>
              <w:spacing w:line="256" w:lineRule="auto"/>
              <w:rPr>
                <w:rFonts w:ascii="Arial" w:hAnsi="Arial" w:cs="Arial"/>
                <w:sz w:val="16"/>
                <w:szCs w:val="16"/>
                <w:lang w:eastAsia="en-GB"/>
              </w:rPr>
            </w:pPr>
          </w:p>
        </w:tc>
        <w:tc>
          <w:tcPr>
            <w:tcW w:w="652" w:type="pct"/>
            <w:noWrap/>
            <w:vAlign w:val="bottom"/>
          </w:tcPr>
          <w:p w14:paraId="568ACB15" w14:textId="77777777" w:rsidR="001C1E55" w:rsidRPr="008A7A35" w:rsidRDefault="001C1E55" w:rsidP="001C1E55">
            <w:pPr>
              <w:spacing w:line="256" w:lineRule="auto"/>
              <w:rPr>
                <w:rFonts w:ascii="Arial" w:hAnsi="Arial" w:cs="Arial"/>
                <w:sz w:val="16"/>
                <w:szCs w:val="16"/>
                <w:lang w:eastAsia="en-GB"/>
              </w:rPr>
            </w:pPr>
          </w:p>
        </w:tc>
        <w:tc>
          <w:tcPr>
            <w:tcW w:w="592" w:type="pct"/>
            <w:noWrap/>
          </w:tcPr>
          <w:p w14:paraId="259DDB9E" w14:textId="7DA3F49B" w:rsidR="001C1E55" w:rsidRPr="008A7A35" w:rsidRDefault="001C1E55" w:rsidP="001C1E55">
            <w:pPr>
              <w:spacing w:line="256" w:lineRule="auto"/>
              <w:rPr>
                <w:rFonts w:ascii="Arial" w:hAnsi="Arial" w:cs="Arial"/>
                <w:sz w:val="16"/>
                <w:szCs w:val="16"/>
                <w:lang w:eastAsia="en-GB"/>
              </w:rPr>
            </w:pPr>
            <w:r w:rsidRPr="008A7A35">
              <w:rPr>
                <w:rFonts w:ascii="Arial" w:hAnsi="Arial" w:cs="Arial"/>
                <w:sz w:val="16"/>
                <w:szCs w:val="16"/>
                <w:lang w:eastAsia="en-GB"/>
              </w:rPr>
              <w:t>2025E EV / Revenue Multipl</w:t>
            </w:r>
            <w:r>
              <w:rPr>
                <w:rFonts w:ascii="Arial" w:hAnsi="Arial" w:cs="Arial"/>
                <w:sz w:val="16"/>
                <w:szCs w:val="16"/>
                <w:lang w:eastAsia="en-GB"/>
              </w:rPr>
              <w:t>e</w:t>
            </w:r>
          </w:p>
        </w:tc>
        <w:tc>
          <w:tcPr>
            <w:tcW w:w="337" w:type="pct"/>
            <w:noWrap/>
          </w:tcPr>
          <w:p w14:paraId="33FF00F5" w14:textId="5650A5A6" w:rsidR="001C1E55" w:rsidRPr="008A7A35" w:rsidRDefault="00A54234" w:rsidP="001C1E55">
            <w:pPr>
              <w:spacing w:line="256" w:lineRule="auto"/>
              <w:rPr>
                <w:rFonts w:ascii="Arial" w:hAnsi="Arial" w:cs="Arial"/>
                <w:sz w:val="16"/>
                <w:szCs w:val="16"/>
              </w:rPr>
            </w:pPr>
            <w:r>
              <w:rPr>
                <w:rFonts w:ascii="Arial" w:hAnsi="Arial" w:cs="Arial"/>
                <w:sz w:val="16"/>
                <w:szCs w:val="16"/>
                <w:lang w:eastAsia="en-GB"/>
              </w:rPr>
              <w:t>4</w:t>
            </w:r>
            <w:r w:rsidR="001C1E55">
              <w:rPr>
                <w:rFonts w:ascii="Arial" w:hAnsi="Arial" w:cs="Arial"/>
                <w:sz w:val="16"/>
                <w:szCs w:val="16"/>
                <w:lang w:eastAsia="en-GB"/>
              </w:rPr>
              <w:t>.0</w:t>
            </w:r>
            <w:r w:rsidR="001C1E55" w:rsidRPr="008A7A35">
              <w:rPr>
                <w:rFonts w:ascii="Arial" w:hAnsi="Arial" w:cs="Arial"/>
                <w:sz w:val="16"/>
                <w:szCs w:val="16"/>
              </w:rPr>
              <w:t>x</w:t>
            </w:r>
          </w:p>
        </w:tc>
        <w:tc>
          <w:tcPr>
            <w:tcW w:w="393" w:type="pct"/>
            <w:noWrap/>
          </w:tcPr>
          <w:p w14:paraId="58D4988F" w14:textId="7B68BD67" w:rsidR="001C1E55" w:rsidRPr="008A7A35" w:rsidRDefault="00A54234" w:rsidP="001C1E55">
            <w:pPr>
              <w:spacing w:line="256" w:lineRule="auto"/>
              <w:rPr>
                <w:rFonts w:ascii="Arial" w:hAnsi="Arial" w:cs="Arial"/>
                <w:sz w:val="16"/>
                <w:szCs w:val="16"/>
              </w:rPr>
            </w:pPr>
            <w:r>
              <w:rPr>
                <w:rFonts w:ascii="Arial" w:hAnsi="Arial" w:cs="Arial"/>
                <w:sz w:val="16"/>
                <w:szCs w:val="16"/>
                <w:lang w:eastAsia="en-GB"/>
              </w:rPr>
              <w:t>10.0</w:t>
            </w:r>
            <w:r w:rsidR="001C1E55" w:rsidRPr="008A7A35">
              <w:rPr>
                <w:rFonts w:ascii="Arial" w:hAnsi="Arial" w:cs="Arial"/>
                <w:sz w:val="16"/>
                <w:szCs w:val="16"/>
              </w:rPr>
              <w:t>x</w:t>
            </w:r>
          </w:p>
        </w:tc>
        <w:tc>
          <w:tcPr>
            <w:tcW w:w="460" w:type="pct"/>
            <w:noWrap/>
          </w:tcPr>
          <w:p w14:paraId="6EED92D1" w14:textId="072AE994" w:rsidR="001C1E55" w:rsidRPr="008A7A35" w:rsidRDefault="00A35435" w:rsidP="001C1E55">
            <w:pPr>
              <w:spacing w:line="256" w:lineRule="auto"/>
              <w:rPr>
                <w:rFonts w:ascii="Arial" w:hAnsi="Arial" w:cs="Arial"/>
                <w:sz w:val="16"/>
                <w:szCs w:val="16"/>
              </w:rPr>
            </w:pPr>
            <w:r>
              <w:rPr>
                <w:rFonts w:ascii="Arial" w:hAnsi="Arial" w:cs="Arial"/>
                <w:sz w:val="16"/>
                <w:szCs w:val="16"/>
                <w:lang w:eastAsia="en-GB"/>
              </w:rPr>
              <w:t>7.7</w:t>
            </w:r>
            <w:r w:rsidR="001C1E55" w:rsidRPr="008A7A35">
              <w:rPr>
                <w:rFonts w:ascii="Arial" w:hAnsi="Arial" w:cs="Arial"/>
                <w:sz w:val="16"/>
                <w:szCs w:val="16"/>
              </w:rPr>
              <w:t>x</w:t>
            </w:r>
          </w:p>
        </w:tc>
        <w:tc>
          <w:tcPr>
            <w:tcW w:w="1119" w:type="pct"/>
            <w:shd w:val="clear" w:color="auto" w:fill="FFFFFF"/>
            <w:vAlign w:val="bottom"/>
          </w:tcPr>
          <w:p w14:paraId="2B265935" w14:textId="6914595E" w:rsidR="001C1E55" w:rsidRPr="008A7A35" w:rsidRDefault="001C1E55" w:rsidP="001C1E55">
            <w:pPr>
              <w:spacing w:line="256" w:lineRule="auto"/>
              <w:rPr>
                <w:rFonts w:ascii="Arial" w:hAnsi="Arial" w:cs="Arial"/>
                <w:sz w:val="16"/>
                <w:szCs w:val="16"/>
              </w:rPr>
            </w:pPr>
            <w:r>
              <w:rPr>
                <w:rFonts w:ascii="Arial" w:hAnsi="Arial" w:cs="Arial"/>
                <w:sz w:val="16"/>
                <w:szCs w:val="16"/>
                <w:lang w:eastAsia="en-GB"/>
              </w:rPr>
              <w:t>20</w:t>
            </w:r>
            <w:r w:rsidRPr="008A7A35">
              <w:rPr>
                <w:rFonts w:ascii="Arial" w:hAnsi="Arial" w:cs="Arial"/>
                <w:sz w:val="16"/>
                <w:szCs w:val="16"/>
                <w:lang w:eastAsia="en-GB"/>
              </w:rPr>
              <w:t xml:space="preserve"> per cent. weighted average change </w:t>
            </w:r>
            <w:r w:rsidR="00A54234">
              <w:rPr>
                <w:rFonts w:ascii="Arial" w:hAnsi="Arial" w:cs="Arial"/>
                <w:sz w:val="16"/>
                <w:szCs w:val="16"/>
                <w:lang w:eastAsia="en-GB"/>
              </w:rPr>
              <w:t xml:space="preserve">(with a range of 15 – 25 per cent.) </w:t>
            </w:r>
            <w:r w:rsidRPr="008A7A35">
              <w:rPr>
                <w:rFonts w:ascii="Arial" w:hAnsi="Arial" w:cs="Arial"/>
                <w:sz w:val="16"/>
                <w:szCs w:val="16"/>
                <w:lang w:eastAsia="en-GB"/>
              </w:rPr>
              <w:t xml:space="preserve">in the input would result in </w:t>
            </w:r>
            <w:r>
              <w:rPr>
                <w:rFonts w:ascii="Arial" w:hAnsi="Arial" w:cs="Arial"/>
                <w:sz w:val="16"/>
                <w:szCs w:val="16"/>
                <w:lang w:eastAsia="en-GB"/>
              </w:rPr>
              <w:t xml:space="preserve">2 </w:t>
            </w:r>
            <w:r w:rsidRPr="008A7A35">
              <w:rPr>
                <w:rFonts w:ascii="Arial" w:hAnsi="Arial" w:cs="Arial"/>
                <w:sz w:val="16"/>
                <w:szCs w:val="16"/>
                <w:lang w:eastAsia="en-GB"/>
              </w:rPr>
              <w:t>per cent. change in the total fair value of Level 3 investments</w:t>
            </w:r>
          </w:p>
        </w:tc>
        <w:tc>
          <w:tcPr>
            <w:tcW w:w="846" w:type="pct"/>
            <w:noWrap/>
          </w:tcPr>
          <w:p w14:paraId="793914B3" w14:textId="4CB56129" w:rsidR="001C1E55" w:rsidRPr="008A7A35" w:rsidRDefault="001C1E55" w:rsidP="001C1E55">
            <w:pPr>
              <w:spacing w:line="256" w:lineRule="auto"/>
              <w:jc w:val="right"/>
              <w:rPr>
                <w:rFonts w:ascii="Arial" w:hAnsi="Arial" w:cs="Arial"/>
                <w:sz w:val="16"/>
                <w:szCs w:val="16"/>
              </w:rPr>
            </w:pPr>
            <w:r>
              <w:rPr>
                <w:rFonts w:ascii="Arial" w:hAnsi="Arial" w:cs="Arial"/>
                <w:sz w:val="16"/>
                <w:szCs w:val="16"/>
                <w:lang w:eastAsia="en-GB"/>
              </w:rPr>
              <w:t>41,031</w:t>
            </w:r>
          </w:p>
        </w:tc>
      </w:tr>
      <w:tr w:rsidR="00A54234" w:rsidRPr="008A7A35" w14:paraId="1F54C4F6" w14:textId="77777777" w:rsidTr="00391CE4">
        <w:trPr>
          <w:trHeight w:val="799"/>
        </w:trPr>
        <w:tc>
          <w:tcPr>
            <w:tcW w:w="601" w:type="pct"/>
            <w:noWrap/>
            <w:vAlign w:val="bottom"/>
          </w:tcPr>
          <w:p w14:paraId="306EF550" w14:textId="77777777" w:rsidR="001C1E55" w:rsidRPr="008A7A35" w:rsidRDefault="001C1E55" w:rsidP="001C1E55">
            <w:pPr>
              <w:spacing w:line="256" w:lineRule="auto"/>
              <w:rPr>
                <w:rFonts w:ascii="Arial" w:hAnsi="Arial" w:cs="Arial"/>
                <w:sz w:val="16"/>
                <w:szCs w:val="16"/>
                <w:lang w:eastAsia="en-GB"/>
              </w:rPr>
            </w:pPr>
          </w:p>
        </w:tc>
        <w:tc>
          <w:tcPr>
            <w:tcW w:w="652" w:type="pct"/>
            <w:tcBorders>
              <w:left w:val="nil"/>
              <w:right w:val="nil"/>
            </w:tcBorders>
            <w:noWrap/>
          </w:tcPr>
          <w:p w14:paraId="2BC5B822" w14:textId="77777777" w:rsidR="001C1E55" w:rsidRPr="008A7A35" w:rsidRDefault="001C1E55" w:rsidP="001C1E55">
            <w:pPr>
              <w:spacing w:line="256" w:lineRule="auto"/>
              <w:rPr>
                <w:rFonts w:ascii="Arial" w:hAnsi="Arial" w:cs="Arial"/>
                <w:sz w:val="16"/>
                <w:szCs w:val="16"/>
              </w:rPr>
            </w:pPr>
          </w:p>
        </w:tc>
        <w:tc>
          <w:tcPr>
            <w:tcW w:w="592" w:type="pct"/>
            <w:tcBorders>
              <w:left w:val="nil"/>
              <w:right w:val="nil"/>
            </w:tcBorders>
            <w:noWrap/>
          </w:tcPr>
          <w:p w14:paraId="5B35C16C" w14:textId="3EB106F4" w:rsidR="001C1E55" w:rsidRPr="00830133" w:rsidRDefault="001C1E55" w:rsidP="001C1E55">
            <w:pPr>
              <w:spacing w:line="256" w:lineRule="auto"/>
              <w:rPr>
                <w:rFonts w:ascii="Arial" w:hAnsi="Arial" w:cs="Arial"/>
                <w:sz w:val="16"/>
                <w:szCs w:val="16"/>
                <w:vertAlign w:val="superscript"/>
                <w:lang w:eastAsia="en-GB"/>
              </w:rPr>
            </w:pPr>
            <w:r w:rsidRPr="008A7A35">
              <w:rPr>
                <w:rFonts w:ascii="Arial" w:hAnsi="Arial" w:cs="Arial"/>
                <w:sz w:val="16"/>
                <w:szCs w:val="16"/>
                <w:lang w:eastAsia="en-GB"/>
              </w:rPr>
              <w:t>202</w:t>
            </w:r>
            <w:r>
              <w:rPr>
                <w:rFonts w:ascii="Arial" w:hAnsi="Arial" w:cs="Arial"/>
                <w:sz w:val="16"/>
                <w:szCs w:val="16"/>
                <w:lang w:eastAsia="en-GB"/>
              </w:rPr>
              <w:t>6</w:t>
            </w:r>
            <w:r w:rsidRPr="008A7A35">
              <w:rPr>
                <w:rFonts w:ascii="Arial" w:hAnsi="Arial" w:cs="Arial"/>
                <w:sz w:val="16"/>
                <w:szCs w:val="16"/>
                <w:lang w:eastAsia="en-GB"/>
              </w:rPr>
              <w:t xml:space="preserve">E EV / </w:t>
            </w:r>
            <w:r>
              <w:rPr>
                <w:rFonts w:ascii="Arial" w:hAnsi="Arial" w:cs="Arial"/>
                <w:sz w:val="16"/>
                <w:szCs w:val="16"/>
                <w:lang w:eastAsia="en-GB"/>
              </w:rPr>
              <w:t xml:space="preserve">Revenue </w:t>
            </w:r>
            <w:r w:rsidRPr="008A7A35">
              <w:rPr>
                <w:rFonts w:ascii="Arial" w:hAnsi="Arial" w:cs="Arial"/>
                <w:sz w:val="16"/>
                <w:szCs w:val="16"/>
                <w:lang w:eastAsia="en-GB"/>
              </w:rPr>
              <w:t>Multiple</w:t>
            </w:r>
          </w:p>
        </w:tc>
        <w:tc>
          <w:tcPr>
            <w:tcW w:w="337" w:type="pct"/>
            <w:tcBorders>
              <w:left w:val="nil"/>
              <w:right w:val="nil"/>
            </w:tcBorders>
            <w:noWrap/>
          </w:tcPr>
          <w:p w14:paraId="384A3A9B" w14:textId="655D3EF4" w:rsidR="001C1E55" w:rsidRPr="008A7A35" w:rsidRDefault="001C1E55" w:rsidP="001C1E55">
            <w:pPr>
              <w:spacing w:line="256" w:lineRule="auto"/>
              <w:rPr>
                <w:rFonts w:ascii="Arial" w:hAnsi="Arial" w:cs="Arial"/>
                <w:sz w:val="16"/>
                <w:szCs w:val="16"/>
              </w:rPr>
            </w:pPr>
            <w:r>
              <w:rPr>
                <w:rFonts w:ascii="Arial" w:hAnsi="Arial" w:cs="Arial"/>
                <w:sz w:val="16"/>
                <w:szCs w:val="16"/>
                <w:lang w:eastAsia="en-GB"/>
              </w:rPr>
              <w:t>1.</w:t>
            </w:r>
            <w:r w:rsidR="00A54234">
              <w:rPr>
                <w:rFonts w:ascii="Arial" w:hAnsi="Arial" w:cs="Arial"/>
                <w:sz w:val="16"/>
                <w:szCs w:val="16"/>
                <w:lang w:eastAsia="en-GB"/>
              </w:rPr>
              <w:t>0</w:t>
            </w:r>
            <w:r w:rsidRPr="008A7A35">
              <w:rPr>
                <w:rFonts w:ascii="Arial" w:hAnsi="Arial" w:cs="Arial"/>
                <w:sz w:val="16"/>
                <w:szCs w:val="16"/>
              </w:rPr>
              <w:t>x</w:t>
            </w:r>
          </w:p>
        </w:tc>
        <w:tc>
          <w:tcPr>
            <w:tcW w:w="393" w:type="pct"/>
            <w:tcBorders>
              <w:left w:val="nil"/>
              <w:right w:val="nil"/>
            </w:tcBorders>
            <w:noWrap/>
          </w:tcPr>
          <w:p w14:paraId="12B71524" w14:textId="45450768" w:rsidR="001C1E55" w:rsidRPr="008A7A35" w:rsidRDefault="00A54234" w:rsidP="001C1E55">
            <w:pPr>
              <w:spacing w:line="256" w:lineRule="auto"/>
              <w:rPr>
                <w:rFonts w:ascii="Arial" w:hAnsi="Arial" w:cs="Arial"/>
                <w:sz w:val="16"/>
                <w:szCs w:val="16"/>
              </w:rPr>
            </w:pPr>
            <w:r>
              <w:rPr>
                <w:rFonts w:ascii="Arial" w:hAnsi="Arial" w:cs="Arial"/>
                <w:sz w:val="16"/>
                <w:szCs w:val="16"/>
                <w:lang w:eastAsia="en-GB"/>
              </w:rPr>
              <w:t>6.</w:t>
            </w:r>
            <w:r w:rsidR="001C1E55">
              <w:rPr>
                <w:rFonts w:ascii="Arial" w:hAnsi="Arial" w:cs="Arial"/>
                <w:sz w:val="16"/>
                <w:szCs w:val="16"/>
                <w:lang w:eastAsia="en-GB"/>
              </w:rPr>
              <w:t>5</w:t>
            </w:r>
            <w:r w:rsidR="001C1E55" w:rsidRPr="008A7A35">
              <w:rPr>
                <w:rFonts w:ascii="Arial" w:hAnsi="Arial" w:cs="Arial"/>
                <w:sz w:val="16"/>
                <w:szCs w:val="16"/>
              </w:rPr>
              <w:t>x</w:t>
            </w:r>
          </w:p>
        </w:tc>
        <w:tc>
          <w:tcPr>
            <w:tcW w:w="460" w:type="pct"/>
            <w:tcBorders>
              <w:left w:val="nil"/>
              <w:right w:val="nil"/>
            </w:tcBorders>
            <w:noWrap/>
          </w:tcPr>
          <w:p w14:paraId="14B2CED6" w14:textId="3BBC71FC" w:rsidR="001C1E55" w:rsidRPr="008A7A35" w:rsidRDefault="001C1E55" w:rsidP="001C1E55">
            <w:pPr>
              <w:spacing w:line="256" w:lineRule="auto"/>
              <w:rPr>
                <w:rFonts w:ascii="Arial" w:hAnsi="Arial" w:cs="Arial"/>
                <w:sz w:val="16"/>
                <w:szCs w:val="16"/>
              </w:rPr>
            </w:pPr>
            <w:r>
              <w:rPr>
                <w:rFonts w:ascii="Arial" w:hAnsi="Arial" w:cs="Arial"/>
                <w:sz w:val="16"/>
                <w:szCs w:val="16"/>
                <w:lang w:eastAsia="en-GB"/>
              </w:rPr>
              <w:t>4.8</w:t>
            </w:r>
            <w:r w:rsidRPr="008A7A35">
              <w:rPr>
                <w:rFonts w:ascii="Arial" w:hAnsi="Arial" w:cs="Arial"/>
                <w:sz w:val="16"/>
                <w:szCs w:val="16"/>
              </w:rPr>
              <w:t>x</w:t>
            </w:r>
          </w:p>
        </w:tc>
        <w:tc>
          <w:tcPr>
            <w:tcW w:w="1119" w:type="pct"/>
            <w:tcBorders>
              <w:left w:val="nil"/>
              <w:right w:val="nil"/>
            </w:tcBorders>
            <w:shd w:val="clear" w:color="auto" w:fill="FFFFFF"/>
            <w:vAlign w:val="bottom"/>
          </w:tcPr>
          <w:p w14:paraId="2AB5A988" w14:textId="043A08C9" w:rsidR="001C1E55" w:rsidRPr="008A7A35" w:rsidRDefault="001C1E55" w:rsidP="001C1E55">
            <w:pPr>
              <w:spacing w:line="256" w:lineRule="auto"/>
              <w:rPr>
                <w:rFonts w:ascii="Arial" w:hAnsi="Arial" w:cs="Arial"/>
                <w:sz w:val="16"/>
                <w:szCs w:val="16"/>
                <w:lang w:eastAsia="en-GB"/>
              </w:rPr>
            </w:pPr>
            <w:r>
              <w:rPr>
                <w:rFonts w:ascii="Arial" w:hAnsi="Arial" w:cs="Arial"/>
                <w:sz w:val="16"/>
                <w:szCs w:val="16"/>
                <w:lang w:eastAsia="en-GB"/>
              </w:rPr>
              <w:t>20</w:t>
            </w:r>
            <w:r w:rsidRPr="008A7A35">
              <w:rPr>
                <w:rFonts w:ascii="Arial" w:hAnsi="Arial" w:cs="Arial"/>
                <w:sz w:val="16"/>
                <w:szCs w:val="16"/>
                <w:lang w:eastAsia="en-GB"/>
              </w:rPr>
              <w:t xml:space="preserve"> per cent. weighted average change</w:t>
            </w:r>
            <w:r w:rsidR="00A54234">
              <w:rPr>
                <w:rFonts w:ascii="Arial" w:hAnsi="Arial" w:cs="Arial"/>
                <w:sz w:val="16"/>
                <w:szCs w:val="16"/>
                <w:lang w:eastAsia="en-GB"/>
              </w:rPr>
              <w:t xml:space="preserve"> (with a range of 15 – 25 per cent.)</w:t>
            </w:r>
            <w:r w:rsidRPr="008A7A35">
              <w:rPr>
                <w:rFonts w:ascii="Arial" w:hAnsi="Arial" w:cs="Arial"/>
                <w:sz w:val="16"/>
                <w:szCs w:val="16"/>
                <w:lang w:eastAsia="en-GB"/>
              </w:rPr>
              <w:t xml:space="preserve"> in the input would result in </w:t>
            </w:r>
            <w:r>
              <w:rPr>
                <w:rFonts w:ascii="Arial" w:hAnsi="Arial" w:cs="Arial"/>
                <w:sz w:val="16"/>
                <w:szCs w:val="16"/>
                <w:lang w:eastAsia="en-GB"/>
              </w:rPr>
              <w:t>1</w:t>
            </w:r>
            <w:r w:rsidRPr="008A7A35">
              <w:rPr>
                <w:rFonts w:ascii="Arial" w:hAnsi="Arial" w:cs="Arial"/>
                <w:sz w:val="16"/>
                <w:szCs w:val="16"/>
                <w:lang w:eastAsia="en-GB"/>
              </w:rPr>
              <w:t xml:space="preserve"> per cent. change in the total fair value of Level 3 investments</w:t>
            </w:r>
          </w:p>
        </w:tc>
        <w:tc>
          <w:tcPr>
            <w:tcW w:w="846" w:type="pct"/>
            <w:tcBorders>
              <w:left w:val="nil"/>
              <w:right w:val="nil"/>
            </w:tcBorders>
            <w:noWrap/>
          </w:tcPr>
          <w:p w14:paraId="16358C51" w14:textId="1382834E" w:rsidR="001C1E55" w:rsidRPr="008A7A35" w:rsidRDefault="001C1E55" w:rsidP="001C1E55">
            <w:pPr>
              <w:spacing w:line="256" w:lineRule="auto"/>
              <w:jc w:val="right"/>
              <w:rPr>
                <w:rFonts w:ascii="Arial" w:hAnsi="Arial" w:cs="Arial"/>
                <w:sz w:val="16"/>
                <w:szCs w:val="16"/>
              </w:rPr>
            </w:pPr>
            <w:r>
              <w:rPr>
                <w:rFonts w:ascii="Arial" w:hAnsi="Arial" w:cs="Arial"/>
                <w:sz w:val="16"/>
                <w:szCs w:val="16"/>
                <w:lang w:eastAsia="en-GB"/>
              </w:rPr>
              <w:t>18,875</w:t>
            </w:r>
          </w:p>
        </w:tc>
      </w:tr>
      <w:tr w:rsidR="00A54234" w:rsidRPr="008A7A35" w14:paraId="17625974" w14:textId="77777777" w:rsidTr="00391CE4">
        <w:trPr>
          <w:trHeight w:val="799"/>
        </w:trPr>
        <w:tc>
          <w:tcPr>
            <w:tcW w:w="601" w:type="pct"/>
            <w:noWrap/>
            <w:vAlign w:val="bottom"/>
          </w:tcPr>
          <w:p w14:paraId="5B28E892" w14:textId="77777777" w:rsidR="001C1E55" w:rsidRPr="008A7A35" w:rsidRDefault="001C1E55" w:rsidP="001C1E55">
            <w:pPr>
              <w:spacing w:line="256" w:lineRule="auto"/>
              <w:rPr>
                <w:rFonts w:ascii="Arial" w:hAnsi="Arial" w:cs="Arial"/>
                <w:sz w:val="16"/>
                <w:szCs w:val="16"/>
                <w:lang w:eastAsia="en-GB"/>
              </w:rPr>
            </w:pPr>
          </w:p>
        </w:tc>
        <w:tc>
          <w:tcPr>
            <w:tcW w:w="652" w:type="pct"/>
            <w:tcBorders>
              <w:left w:val="nil"/>
              <w:right w:val="nil"/>
            </w:tcBorders>
            <w:noWrap/>
          </w:tcPr>
          <w:p w14:paraId="4B6F09D9" w14:textId="77777777" w:rsidR="001C1E55" w:rsidRPr="008A7A35" w:rsidRDefault="001C1E55" w:rsidP="001C1E55">
            <w:pPr>
              <w:spacing w:line="256" w:lineRule="auto"/>
              <w:rPr>
                <w:rFonts w:ascii="Arial" w:hAnsi="Arial" w:cs="Arial"/>
                <w:sz w:val="16"/>
                <w:szCs w:val="16"/>
              </w:rPr>
            </w:pPr>
          </w:p>
        </w:tc>
        <w:tc>
          <w:tcPr>
            <w:tcW w:w="592" w:type="pct"/>
            <w:tcBorders>
              <w:left w:val="nil"/>
              <w:right w:val="nil"/>
            </w:tcBorders>
            <w:noWrap/>
          </w:tcPr>
          <w:p w14:paraId="7DD99761" w14:textId="2B418737" w:rsidR="001C1E55" w:rsidRPr="008A7A35" w:rsidRDefault="001C1E55" w:rsidP="001C1E55">
            <w:pPr>
              <w:spacing w:line="256" w:lineRule="auto"/>
              <w:rPr>
                <w:rFonts w:ascii="Arial" w:hAnsi="Arial" w:cs="Arial"/>
                <w:sz w:val="16"/>
                <w:szCs w:val="16"/>
                <w:lang w:eastAsia="en-GB"/>
              </w:rPr>
            </w:pPr>
            <w:r w:rsidRPr="008A7A35">
              <w:rPr>
                <w:rFonts w:ascii="Arial" w:hAnsi="Arial" w:cs="Arial"/>
                <w:sz w:val="16"/>
                <w:szCs w:val="16"/>
                <w:lang w:eastAsia="en-GB"/>
              </w:rPr>
              <w:t>202</w:t>
            </w:r>
            <w:r>
              <w:rPr>
                <w:rFonts w:ascii="Arial" w:hAnsi="Arial" w:cs="Arial"/>
                <w:sz w:val="16"/>
                <w:szCs w:val="16"/>
                <w:lang w:eastAsia="en-GB"/>
              </w:rPr>
              <w:t>7</w:t>
            </w:r>
            <w:r w:rsidRPr="008A7A35">
              <w:rPr>
                <w:rFonts w:ascii="Arial" w:hAnsi="Arial" w:cs="Arial"/>
                <w:sz w:val="16"/>
                <w:szCs w:val="16"/>
                <w:lang w:eastAsia="en-GB"/>
              </w:rPr>
              <w:t xml:space="preserve">E EV / </w:t>
            </w:r>
            <w:r>
              <w:rPr>
                <w:rFonts w:ascii="Arial" w:hAnsi="Arial" w:cs="Arial"/>
                <w:sz w:val="16"/>
                <w:szCs w:val="16"/>
                <w:lang w:eastAsia="en-GB"/>
              </w:rPr>
              <w:t>Revenue</w:t>
            </w:r>
            <w:r w:rsidRPr="008A7A35">
              <w:rPr>
                <w:rFonts w:ascii="Arial" w:hAnsi="Arial" w:cs="Arial"/>
                <w:sz w:val="16"/>
                <w:szCs w:val="16"/>
                <w:lang w:eastAsia="en-GB"/>
              </w:rPr>
              <w:t xml:space="preserve"> </w:t>
            </w:r>
            <w:proofErr w:type="gramStart"/>
            <w:r w:rsidRPr="008A7A35">
              <w:rPr>
                <w:rFonts w:ascii="Arial" w:hAnsi="Arial" w:cs="Arial"/>
                <w:sz w:val="16"/>
                <w:szCs w:val="16"/>
                <w:lang w:eastAsia="en-GB"/>
              </w:rPr>
              <w:t>Multiple</w:t>
            </w:r>
            <w:r w:rsidRPr="008A7A35">
              <w:rPr>
                <w:rFonts w:ascii="Arial" w:hAnsi="Arial" w:cs="Arial"/>
                <w:sz w:val="16"/>
                <w:szCs w:val="16"/>
                <w:vertAlign w:val="superscript"/>
                <w:lang w:eastAsia="en-GB"/>
              </w:rPr>
              <w:t>(</w:t>
            </w:r>
            <w:proofErr w:type="gramEnd"/>
            <w:r w:rsidRPr="008A7A35">
              <w:rPr>
                <w:rFonts w:ascii="Arial" w:hAnsi="Arial" w:cs="Arial"/>
                <w:sz w:val="16"/>
                <w:szCs w:val="16"/>
                <w:vertAlign w:val="superscript"/>
                <w:lang w:eastAsia="en-GB"/>
              </w:rPr>
              <w:t>4)</w:t>
            </w:r>
          </w:p>
        </w:tc>
        <w:tc>
          <w:tcPr>
            <w:tcW w:w="337" w:type="pct"/>
            <w:tcBorders>
              <w:left w:val="nil"/>
              <w:right w:val="nil"/>
            </w:tcBorders>
            <w:noWrap/>
          </w:tcPr>
          <w:p w14:paraId="1F91645E" w14:textId="416FBEFE" w:rsidR="001C1E55" w:rsidRPr="008A7A35" w:rsidDel="00EE59B4" w:rsidRDefault="00A54234" w:rsidP="001C1E55">
            <w:pPr>
              <w:spacing w:line="256" w:lineRule="auto"/>
              <w:rPr>
                <w:rFonts w:ascii="Arial" w:hAnsi="Arial" w:cs="Arial"/>
                <w:sz w:val="16"/>
                <w:szCs w:val="16"/>
                <w:lang w:eastAsia="en-GB"/>
              </w:rPr>
            </w:pPr>
            <w:r>
              <w:rPr>
                <w:rFonts w:ascii="Arial" w:hAnsi="Arial" w:cs="Arial"/>
                <w:sz w:val="16"/>
                <w:szCs w:val="16"/>
                <w:lang w:eastAsia="en-GB"/>
              </w:rPr>
              <w:t>0.8</w:t>
            </w:r>
            <w:r w:rsidR="001C1E55">
              <w:rPr>
                <w:rFonts w:ascii="Arial" w:hAnsi="Arial" w:cs="Arial"/>
                <w:sz w:val="16"/>
                <w:szCs w:val="16"/>
                <w:lang w:eastAsia="en-GB"/>
              </w:rPr>
              <w:t>x</w:t>
            </w:r>
          </w:p>
        </w:tc>
        <w:tc>
          <w:tcPr>
            <w:tcW w:w="393" w:type="pct"/>
            <w:tcBorders>
              <w:left w:val="nil"/>
              <w:right w:val="nil"/>
            </w:tcBorders>
            <w:noWrap/>
          </w:tcPr>
          <w:p w14:paraId="27C43501" w14:textId="7FAD2CE3" w:rsidR="001C1E55" w:rsidRPr="008A7A35" w:rsidRDefault="001C1E55" w:rsidP="001C1E55">
            <w:pPr>
              <w:spacing w:line="256" w:lineRule="auto"/>
              <w:rPr>
                <w:rFonts w:ascii="Arial" w:hAnsi="Arial" w:cs="Arial"/>
                <w:sz w:val="16"/>
                <w:szCs w:val="16"/>
                <w:lang w:eastAsia="en-GB"/>
              </w:rPr>
            </w:pPr>
            <w:r>
              <w:rPr>
                <w:rFonts w:ascii="Arial" w:hAnsi="Arial" w:cs="Arial"/>
                <w:sz w:val="16"/>
                <w:szCs w:val="16"/>
                <w:lang w:eastAsia="en-GB"/>
              </w:rPr>
              <w:t>4.0x</w:t>
            </w:r>
          </w:p>
        </w:tc>
        <w:tc>
          <w:tcPr>
            <w:tcW w:w="460" w:type="pct"/>
            <w:tcBorders>
              <w:left w:val="nil"/>
              <w:right w:val="nil"/>
            </w:tcBorders>
            <w:noWrap/>
          </w:tcPr>
          <w:p w14:paraId="2D322C73" w14:textId="76FEE40C" w:rsidR="001C1E55" w:rsidRPr="008A7A35" w:rsidRDefault="001C1E55" w:rsidP="001C1E55">
            <w:pPr>
              <w:spacing w:line="256" w:lineRule="auto"/>
              <w:rPr>
                <w:rFonts w:ascii="Arial" w:hAnsi="Arial" w:cs="Arial"/>
                <w:sz w:val="16"/>
                <w:szCs w:val="16"/>
                <w:lang w:eastAsia="en-GB"/>
              </w:rPr>
            </w:pPr>
            <w:r>
              <w:rPr>
                <w:rFonts w:ascii="Arial" w:hAnsi="Arial" w:cs="Arial"/>
                <w:sz w:val="16"/>
                <w:szCs w:val="16"/>
                <w:lang w:eastAsia="en-GB"/>
              </w:rPr>
              <w:t>2.9x</w:t>
            </w:r>
          </w:p>
        </w:tc>
        <w:tc>
          <w:tcPr>
            <w:tcW w:w="1119" w:type="pct"/>
            <w:tcBorders>
              <w:left w:val="nil"/>
              <w:right w:val="nil"/>
            </w:tcBorders>
            <w:shd w:val="clear" w:color="auto" w:fill="FFFFFF"/>
            <w:vAlign w:val="bottom"/>
          </w:tcPr>
          <w:p w14:paraId="78DFFD62" w14:textId="2B7F8F08" w:rsidR="001C1E55" w:rsidRPr="008A7A35" w:rsidRDefault="001C1E55" w:rsidP="001C1E55">
            <w:pPr>
              <w:spacing w:line="256" w:lineRule="auto"/>
              <w:rPr>
                <w:rFonts w:ascii="Arial" w:hAnsi="Arial" w:cs="Arial"/>
                <w:sz w:val="16"/>
                <w:szCs w:val="16"/>
                <w:lang w:eastAsia="en-GB"/>
              </w:rPr>
            </w:pPr>
            <w:r>
              <w:rPr>
                <w:rFonts w:ascii="Arial" w:hAnsi="Arial" w:cs="Arial"/>
                <w:sz w:val="16"/>
                <w:szCs w:val="16"/>
                <w:lang w:eastAsia="en-GB"/>
              </w:rPr>
              <w:t>20</w:t>
            </w:r>
            <w:r w:rsidRPr="008A7A35">
              <w:rPr>
                <w:rFonts w:ascii="Arial" w:hAnsi="Arial" w:cs="Arial"/>
                <w:sz w:val="16"/>
                <w:szCs w:val="16"/>
                <w:lang w:eastAsia="en-GB"/>
              </w:rPr>
              <w:t xml:space="preserve"> per cent. weighted average change</w:t>
            </w:r>
            <w:r w:rsidR="00A54234">
              <w:rPr>
                <w:rFonts w:ascii="Arial" w:hAnsi="Arial" w:cs="Arial"/>
                <w:sz w:val="16"/>
                <w:szCs w:val="16"/>
                <w:lang w:eastAsia="en-GB"/>
              </w:rPr>
              <w:t xml:space="preserve"> (with a range of 15 – 25 per cent.)</w:t>
            </w:r>
            <w:r w:rsidRPr="008A7A35">
              <w:rPr>
                <w:rFonts w:ascii="Arial" w:hAnsi="Arial" w:cs="Arial"/>
                <w:sz w:val="16"/>
                <w:szCs w:val="16"/>
                <w:lang w:eastAsia="en-GB"/>
              </w:rPr>
              <w:t xml:space="preserve"> in the input would result in </w:t>
            </w:r>
            <w:r>
              <w:rPr>
                <w:rFonts w:ascii="Arial" w:hAnsi="Arial" w:cs="Arial"/>
                <w:sz w:val="16"/>
                <w:szCs w:val="16"/>
                <w:lang w:eastAsia="en-GB"/>
              </w:rPr>
              <w:t>1</w:t>
            </w:r>
            <w:r w:rsidRPr="008A7A35">
              <w:rPr>
                <w:rFonts w:ascii="Arial" w:hAnsi="Arial" w:cs="Arial"/>
                <w:sz w:val="16"/>
                <w:szCs w:val="16"/>
                <w:lang w:eastAsia="en-GB"/>
              </w:rPr>
              <w:t xml:space="preserve"> per cent. change in the total fair value of Level 3 investments</w:t>
            </w:r>
          </w:p>
        </w:tc>
        <w:tc>
          <w:tcPr>
            <w:tcW w:w="846" w:type="pct"/>
            <w:tcBorders>
              <w:left w:val="nil"/>
              <w:right w:val="nil"/>
            </w:tcBorders>
            <w:noWrap/>
          </w:tcPr>
          <w:p w14:paraId="44088EFD" w14:textId="579EE452" w:rsidR="001C1E55" w:rsidRPr="008A7A35" w:rsidRDefault="001C1E55" w:rsidP="001C1E55">
            <w:pPr>
              <w:spacing w:line="256" w:lineRule="auto"/>
              <w:jc w:val="right"/>
              <w:rPr>
                <w:rFonts w:ascii="Arial" w:hAnsi="Arial" w:cs="Arial"/>
                <w:sz w:val="16"/>
                <w:szCs w:val="16"/>
                <w:lang w:eastAsia="en-GB"/>
              </w:rPr>
            </w:pPr>
            <w:r>
              <w:rPr>
                <w:rFonts w:ascii="Arial" w:hAnsi="Arial" w:cs="Arial"/>
                <w:sz w:val="16"/>
                <w:szCs w:val="16"/>
                <w:lang w:eastAsia="en-GB"/>
              </w:rPr>
              <w:t>18,875</w:t>
            </w:r>
          </w:p>
        </w:tc>
      </w:tr>
      <w:tr w:rsidR="00A54234" w:rsidRPr="008A7A35" w14:paraId="516BD876" w14:textId="77777777" w:rsidTr="003C67B6">
        <w:trPr>
          <w:trHeight w:val="241"/>
        </w:trPr>
        <w:tc>
          <w:tcPr>
            <w:tcW w:w="601" w:type="pct"/>
            <w:tcBorders>
              <w:top w:val="single" w:sz="4" w:space="0" w:color="auto"/>
            </w:tcBorders>
            <w:noWrap/>
            <w:vAlign w:val="bottom"/>
            <w:hideMark/>
          </w:tcPr>
          <w:p w14:paraId="2BB3C90C" w14:textId="1446D346" w:rsidR="001C1E55" w:rsidRPr="008A7A35" w:rsidRDefault="001C1E55" w:rsidP="001C1E55">
            <w:pPr>
              <w:spacing w:line="256" w:lineRule="auto"/>
              <w:rPr>
                <w:rFonts w:ascii="Arial" w:hAnsi="Arial" w:cs="Arial"/>
                <w:sz w:val="16"/>
                <w:szCs w:val="16"/>
                <w:lang w:eastAsia="en-GB"/>
              </w:rPr>
            </w:pPr>
            <w:r w:rsidRPr="008A7A35">
              <w:rPr>
                <w:rFonts w:ascii="Arial" w:hAnsi="Arial" w:cs="Arial"/>
                <w:sz w:val="16"/>
                <w:szCs w:val="16"/>
                <w:lang w:eastAsia="en-GB"/>
              </w:rPr>
              <w:t>$</w:t>
            </w:r>
            <w:r>
              <w:rPr>
                <w:rFonts w:ascii="Arial" w:hAnsi="Arial" w:cs="Arial"/>
                <w:sz w:val="16"/>
                <w:szCs w:val="16"/>
                <w:lang w:eastAsia="en-GB"/>
              </w:rPr>
              <w:t>46,575</w:t>
            </w:r>
          </w:p>
        </w:tc>
        <w:tc>
          <w:tcPr>
            <w:tcW w:w="652" w:type="pct"/>
            <w:tcBorders>
              <w:top w:val="single" w:sz="4" w:space="0" w:color="auto"/>
            </w:tcBorders>
            <w:noWrap/>
            <w:vAlign w:val="bottom"/>
            <w:hideMark/>
          </w:tcPr>
          <w:p w14:paraId="2B34940C" w14:textId="00E747FF" w:rsidR="001C1E55" w:rsidRPr="008A7A35" w:rsidRDefault="001C1E55" w:rsidP="001C1E55">
            <w:pPr>
              <w:spacing w:line="256" w:lineRule="auto"/>
              <w:rPr>
                <w:rFonts w:ascii="Arial" w:hAnsi="Arial" w:cs="Arial"/>
                <w:sz w:val="16"/>
                <w:szCs w:val="16"/>
                <w:lang w:eastAsia="en-GB"/>
              </w:rPr>
            </w:pPr>
            <w:proofErr w:type="gramStart"/>
            <w:r w:rsidRPr="008A7A35">
              <w:rPr>
                <w:rFonts w:ascii="Arial" w:hAnsi="Arial" w:cs="Arial"/>
                <w:sz w:val="16"/>
                <w:szCs w:val="16"/>
                <w:lang w:eastAsia="en-GB"/>
              </w:rPr>
              <w:t>Other</w:t>
            </w:r>
            <w:r w:rsidRPr="008A7A35">
              <w:rPr>
                <w:rFonts w:ascii="Arial" w:hAnsi="Arial" w:cs="Arial"/>
                <w:sz w:val="16"/>
                <w:szCs w:val="16"/>
                <w:vertAlign w:val="superscript"/>
                <w:lang w:eastAsia="en-GB"/>
              </w:rPr>
              <w:t>(</w:t>
            </w:r>
            <w:proofErr w:type="gramEnd"/>
            <w:r w:rsidRPr="008A7A35">
              <w:rPr>
                <w:rFonts w:ascii="Arial" w:hAnsi="Arial" w:cs="Arial"/>
                <w:sz w:val="16"/>
                <w:szCs w:val="16"/>
                <w:vertAlign w:val="superscript"/>
                <w:lang w:eastAsia="en-GB"/>
              </w:rPr>
              <w:t>5)</w:t>
            </w:r>
          </w:p>
        </w:tc>
        <w:tc>
          <w:tcPr>
            <w:tcW w:w="592" w:type="pct"/>
            <w:tcBorders>
              <w:top w:val="single" w:sz="4" w:space="0" w:color="auto"/>
            </w:tcBorders>
            <w:noWrap/>
            <w:vAlign w:val="bottom"/>
            <w:hideMark/>
          </w:tcPr>
          <w:p w14:paraId="1B206ACD" w14:textId="77777777" w:rsidR="001C1E55" w:rsidRPr="008A7A35" w:rsidRDefault="001C1E55" w:rsidP="001C1E55">
            <w:pPr>
              <w:rPr>
                <w:rFonts w:ascii="Arial" w:hAnsi="Arial" w:cs="Arial"/>
                <w:sz w:val="16"/>
                <w:szCs w:val="16"/>
                <w:lang w:eastAsia="en-GB"/>
              </w:rPr>
            </w:pPr>
          </w:p>
        </w:tc>
        <w:tc>
          <w:tcPr>
            <w:tcW w:w="337" w:type="pct"/>
            <w:tcBorders>
              <w:top w:val="single" w:sz="4" w:space="0" w:color="auto"/>
            </w:tcBorders>
            <w:noWrap/>
            <w:vAlign w:val="bottom"/>
            <w:hideMark/>
          </w:tcPr>
          <w:p w14:paraId="45ADF72A" w14:textId="77777777" w:rsidR="001C1E55" w:rsidRPr="008A7A35" w:rsidRDefault="001C1E55" w:rsidP="001C1E55">
            <w:pPr>
              <w:spacing w:line="256" w:lineRule="auto"/>
              <w:rPr>
                <w:rFonts w:ascii="Arial" w:eastAsiaTheme="minorEastAsia" w:hAnsi="Arial" w:cs="Arial"/>
                <w:lang w:eastAsia="zh-CN"/>
              </w:rPr>
            </w:pPr>
          </w:p>
        </w:tc>
        <w:tc>
          <w:tcPr>
            <w:tcW w:w="393" w:type="pct"/>
            <w:tcBorders>
              <w:top w:val="single" w:sz="4" w:space="0" w:color="auto"/>
            </w:tcBorders>
            <w:noWrap/>
            <w:vAlign w:val="bottom"/>
            <w:hideMark/>
          </w:tcPr>
          <w:p w14:paraId="3DEFE50B" w14:textId="77777777" w:rsidR="001C1E55" w:rsidRPr="008A7A35" w:rsidRDefault="001C1E55" w:rsidP="001C1E55">
            <w:pPr>
              <w:spacing w:line="256" w:lineRule="auto"/>
              <w:rPr>
                <w:rFonts w:ascii="Arial" w:eastAsiaTheme="minorEastAsia" w:hAnsi="Arial" w:cs="Arial"/>
                <w:lang w:eastAsia="zh-CN"/>
              </w:rPr>
            </w:pPr>
          </w:p>
        </w:tc>
        <w:tc>
          <w:tcPr>
            <w:tcW w:w="460" w:type="pct"/>
            <w:tcBorders>
              <w:top w:val="single" w:sz="4" w:space="0" w:color="auto"/>
            </w:tcBorders>
            <w:noWrap/>
            <w:vAlign w:val="bottom"/>
            <w:hideMark/>
          </w:tcPr>
          <w:p w14:paraId="3732A838" w14:textId="77777777" w:rsidR="001C1E55" w:rsidRPr="008A7A35" w:rsidRDefault="001C1E55" w:rsidP="001C1E55">
            <w:pPr>
              <w:spacing w:line="256" w:lineRule="auto"/>
              <w:rPr>
                <w:rFonts w:ascii="Arial" w:eastAsiaTheme="minorEastAsia" w:hAnsi="Arial" w:cs="Arial"/>
                <w:lang w:eastAsia="zh-CN"/>
              </w:rPr>
            </w:pPr>
          </w:p>
        </w:tc>
        <w:tc>
          <w:tcPr>
            <w:tcW w:w="1119" w:type="pct"/>
            <w:tcBorders>
              <w:top w:val="single" w:sz="4" w:space="0" w:color="auto"/>
            </w:tcBorders>
            <w:noWrap/>
            <w:vAlign w:val="bottom"/>
            <w:hideMark/>
          </w:tcPr>
          <w:p w14:paraId="2D6C424A" w14:textId="77777777" w:rsidR="001C1E55" w:rsidRPr="008A7A35" w:rsidRDefault="001C1E55" w:rsidP="001C1E55">
            <w:pPr>
              <w:spacing w:line="256" w:lineRule="auto"/>
              <w:rPr>
                <w:rFonts w:ascii="Arial" w:eastAsiaTheme="minorEastAsia" w:hAnsi="Arial" w:cs="Arial"/>
                <w:lang w:eastAsia="zh-CN"/>
              </w:rPr>
            </w:pPr>
          </w:p>
        </w:tc>
        <w:tc>
          <w:tcPr>
            <w:tcW w:w="846" w:type="pct"/>
            <w:tcBorders>
              <w:top w:val="single" w:sz="4" w:space="0" w:color="auto"/>
            </w:tcBorders>
            <w:noWrap/>
            <w:vAlign w:val="bottom"/>
            <w:hideMark/>
          </w:tcPr>
          <w:p w14:paraId="2D37D179" w14:textId="77777777" w:rsidR="001C1E55" w:rsidRPr="008A7A35" w:rsidRDefault="001C1E55" w:rsidP="001C1E55">
            <w:pPr>
              <w:spacing w:line="256" w:lineRule="auto"/>
              <w:jc w:val="right"/>
              <w:rPr>
                <w:rFonts w:ascii="Arial" w:eastAsiaTheme="minorEastAsia" w:hAnsi="Arial" w:cs="Arial"/>
                <w:lang w:eastAsia="zh-CN"/>
              </w:rPr>
            </w:pPr>
          </w:p>
        </w:tc>
      </w:tr>
      <w:tr w:rsidR="00A54234" w:rsidRPr="008A7A35" w14:paraId="0FD628B4" w14:textId="77777777" w:rsidTr="00391CE4">
        <w:trPr>
          <w:trHeight w:val="300"/>
        </w:trPr>
        <w:tc>
          <w:tcPr>
            <w:tcW w:w="601" w:type="pct"/>
            <w:tcBorders>
              <w:top w:val="single" w:sz="4" w:space="0" w:color="auto"/>
              <w:left w:val="nil"/>
              <w:right w:val="nil"/>
            </w:tcBorders>
            <w:noWrap/>
            <w:vAlign w:val="bottom"/>
          </w:tcPr>
          <w:p w14:paraId="37D552D3" w14:textId="0DF01247" w:rsidR="001C1E55" w:rsidRPr="008A7A35" w:rsidRDefault="001C1E55" w:rsidP="001C1E55">
            <w:pPr>
              <w:spacing w:line="256" w:lineRule="auto"/>
              <w:rPr>
                <w:rFonts w:ascii="Arial" w:hAnsi="Arial"/>
                <w:b/>
                <w:bCs/>
                <w:sz w:val="16"/>
              </w:rPr>
            </w:pPr>
            <w:r w:rsidRPr="008A7A35">
              <w:rPr>
                <w:rFonts w:ascii="Arial" w:hAnsi="Arial" w:cs="Arial"/>
                <w:b/>
                <w:bCs/>
                <w:sz w:val="16"/>
                <w:szCs w:val="16"/>
                <w:lang w:eastAsia="en-GB"/>
              </w:rPr>
              <w:t>$</w:t>
            </w:r>
            <w:r>
              <w:rPr>
                <w:rFonts w:ascii="Arial" w:hAnsi="Arial" w:cs="Arial"/>
                <w:b/>
                <w:bCs/>
                <w:sz w:val="16"/>
                <w:szCs w:val="16"/>
                <w:lang w:eastAsia="en-GB"/>
              </w:rPr>
              <w:t>88,606</w:t>
            </w:r>
          </w:p>
        </w:tc>
        <w:tc>
          <w:tcPr>
            <w:tcW w:w="652" w:type="pct"/>
            <w:tcBorders>
              <w:top w:val="single" w:sz="4" w:space="0" w:color="auto"/>
              <w:left w:val="nil"/>
              <w:right w:val="nil"/>
            </w:tcBorders>
            <w:noWrap/>
            <w:vAlign w:val="bottom"/>
          </w:tcPr>
          <w:p w14:paraId="0DD7281F" w14:textId="77777777" w:rsidR="001C1E55" w:rsidRPr="008A7A35" w:rsidRDefault="001C1E55" w:rsidP="001C1E55">
            <w:pPr>
              <w:spacing w:line="256" w:lineRule="auto"/>
              <w:rPr>
                <w:rFonts w:ascii="Arial" w:hAnsi="Arial" w:cs="Arial"/>
                <w:sz w:val="16"/>
                <w:szCs w:val="16"/>
                <w:lang w:eastAsia="en-GB"/>
              </w:rPr>
            </w:pPr>
            <w:r w:rsidRPr="008A7A35">
              <w:rPr>
                <w:rFonts w:ascii="Arial" w:hAnsi="Arial" w:cs="Arial"/>
                <w:b/>
                <w:bCs/>
                <w:sz w:val="16"/>
                <w:szCs w:val="16"/>
                <w:lang w:eastAsia="en-GB"/>
              </w:rPr>
              <w:t>Total</w:t>
            </w:r>
          </w:p>
        </w:tc>
        <w:tc>
          <w:tcPr>
            <w:tcW w:w="592" w:type="pct"/>
            <w:tcBorders>
              <w:top w:val="single" w:sz="4" w:space="0" w:color="auto"/>
              <w:left w:val="nil"/>
              <w:right w:val="nil"/>
            </w:tcBorders>
            <w:noWrap/>
            <w:vAlign w:val="bottom"/>
          </w:tcPr>
          <w:p w14:paraId="122ADAF9" w14:textId="77777777" w:rsidR="001C1E55" w:rsidRPr="008A7A35" w:rsidRDefault="001C1E55" w:rsidP="001C1E55">
            <w:pPr>
              <w:spacing w:line="256" w:lineRule="auto"/>
              <w:rPr>
                <w:rFonts w:ascii="Arial" w:hAnsi="Arial" w:cs="Arial"/>
                <w:sz w:val="16"/>
                <w:szCs w:val="16"/>
                <w:lang w:eastAsia="en-GB"/>
              </w:rPr>
            </w:pPr>
          </w:p>
        </w:tc>
        <w:tc>
          <w:tcPr>
            <w:tcW w:w="337" w:type="pct"/>
            <w:tcBorders>
              <w:top w:val="single" w:sz="4" w:space="0" w:color="auto"/>
              <w:left w:val="nil"/>
              <w:right w:val="nil"/>
            </w:tcBorders>
            <w:noWrap/>
            <w:vAlign w:val="bottom"/>
          </w:tcPr>
          <w:p w14:paraId="111F2E4B" w14:textId="77777777" w:rsidR="001C1E55" w:rsidRPr="008A7A35" w:rsidRDefault="001C1E55" w:rsidP="001C1E55">
            <w:pPr>
              <w:spacing w:line="256" w:lineRule="auto"/>
              <w:rPr>
                <w:rFonts w:ascii="Arial" w:hAnsi="Arial" w:cs="Arial"/>
                <w:sz w:val="16"/>
                <w:szCs w:val="16"/>
                <w:lang w:eastAsia="en-GB"/>
              </w:rPr>
            </w:pPr>
          </w:p>
        </w:tc>
        <w:tc>
          <w:tcPr>
            <w:tcW w:w="393" w:type="pct"/>
            <w:tcBorders>
              <w:top w:val="single" w:sz="4" w:space="0" w:color="auto"/>
              <w:left w:val="nil"/>
              <w:right w:val="nil"/>
            </w:tcBorders>
            <w:noWrap/>
            <w:vAlign w:val="bottom"/>
          </w:tcPr>
          <w:p w14:paraId="743FB0AF" w14:textId="77777777" w:rsidR="001C1E55" w:rsidRPr="008A7A35" w:rsidRDefault="001C1E55" w:rsidP="001C1E55">
            <w:pPr>
              <w:spacing w:line="256" w:lineRule="auto"/>
              <w:rPr>
                <w:rFonts w:ascii="Arial" w:hAnsi="Arial" w:cs="Arial"/>
                <w:sz w:val="16"/>
                <w:szCs w:val="16"/>
                <w:lang w:eastAsia="en-GB"/>
              </w:rPr>
            </w:pPr>
          </w:p>
        </w:tc>
        <w:tc>
          <w:tcPr>
            <w:tcW w:w="460" w:type="pct"/>
            <w:tcBorders>
              <w:top w:val="single" w:sz="4" w:space="0" w:color="auto"/>
              <w:left w:val="nil"/>
              <w:right w:val="nil"/>
            </w:tcBorders>
            <w:noWrap/>
            <w:vAlign w:val="bottom"/>
          </w:tcPr>
          <w:p w14:paraId="4A6A27AE" w14:textId="77777777" w:rsidR="001C1E55" w:rsidRPr="008A7A35" w:rsidRDefault="001C1E55" w:rsidP="001C1E55">
            <w:pPr>
              <w:spacing w:line="256" w:lineRule="auto"/>
              <w:rPr>
                <w:rFonts w:ascii="Arial" w:hAnsi="Arial" w:cs="Arial"/>
                <w:sz w:val="16"/>
                <w:szCs w:val="16"/>
                <w:lang w:eastAsia="en-GB"/>
              </w:rPr>
            </w:pPr>
          </w:p>
        </w:tc>
        <w:tc>
          <w:tcPr>
            <w:tcW w:w="1119" w:type="pct"/>
            <w:tcBorders>
              <w:top w:val="single" w:sz="4" w:space="0" w:color="auto"/>
              <w:left w:val="nil"/>
              <w:right w:val="nil"/>
            </w:tcBorders>
            <w:noWrap/>
            <w:vAlign w:val="bottom"/>
          </w:tcPr>
          <w:p w14:paraId="65810CA9" w14:textId="77777777" w:rsidR="001C1E55" w:rsidRPr="008A7A35" w:rsidRDefault="001C1E55" w:rsidP="001C1E55">
            <w:pPr>
              <w:spacing w:line="256" w:lineRule="auto"/>
              <w:rPr>
                <w:rFonts w:ascii="Arial" w:hAnsi="Arial" w:cs="Arial"/>
                <w:sz w:val="16"/>
                <w:szCs w:val="16"/>
                <w:lang w:eastAsia="en-GB"/>
              </w:rPr>
            </w:pPr>
          </w:p>
        </w:tc>
        <w:tc>
          <w:tcPr>
            <w:tcW w:w="846" w:type="pct"/>
            <w:tcBorders>
              <w:top w:val="single" w:sz="4" w:space="0" w:color="auto"/>
              <w:left w:val="nil"/>
              <w:right w:val="nil"/>
            </w:tcBorders>
            <w:noWrap/>
            <w:vAlign w:val="bottom"/>
          </w:tcPr>
          <w:p w14:paraId="22CF900E" w14:textId="77777777" w:rsidR="001C1E55" w:rsidRPr="008A7A35" w:rsidRDefault="001C1E55" w:rsidP="001C1E55">
            <w:pPr>
              <w:spacing w:line="256" w:lineRule="auto"/>
              <w:rPr>
                <w:rFonts w:ascii="Arial" w:hAnsi="Arial" w:cs="Arial"/>
                <w:sz w:val="16"/>
                <w:szCs w:val="16"/>
                <w:lang w:eastAsia="en-GB"/>
              </w:rPr>
            </w:pPr>
          </w:p>
        </w:tc>
      </w:tr>
    </w:tbl>
    <w:p w14:paraId="02007B21" w14:textId="77777777" w:rsidR="00B10266" w:rsidRPr="008A7A35" w:rsidRDefault="00B10266" w:rsidP="001E2106">
      <w:pPr>
        <w:tabs>
          <w:tab w:val="left" w:pos="6903"/>
        </w:tabs>
        <w:rPr>
          <w:rFonts w:ascii="Arial" w:hAnsi="Arial" w:cs="Arial"/>
          <w:sz w:val="26"/>
          <w:szCs w:val="26"/>
        </w:rPr>
      </w:pPr>
    </w:p>
    <w:p w14:paraId="40064C39" w14:textId="77777777" w:rsidR="001E2106" w:rsidRPr="008A7A35" w:rsidRDefault="001E2106" w:rsidP="00BB03B1">
      <w:pPr>
        <w:tabs>
          <w:tab w:val="left" w:pos="6903"/>
        </w:tabs>
        <w:jc w:val="both"/>
        <w:rPr>
          <w:rFonts w:ascii="Arial" w:hAnsi="Arial" w:cs="Arial"/>
          <w:sz w:val="16"/>
          <w:szCs w:val="16"/>
        </w:rPr>
      </w:pPr>
      <w:r w:rsidRPr="008A7A35">
        <w:rPr>
          <w:rFonts w:ascii="Arial" w:hAnsi="Arial" w:cs="Arial"/>
          <w:sz w:val="16"/>
          <w:szCs w:val="16"/>
          <w:vertAlign w:val="superscript"/>
        </w:rPr>
        <w:t>(1)</w:t>
      </w:r>
      <w:r w:rsidRPr="008A7A35">
        <w:rPr>
          <w:rFonts w:ascii="Arial" w:hAnsi="Arial" w:cs="Arial"/>
          <w:sz w:val="16"/>
          <w:szCs w:val="16"/>
        </w:rPr>
        <w:t xml:space="preserve"> Calculated based on fair values of the Partnership’s Level 3 investments.</w:t>
      </w:r>
    </w:p>
    <w:p w14:paraId="4CA70B43" w14:textId="3595E399" w:rsidR="001E2106" w:rsidRPr="008A7A35" w:rsidRDefault="001E2106" w:rsidP="00BB03B1">
      <w:pPr>
        <w:tabs>
          <w:tab w:val="left" w:pos="6903"/>
        </w:tabs>
        <w:jc w:val="both"/>
        <w:rPr>
          <w:rFonts w:ascii="Arial" w:hAnsi="Arial" w:cs="Arial"/>
          <w:sz w:val="16"/>
          <w:szCs w:val="16"/>
        </w:rPr>
      </w:pPr>
      <w:r w:rsidRPr="008A7A35">
        <w:rPr>
          <w:rFonts w:ascii="Arial" w:hAnsi="Arial" w:cs="Arial"/>
          <w:sz w:val="16"/>
          <w:szCs w:val="16"/>
          <w:vertAlign w:val="superscript"/>
        </w:rPr>
        <w:t>(2)</w:t>
      </w:r>
      <w:r w:rsidRPr="008A7A35">
        <w:rPr>
          <w:rFonts w:ascii="Arial" w:hAnsi="Arial" w:cs="Arial"/>
          <w:sz w:val="16"/>
          <w:szCs w:val="16"/>
        </w:rPr>
        <w:t xml:space="preserve"> Based on its professional experience and recent market conditions, the Investment Manager has provided the Board with these weighted average change</w:t>
      </w:r>
      <w:r w:rsidR="00723868" w:rsidRPr="008A7A35">
        <w:rPr>
          <w:rFonts w:ascii="Arial" w:hAnsi="Arial" w:cs="Arial"/>
          <w:sz w:val="16"/>
          <w:szCs w:val="16"/>
        </w:rPr>
        <w:t>s</w:t>
      </w:r>
      <w:r w:rsidRPr="008A7A35">
        <w:rPr>
          <w:rFonts w:ascii="Arial" w:hAnsi="Arial" w:cs="Arial"/>
          <w:sz w:val="16"/>
          <w:szCs w:val="16"/>
        </w:rPr>
        <w:t xml:space="preserve"> in the inputs with a forecasted </w:t>
      </w:r>
      <w:proofErr w:type="gramStart"/>
      <w:r w:rsidRPr="008A7A35">
        <w:rPr>
          <w:rFonts w:ascii="Arial" w:hAnsi="Arial" w:cs="Arial"/>
          <w:sz w:val="16"/>
          <w:szCs w:val="16"/>
        </w:rPr>
        <w:t>time period</w:t>
      </w:r>
      <w:proofErr w:type="gramEnd"/>
      <w:r w:rsidRPr="008A7A35">
        <w:rPr>
          <w:rFonts w:ascii="Arial" w:hAnsi="Arial" w:cs="Arial"/>
          <w:sz w:val="16"/>
          <w:szCs w:val="16"/>
        </w:rPr>
        <w:t xml:space="preserve"> of 6 to 12 months.</w:t>
      </w:r>
    </w:p>
    <w:p w14:paraId="0E247D2A" w14:textId="2B2E47AE" w:rsidR="001E2106" w:rsidRPr="008A7A35" w:rsidRDefault="001E2106" w:rsidP="00BB03B1">
      <w:pPr>
        <w:tabs>
          <w:tab w:val="left" w:pos="6903"/>
        </w:tabs>
        <w:jc w:val="both"/>
        <w:rPr>
          <w:rFonts w:ascii="Arial" w:hAnsi="Arial" w:cs="Arial"/>
          <w:sz w:val="16"/>
          <w:szCs w:val="16"/>
        </w:rPr>
      </w:pPr>
      <w:r w:rsidRPr="008A7A35">
        <w:rPr>
          <w:rFonts w:ascii="Arial" w:hAnsi="Arial" w:cs="Arial"/>
          <w:sz w:val="16"/>
          <w:szCs w:val="16"/>
          <w:vertAlign w:val="superscript"/>
        </w:rPr>
        <w:t>(3)</w:t>
      </w:r>
      <w:r w:rsidRPr="008A7A35">
        <w:rPr>
          <w:rFonts w:ascii="Arial" w:hAnsi="Arial" w:cs="Arial"/>
          <w:sz w:val="16"/>
          <w:szCs w:val="16"/>
        </w:rPr>
        <w:t xml:space="preserve"> The Partnership’s Level 3 investments are valued using one or more of the techniques which utilise one or more of the unobservable inputs, so the amounts in the “Fair value of Level 3 investments” column will not aggregate to the total fair value of the Partnership’s Level 3 investments.</w:t>
      </w:r>
    </w:p>
    <w:p w14:paraId="28E26B55" w14:textId="3438DF0F" w:rsidR="001E2106" w:rsidRPr="008A7A35" w:rsidRDefault="001E2106" w:rsidP="00BB03B1">
      <w:pPr>
        <w:tabs>
          <w:tab w:val="left" w:pos="6903"/>
        </w:tabs>
        <w:jc w:val="both"/>
        <w:rPr>
          <w:rFonts w:ascii="Arial" w:hAnsi="Arial" w:cs="Arial"/>
          <w:sz w:val="16"/>
          <w:szCs w:val="16"/>
        </w:rPr>
      </w:pPr>
      <w:r w:rsidRPr="008A7A35">
        <w:rPr>
          <w:rFonts w:ascii="Arial" w:hAnsi="Arial" w:cs="Arial"/>
          <w:sz w:val="16"/>
          <w:szCs w:val="16"/>
          <w:vertAlign w:val="superscript"/>
        </w:rPr>
        <w:t>(</w:t>
      </w:r>
      <w:r w:rsidR="0014004E" w:rsidRPr="008A7A35">
        <w:rPr>
          <w:rFonts w:ascii="Arial" w:hAnsi="Arial" w:cs="Arial"/>
          <w:sz w:val="16"/>
          <w:szCs w:val="16"/>
          <w:vertAlign w:val="superscript"/>
        </w:rPr>
        <w:t>4</w:t>
      </w:r>
      <w:r w:rsidRPr="008A7A35">
        <w:rPr>
          <w:rFonts w:ascii="Arial" w:hAnsi="Arial" w:cs="Arial"/>
          <w:sz w:val="16"/>
          <w:szCs w:val="16"/>
          <w:vertAlign w:val="superscript"/>
        </w:rPr>
        <w:t xml:space="preserve">) </w:t>
      </w:r>
      <w:r w:rsidRPr="008A7A35">
        <w:rPr>
          <w:rFonts w:ascii="Arial" w:hAnsi="Arial" w:cs="Arial"/>
          <w:sz w:val="16"/>
          <w:szCs w:val="16"/>
        </w:rPr>
        <w:t xml:space="preserve">As </w:t>
      </w:r>
      <w:proofErr w:type="gramStart"/>
      <w:r w:rsidRPr="008A7A35">
        <w:rPr>
          <w:rFonts w:ascii="Arial" w:hAnsi="Arial" w:cs="Arial"/>
          <w:sz w:val="16"/>
          <w:szCs w:val="16"/>
        </w:rPr>
        <w:t>at</w:t>
      </w:r>
      <w:proofErr w:type="gramEnd"/>
      <w:r w:rsidRPr="008A7A35">
        <w:rPr>
          <w:rFonts w:ascii="Arial" w:hAnsi="Arial" w:cs="Arial"/>
          <w:sz w:val="16"/>
          <w:szCs w:val="16"/>
        </w:rPr>
        <w:t xml:space="preserve"> 30 June 202</w:t>
      </w:r>
      <w:r w:rsidR="00FB49BD" w:rsidRPr="008A7A35">
        <w:rPr>
          <w:rFonts w:ascii="Arial" w:hAnsi="Arial" w:cs="Arial"/>
          <w:sz w:val="16"/>
          <w:szCs w:val="16"/>
        </w:rPr>
        <w:t>5</w:t>
      </w:r>
      <w:r w:rsidRPr="008A7A35">
        <w:rPr>
          <w:rFonts w:ascii="Arial" w:hAnsi="Arial" w:cs="Arial"/>
          <w:sz w:val="16"/>
          <w:szCs w:val="16"/>
        </w:rPr>
        <w:t xml:space="preserve">, the sensitivity of this unobservable input to the total fair value of Level 3 investments was determined to be significant by applying the same methodology that determined it </w:t>
      </w:r>
      <w:r w:rsidR="00B266E7">
        <w:rPr>
          <w:rFonts w:ascii="Arial" w:hAnsi="Arial" w:cs="Arial"/>
          <w:sz w:val="16"/>
          <w:szCs w:val="16"/>
        </w:rPr>
        <w:t xml:space="preserve">not </w:t>
      </w:r>
      <w:r w:rsidRPr="008A7A35">
        <w:rPr>
          <w:rFonts w:ascii="Arial" w:hAnsi="Arial" w:cs="Arial"/>
          <w:sz w:val="16"/>
          <w:szCs w:val="16"/>
        </w:rPr>
        <w:t xml:space="preserve">to be significant as </w:t>
      </w:r>
      <w:proofErr w:type="gramStart"/>
      <w:r w:rsidRPr="008A7A35">
        <w:rPr>
          <w:rFonts w:ascii="Arial" w:hAnsi="Arial" w:cs="Arial"/>
          <w:sz w:val="16"/>
          <w:szCs w:val="16"/>
        </w:rPr>
        <w:t>at</w:t>
      </w:r>
      <w:proofErr w:type="gramEnd"/>
      <w:r w:rsidRPr="008A7A35">
        <w:rPr>
          <w:rFonts w:ascii="Arial" w:hAnsi="Arial" w:cs="Arial"/>
          <w:sz w:val="16"/>
          <w:szCs w:val="16"/>
        </w:rPr>
        <w:t xml:space="preserve"> 31 December 202</w:t>
      </w:r>
      <w:r w:rsidR="00FB49BD" w:rsidRPr="008A7A35">
        <w:rPr>
          <w:rFonts w:ascii="Arial" w:hAnsi="Arial" w:cs="Arial"/>
          <w:sz w:val="16"/>
          <w:szCs w:val="16"/>
        </w:rPr>
        <w:t>4</w:t>
      </w:r>
      <w:r w:rsidRPr="008A7A35">
        <w:rPr>
          <w:rFonts w:ascii="Arial" w:hAnsi="Arial" w:cs="Arial"/>
          <w:sz w:val="16"/>
          <w:szCs w:val="16"/>
        </w:rPr>
        <w:t>.</w:t>
      </w:r>
    </w:p>
    <w:p w14:paraId="6B166C06" w14:textId="404501C4" w:rsidR="002B5FD8" w:rsidRPr="008A7A35" w:rsidRDefault="002B5FD8" w:rsidP="00B10266">
      <w:pPr>
        <w:tabs>
          <w:tab w:val="left" w:pos="6903"/>
        </w:tabs>
        <w:jc w:val="both"/>
        <w:rPr>
          <w:rFonts w:ascii="Arial" w:eastAsia="Calibri" w:hAnsi="Arial" w:cs="Arial"/>
          <w:sz w:val="16"/>
          <w:szCs w:val="20"/>
        </w:rPr>
      </w:pPr>
      <w:r w:rsidRPr="008A7A35">
        <w:rPr>
          <w:rFonts w:ascii="Arial" w:eastAsia="Calibri" w:hAnsi="Arial" w:cs="Arial"/>
          <w:sz w:val="16"/>
          <w:szCs w:val="20"/>
          <w:vertAlign w:val="superscript"/>
        </w:rPr>
        <w:t>(</w:t>
      </w:r>
      <w:r w:rsidR="0014004E" w:rsidRPr="008A7A35">
        <w:rPr>
          <w:rFonts w:ascii="Arial" w:eastAsia="Calibri" w:hAnsi="Arial" w:cs="Arial"/>
          <w:sz w:val="16"/>
          <w:szCs w:val="20"/>
          <w:vertAlign w:val="superscript"/>
        </w:rPr>
        <w:t>5</w:t>
      </w:r>
      <w:r w:rsidRPr="008A7A35">
        <w:rPr>
          <w:rFonts w:ascii="Arial" w:eastAsia="Calibri" w:hAnsi="Arial" w:cs="Arial"/>
          <w:sz w:val="16"/>
          <w:szCs w:val="20"/>
          <w:vertAlign w:val="superscript"/>
        </w:rPr>
        <w:t>)</w:t>
      </w:r>
      <w:r w:rsidRPr="008A7A35">
        <w:rPr>
          <w:rFonts w:ascii="Arial" w:eastAsia="Calibri" w:hAnsi="Arial" w:cs="Arial"/>
          <w:sz w:val="16"/>
          <w:szCs w:val="20"/>
        </w:rPr>
        <w:t xml:space="preserve"> ‘Other’ include certain investments that are not subject to a sensitivity analysis because they are insensitive to the changes in inputs set out above as </w:t>
      </w:r>
      <w:proofErr w:type="gramStart"/>
      <w:r w:rsidRPr="008A7A35">
        <w:rPr>
          <w:rFonts w:ascii="Arial" w:eastAsia="Calibri" w:hAnsi="Arial" w:cs="Arial"/>
          <w:sz w:val="16"/>
          <w:szCs w:val="20"/>
        </w:rPr>
        <w:t>at</w:t>
      </w:r>
      <w:proofErr w:type="gramEnd"/>
      <w:r w:rsidRPr="008A7A35">
        <w:rPr>
          <w:rFonts w:ascii="Arial" w:eastAsia="Calibri" w:hAnsi="Arial" w:cs="Arial"/>
          <w:sz w:val="16"/>
          <w:szCs w:val="20"/>
        </w:rPr>
        <w:t xml:space="preserve"> 30 June 202</w:t>
      </w:r>
      <w:r w:rsidR="00FB49BD" w:rsidRPr="008A7A35">
        <w:rPr>
          <w:rFonts w:ascii="Arial" w:eastAsia="Calibri" w:hAnsi="Arial" w:cs="Arial"/>
          <w:sz w:val="16"/>
          <w:szCs w:val="20"/>
        </w:rPr>
        <w:t>5</w:t>
      </w:r>
      <w:r w:rsidRPr="008A7A35">
        <w:rPr>
          <w:rFonts w:ascii="Arial" w:eastAsia="Calibri" w:hAnsi="Arial" w:cs="Arial"/>
          <w:sz w:val="16"/>
          <w:szCs w:val="20"/>
        </w:rPr>
        <w:t>.</w:t>
      </w:r>
    </w:p>
    <w:p w14:paraId="28B1EECA" w14:textId="77777777" w:rsidR="00B65919" w:rsidRPr="008A7A35" w:rsidRDefault="00B65919" w:rsidP="00B10266">
      <w:pPr>
        <w:tabs>
          <w:tab w:val="left" w:pos="6903"/>
        </w:tabs>
        <w:jc w:val="both"/>
        <w:rPr>
          <w:rFonts w:ascii="Arial" w:hAnsi="Arial" w:cs="Arial"/>
          <w:sz w:val="16"/>
          <w:szCs w:val="16"/>
        </w:rPr>
      </w:pPr>
    </w:p>
    <w:p w14:paraId="072F0F2C" w14:textId="77777777" w:rsidR="001E2106" w:rsidRPr="008A7A35" w:rsidRDefault="001E2106" w:rsidP="00C615DD">
      <w:pPr>
        <w:rPr>
          <w:rFonts w:ascii="Arial" w:hAnsi="Arial" w:cs="Arial"/>
          <w:sz w:val="16"/>
          <w:szCs w:val="16"/>
        </w:rPr>
      </w:pPr>
    </w:p>
    <w:p w14:paraId="7CC3050D" w14:textId="3261A3D5" w:rsidR="001E2106" w:rsidRPr="008A7A35" w:rsidRDefault="001E2106" w:rsidP="006F5CC2">
      <w:pPr>
        <w:pStyle w:val="Heading3"/>
      </w:pPr>
      <w:r w:rsidRPr="008A7A35">
        <w:t xml:space="preserve">Quantitative information about Level 3 fair value measurements in the Partnership as </w:t>
      </w:r>
      <w:proofErr w:type="gramStart"/>
      <w:r w:rsidRPr="008A7A35">
        <w:t>at</w:t>
      </w:r>
      <w:proofErr w:type="gramEnd"/>
      <w:r w:rsidRPr="008A7A35">
        <w:t xml:space="preserve"> 31 December 202</w:t>
      </w:r>
      <w:r w:rsidR="00B65919" w:rsidRPr="008A7A35">
        <w:t>4</w:t>
      </w:r>
    </w:p>
    <w:tbl>
      <w:tblPr>
        <w:tblpPr w:leftFromText="180" w:rightFromText="180" w:vertAnchor="text" w:horzAnchor="margin" w:tblpXSpec="center" w:tblpY="601"/>
        <w:tblW w:w="5649" w:type="pct"/>
        <w:tblLayout w:type="fixed"/>
        <w:tblLook w:val="04A0" w:firstRow="1" w:lastRow="0" w:firstColumn="1" w:lastColumn="0" w:noHBand="0" w:noVBand="1"/>
      </w:tblPr>
      <w:tblGrid>
        <w:gridCol w:w="1324"/>
        <w:gridCol w:w="1368"/>
        <w:gridCol w:w="1275"/>
        <w:gridCol w:w="842"/>
        <w:gridCol w:w="860"/>
        <w:gridCol w:w="992"/>
        <w:gridCol w:w="2270"/>
        <w:gridCol w:w="2120"/>
      </w:tblGrid>
      <w:tr w:rsidR="00C831B5" w:rsidRPr="008A7A35" w14:paraId="34901438" w14:textId="77777777" w:rsidTr="00C831B5">
        <w:trPr>
          <w:trHeight w:val="136"/>
        </w:trPr>
        <w:tc>
          <w:tcPr>
            <w:tcW w:w="5000" w:type="pct"/>
            <w:gridSpan w:val="8"/>
            <w:tcBorders>
              <w:top w:val="nil"/>
              <w:left w:val="nil"/>
              <w:bottom w:val="nil"/>
              <w:right w:val="nil"/>
            </w:tcBorders>
            <w:noWrap/>
            <w:hideMark/>
          </w:tcPr>
          <w:p w14:paraId="6C5EAF5D" w14:textId="77777777" w:rsidR="00C831B5" w:rsidRPr="008A7A35" w:rsidRDefault="00C831B5" w:rsidP="002E692B">
            <w:pPr>
              <w:rPr>
                <w:rFonts w:ascii="Arial" w:hAnsi="Arial" w:cs="Arial"/>
                <w:b/>
                <w:bCs/>
                <w:sz w:val="16"/>
                <w:szCs w:val="16"/>
                <w:lang w:eastAsia="en-GB"/>
              </w:rPr>
            </w:pPr>
          </w:p>
          <w:p w14:paraId="122BC778" w14:textId="10897B0F" w:rsidR="00C831B5" w:rsidRPr="008A7A35" w:rsidRDefault="00C831B5" w:rsidP="002E692B">
            <w:pPr>
              <w:rPr>
                <w:rFonts w:ascii="Arial" w:hAnsi="Arial" w:cs="Arial"/>
                <w:sz w:val="16"/>
                <w:szCs w:val="16"/>
                <w:lang w:eastAsia="en-GB"/>
              </w:rPr>
            </w:pPr>
            <w:r w:rsidRPr="008A7A35">
              <w:rPr>
                <w:rFonts w:ascii="Arial" w:hAnsi="Arial" w:cs="Arial"/>
                <w:b/>
                <w:bCs/>
                <w:sz w:val="16"/>
                <w:szCs w:val="16"/>
                <w:lang w:eastAsia="en-GB"/>
              </w:rPr>
              <w:t>Industry: Energy</w:t>
            </w:r>
          </w:p>
        </w:tc>
      </w:tr>
      <w:tr w:rsidR="001E2106" w:rsidRPr="008A7A35" w14:paraId="69AD70EF" w14:textId="77777777" w:rsidTr="00391CE4">
        <w:trPr>
          <w:trHeight w:val="56"/>
        </w:trPr>
        <w:tc>
          <w:tcPr>
            <w:tcW w:w="599" w:type="pct"/>
            <w:noWrap/>
            <w:hideMark/>
          </w:tcPr>
          <w:p w14:paraId="16648914" w14:textId="77777777" w:rsidR="001E2106" w:rsidRPr="008A7A35" w:rsidRDefault="001E2106" w:rsidP="002E692B">
            <w:pPr>
              <w:tabs>
                <w:tab w:val="left" w:pos="884"/>
              </w:tabs>
              <w:rPr>
                <w:rFonts w:ascii="Arial" w:hAnsi="Arial" w:cs="Arial"/>
                <w:b/>
                <w:bCs/>
                <w:sz w:val="16"/>
                <w:szCs w:val="16"/>
                <w:lang w:eastAsia="en-GB"/>
              </w:rPr>
            </w:pPr>
          </w:p>
          <w:p w14:paraId="29EB8ADA" w14:textId="77777777" w:rsidR="001E2106" w:rsidRPr="008A7A35" w:rsidRDefault="001E2106" w:rsidP="002E692B">
            <w:pPr>
              <w:rPr>
                <w:rFonts w:ascii="Arial" w:hAnsi="Arial" w:cs="Arial"/>
                <w:sz w:val="16"/>
                <w:szCs w:val="16"/>
                <w:lang w:eastAsia="en-GB"/>
              </w:rPr>
            </w:pPr>
          </w:p>
        </w:tc>
        <w:tc>
          <w:tcPr>
            <w:tcW w:w="619" w:type="pct"/>
            <w:noWrap/>
            <w:vAlign w:val="bottom"/>
            <w:hideMark/>
          </w:tcPr>
          <w:p w14:paraId="4C3A84B7" w14:textId="77777777" w:rsidR="001E2106" w:rsidRPr="008A7A35" w:rsidRDefault="001E2106" w:rsidP="002E692B">
            <w:pPr>
              <w:jc w:val="right"/>
              <w:rPr>
                <w:rFonts w:ascii="Arial" w:hAnsi="Arial" w:cs="Arial"/>
                <w:b/>
                <w:bCs/>
                <w:sz w:val="16"/>
                <w:szCs w:val="16"/>
                <w:lang w:eastAsia="en-GB"/>
              </w:rPr>
            </w:pPr>
          </w:p>
        </w:tc>
        <w:tc>
          <w:tcPr>
            <w:tcW w:w="577" w:type="pct"/>
            <w:noWrap/>
            <w:vAlign w:val="bottom"/>
            <w:hideMark/>
          </w:tcPr>
          <w:p w14:paraId="7C02512B" w14:textId="77777777" w:rsidR="001E2106" w:rsidRPr="008A7A35" w:rsidRDefault="001E2106" w:rsidP="002E692B">
            <w:pPr>
              <w:jc w:val="right"/>
              <w:rPr>
                <w:rFonts w:ascii="Arial" w:hAnsi="Arial" w:cs="Arial"/>
                <w:b/>
                <w:bCs/>
                <w:sz w:val="16"/>
                <w:szCs w:val="16"/>
                <w:lang w:eastAsia="en-GB"/>
              </w:rPr>
            </w:pPr>
          </w:p>
        </w:tc>
        <w:tc>
          <w:tcPr>
            <w:tcW w:w="770" w:type="pct"/>
            <w:gridSpan w:val="2"/>
            <w:noWrap/>
            <w:vAlign w:val="bottom"/>
            <w:hideMark/>
          </w:tcPr>
          <w:p w14:paraId="7FF0E603" w14:textId="77777777" w:rsidR="001E2106" w:rsidRPr="008A7A35" w:rsidRDefault="001E2106" w:rsidP="002E692B">
            <w:pPr>
              <w:jc w:val="center"/>
              <w:rPr>
                <w:rFonts w:ascii="Arial" w:hAnsi="Arial" w:cs="Arial"/>
                <w:b/>
                <w:bCs/>
                <w:sz w:val="16"/>
                <w:szCs w:val="16"/>
                <w:lang w:eastAsia="en-GB"/>
              </w:rPr>
            </w:pPr>
            <w:r w:rsidRPr="008A7A35">
              <w:rPr>
                <w:rFonts w:ascii="Arial" w:hAnsi="Arial" w:cs="Arial"/>
                <w:b/>
                <w:bCs/>
                <w:sz w:val="16"/>
                <w:szCs w:val="16"/>
                <w:lang w:eastAsia="en-GB"/>
              </w:rPr>
              <w:t>Range</w:t>
            </w:r>
          </w:p>
        </w:tc>
        <w:tc>
          <w:tcPr>
            <w:tcW w:w="449" w:type="pct"/>
            <w:tcBorders>
              <w:top w:val="nil"/>
              <w:left w:val="nil"/>
              <w:right w:val="nil"/>
            </w:tcBorders>
            <w:vAlign w:val="bottom"/>
            <w:hideMark/>
          </w:tcPr>
          <w:p w14:paraId="57B509FC" w14:textId="77777777" w:rsidR="001E2106" w:rsidRPr="008A7A35" w:rsidRDefault="001E2106" w:rsidP="002E692B">
            <w:pPr>
              <w:jc w:val="right"/>
              <w:rPr>
                <w:rFonts w:ascii="Arial" w:hAnsi="Arial" w:cs="Arial"/>
                <w:b/>
                <w:bCs/>
                <w:sz w:val="16"/>
                <w:szCs w:val="16"/>
                <w:lang w:eastAsia="en-GB"/>
              </w:rPr>
            </w:pPr>
          </w:p>
        </w:tc>
        <w:tc>
          <w:tcPr>
            <w:tcW w:w="1027" w:type="pct"/>
            <w:noWrap/>
            <w:vAlign w:val="bottom"/>
            <w:hideMark/>
          </w:tcPr>
          <w:p w14:paraId="574CDCFD" w14:textId="77777777" w:rsidR="001E2106" w:rsidRPr="008A7A35" w:rsidRDefault="001E2106" w:rsidP="002E692B">
            <w:pPr>
              <w:jc w:val="right"/>
              <w:rPr>
                <w:rFonts w:ascii="Arial" w:hAnsi="Arial" w:cs="Arial"/>
                <w:b/>
                <w:bCs/>
                <w:sz w:val="16"/>
                <w:szCs w:val="16"/>
                <w:lang w:eastAsia="en-GB"/>
              </w:rPr>
            </w:pPr>
          </w:p>
          <w:p w14:paraId="3AC6CAF3" w14:textId="77777777" w:rsidR="001E2106" w:rsidRPr="008A7A35" w:rsidRDefault="001E2106" w:rsidP="002E692B">
            <w:pPr>
              <w:jc w:val="right"/>
              <w:rPr>
                <w:rFonts w:ascii="Arial" w:hAnsi="Arial" w:cs="Arial"/>
                <w:b/>
                <w:bCs/>
                <w:sz w:val="16"/>
                <w:szCs w:val="16"/>
                <w:lang w:eastAsia="en-GB"/>
              </w:rPr>
            </w:pPr>
          </w:p>
        </w:tc>
        <w:tc>
          <w:tcPr>
            <w:tcW w:w="959" w:type="pct"/>
            <w:noWrap/>
            <w:vAlign w:val="bottom"/>
            <w:hideMark/>
          </w:tcPr>
          <w:p w14:paraId="77649B79" w14:textId="77777777" w:rsidR="001E2106" w:rsidRPr="008A7A35" w:rsidRDefault="001E2106" w:rsidP="002E692B">
            <w:pPr>
              <w:jc w:val="right"/>
              <w:rPr>
                <w:rFonts w:ascii="Arial" w:hAnsi="Arial" w:cs="Arial"/>
                <w:b/>
                <w:bCs/>
                <w:sz w:val="16"/>
                <w:szCs w:val="16"/>
                <w:lang w:eastAsia="en-GB"/>
              </w:rPr>
            </w:pPr>
          </w:p>
        </w:tc>
      </w:tr>
      <w:tr w:rsidR="001E2106" w:rsidRPr="008A7A35" w14:paraId="2E1926A2" w14:textId="77777777" w:rsidTr="00391CE4">
        <w:trPr>
          <w:trHeight w:val="102"/>
        </w:trPr>
        <w:tc>
          <w:tcPr>
            <w:tcW w:w="599" w:type="pct"/>
            <w:tcBorders>
              <w:top w:val="nil"/>
              <w:left w:val="nil"/>
              <w:bottom w:val="single" w:sz="4" w:space="0" w:color="auto"/>
              <w:right w:val="nil"/>
            </w:tcBorders>
            <w:noWrap/>
            <w:hideMark/>
          </w:tcPr>
          <w:p w14:paraId="3DD263F4" w14:textId="77777777" w:rsidR="001E2106" w:rsidRPr="008A7A35" w:rsidRDefault="001E2106" w:rsidP="002E692B">
            <w:pPr>
              <w:rPr>
                <w:rFonts w:ascii="Arial" w:hAnsi="Arial" w:cs="Arial"/>
                <w:b/>
                <w:bCs/>
                <w:sz w:val="16"/>
                <w:szCs w:val="16"/>
                <w:lang w:eastAsia="en-GB"/>
              </w:rPr>
            </w:pPr>
            <w:r w:rsidRPr="008A7A35">
              <w:rPr>
                <w:rFonts w:ascii="Arial" w:hAnsi="Arial" w:cs="Arial"/>
                <w:b/>
                <w:bCs/>
                <w:sz w:val="16"/>
                <w:szCs w:val="16"/>
                <w:lang w:eastAsia="en-GB"/>
              </w:rPr>
              <w:t>Fair value of Level 3 Investments (in thousands)</w:t>
            </w:r>
          </w:p>
        </w:tc>
        <w:tc>
          <w:tcPr>
            <w:tcW w:w="619" w:type="pct"/>
            <w:tcBorders>
              <w:top w:val="nil"/>
              <w:left w:val="nil"/>
              <w:bottom w:val="single" w:sz="4" w:space="0" w:color="auto"/>
              <w:right w:val="nil"/>
            </w:tcBorders>
            <w:noWrap/>
            <w:vAlign w:val="bottom"/>
            <w:hideMark/>
          </w:tcPr>
          <w:p w14:paraId="4B516D65"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Valuation technique(s)</w:t>
            </w:r>
          </w:p>
        </w:tc>
        <w:tc>
          <w:tcPr>
            <w:tcW w:w="577" w:type="pct"/>
            <w:tcBorders>
              <w:top w:val="nil"/>
              <w:left w:val="nil"/>
              <w:bottom w:val="single" w:sz="4" w:space="0" w:color="auto"/>
              <w:right w:val="nil"/>
            </w:tcBorders>
            <w:noWrap/>
            <w:vAlign w:val="bottom"/>
            <w:hideMark/>
          </w:tcPr>
          <w:p w14:paraId="0DDE88CC"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Unobservable input(s)</w:t>
            </w:r>
          </w:p>
        </w:tc>
        <w:tc>
          <w:tcPr>
            <w:tcW w:w="381" w:type="pct"/>
            <w:tcBorders>
              <w:top w:val="nil"/>
              <w:left w:val="nil"/>
              <w:bottom w:val="single" w:sz="4" w:space="0" w:color="auto"/>
              <w:right w:val="nil"/>
            </w:tcBorders>
            <w:noWrap/>
            <w:vAlign w:val="bottom"/>
            <w:hideMark/>
          </w:tcPr>
          <w:p w14:paraId="2D32AA11"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Low </w:t>
            </w:r>
            <w:r w:rsidRPr="008A7A35">
              <w:rPr>
                <w:rFonts w:ascii="Arial" w:hAnsi="Arial" w:cs="Arial"/>
                <w:b/>
                <w:bCs/>
                <w:sz w:val="16"/>
                <w:szCs w:val="16"/>
                <w:vertAlign w:val="superscript"/>
                <w:lang w:eastAsia="en-GB"/>
              </w:rPr>
              <w:t>(1)</w:t>
            </w:r>
          </w:p>
        </w:tc>
        <w:tc>
          <w:tcPr>
            <w:tcW w:w="389" w:type="pct"/>
            <w:tcBorders>
              <w:top w:val="nil"/>
              <w:left w:val="nil"/>
              <w:bottom w:val="single" w:sz="4" w:space="0" w:color="auto"/>
              <w:right w:val="nil"/>
            </w:tcBorders>
            <w:noWrap/>
            <w:vAlign w:val="bottom"/>
            <w:hideMark/>
          </w:tcPr>
          <w:p w14:paraId="0BB30B3F"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High</w:t>
            </w:r>
            <w:r w:rsidRPr="008A7A35">
              <w:rPr>
                <w:rFonts w:ascii="Arial" w:hAnsi="Arial" w:cs="Arial"/>
                <w:b/>
                <w:bCs/>
                <w:sz w:val="16"/>
                <w:szCs w:val="16"/>
                <w:vertAlign w:val="superscript"/>
                <w:lang w:eastAsia="en-GB"/>
              </w:rPr>
              <w:t xml:space="preserve"> (1)</w:t>
            </w:r>
          </w:p>
        </w:tc>
        <w:tc>
          <w:tcPr>
            <w:tcW w:w="449" w:type="pct"/>
            <w:tcBorders>
              <w:top w:val="nil"/>
              <w:left w:val="nil"/>
              <w:bottom w:val="single" w:sz="4" w:space="0" w:color="auto"/>
              <w:right w:val="nil"/>
            </w:tcBorders>
            <w:vAlign w:val="bottom"/>
            <w:hideMark/>
          </w:tcPr>
          <w:p w14:paraId="6EC324C9" w14:textId="77777777" w:rsidR="001E2106" w:rsidRPr="008A7A35" w:rsidRDefault="001E2106" w:rsidP="002E692B">
            <w:pPr>
              <w:rPr>
                <w:rFonts w:ascii="Arial" w:hAnsi="Arial" w:cs="Arial"/>
                <w:b/>
                <w:bCs/>
                <w:sz w:val="16"/>
                <w:szCs w:val="16"/>
                <w:lang w:eastAsia="en-GB"/>
              </w:rPr>
            </w:pPr>
            <w:r w:rsidRPr="008A7A35">
              <w:rPr>
                <w:rFonts w:ascii="Arial" w:hAnsi="Arial" w:cs="Arial"/>
                <w:b/>
                <w:bCs/>
                <w:sz w:val="16"/>
                <w:szCs w:val="16"/>
                <w:lang w:eastAsia="en-GB"/>
              </w:rPr>
              <w:t xml:space="preserve">Weighted Average </w:t>
            </w:r>
            <w:r w:rsidRPr="008A7A35">
              <w:rPr>
                <w:rFonts w:ascii="Arial" w:hAnsi="Arial" w:cs="Arial"/>
                <w:b/>
                <w:bCs/>
                <w:sz w:val="16"/>
                <w:szCs w:val="16"/>
                <w:vertAlign w:val="superscript"/>
                <w:lang w:eastAsia="en-GB"/>
              </w:rPr>
              <w:t>(1)</w:t>
            </w:r>
          </w:p>
        </w:tc>
        <w:tc>
          <w:tcPr>
            <w:tcW w:w="1027" w:type="pct"/>
            <w:tcBorders>
              <w:top w:val="nil"/>
              <w:left w:val="nil"/>
              <w:bottom w:val="single" w:sz="4" w:space="0" w:color="auto"/>
              <w:right w:val="nil"/>
            </w:tcBorders>
            <w:noWrap/>
            <w:vAlign w:val="bottom"/>
            <w:hideMark/>
          </w:tcPr>
          <w:p w14:paraId="4F671600"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Sensitivity of the </w:t>
            </w:r>
          </w:p>
          <w:p w14:paraId="40C3D5E4"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input to fair value of </w:t>
            </w:r>
          </w:p>
          <w:p w14:paraId="33F16824"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Level 3 </w:t>
            </w:r>
            <w:proofErr w:type="gramStart"/>
            <w:r w:rsidRPr="008A7A35">
              <w:rPr>
                <w:rFonts w:ascii="Arial" w:hAnsi="Arial" w:cs="Arial"/>
                <w:b/>
                <w:bCs/>
                <w:sz w:val="16"/>
                <w:szCs w:val="16"/>
                <w:lang w:eastAsia="en-GB"/>
              </w:rPr>
              <w:t>investments</w:t>
            </w:r>
            <w:r w:rsidRPr="008A7A35">
              <w:rPr>
                <w:rFonts w:ascii="Arial" w:hAnsi="Arial" w:cs="Arial"/>
                <w:b/>
                <w:bCs/>
                <w:sz w:val="16"/>
                <w:szCs w:val="16"/>
                <w:vertAlign w:val="superscript"/>
                <w:lang w:eastAsia="en-GB"/>
              </w:rPr>
              <w:t>(</w:t>
            </w:r>
            <w:proofErr w:type="gramEnd"/>
            <w:r w:rsidRPr="008A7A35">
              <w:rPr>
                <w:rFonts w:ascii="Arial" w:hAnsi="Arial" w:cs="Arial"/>
                <w:b/>
                <w:bCs/>
                <w:sz w:val="16"/>
                <w:szCs w:val="16"/>
                <w:vertAlign w:val="superscript"/>
                <w:lang w:eastAsia="en-GB"/>
              </w:rPr>
              <w:t>2)</w:t>
            </w:r>
          </w:p>
        </w:tc>
        <w:tc>
          <w:tcPr>
            <w:tcW w:w="959" w:type="pct"/>
            <w:tcBorders>
              <w:top w:val="nil"/>
              <w:left w:val="nil"/>
              <w:bottom w:val="single" w:sz="4" w:space="0" w:color="auto"/>
              <w:right w:val="nil"/>
            </w:tcBorders>
            <w:noWrap/>
            <w:vAlign w:val="bottom"/>
            <w:hideMark/>
          </w:tcPr>
          <w:p w14:paraId="4F34FE86"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Fair value of Level 3</w:t>
            </w:r>
          </w:p>
          <w:p w14:paraId="3F154587" w14:textId="77777777" w:rsidR="001E2106" w:rsidRPr="008A7A35" w:rsidRDefault="001E2106" w:rsidP="002E692B">
            <w:pPr>
              <w:jc w:val="right"/>
              <w:rPr>
                <w:rFonts w:ascii="Arial" w:hAnsi="Arial" w:cs="Arial"/>
                <w:b/>
                <w:bCs/>
                <w:sz w:val="16"/>
                <w:szCs w:val="16"/>
                <w:lang w:eastAsia="en-GB"/>
              </w:rPr>
            </w:pPr>
            <w:r w:rsidRPr="008A7A35">
              <w:rPr>
                <w:rFonts w:ascii="Arial" w:hAnsi="Arial" w:cs="Arial"/>
                <w:b/>
                <w:bCs/>
                <w:sz w:val="16"/>
                <w:szCs w:val="16"/>
                <w:lang w:eastAsia="en-GB"/>
              </w:rPr>
              <w:t xml:space="preserve">Investments affected by unobservable input </w:t>
            </w:r>
            <w:r w:rsidRPr="008A7A35">
              <w:rPr>
                <w:rFonts w:ascii="Arial" w:hAnsi="Arial" w:cs="Arial"/>
                <w:b/>
                <w:bCs/>
                <w:sz w:val="16"/>
                <w:szCs w:val="16"/>
                <w:vertAlign w:val="superscript"/>
                <w:lang w:eastAsia="en-GB"/>
              </w:rPr>
              <w:t>(3)</w:t>
            </w:r>
            <w:r w:rsidRPr="008A7A35">
              <w:rPr>
                <w:rFonts w:ascii="Arial" w:hAnsi="Arial" w:cs="Arial"/>
                <w:b/>
                <w:bCs/>
                <w:sz w:val="16"/>
                <w:szCs w:val="16"/>
                <w:lang w:eastAsia="en-GB"/>
              </w:rPr>
              <w:t xml:space="preserve"> (in thousands)</w:t>
            </w:r>
          </w:p>
        </w:tc>
      </w:tr>
      <w:tr w:rsidR="001E2106" w:rsidRPr="008A7A35" w14:paraId="26521DD6" w14:textId="77777777" w:rsidTr="00391CE4">
        <w:trPr>
          <w:trHeight w:val="31"/>
        </w:trPr>
        <w:tc>
          <w:tcPr>
            <w:tcW w:w="599" w:type="pct"/>
            <w:tcBorders>
              <w:top w:val="single" w:sz="4" w:space="0" w:color="auto"/>
              <w:left w:val="nil"/>
              <w:bottom w:val="nil"/>
              <w:right w:val="nil"/>
            </w:tcBorders>
            <w:noWrap/>
            <w:vAlign w:val="bottom"/>
            <w:hideMark/>
          </w:tcPr>
          <w:p w14:paraId="15EBDF7C"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c>
          <w:tcPr>
            <w:tcW w:w="619" w:type="pct"/>
            <w:tcBorders>
              <w:top w:val="single" w:sz="4" w:space="0" w:color="auto"/>
              <w:left w:val="nil"/>
              <w:bottom w:val="nil"/>
              <w:right w:val="nil"/>
            </w:tcBorders>
            <w:noWrap/>
            <w:vAlign w:val="bottom"/>
            <w:hideMark/>
          </w:tcPr>
          <w:p w14:paraId="14E9483B"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c>
          <w:tcPr>
            <w:tcW w:w="577" w:type="pct"/>
            <w:tcBorders>
              <w:top w:val="single" w:sz="4" w:space="0" w:color="auto"/>
              <w:left w:val="nil"/>
              <w:bottom w:val="nil"/>
              <w:right w:val="nil"/>
            </w:tcBorders>
            <w:noWrap/>
            <w:vAlign w:val="bottom"/>
            <w:hideMark/>
          </w:tcPr>
          <w:p w14:paraId="5484AB0A"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c>
          <w:tcPr>
            <w:tcW w:w="381" w:type="pct"/>
            <w:tcBorders>
              <w:top w:val="single" w:sz="4" w:space="0" w:color="auto"/>
              <w:left w:val="nil"/>
              <w:bottom w:val="nil"/>
              <w:right w:val="nil"/>
            </w:tcBorders>
            <w:noWrap/>
            <w:vAlign w:val="bottom"/>
            <w:hideMark/>
          </w:tcPr>
          <w:p w14:paraId="00A293E6" w14:textId="77777777" w:rsidR="001E2106" w:rsidRPr="008A7A35" w:rsidRDefault="001E2106" w:rsidP="002E692B">
            <w:pPr>
              <w:spacing w:line="256" w:lineRule="auto"/>
              <w:ind w:firstLineChars="100" w:firstLine="160"/>
              <w:jc w:val="right"/>
              <w:rPr>
                <w:rFonts w:ascii="Arial" w:hAnsi="Arial" w:cs="Arial"/>
                <w:sz w:val="16"/>
                <w:szCs w:val="16"/>
                <w:lang w:eastAsia="en-GB"/>
              </w:rPr>
            </w:pPr>
            <w:r w:rsidRPr="008A7A35">
              <w:rPr>
                <w:rFonts w:ascii="Arial" w:hAnsi="Arial" w:cs="Arial"/>
                <w:sz w:val="16"/>
                <w:szCs w:val="16"/>
                <w:lang w:eastAsia="en-GB"/>
              </w:rPr>
              <w:t> </w:t>
            </w:r>
          </w:p>
        </w:tc>
        <w:tc>
          <w:tcPr>
            <w:tcW w:w="389" w:type="pct"/>
            <w:tcBorders>
              <w:top w:val="single" w:sz="4" w:space="0" w:color="auto"/>
              <w:left w:val="nil"/>
              <w:bottom w:val="nil"/>
              <w:right w:val="nil"/>
            </w:tcBorders>
            <w:noWrap/>
            <w:vAlign w:val="bottom"/>
            <w:hideMark/>
          </w:tcPr>
          <w:p w14:paraId="78109C4B" w14:textId="77777777" w:rsidR="001E2106" w:rsidRPr="008A7A35" w:rsidRDefault="001E2106" w:rsidP="002E692B">
            <w:pPr>
              <w:spacing w:line="256" w:lineRule="auto"/>
              <w:ind w:firstLineChars="100" w:firstLine="160"/>
              <w:jc w:val="right"/>
              <w:rPr>
                <w:rFonts w:ascii="Arial" w:hAnsi="Arial" w:cs="Arial"/>
                <w:sz w:val="16"/>
                <w:szCs w:val="16"/>
                <w:lang w:eastAsia="en-GB"/>
              </w:rPr>
            </w:pPr>
            <w:r w:rsidRPr="008A7A35">
              <w:rPr>
                <w:rFonts w:ascii="Arial" w:hAnsi="Arial" w:cs="Arial"/>
                <w:sz w:val="16"/>
                <w:szCs w:val="16"/>
                <w:lang w:eastAsia="en-GB"/>
              </w:rPr>
              <w:t> </w:t>
            </w:r>
          </w:p>
        </w:tc>
        <w:tc>
          <w:tcPr>
            <w:tcW w:w="449" w:type="pct"/>
            <w:tcBorders>
              <w:top w:val="single" w:sz="4" w:space="0" w:color="auto"/>
              <w:left w:val="nil"/>
              <w:bottom w:val="nil"/>
              <w:right w:val="nil"/>
            </w:tcBorders>
            <w:noWrap/>
            <w:vAlign w:val="bottom"/>
            <w:hideMark/>
          </w:tcPr>
          <w:p w14:paraId="3048DCDD" w14:textId="77777777" w:rsidR="001E2106" w:rsidRPr="008A7A35" w:rsidRDefault="001E2106" w:rsidP="002E692B">
            <w:pPr>
              <w:spacing w:line="256" w:lineRule="auto"/>
              <w:ind w:firstLineChars="200" w:firstLine="320"/>
              <w:jc w:val="right"/>
              <w:rPr>
                <w:rFonts w:ascii="Arial" w:hAnsi="Arial" w:cs="Arial"/>
                <w:sz w:val="16"/>
                <w:szCs w:val="16"/>
                <w:lang w:eastAsia="en-GB"/>
              </w:rPr>
            </w:pPr>
            <w:r w:rsidRPr="008A7A35">
              <w:rPr>
                <w:rFonts w:ascii="Arial" w:hAnsi="Arial" w:cs="Arial"/>
                <w:sz w:val="16"/>
                <w:szCs w:val="16"/>
                <w:lang w:eastAsia="en-GB"/>
              </w:rPr>
              <w:t> </w:t>
            </w:r>
          </w:p>
        </w:tc>
        <w:tc>
          <w:tcPr>
            <w:tcW w:w="1027" w:type="pct"/>
            <w:tcBorders>
              <w:top w:val="single" w:sz="4" w:space="0" w:color="auto"/>
              <w:left w:val="nil"/>
              <w:bottom w:val="nil"/>
              <w:right w:val="nil"/>
            </w:tcBorders>
            <w:noWrap/>
            <w:vAlign w:val="bottom"/>
            <w:hideMark/>
          </w:tcPr>
          <w:p w14:paraId="764DD3C9" w14:textId="77777777" w:rsidR="001E2106" w:rsidRPr="008A7A35" w:rsidRDefault="001E2106" w:rsidP="002E692B">
            <w:pPr>
              <w:rPr>
                <w:rFonts w:ascii="Arial" w:hAnsi="Arial" w:cs="Arial"/>
                <w:sz w:val="16"/>
                <w:szCs w:val="16"/>
                <w:lang w:eastAsia="en-GB"/>
              </w:rPr>
            </w:pPr>
          </w:p>
        </w:tc>
        <w:tc>
          <w:tcPr>
            <w:tcW w:w="959" w:type="pct"/>
            <w:tcBorders>
              <w:top w:val="single" w:sz="4" w:space="0" w:color="auto"/>
              <w:left w:val="nil"/>
              <w:bottom w:val="nil"/>
              <w:right w:val="nil"/>
            </w:tcBorders>
            <w:noWrap/>
            <w:vAlign w:val="bottom"/>
            <w:hideMark/>
          </w:tcPr>
          <w:p w14:paraId="22C2CD7E"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w:t>
            </w:r>
          </w:p>
        </w:tc>
      </w:tr>
      <w:tr w:rsidR="001E2106" w:rsidRPr="008A7A35" w14:paraId="4BFB6CD0" w14:textId="77777777" w:rsidTr="00391CE4">
        <w:trPr>
          <w:trHeight w:val="347"/>
        </w:trPr>
        <w:tc>
          <w:tcPr>
            <w:tcW w:w="599" w:type="pct"/>
            <w:noWrap/>
            <w:hideMark/>
          </w:tcPr>
          <w:p w14:paraId="374F6406" w14:textId="66D6DDDF"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w:t>
            </w:r>
            <w:r w:rsidR="00B65919" w:rsidRPr="008A7A35">
              <w:rPr>
                <w:rFonts w:ascii="Arial" w:hAnsi="Arial" w:cs="Arial"/>
                <w:sz w:val="16"/>
                <w:szCs w:val="16"/>
              </w:rPr>
              <w:t>49,531</w:t>
            </w:r>
          </w:p>
        </w:tc>
        <w:tc>
          <w:tcPr>
            <w:tcW w:w="619" w:type="pct"/>
            <w:noWrap/>
            <w:hideMark/>
          </w:tcPr>
          <w:p w14:paraId="7BBD0661"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 xml:space="preserve">Public </w:t>
            </w:r>
            <w:proofErr w:type="spellStart"/>
            <w:r w:rsidRPr="008A7A35">
              <w:rPr>
                <w:rFonts w:ascii="Arial" w:hAnsi="Arial" w:cs="Arial"/>
                <w:sz w:val="16"/>
                <w:szCs w:val="16"/>
                <w:lang w:eastAsia="en-GB"/>
              </w:rPr>
              <w:t>comparables</w:t>
            </w:r>
            <w:proofErr w:type="spellEnd"/>
          </w:p>
        </w:tc>
        <w:tc>
          <w:tcPr>
            <w:tcW w:w="577" w:type="pct"/>
            <w:noWrap/>
            <w:hideMark/>
          </w:tcPr>
          <w:p w14:paraId="1DAAAD07" w14:textId="28870E29" w:rsidR="001E2106" w:rsidRPr="008A7A35" w:rsidRDefault="001E2106" w:rsidP="002E692B">
            <w:pPr>
              <w:spacing w:line="256" w:lineRule="auto"/>
              <w:jc w:val="right"/>
              <w:rPr>
                <w:rFonts w:ascii="Arial" w:hAnsi="Arial" w:cs="Arial"/>
                <w:sz w:val="16"/>
                <w:szCs w:val="16"/>
                <w:lang w:eastAsia="en-GB"/>
              </w:rPr>
            </w:pPr>
            <w:r w:rsidRPr="008A7A35">
              <w:rPr>
                <w:rFonts w:ascii="Arial" w:hAnsi="Arial" w:cs="Arial"/>
                <w:sz w:val="16"/>
                <w:szCs w:val="16"/>
                <w:lang w:eastAsia="en-GB"/>
              </w:rPr>
              <w:t>202</w:t>
            </w:r>
            <w:r w:rsidR="006623D1" w:rsidRPr="008A7A35">
              <w:rPr>
                <w:rFonts w:ascii="Arial" w:hAnsi="Arial" w:cs="Arial"/>
                <w:sz w:val="16"/>
                <w:szCs w:val="16"/>
                <w:lang w:eastAsia="en-GB"/>
              </w:rPr>
              <w:t>4</w:t>
            </w:r>
            <w:r w:rsidRPr="008A7A35">
              <w:rPr>
                <w:rFonts w:ascii="Arial" w:hAnsi="Arial" w:cs="Arial"/>
                <w:sz w:val="16"/>
                <w:szCs w:val="16"/>
                <w:lang w:eastAsia="en-GB"/>
              </w:rPr>
              <w:t>E EV / EBITDA Multiple</w:t>
            </w:r>
          </w:p>
        </w:tc>
        <w:tc>
          <w:tcPr>
            <w:tcW w:w="381" w:type="pct"/>
            <w:noWrap/>
            <w:hideMark/>
          </w:tcPr>
          <w:p w14:paraId="37BCADB3" w14:textId="1D386720" w:rsidR="001E2106" w:rsidRPr="008A7A35" w:rsidRDefault="001E2106" w:rsidP="00A55DDF">
            <w:pPr>
              <w:spacing w:line="256" w:lineRule="auto"/>
              <w:rPr>
                <w:rFonts w:ascii="Arial" w:hAnsi="Arial" w:cs="Arial"/>
                <w:sz w:val="16"/>
                <w:szCs w:val="16"/>
              </w:rPr>
            </w:pPr>
            <w:r w:rsidRPr="008A7A35">
              <w:rPr>
                <w:rFonts w:ascii="Arial" w:eastAsia="Calibri" w:hAnsi="Arial" w:cs="Arial"/>
                <w:sz w:val="16"/>
                <w:szCs w:val="16"/>
              </w:rPr>
              <w:t>1</w:t>
            </w:r>
            <w:r w:rsidR="00C831B5" w:rsidRPr="008A7A35">
              <w:rPr>
                <w:rFonts w:ascii="Arial" w:eastAsia="Calibri" w:hAnsi="Arial" w:cs="Arial"/>
                <w:sz w:val="16"/>
                <w:szCs w:val="16"/>
              </w:rPr>
              <w:t>9</w:t>
            </w:r>
            <w:r w:rsidR="006623D1" w:rsidRPr="008A7A35">
              <w:rPr>
                <w:rFonts w:ascii="Arial" w:eastAsia="Calibri" w:hAnsi="Arial" w:cs="Arial"/>
                <w:sz w:val="16"/>
                <w:szCs w:val="16"/>
              </w:rPr>
              <w:t>.</w:t>
            </w:r>
            <w:r w:rsidR="00C831B5" w:rsidRPr="008A7A35">
              <w:rPr>
                <w:rFonts w:ascii="Arial" w:eastAsia="Calibri" w:hAnsi="Arial" w:cs="Arial"/>
                <w:sz w:val="16"/>
                <w:szCs w:val="16"/>
              </w:rPr>
              <w:t>0</w:t>
            </w:r>
            <w:r w:rsidRPr="008A7A35">
              <w:rPr>
                <w:rFonts w:ascii="Arial" w:eastAsia="Calibri" w:hAnsi="Arial" w:cs="Arial"/>
                <w:sz w:val="16"/>
                <w:szCs w:val="16"/>
              </w:rPr>
              <w:t>x</w:t>
            </w:r>
          </w:p>
        </w:tc>
        <w:tc>
          <w:tcPr>
            <w:tcW w:w="389" w:type="pct"/>
            <w:noWrap/>
            <w:hideMark/>
          </w:tcPr>
          <w:p w14:paraId="5C6082CB" w14:textId="17D90694" w:rsidR="001E2106" w:rsidRPr="008A7A35" w:rsidRDefault="00C831B5" w:rsidP="00A55DDF">
            <w:pPr>
              <w:spacing w:line="256" w:lineRule="auto"/>
              <w:rPr>
                <w:rFonts w:ascii="Arial" w:hAnsi="Arial" w:cs="Arial"/>
                <w:sz w:val="16"/>
                <w:szCs w:val="16"/>
                <w:lang w:eastAsia="en-GB"/>
              </w:rPr>
            </w:pPr>
            <w:r w:rsidRPr="008A7A35">
              <w:rPr>
                <w:rFonts w:ascii="Arial" w:eastAsia="Calibri" w:hAnsi="Arial" w:cs="Arial"/>
                <w:sz w:val="16"/>
                <w:szCs w:val="16"/>
              </w:rPr>
              <w:t>49.0</w:t>
            </w:r>
            <w:r w:rsidR="001E2106" w:rsidRPr="008A7A35">
              <w:rPr>
                <w:rFonts w:ascii="Arial" w:eastAsia="Calibri" w:hAnsi="Arial" w:cs="Arial"/>
                <w:sz w:val="16"/>
                <w:szCs w:val="16"/>
              </w:rPr>
              <w:t>x</w:t>
            </w:r>
          </w:p>
        </w:tc>
        <w:tc>
          <w:tcPr>
            <w:tcW w:w="449" w:type="pct"/>
            <w:noWrap/>
            <w:hideMark/>
          </w:tcPr>
          <w:p w14:paraId="7D868C9F" w14:textId="7BDE07F8" w:rsidR="001E2106" w:rsidRPr="008A7A35" w:rsidRDefault="00C831B5" w:rsidP="00A55DDF">
            <w:pPr>
              <w:spacing w:line="256" w:lineRule="auto"/>
              <w:rPr>
                <w:rFonts w:ascii="Arial" w:hAnsi="Arial" w:cs="Arial"/>
                <w:sz w:val="16"/>
                <w:szCs w:val="16"/>
                <w:lang w:eastAsia="en-GB"/>
              </w:rPr>
            </w:pPr>
            <w:r w:rsidRPr="008A7A35">
              <w:rPr>
                <w:rFonts w:ascii="Arial" w:eastAsia="Calibri" w:hAnsi="Arial" w:cs="Arial"/>
                <w:sz w:val="16"/>
                <w:szCs w:val="16"/>
              </w:rPr>
              <w:t>47.0</w:t>
            </w:r>
            <w:r w:rsidR="001E2106" w:rsidRPr="008A7A35">
              <w:rPr>
                <w:rFonts w:ascii="Arial" w:eastAsia="Calibri" w:hAnsi="Arial" w:cs="Arial"/>
                <w:sz w:val="16"/>
                <w:szCs w:val="16"/>
              </w:rPr>
              <w:t>x</w:t>
            </w:r>
          </w:p>
        </w:tc>
        <w:tc>
          <w:tcPr>
            <w:tcW w:w="1027" w:type="pct"/>
            <w:shd w:val="clear" w:color="auto" w:fill="FFFFFF"/>
            <w:vAlign w:val="bottom"/>
            <w:hideMark/>
          </w:tcPr>
          <w:p w14:paraId="2DCD98AA" w14:textId="0FE4BBBE" w:rsidR="001E2106" w:rsidRPr="008A7A35" w:rsidRDefault="00C831B5" w:rsidP="002E692B">
            <w:pPr>
              <w:spacing w:line="256" w:lineRule="auto"/>
              <w:rPr>
                <w:rFonts w:ascii="Arial" w:hAnsi="Arial" w:cs="Arial"/>
                <w:sz w:val="16"/>
                <w:szCs w:val="16"/>
                <w:lang w:eastAsia="en-GB"/>
              </w:rPr>
            </w:pPr>
            <w:r w:rsidRPr="008A7A35">
              <w:rPr>
                <w:rFonts w:ascii="Arial" w:hAnsi="Arial" w:cs="Arial"/>
                <w:sz w:val="16"/>
                <w:szCs w:val="16"/>
              </w:rPr>
              <w:t>25</w:t>
            </w:r>
            <w:r w:rsidR="001E2106" w:rsidRPr="008A7A35">
              <w:rPr>
                <w:rFonts w:ascii="Arial" w:hAnsi="Arial" w:cs="Arial"/>
                <w:sz w:val="16"/>
                <w:szCs w:val="16"/>
              </w:rPr>
              <w:t xml:space="preserve"> </w:t>
            </w:r>
            <w:r w:rsidR="001E2106" w:rsidRPr="008A7A35">
              <w:rPr>
                <w:rFonts w:ascii="Arial" w:hAnsi="Arial" w:cs="Arial"/>
                <w:sz w:val="16"/>
                <w:szCs w:val="16"/>
                <w:lang w:eastAsia="en-GB"/>
              </w:rPr>
              <w:t xml:space="preserve">per cent. weighted average change in the input would result in </w:t>
            </w:r>
            <w:r w:rsidR="003E4CB9" w:rsidRPr="008A7A35">
              <w:rPr>
                <w:rFonts w:ascii="Arial" w:hAnsi="Arial" w:cs="Arial"/>
                <w:sz w:val="16"/>
                <w:szCs w:val="16"/>
                <w:lang w:eastAsia="en-GB"/>
              </w:rPr>
              <w:t>2</w:t>
            </w:r>
            <w:r w:rsidR="001E2106" w:rsidRPr="008A7A35">
              <w:rPr>
                <w:rFonts w:ascii="Arial" w:hAnsi="Arial" w:cs="Arial"/>
                <w:sz w:val="16"/>
                <w:szCs w:val="16"/>
                <w:lang w:eastAsia="en-GB"/>
              </w:rPr>
              <w:t xml:space="preserve"> per cent. change in the total fair value of Level 3 investments</w:t>
            </w:r>
          </w:p>
        </w:tc>
        <w:tc>
          <w:tcPr>
            <w:tcW w:w="959" w:type="pct"/>
            <w:noWrap/>
            <w:hideMark/>
          </w:tcPr>
          <w:p w14:paraId="4366709F" w14:textId="55032B3C" w:rsidR="001E2106" w:rsidRPr="008A7A35" w:rsidRDefault="00C831B5" w:rsidP="002E692B">
            <w:pPr>
              <w:spacing w:line="256" w:lineRule="auto"/>
              <w:jc w:val="right"/>
              <w:rPr>
                <w:rFonts w:ascii="Arial" w:hAnsi="Arial" w:cs="Arial"/>
                <w:sz w:val="16"/>
                <w:szCs w:val="16"/>
                <w:lang w:eastAsia="en-GB"/>
              </w:rPr>
            </w:pPr>
            <w:r w:rsidRPr="008A7A35">
              <w:rPr>
                <w:rFonts w:ascii="Arial" w:hAnsi="Arial" w:cs="Arial"/>
                <w:sz w:val="16"/>
                <w:szCs w:val="16"/>
              </w:rPr>
              <w:t>23,156</w:t>
            </w:r>
          </w:p>
        </w:tc>
      </w:tr>
      <w:tr w:rsidR="001E2106" w:rsidRPr="008A7A35" w14:paraId="6B6A5778" w14:textId="77777777" w:rsidTr="00391CE4">
        <w:trPr>
          <w:trHeight w:val="347"/>
        </w:trPr>
        <w:tc>
          <w:tcPr>
            <w:tcW w:w="599" w:type="pct"/>
            <w:noWrap/>
            <w:vAlign w:val="bottom"/>
          </w:tcPr>
          <w:p w14:paraId="078A345E" w14:textId="77777777" w:rsidR="001E2106" w:rsidRPr="008A7A35" w:rsidRDefault="001E2106" w:rsidP="002E692B">
            <w:pPr>
              <w:spacing w:line="256" w:lineRule="auto"/>
              <w:rPr>
                <w:rFonts w:ascii="Arial" w:hAnsi="Arial" w:cs="Arial"/>
                <w:sz w:val="16"/>
                <w:szCs w:val="16"/>
                <w:lang w:eastAsia="en-GB"/>
              </w:rPr>
            </w:pPr>
          </w:p>
        </w:tc>
        <w:tc>
          <w:tcPr>
            <w:tcW w:w="619" w:type="pct"/>
            <w:noWrap/>
            <w:vAlign w:val="bottom"/>
          </w:tcPr>
          <w:p w14:paraId="5C07B497" w14:textId="77777777" w:rsidR="001E2106" w:rsidRPr="008A7A35" w:rsidRDefault="001E2106" w:rsidP="002E692B">
            <w:pPr>
              <w:spacing w:line="256" w:lineRule="auto"/>
              <w:rPr>
                <w:rFonts w:ascii="Arial" w:hAnsi="Arial" w:cs="Arial"/>
                <w:sz w:val="16"/>
                <w:szCs w:val="16"/>
                <w:lang w:eastAsia="en-GB"/>
              </w:rPr>
            </w:pPr>
          </w:p>
        </w:tc>
        <w:tc>
          <w:tcPr>
            <w:tcW w:w="577" w:type="pct"/>
            <w:noWrap/>
            <w:hideMark/>
          </w:tcPr>
          <w:p w14:paraId="2EA7F8C5" w14:textId="759E7403" w:rsidR="001E2106" w:rsidRPr="008A7A35" w:rsidRDefault="001E2106" w:rsidP="002E692B">
            <w:pPr>
              <w:spacing w:line="256" w:lineRule="auto"/>
              <w:jc w:val="right"/>
              <w:rPr>
                <w:rFonts w:ascii="Arial" w:hAnsi="Arial" w:cs="Arial"/>
                <w:sz w:val="16"/>
                <w:szCs w:val="16"/>
                <w:lang w:eastAsia="en-GB"/>
              </w:rPr>
            </w:pPr>
            <w:r w:rsidRPr="008A7A35">
              <w:rPr>
                <w:rFonts w:ascii="Arial" w:hAnsi="Arial" w:cs="Arial"/>
                <w:sz w:val="16"/>
                <w:szCs w:val="16"/>
                <w:lang w:eastAsia="en-GB"/>
              </w:rPr>
              <w:t xml:space="preserve">2024E EV / </w:t>
            </w:r>
            <w:r w:rsidR="006623D1" w:rsidRPr="008A7A35">
              <w:rPr>
                <w:rFonts w:ascii="Arial" w:hAnsi="Arial" w:cs="Arial"/>
                <w:sz w:val="16"/>
                <w:szCs w:val="16"/>
                <w:lang w:eastAsia="en-GB"/>
              </w:rPr>
              <w:t>Revenue</w:t>
            </w:r>
            <w:r w:rsidRPr="008A7A35">
              <w:rPr>
                <w:rFonts w:ascii="Arial" w:hAnsi="Arial" w:cs="Arial"/>
                <w:sz w:val="16"/>
                <w:szCs w:val="16"/>
                <w:lang w:eastAsia="en-GB"/>
              </w:rPr>
              <w:t xml:space="preserve"> </w:t>
            </w:r>
            <w:proofErr w:type="gramStart"/>
            <w:r w:rsidRPr="008A7A35">
              <w:rPr>
                <w:rFonts w:ascii="Arial" w:hAnsi="Arial" w:cs="Arial"/>
                <w:sz w:val="16"/>
                <w:szCs w:val="16"/>
                <w:lang w:eastAsia="en-GB"/>
              </w:rPr>
              <w:t>Multiple</w:t>
            </w:r>
            <w:r w:rsidRPr="008A7A35">
              <w:rPr>
                <w:rFonts w:ascii="Arial" w:hAnsi="Arial" w:cs="Arial"/>
                <w:sz w:val="16"/>
                <w:szCs w:val="16"/>
                <w:vertAlign w:val="superscript"/>
                <w:lang w:eastAsia="en-GB"/>
              </w:rPr>
              <w:t>(</w:t>
            </w:r>
            <w:proofErr w:type="gramEnd"/>
            <w:r w:rsidR="00BD3934" w:rsidRPr="008A7A35">
              <w:rPr>
                <w:rFonts w:ascii="Arial" w:hAnsi="Arial" w:cs="Arial"/>
                <w:sz w:val="16"/>
                <w:szCs w:val="16"/>
                <w:vertAlign w:val="superscript"/>
                <w:lang w:eastAsia="en-GB"/>
              </w:rPr>
              <w:t>4</w:t>
            </w:r>
            <w:r w:rsidRPr="008A7A35">
              <w:rPr>
                <w:rFonts w:ascii="Arial" w:hAnsi="Arial" w:cs="Arial"/>
                <w:sz w:val="16"/>
                <w:szCs w:val="16"/>
                <w:vertAlign w:val="superscript"/>
                <w:lang w:eastAsia="en-GB"/>
              </w:rPr>
              <w:t>)</w:t>
            </w:r>
          </w:p>
        </w:tc>
        <w:tc>
          <w:tcPr>
            <w:tcW w:w="381" w:type="pct"/>
            <w:noWrap/>
            <w:hideMark/>
          </w:tcPr>
          <w:p w14:paraId="7CFF7754" w14:textId="4BD28FC1" w:rsidR="001E2106" w:rsidRPr="008A7A35" w:rsidRDefault="00C831B5" w:rsidP="00A55DDF">
            <w:pPr>
              <w:spacing w:line="256" w:lineRule="auto"/>
              <w:rPr>
                <w:rFonts w:ascii="Arial" w:hAnsi="Arial" w:cs="Arial"/>
                <w:sz w:val="16"/>
                <w:szCs w:val="16"/>
              </w:rPr>
            </w:pPr>
            <w:r w:rsidRPr="008A7A35">
              <w:rPr>
                <w:rFonts w:ascii="Arial" w:eastAsia="Calibri" w:hAnsi="Arial" w:cs="Arial"/>
                <w:sz w:val="16"/>
                <w:szCs w:val="16"/>
              </w:rPr>
              <w:t>6.0</w:t>
            </w:r>
            <w:r w:rsidR="001E2106" w:rsidRPr="008A7A35">
              <w:rPr>
                <w:rFonts w:ascii="Arial" w:eastAsia="Calibri" w:hAnsi="Arial" w:cs="Arial"/>
                <w:sz w:val="16"/>
                <w:szCs w:val="16"/>
              </w:rPr>
              <w:t>x</w:t>
            </w:r>
          </w:p>
        </w:tc>
        <w:tc>
          <w:tcPr>
            <w:tcW w:w="389" w:type="pct"/>
            <w:noWrap/>
            <w:hideMark/>
          </w:tcPr>
          <w:p w14:paraId="6F91C294" w14:textId="67E1CD8E" w:rsidR="001E2106" w:rsidRPr="008A7A35" w:rsidRDefault="006623D1" w:rsidP="00A55DDF">
            <w:pPr>
              <w:spacing w:line="256" w:lineRule="auto"/>
              <w:rPr>
                <w:rFonts w:ascii="Arial" w:hAnsi="Arial" w:cs="Arial"/>
                <w:sz w:val="16"/>
                <w:szCs w:val="16"/>
                <w:lang w:eastAsia="en-GB"/>
              </w:rPr>
            </w:pPr>
            <w:r w:rsidRPr="008A7A35">
              <w:rPr>
                <w:rFonts w:ascii="Arial" w:eastAsia="Calibri" w:hAnsi="Arial" w:cs="Arial"/>
                <w:sz w:val="16"/>
                <w:szCs w:val="16"/>
              </w:rPr>
              <w:t>1</w:t>
            </w:r>
            <w:r w:rsidR="00C831B5" w:rsidRPr="008A7A35">
              <w:rPr>
                <w:rFonts w:ascii="Arial" w:eastAsia="Calibri" w:hAnsi="Arial" w:cs="Arial"/>
                <w:sz w:val="16"/>
                <w:szCs w:val="16"/>
              </w:rPr>
              <w:t>2.0</w:t>
            </w:r>
            <w:r w:rsidR="001E2106" w:rsidRPr="008A7A35">
              <w:rPr>
                <w:rFonts w:ascii="Arial" w:eastAsia="Calibri" w:hAnsi="Arial" w:cs="Arial"/>
                <w:sz w:val="16"/>
                <w:szCs w:val="16"/>
              </w:rPr>
              <w:t>x</w:t>
            </w:r>
          </w:p>
        </w:tc>
        <w:tc>
          <w:tcPr>
            <w:tcW w:w="449" w:type="pct"/>
            <w:noWrap/>
            <w:hideMark/>
          </w:tcPr>
          <w:p w14:paraId="45E2ABB7" w14:textId="5C97B6BF" w:rsidR="001E2106" w:rsidRPr="008A7A35" w:rsidRDefault="00C831B5" w:rsidP="00A55DDF">
            <w:pPr>
              <w:spacing w:line="256" w:lineRule="auto"/>
              <w:rPr>
                <w:rFonts w:ascii="Arial" w:hAnsi="Arial" w:cs="Arial"/>
                <w:sz w:val="16"/>
                <w:szCs w:val="16"/>
                <w:lang w:eastAsia="en-GB"/>
              </w:rPr>
            </w:pPr>
            <w:r w:rsidRPr="008A7A35">
              <w:rPr>
                <w:rFonts w:ascii="Arial" w:eastAsia="Calibri" w:hAnsi="Arial" w:cs="Arial"/>
                <w:sz w:val="16"/>
                <w:szCs w:val="16"/>
              </w:rPr>
              <w:t>11.6</w:t>
            </w:r>
            <w:r w:rsidR="001E2106" w:rsidRPr="008A7A35">
              <w:rPr>
                <w:rFonts w:ascii="Arial" w:eastAsia="Calibri" w:hAnsi="Arial" w:cs="Arial"/>
                <w:sz w:val="16"/>
                <w:szCs w:val="16"/>
              </w:rPr>
              <w:t>x</w:t>
            </w:r>
          </w:p>
        </w:tc>
        <w:tc>
          <w:tcPr>
            <w:tcW w:w="1027" w:type="pct"/>
            <w:shd w:val="clear" w:color="auto" w:fill="FFFFFF"/>
            <w:vAlign w:val="bottom"/>
            <w:hideMark/>
          </w:tcPr>
          <w:p w14:paraId="23E26060" w14:textId="222AA021" w:rsidR="001E2106" w:rsidRPr="008A7A35" w:rsidRDefault="00C831B5" w:rsidP="002E692B">
            <w:pPr>
              <w:spacing w:line="256" w:lineRule="auto"/>
              <w:rPr>
                <w:rFonts w:ascii="Arial" w:hAnsi="Arial" w:cs="Arial"/>
                <w:sz w:val="16"/>
                <w:szCs w:val="16"/>
                <w:lang w:eastAsia="en-GB"/>
              </w:rPr>
            </w:pPr>
            <w:r w:rsidRPr="008A7A35">
              <w:rPr>
                <w:rFonts w:ascii="Arial" w:hAnsi="Arial" w:cs="Arial"/>
                <w:sz w:val="16"/>
                <w:szCs w:val="16"/>
              </w:rPr>
              <w:t>25</w:t>
            </w:r>
            <w:r w:rsidR="001E2106" w:rsidRPr="008A7A35">
              <w:rPr>
                <w:rFonts w:ascii="Arial" w:hAnsi="Arial" w:cs="Arial"/>
                <w:sz w:val="16"/>
                <w:szCs w:val="16"/>
                <w:lang w:eastAsia="en-GB"/>
              </w:rPr>
              <w:t xml:space="preserve"> per cent. weighted average change in the input would result in </w:t>
            </w:r>
            <w:r w:rsidRPr="008A7A35">
              <w:rPr>
                <w:rFonts w:ascii="Arial" w:hAnsi="Arial" w:cs="Arial"/>
                <w:sz w:val="16"/>
                <w:szCs w:val="16"/>
                <w:lang w:eastAsia="en-GB"/>
              </w:rPr>
              <w:t>1</w:t>
            </w:r>
            <w:r w:rsidR="001E2106" w:rsidRPr="008A7A35">
              <w:rPr>
                <w:rFonts w:ascii="Arial" w:hAnsi="Arial" w:cs="Arial"/>
                <w:sz w:val="16"/>
                <w:szCs w:val="16"/>
                <w:lang w:eastAsia="en-GB"/>
              </w:rPr>
              <w:t xml:space="preserve"> per cent. change in the total fair value of Level 3 investments</w:t>
            </w:r>
          </w:p>
        </w:tc>
        <w:tc>
          <w:tcPr>
            <w:tcW w:w="959" w:type="pct"/>
            <w:noWrap/>
            <w:hideMark/>
          </w:tcPr>
          <w:p w14:paraId="3E9814FF" w14:textId="584DD460" w:rsidR="001E2106" w:rsidRPr="008A7A35" w:rsidRDefault="00C831B5" w:rsidP="002E692B">
            <w:pPr>
              <w:spacing w:line="256" w:lineRule="auto"/>
              <w:jc w:val="right"/>
              <w:rPr>
                <w:rFonts w:ascii="Arial" w:hAnsi="Arial" w:cs="Arial"/>
                <w:sz w:val="16"/>
                <w:szCs w:val="16"/>
              </w:rPr>
            </w:pPr>
            <w:r w:rsidRPr="008A7A35">
              <w:rPr>
                <w:rFonts w:ascii="Arial" w:eastAsia="Calibri" w:hAnsi="Arial" w:cs="Arial"/>
                <w:sz w:val="16"/>
                <w:szCs w:val="16"/>
              </w:rPr>
              <w:t>23,156</w:t>
            </w:r>
          </w:p>
        </w:tc>
      </w:tr>
      <w:tr w:rsidR="001E2106" w:rsidRPr="008A7A35" w14:paraId="1A6D10DA" w14:textId="77777777" w:rsidTr="00391CE4">
        <w:trPr>
          <w:trHeight w:val="347"/>
        </w:trPr>
        <w:tc>
          <w:tcPr>
            <w:tcW w:w="599" w:type="pct"/>
            <w:noWrap/>
            <w:vAlign w:val="bottom"/>
          </w:tcPr>
          <w:p w14:paraId="69AA98D1" w14:textId="77777777" w:rsidR="001E2106" w:rsidRPr="008A7A35" w:rsidRDefault="001E2106" w:rsidP="002E692B">
            <w:pPr>
              <w:spacing w:line="256" w:lineRule="auto"/>
              <w:rPr>
                <w:rFonts w:ascii="Arial" w:hAnsi="Arial" w:cs="Arial"/>
                <w:sz w:val="16"/>
                <w:szCs w:val="16"/>
                <w:lang w:eastAsia="en-GB"/>
              </w:rPr>
            </w:pPr>
          </w:p>
        </w:tc>
        <w:tc>
          <w:tcPr>
            <w:tcW w:w="619" w:type="pct"/>
            <w:noWrap/>
            <w:vAlign w:val="bottom"/>
          </w:tcPr>
          <w:p w14:paraId="50B57E70" w14:textId="77777777" w:rsidR="001E2106" w:rsidRPr="008A7A35" w:rsidRDefault="001E2106" w:rsidP="002E692B">
            <w:pPr>
              <w:spacing w:line="256" w:lineRule="auto"/>
              <w:rPr>
                <w:rFonts w:ascii="Arial" w:hAnsi="Arial" w:cs="Arial"/>
                <w:sz w:val="16"/>
                <w:szCs w:val="16"/>
                <w:lang w:eastAsia="en-GB"/>
              </w:rPr>
            </w:pPr>
          </w:p>
        </w:tc>
        <w:tc>
          <w:tcPr>
            <w:tcW w:w="577" w:type="pct"/>
            <w:noWrap/>
          </w:tcPr>
          <w:p w14:paraId="5DC079D5" w14:textId="3CD93E2B" w:rsidR="001E2106" w:rsidRPr="008A7A35" w:rsidRDefault="001E2106" w:rsidP="002E692B">
            <w:pPr>
              <w:spacing w:line="256" w:lineRule="auto"/>
              <w:jc w:val="right"/>
              <w:rPr>
                <w:rFonts w:ascii="Arial" w:hAnsi="Arial" w:cs="Arial"/>
                <w:sz w:val="16"/>
                <w:szCs w:val="16"/>
                <w:lang w:eastAsia="en-GB"/>
              </w:rPr>
            </w:pPr>
            <w:r w:rsidRPr="008A7A35">
              <w:rPr>
                <w:rFonts w:ascii="Arial" w:hAnsi="Arial" w:cs="Arial"/>
                <w:sz w:val="16"/>
                <w:szCs w:val="16"/>
                <w:lang w:eastAsia="en-GB"/>
              </w:rPr>
              <w:t>202</w:t>
            </w:r>
            <w:r w:rsidR="006623D1" w:rsidRPr="008A7A35">
              <w:rPr>
                <w:rFonts w:ascii="Arial" w:hAnsi="Arial" w:cs="Arial"/>
                <w:sz w:val="16"/>
                <w:szCs w:val="16"/>
                <w:lang w:eastAsia="en-GB"/>
              </w:rPr>
              <w:t>5</w:t>
            </w:r>
            <w:r w:rsidR="00C831B5" w:rsidRPr="008A7A35">
              <w:rPr>
                <w:rFonts w:ascii="Arial" w:hAnsi="Arial" w:cs="Arial"/>
                <w:sz w:val="16"/>
                <w:szCs w:val="16"/>
                <w:lang w:eastAsia="en-GB"/>
              </w:rPr>
              <w:t>E</w:t>
            </w:r>
            <w:r w:rsidR="006623D1" w:rsidRPr="008A7A35">
              <w:rPr>
                <w:rFonts w:ascii="Arial" w:hAnsi="Arial" w:cs="Arial"/>
                <w:sz w:val="16"/>
                <w:szCs w:val="16"/>
                <w:lang w:eastAsia="en-GB"/>
              </w:rPr>
              <w:t xml:space="preserve"> EV/</w:t>
            </w:r>
            <w:r w:rsidRPr="008A7A35">
              <w:rPr>
                <w:rFonts w:ascii="Arial" w:hAnsi="Arial" w:cs="Arial"/>
                <w:sz w:val="16"/>
                <w:szCs w:val="16"/>
                <w:lang w:eastAsia="en-GB"/>
              </w:rPr>
              <w:t xml:space="preserve"> </w:t>
            </w:r>
            <w:r w:rsidR="00B65919" w:rsidRPr="008A7A35">
              <w:rPr>
                <w:rFonts w:ascii="Arial" w:hAnsi="Arial" w:cs="Arial"/>
                <w:sz w:val="16"/>
                <w:szCs w:val="16"/>
                <w:lang w:eastAsia="en-GB"/>
              </w:rPr>
              <w:t xml:space="preserve">EBITDA </w:t>
            </w:r>
            <w:r w:rsidRPr="008A7A35">
              <w:rPr>
                <w:rFonts w:ascii="Arial" w:hAnsi="Arial" w:cs="Arial"/>
                <w:sz w:val="16"/>
                <w:szCs w:val="16"/>
                <w:lang w:eastAsia="en-GB"/>
              </w:rPr>
              <w:t>Multiple</w:t>
            </w:r>
          </w:p>
        </w:tc>
        <w:tc>
          <w:tcPr>
            <w:tcW w:w="381" w:type="pct"/>
            <w:noWrap/>
          </w:tcPr>
          <w:p w14:paraId="3C0ED6D7" w14:textId="375E6747" w:rsidR="001E2106" w:rsidRPr="008A7A35" w:rsidRDefault="006623D1" w:rsidP="00A55DDF">
            <w:pPr>
              <w:spacing w:line="256" w:lineRule="auto"/>
              <w:rPr>
                <w:rFonts w:ascii="Arial" w:hAnsi="Arial" w:cs="Arial"/>
                <w:sz w:val="16"/>
                <w:szCs w:val="16"/>
              </w:rPr>
            </w:pPr>
            <w:r w:rsidRPr="008A7A35">
              <w:rPr>
                <w:rFonts w:ascii="Arial" w:eastAsia="Calibri" w:hAnsi="Arial" w:cs="Arial"/>
                <w:sz w:val="16"/>
                <w:szCs w:val="16"/>
              </w:rPr>
              <w:t>1</w:t>
            </w:r>
            <w:r w:rsidR="00C831B5" w:rsidRPr="008A7A35">
              <w:rPr>
                <w:rFonts w:ascii="Arial" w:eastAsia="Calibri" w:hAnsi="Arial" w:cs="Arial"/>
                <w:sz w:val="16"/>
                <w:szCs w:val="16"/>
              </w:rPr>
              <w:t>1.0</w:t>
            </w:r>
            <w:r w:rsidR="001E2106" w:rsidRPr="008A7A35">
              <w:rPr>
                <w:rFonts w:ascii="Arial" w:eastAsia="Calibri" w:hAnsi="Arial" w:cs="Arial"/>
                <w:sz w:val="16"/>
                <w:szCs w:val="16"/>
              </w:rPr>
              <w:t>x</w:t>
            </w:r>
          </w:p>
        </w:tc>
        <w:tc>
          <w:tcPr>
            <w:tcW w:w="389" w:type="pct"/>
            <w:noWrap/>
          </w:tcPr>
          <w:p w14:paraId="2054D69E" w14:textId="3BACD05B" w:rsidR="001E2106" w:rsidRPr="008A7A35" w:rsidRDefault="00C831B5" w:rsidP="00A55DDF">
            <w:pPr>
              <w:spacing w:line="256" w:lineRule="auto"/>
              <w:rPr>
                <w:rFonts w:ascii="Arial" w:hAnsi="Arial" w:cs="Arial"/>
                <w:sz w:val="16"/>
                <w:szCs w:val="16"/>
              </w:rPr>
            </w:pPr>
            <w:r w:rsidRPr="008A7A35">
              <w:rPr>
                <w:rFonts w:ascii="Arial" w:eastAsia="Calibri" w:hAnsi="Arial" w:cs="Arial"/>
                <w:sz w:val="16"/>
                <w:szCs w:val="16"/>
              </w:rPr>
              <w:t>31.0</w:t>
            </w:r>
            <w:r w:rsidR="001E2106" w:rsidRPr="008A7A35">
              <w:rPr>
                <w:rFonts w:ascii="Arial" w:eastAsia="Calibri" w:hAnsi="Arial" w:cs="Arial"/>
                <w:sz w:val="16"/>
                <w:szCs w:val="16"/>
              </w:rPr>
              <w:t>x</w:t>
            </w:r>
          </w:p>
        </w:tc>
        <w:tc>
          <w:tcPr>
            <w:tcW w:w="449" w:type="pct"/>
            <w:noWrap/>
          </w:tcPr>
          <w:p w14:paraId="71BA1D13" w14:textId="6FC20A6C" w:rsidR="001E2106" w:rsidRPr="008A7A35" w:rsidRDefault="00C831B5" w:rsidP="00A55DDF">
            <w:pPr>
              <w:spacing w:line="256" w:lineRule="auto"/>
              <w:rPr>
                <w:rFonts w:ascii="Arial" w:hAnsi="Arial" w:cs="Arial"/>
                <w:sz w:val="16"/>
                <w:szCs w:val="16"/>
              </w:rPr>
            </w:pPr>
            <w:r w:rsidRPr="008A7A35">
              <w:rPr>
                <w:rFonts w:ascii="Arial" w:eastAsia="Calibri" w:hAnsi="Arial" w:cs="Arial"/>
                <w:sz w:val="16"/>
                <w:szCs w:val="16"/>
              </w:rPr>
              <w:t>29.6</w:t>
            </w:r>
            <w:r w:rsidR="006623D1" w:rsidRPr="008A7A35">
              <w:rPr>
                <w:rFonts w:ascii="Arial" w:eastAsia="Calibri" w:hAnsi="Arial" w:cs="Arial"/>
                <w:sz w:val="16"/>
                <w:szCs w:val="16"/>
              </w:rPr>
              <w:t>x</w:t>
            </w:r>
          </w:p>
        </w:tc>
        <w:tc>
          <w:tcPr>
            <w:tcW w:w="1027" w:type="pct"/>
            <w:shd w:val="clear" w:color="auto" w:fill="FFFFFF"/>
            <w:vAlign w:val="bottom"/>
          </w:tcPr>
          <w:p w14:paraId="0BFA4C27" w14:textId="3F3CD525" w:rsidR="001E2106" w:rsidRPr="008A7A35" w:rsidRDefault="001E2106" w:rsidP="002E692B">
            <w:pPr>
              <w:spacing w:line="256" w:lineRule="auto"/>
              <w:rPr>
                <w:rFonts w:ascii="Arial" w:hAnsi="Arial" w:cs="Arial"/>
                <w:sz w:val="16"/>
                <w:szCs w:val="16"/>
              </w:rPr>
            </w:pPr>
            <w:r w:rsidRPr="008A7A35">
              <w:rPr>
                <w:rFonts w:ascii="Arial" w:hAnsi="Arial" w:cs="Arial"/>
                <w:sz w:val="16"/>
                <w:szCs w:val="16"/>
              </w:rPr>
              <w:t>2</w:t>
            </w:r>
            <w:r w:rsidR="00C831B5" w:rsidRPr="008A7A35">
              <w:rPr>
                <w:rFonts w:ascii="Arial" w:hAnsi="Arial" w:cs="Arial"/>
                <w:sz w:val="16"/>
                <w:szCs w:val="16"/>
              </w:rPr>
              <w:t>5</w:t>
            </w:r>
            <w:r w:rsidRPr="008A7A35">
              <w:rPr>
                <w:rFonts w:ascii="Arial" w:hAnsi="Arial" w:cs="Arial"/>
                <w:sz w:val="16"/>
                <w:szCs w:val="16"/>
                <w:lang w:eastAsia="en-GB"/>
              </w:rPr>
              <w:t xml:space="preserve"> per cent. weighted average change in the input would result in </w:t>
            </w:r>
            <w:r w:rsidR="00C831B5" w:rsidRPr="008A7A35">
              <w:rPr>
                <w:rFonts w:ascii="Arial" w:hAnsi="Arial" w:cs="Arial"/>
                <w:sz w:val="16"/>
                <w:szCs w:val="16"/>
              </w:rPr>
              <w:t>2</w:t>
            </w:r>
            <w:r w:rsidRPr="008A7A35">
              <w:rPr>
                <w:rFonts w:ascii="Arial" w:hAnsi="Arial" w:cs="Arial"/>
                <w:sz w:val="16"/>
                <w:szCs w:val="16"/>
                <w:lang w:eastAsia="en-GB"/>
              </w:rPr>
              <w:t xml:space="preserve"> per cent. change in the total fair value of Level 3 investments</w:t>
            </w:r>
          </w:p>
        </w:tc>
        <w:tc>
          <w:tcPr>
            <w:tcW w:w="959" w:type="pct"/>
            <w:noWrap/>
          </w:tcPr>
          <w:p w14:paraId="1C483D86" w14:textId="1BC9B547" w:rsidR="001E2106" w:rsidRPr="008A7A35" w:rsidRDefault="00C831B5" w:rsidP="002E692B">
            <w:pPr>
              <w:spacing w:line="256" w:lineRule="auto"/>
              <w:jc w:val="right"/>
              <w:rPr>
                <w:rFonts w:ascii="Arial" w:hAnsi="Arial" w:cs="Arial"/>
                <w:sz w:val="16"/>
                <w:szCs w:val="16"/>
              </w:rPr>
            </w:pPr>
            <w:r w:rsidRPr="008A7A35">
              <w:rPr>
                <w:rFonts w:ascii="Arial" w:eastAsia="Calibri" w:hAnsi="Arial" w:cs="Arial"/>
                <w:sz w:val="16"/>
                <w:szCs w:val="16"/>
              </w:rPr>
              <w:t>23,156</w:t>
            </w:r>
          </w:p>
        </w:tc>
      </w:tr>
      <w:tr w:rsidR="001E2106" w:rsidRPr="008A7A35" w14:paraId="7665959D" w14:textId="77777777" w:rsidTr="00391CE4">
        <w:trPr>
          <w:trHeight w:val="347"/>
        </w:trPr>
        <w:tc>
          <w:tcPr>
            <w:tcW w:w="599" w:type="pct"/>
            <w:noWrap/>
            <w:vAlign w:val="bottom"/>
          </w:tcPr>
          <w:p w14:paraId="652C467F" w14:textId="77777777" w:rsidR="001E2106" w:rsidRPr="008A7A35" w:rsidRDefault="001E2106" w:rsidP="002E692B">
            <w:pPr>
              <w:spacing w:line="256" w:lineRule="auto"/>
              <w:rPr>
                <w:rFonts w:ascii="Arial" w:hAnsi="Arial" w:cs="Arial"/>
                <w:sz w:val="16"/>
                <w:szCs w:val="16"/>
                <w:lang w:eastAsia="en-GB"/>
              </w:rPr>
            </w:pPr>
          </w:p>
        </w:tc>
        <w:tc>
          <w:tcPr>
            <w:tcW w:w="619" w:type="pct"/>
            <w:noWrap/>
            <w:vAlign w:val="bottom"/>
          </w:tcPr>
          <w:p w14:paraId="6E996507" w14:textId="77777777" w:rsidR="001E2106" w:rsidRPr="008A7A35" w:rsidRDefault="001E2106" w:rsidP="002E692B">
            <w:pPr>
              <w:spacing w:line="256" w:lineRule="auto"/>
              <w:rPr>
                <w:rFonts w:ascii="Arial" w:hAnsi="Arial" w:cs="Arial"/>
                <w:sz w:val="16"/>
                <w:szCs w:val="16"/>
                <w:lang w:eastAsia="en-GB"/>
              </w:rPr>
            </w:pPr>
          </w:p>
        </w:tc>
        <w:tc>
          <w:tcPr>
            <w:tcW w:w="577" w:type="pct"/>
            <w:noWrap/>
          </w:tcPr>
          <w:p w14:paraId="0DC5B728" w14:textId="315EF686" w:rsidR="001E2106" w:rsidRPr="008A7A35" w:rsidRDefault="001E2106" w:rsidP="002E692B">
            <w:pPr>
              <w:spacing w:line="256" w:lineRule="auto"/>
              <w:jc w:val="right"/>
              <w:rPr>
                <w:rFonts w:ascii="Arial" w:hAnsi="Arial" w:cs="Arial"/>
                <w:sz w:val="16"/>
                <w:szCs w:val="16"/>
                <w:lang w:eastAsia="en-GB"/>
              </w:rPr>
            </w:pPr>
            <w:r w:rsidRPr="008A7A35">
              <w:rPr>
                <w:rFonts w:ascii="Arial" w:hAnsi="Arial" w:cs="Arial"/>
                <w:sz w:val="16"/>
                <w:szCs w:val="16"/>
                <w:lang w:eastAsia="en-GB"/>
              </w:rPr>
              <w:t>202</w:t>
            </w:r>
            <w:r w:rsidR="00B65919" w:rsidRPr="008A7A35">
              <w:rPr>
                <w:rFonts w:ascii="Arial" w:hAnsi="Arial" w:cs="Arial"/>
                <w:sz w:val="16"/>
                <w:szCs w:val="16"/>
                <w:lang w:eastAsia="en-GB"/>
              </w:rPr>
              <w:t>5</w:t>
            </w:r>
            <w:r w:rsidR="006623D1" w:rsidRPr="008A7A35">
              <w:rPr>
                <w:rFonts w:ascii="Arial" w:hAnsi="Arial" w:cs="Arial"/>
                <w:sz w:val="16"/>
                <w:szCs w:val="16"/>
                <w:lang w:eastAsia="en-GB"/>
              </w:rPr>
              <w:t xml:space="preserve"> EV/Revenue</w:t>
            </w:r>
            <w:r w:rsidRPr="008A7A35">
              <w:rPr>
                <w:rFonts w:ascii="Arial" w:hAnsi="Arial" w:cs="Arial"/>
                <w:sz w:val="16"/>
                <w:szCs w:val="16"/>
                <w:lang w:eastAsia="en-GB"/>
              </w:rPr>
              <w:t xml:space="preserve"> Multiple</w:t>
            </w:r>
          </w:p>
        </w:tc>
        <w:tc>
          <w:tcPr>
            <w:tcW w:w="381" w:type="pct"/>
            <w:noWrap/>
            <w:hideMark/>
          </w:tcPr>
          <w:p w14:paraId="75102583" w14:textId="2324396A" w:rsidR="001E2106" w:rsidRPr="008A7A35" w:rsidRDefault="006623D1" w:rsidP="00A55DDF">
            <w:pPr>
              <w:spacing w:line="256" w:lineRule="auto"/>
              <w:rPr>
                <w:rFonts w:ascii="Arial" w:hAnsi="Arial" w:cs="Arial"/>
                <w:sz w:val="16"/>
                <w:szCs w:val="16"/>
              </w:rPr>
            </w:pPr>
            <w:r w:rsidRPr="008A7A35">
              <w:rPr>
                <w:rFonts w:ascii="Arial" w:eastAsia="Calibri" w:hAnsi="Arial" w:cs="Arial"/>
                <w:sz w:val="16"/>
                <w:szCs w:val="16"/>
              </w:rPr>
              <w:t>1.</w:t>
            </w:r>
            <w:r w:rsidR="00C831B5" w:rsidRPr="008A7A35">
              <w:rPr>
                <w:rFonts w:ascii="Arial" w:eastAsia="Calibri" w:hAnsi="Arial" w:cs="Arial"/>
                <w:sz w:val="16"/>
                <w:szCs w:val="16"/>
              </w:rPr>
              <w:t>5</w:t>
            </w:r>
            <w:r w:rsidR="001E2106" w:rsidRPr="008A7A35">
              <w:rPr>
                <w:rFonts w:ascii="Arial" w:eastAsia="Calibri" w:hAnsi="Arial" w:cs="Arial"/>
                <w:sz w:val="16"/>
                <w:szCs w:val="16"/>
              </w:rPr>
              <w:t>x</w:t>
            </w:r>
          </w:p>
        </w:tc>
        <w:tc>
          <w:tcPr>
            <w:tcW w:w="389" w:type="pct"/>
            <w:noWrap/>
            <w:hideMark/>
          </w:tcPr>
          <w:p w14:paraId="077C0456" w14:textId="3FBB5CF7" w:rsidR="001E2106" w:rsidRPr="008A7A35" w:rsidRDefault="00C831B5" w:rsidP="00A55DDF">
            <w:pPr>
              <w:spacing w:line="256" w:lineRule="auto"/>
              <w:rPr>
                <w:rFonts w:ascii="Arial" w:hAnsi="Arial" w:cs="Arial"/>
                <w:sz w:val="16"/>
                <w:szCs w:val="16"/>
                <w:lang w:eastAsia="en-GB"/>
              </w:rPr>
            </w:pPr>
            <w:r w:rsidRPr="008A7A35">
              <w:rPr>
                <w:rFonts w:ascii="Arial" w:eastAsia="Calibri" w:hAnsi="Arial" w:cs="Arial"/>
                <w:sz w:val="16"/>
                <w:szCs w:val="16"/>
              </w:rPr>
              <w:t>9.6</w:t>
            </w:r>
            <w:r w:rsidR="001E2106" w:rsidRPr="008A7A35">
              <w:rPr>
                <w:rFonts w:ascii="Arial" w:eastAsia="Calibri" w:hAnsi="Arial" w:cs="Arial"/>
                <w:sz w:val="16"/>
                <w:szCs w:val="16"/>
              </w:rPr>
              <w:t>x</w:t>
            </w:r>
          </w:p>
        </w:tc>
        <w:tc>
          <w:tcPr>
            <w:tcW w:w="449" w:type="pct"/>
            <w:noWrap/>
            <w:hideMark/>
          </w:tcPr>
          <w:p w14:paraId="3BBF0087" w14:textId="11EA582F" w:rsidR="001E2106" w:rsidRPr="008A7A35" w:rsidRDefault="00C831B5" w:rsidP="00A55DDF">
            <w:pPr>
              <w:spacing w:line="256" w:lineRule="auto"/>
              <w:rPr>
                <w:rFonts w:ascii="Arial" w:hAnsi="Arial" w:cs="Arial"/>
                <w:sz w:val="16"/>
                <w:szCs w:val="16"/>
                <w:lang w:eastAsia="en-GB"/>
              </w:rPr>
            </w:pPr>
            <w:r w:rsidRPr="008A7A35">
              <w:rPr>
                <w:rFonts w:ascii="Arial" w:eastAsia="Calibri" w:hAnsi="Arial" w:cs="Arial"/>
                <w:sz w:val="16"/>
                <w:szCs w:val="16"/>
              </w:rPr>
              <w:t>7.1</w:t>
            </w:r>
            <w:r w:rsidR="001E2106" w:rsidRPr="008A7A35">
              <w:rPr>
                <w:rFonts w:ascii="Arial" w:eastAsia="Calibri" w:hAnsi="Arial" w:cs="Arial"/>
                <w:sz w:val="16"/>
                <w:szCs w:val="16"/>
              </w:rPr>
              <w:t>x</w:t>
            </w:r>
          </w:p>
        </w:tc>
        <w:tc>
          <w:tcPr>
            <w:tcW w:w="1027" w:type="pct"/>
            <w:shd w:val="clear" w:color="auto" w:fill="FFFFFF"/>
            <w:vAlign w:val="bottom"/>
            <w:hideMark/>
          </w:tcPr>
          <w:p w14:paraId="2984181B" w14:textId="1CA9C330" w:rsidR="001E2106" w:rsidRPr="008A7A35" w:rsidRDefault="00C831B5" w:rsidP="002E692B">
            <w:pPr>
              <w:spacing w:line="256" w:lineRule="auto"/>
              <w:rPr>
                <w:rFonts w:ascii="Arial" w:hAnsi="Arial" w:cs="Arial"/>
                <w:sz w:val="16"/>
                <w:szCs w:val="16"/>
                <w:lang w:eastAsia="en-GB"/>
              </w:rPr>
            </w:pPr>
            <w:r w:rsidRPr="008A7A35">
              <w:rPr>
                <w:rFonts w:ascii="Arial" w:hAnsi="Arial" w:cs="Arial"/>
                <w:sz w:val="16"/>
                <w:szCs w:val="16"/>
              </w:rPr>
              <w:t>2</w:t>
            </w:r>
            <w:r w:rsidR="001E2106" w:rsidRPr="008A7A35">
              <w:rPr>
                <w:rFonts w:ascii="Arial" w:hAnsi="Arial" w:cs="Arial"/>
                <w:sz w:val="16"/>
                <w:szCs w:val="16"/>
              </w:rPr>
              <w:t>0</w:t>
            </w:r>
            <w:r w:rsidR="001E2106" w:rsidRPr="008A7A35">
              <w:rPr>
                <w:rFonts w:ascii="Arial" w:hAnsi="Arial" w:cs="Arial"/>
                <w:sz w:val="16"/>
                <w:szCs w:val="16"/>
                <w:lang w:eastAsia="en-GB"/>
              </w:rPr>
              <w:t xml:space="preserve"> per cent. weighted average change in the input would result in </w:t>
            </w:r>
            <w:r w:rsidRPr="008A7A35">
              <w:rPr>
                <w:rFonts w:ascii="Arial" w:hAnsi="Arial" w:cs="Arial"/>
                <w:sz w:val="16"/>
                <w:szCs w:val="16"/>
              </w:rPr>
              <w:t>2</w:t>
            </w:r>
            <w:r w:rsidR="001E2106" w:rsidRPr="008A7A35">
              <w:rPr>
                <w:rFonts w:ascii="Arial" w:hAnsi="Arial" w:cs="Arial"/>
                <w:sz w:val="16"/>
                <w:szCs w:val="16"/>
                <w:lang w:eastAsia="en-GB"/>
              </w:rPr>
              <w:t xml:space="preserve"> per cent. change in the total fair value of Level 3 investments</w:t>
            </w:r>
          </w:p>
        </w:tc>
        <w:tc>
          <w:tcPr>
            <w:tcW w:w="959" w:type="pct"/>
            <w:noWrap/>
            <w:hideMark/>
          </w:tcPr>
          <w:p w14:paraId="4B9D8E36" w14:textId="37B1D2FE" w:rsidR="001E2106" w:rsidRPr="008A7A35" w:rsidRDefault="00C831B5" w:rsidP="002E692B">
            <w:pPr>
              <w:spacing w:line="256" w:lineRule="auto"/>
              <w:jc w:val="right"/>
              <w:rPr>
                <w:rFonts w:ascii="Arial" w:hAnsi="Arial" w:cs="Arial"/>
                <w:sz w:val="16"/>
                <w:szCs w:val="16"/>
              </w:rPr>
            </w:pPr>
            <w:r w:rsidRPr="008A7A35">
              <w:rPr>
                <w:rFonts w:ascii="Arial" w:eastAsia="Calibri" w:hAnsi="Arial" w:cs="Arial"/>
                <w:sz w:val="16"/>
                <w:szCs w:val="16"/>
              </w:rPr>
              <w:t>49,531</w:t>
            </w:r>
          </w:p>
        </w:tc>
      </w:tr>
      <w:tr w:rsidR="006623D1" w:rsidRPr="008A7A35" w14:paraId="682331A8" w14:textId="77777777" w:rsidTr="00391CE4">
        <w:trPr>
          <w:trHeight w:val="347"/>
        </w:trPr>
        <w:tc>
          <w:tcPr>
            <w:tcW w:w="599" w:type="pct"/>
            <w:noWrap/>
            <w:vAlign w:val="bottom"/>
          </w:tcPr>
          <w:p w14:paraId="229E2359" w14:textId="77777777" w:rsidR="006623D1" w:rsidRPr="008A7A35" w:rsidRDefault="006623D1" w:rsidP="002E692B">
            <w:pPr>
              <w:spacing w:line="256" w:lineRule="auto"/>
              <w:rPr>
                <w:rFonts w:ascii="Arial" w:hAnsi="Arial" w:cs="Arial"/>
                <w:sz w:val="16"/>
                <w:szCs w:val="16"/>
                <w:lang w:eastAsia="en-GB"/>
              </w:rPr>
            </w:pPr>
          </w:p>
        </w:tc>
        <w:tc>
          <w:tcPr>
            <w:tcW w:w="619" w:type="pct"/>
            <w:noWrap/>
            <w:vAlign w:val="bottom"/>
          </w:tcPr>
          <w:p w14:paraId="27BEC8D4" w14:textId="77777777" w:rsidR="006623D1" w:rsidRPr="008A7A35" w:rsidRDefault="006623D1" w:rsidP="002E692B">
            <w:pPr>
              <w:spacing w:line="256" w:lineRule="auto"/>
              <w:rPr>
                <w:rFonts w:ascii="Arial" w:hAnsi="Arial" w:cs="Arial"/>
                <w:sz w:val="16"/>
                <w:szCs w:val="16"/>
                <w:lang w:eastAsia="en-GB"/>
              </w:rPr>
            </w:pPr>
          </w:p>
        </w:tc>
        <w:tc>
          <w:tcPr>
            <w:tcW w:w="577" w:type="pct"/>
            <w:noWrap/>
          </w:tcPr>
          <w:p w14:paraId="5D2B2908" w14:textId="3BF829D9" w:rsidR="006623D1" w:rsidRPr="008A7A35" w:rsidRDefault="006623D1" w:rsidP="002E692B">
            <w:pPr>
              <w:spacing w:line="256" w:lineRule="auto"/>
              <w:jc w:val="right"/>
              <w:rPr>
                <w:rFonts w:ascii="Arial" w:hAnsi="Arial" w:cs="Arial"/>
                <w:sz w:val="16"/>
                <w:szCs w:val="16"/>
                <w:lang w:eastAsia="en-GB"/>
              </w:rPr>
            </w:pPr>
            <w:r w:rsidRPr="008A7A35">
              <w:rPr>
                <w:rFonts w:ascii="Arial" w:hAnsi="Arial" w:cs="Arial"/>
                <w:sz w:val="16"/>
                <w:szCs w:val="16"/>
                <w:lang w:eastAsia="en-GB"/>
              </w:rPr>
              <w:t>202</w:t>
            </w:r>
            <w:r w:rsidR="00B65919" w:rsidRPr="008A7A35">
              <w:rPr>
                <w:rFonts w:ascii="Arial" w:hAnsi="Arial" w:cs="Arial"/>
                <w:sz w:val="16"/>
                <w:szCs w:val="16"/>
                <w:lang w:eastAsia="en-GB"/>
              </w:rPr>
              <w:t>6</w:t>
            </w:r>
            <w:r w:rsidRPr="008A7A35">
              <w:rPr>
                <w:rFonts w:ascii="Arial" w:hAnsi="Arial" w:cs="Arial"/>
                <w:sz w:val="16"/>
                <w:szCs w:val="16"/>
                <w:lang w:eastAsia="en-GB"/>
              </w:rPr>
              <w:t>E EV/ Revenue Multiple</w:t>
            </w:r>
          </w:p>
        </w:tc>
        <w:tc>
          <w:tcPr>
            <w:tcW w:w="381" w:type="pct"/>
            <w:noWrap/>
          </w:tcPr>
          <w:p w14:paraId="5BD204B3" w14:textId="3A6A3FED" w:rsidR="006623D1" w:rsidRPr="008A7A35" w:rsidRDefault="006623D1" w:rsidP="00A55DDF">
            <w:pPr>
              <w:spacing w:line="256" w:lineRule="auto"/>
              <w:rPr>
                <w:rFonts w:ascii="Arial" w:eastAsia="Calibri" w:hAnsi="Arial" w:cs="Arial"/>
                <w:sz w:val="16"/>
                <w:szCs w:val="16"/>
              </w:rPr>
            </w:pPr>
            <w:r w:rsidRPr="008A7A35">
              <w:rPr>
                <w:rFonts w:ascii="Arial" w:eastAsia="Calibri" w:hAnsi="Arial" w:cs="Arial"/>
                <w:sz w:val="16"/>
                <w:szCs w:val="16"/>
              </w:rPr>
              <w:t>1.</w:t>
            </w:r>
            <w:r w:rsidR="00C831B5" w:rsidRPr="008A7A35">
              <w:rPr>
                <w:rFonts w:ascii="Arial" w:eastAsia="Calibri" w:hAnsi="Arial" w:cs="Arial"/>
                <w:sz w:val="16"/>
                <w:szCs w:val="16"/>
              </w:rPr>
              <w:t>3</w:t>
            </w:r>
            <w:r w:rsidRPr="008A7A35">
              <w:rPr>
                <w:rFonts w:ascii="Arial" w:eastAsia="Calibri" w:hAnsi="Arial" w:cs="Arial"/>
                <w:sz w:val="16"/>
                <w:szCs w:val="16"/>
              </w:rPr>
              <w:t>x</w:t>
            </w:r>
          </w:p>
        </w:tc>
        <w:tc>
          <w:tcPr>
            <w:tcW w:w="389" w:type="pct"/>
            <w:noWrap/>
          </w:tcPr>
          <w:p w14:paraId="230B3D57" w14:textId="192335A0" w:rsidR="006623D1" w:rsidRPr="008A7A35" w:rsidRDefault="00C831B5" w:rsidP="00A55DDF">
            <w:pPr>
              <w:spacing w:line="256" w:lineRule="auto"/>
              <w:rPr>
                <w:rFonts w:ascii="Arial" w:eastAsia="Calibri" w:hAnsi="Arial" w:cs="Arial"/>
                <w:sz w:val="16"/>
                <w:szCs w:val="16"/>
              </w:rPr>
            </w:pPr>
            <w:r w:rsidRPr="008A7A35">
              <w:rPr>
                <w:rFonts w:ascii="Arial" w:eastAsia="Calibri" w:hAnsi="Arial" w:cs="Arial"/>
                <w:sz w:val="16"/>
                <w:szCs w:val="16"/>
              </w:rPr>
              <w:t>5.7</w:t>
            </w:r>
            <w:r w:rsidR="006623D1" w:rsidRPr="008A7A35">
              <w:rPr>
                <w:rFonts w:ascii="Arial" w:eastAsia="Calibri" w:hAnsi="Arial" w:cs="Arial"/>
                <w:sz w:val="16"/>
                <w:szCs w:val="16"/>
              </w:rPr>
              <w:t>x</w:t>
            </w:r>
          </w:p>
        </w:tc>
        <w:tc>
          <w:tcPr>
            <w:tcW w:w="449" w:type="pct"/>
            <w:noWrap/>
          </w:tcPr>
          <w:p w14:paraId="013D052E" w14:textId="76CCFC62" w:rsidR="006623D1" w:rsidRPr="008A7A35" w:rsidRDefault="00C831B5" w:rsidP="00A55DDF">
            <w:pPr>
              <w:spacing w:line="256" w:lineRule="auto"/>
              <w:rPr>
                <w:rFonts w:ascii="Arial" w:eastAsia="Calibri" w:hAnsi="Arial" w:cs="Arial"/>
                <w:sz w:val="16"/>
                <w:szCs w:val="16"/>
              </w:rPr>
            </w:pPr>
            <w:r w:rsidRPr="008A7A35">
              <w:rPr>
                <w:rFonts w:ascii="Arial" w:eastAsia="Calibri" w:hAnsi="Arial" w:cs="Arial"/>
                <w:sz w:val="16"/>
                <w:szCs w:val="16"/>
              </w:rPr>
              <w:t>4.1</w:t>
            </w:r>
            <w:r w:rsidR="006623D1" w:rsidRPr="008A7A35">
              <w:rPr>
                <w:rFonts w:ascii="Arial" w:eastAsia="Calibri" w:hAnsi="Arial" w:cs="Arial"/>
                <w:sz w:val="16"/>
                <w:szCs w:val="16"/>
              </w:rPr>
              <w:t>x</w:t>
            </w:r>
          </w:p>
        </w:tc>
        <w:tc>
          <w:tcPr>
            <w:tcW w:w="1027" w:type="pct"/>
            <w:shd w:val="clear" w:color="auto" w:fill="FFFFFF"/>
            <w:vAlign w:val="bottom"/>
          </w:tcPr>
          <w:p w14:paraId="1CFC6FA2" w14:textId="3265B1D2" w:rsidR="006623D1" w:rsidRPr="008A7A35" w:rsidRDefault="00C831B5" w:rsidP="002E692B">
            <w:pPr>
              <w:spacing w:line="256" w:lineRule="auto"/>
              <w:rPr>
                <w:rFonts w:ascii="Arial" w:hAnsi="Arial" w:cs="Arial"/>
                <w:sz w:val="16"/>
                <w:szCs w:val="16"/>
              </w:rPr>
            </w:pPr>
            <w:r w:rsidRPr="008A7A35">
              <w:rPr>
                <w:rFonts w:ascii="Arial" w:hAnsi="Arial" w:cs="Arial"/>
                <w:sz w:val="16"/>
                <w:szCs w:val="16"/>
              </w:rPr>
              <w:t>2</w:t>
            </w:r>
            <w:r w:rsidR="003E4CB9" w:rsidRPr="008A7A35">
              <w:rPr>
                <w:rFonts w:ascii="Arial" w:hAnsi="Arial" w:cs="Arial"/>
                <w:sz w:val="16"/>
                <w:szCs w:val="16"/>
              </w:rPr>
              <w:t xml:space="preserve">0 </w:t>
            </w:r>
            <w:r w:rsidR="003E4CB9" w:rsidRPr="008A7A35">
              <w:rPr>
                <w:rFonts w:ascii="Arial" w:hAnsi="Arial" w:cs="Arial"/>
                <w:sz w:val="16"/>
                <w:szCs w:val="16"/>
                <w:lang w:eastAsia="en-GB"/>
              </w:rPr>
              <w:t xml:space="preserve">per cent. weighted average change in the input would result in </w:t>
            </w:r>
            <w:r w:rsidRPr="008A7A35">
              <w:rPr>
                <w:rFonts w:ascii="Arial" w:hAnsi="Arial" w:cs="Arial"/>
                <w:sz w:val="16"/>
                <w:szCs w:val="16"/>
                <w:lang w:eastAsia="en-GB"/>
              </w:rPr>
              <w:t>2</w:t>
            </w:r>
            <w:r w:rsidR="003E4CB9" w:rsidRPr="008A7A35">
              <w:rPr>
                <w:rFonts w:ascii="Arial" w:hAnsi="Arial" w:cs="Arial"/>
                <w:sz w:val="16"/>
                <w:szCs w:val="16"/>
                <w:lang w:eastAsia="en-GB"/>
              </w:rPr>
              <w:t xml:space="preserve"> per cent. change in the total fair value of Level 3 investments</w:t>
            </w:r>
          </w:p>
        </w:tc>
        <w:tc>
          <w:tcPr>
            <w:tcW w:w="959" w:type="pct"/>
            <w:noWrap/>
          </w:tcPr>
          <w:p w14:paraId="1B535CFE" w14:textId="026399AA" w:rsidR="006623D1" w:rsidRPr="008A7A35" w:rsidRDefault="00C831B5" w:rsidP="002E692B">
            <w:pPr>
              <w:spacing w:line="256" w:lineRule="auto"/>
              <w:jc w:val="right"/>
              <w:rPr>
                <w:rFonts w:ascii="Arial" w:eastAsia="Calibri" w:hAnsi="Arial" w:cs="Arial"/>
                <w:sz w:val="16"/>
                <w:szCs w:val="16"/>
              </w:rPr>
            </w:pPr>
            <w:r w:rsidRPr="008A7A35">
              <w:rPr>
                <w:rFonts w:ascii="Arial" w:eastAsia="Calibri" w:hAnsi="Arial" w:cs="Arial"/>
                <w:sz w:val="16"/>
                <w:szCs w:val="16"/>
              </w:rPr>
              <w:t>26,375</w:t>
            </w:r>
          </w:p>
        </w:tc>
      </w:tr>
      <w:tr w:rsidR="006623D1" w:rsidRPr="008A7A35" w14:paraId="0BF51AF1" w14:textId="77777777" w:rsidTr="00391CE4">
        <w:trPr>
          <w:trHeight w:val="347"/>
        </w:trPr>
        <w:tc>
          <w:tcPr>
            <w:tcW w:w="599" w:type="pct"/>
            <w:noWrap/>
            <w:vAlign w:val="bottom"/>
          </w:tcPr>
          <w:p w14:paraId="1A302F38" w14:textId="77777777" w:rsidR="006623D1" w:rsidRPr="008A7A35" w:rsidRDefault="006623D1" w:rsidP="002E692B">
            <w:pPr>
              <w:spacing w:line="256" w:lineRule="auto"/>
              <w:rPr>
                <w:rFonts w:ascii="Arial" w:hAnsi="Arial" w:cs="Arial"/>
                <w:sz w:val="16"/>
                <w:szCs w:val="16"/>
                <w:lang w:eastAsia="en-GB"/>
              </w:rPr>
            </w:pPr>
          </w:p>
        </w:tc>
        <w:tc>
          <w:tcPr>
            <w:tcW w:w="619" w:type="pct"/>
            <w:noWrap/>
            <w:vAlign w:val="bottom"/>
          </w:tcPr>
          <w:p w14:paraId="459024AD" w14:textId="77777777" w:rsidR="006623D1" w:rsidRPr="008A7A35" w:rsidRDefault="006623D1" w:rsidP="002E692B">
            <w:pPr>
              <w:spacing w:line="256" w:lineRule="auto"/>
              <w:rPr>
                <w:rFonts w:ascii="Arial" w:hAnsi="Arial" w:cs="Arial"/>
                <w:sz w:val="16"/>
                <w:szCs w:val="16"/>
                <w:lang w:eastAsia="en-GB"/>
              </w:rPr>
            </w:pPr>
          </w:p>
        </w:tc>
        <w:tc>
          <w:tcPr>
            <w:tcW w:w="577" w:type="pct"/>
            <w:noWrap/>
          </w:tcPr>
          <w:p w14:paraId="45DBD691" w14:textId="420AB01A" w:rsidR="006623D1" w:rsidRPr="008A7A35" w:rsidRDefault="006623D1" w:rsidP="002E692B">
            <w:pPr>
              <w:spacing w:line="256" w:lineRule="auto"/>
              <w:jc w:val="right"/>
              <w:rPr>
                <w:rFonts w:ascii="Arial" w:hAnsi="Arial" w:cs="Arial"/>
                <w:sz w:val="16"/>
                <w:szCs w:val="16"/>
                <w:lang w:eastAsia="en-GB"/>
              </w:rPr>
            </w:pPr>
            <w:r w:rsidRPr="008A7A35">
              <w:rPr>
                <w:rFonts w:ascii="Arial" w:hAnsi="Arial" w:cs="Arial"/>
                <w:sz w:val="16"/>
                <w:szCs w:val="16"/>
                <w:lang w:eastAsia="en-GB"/>
              </w:rPr>
              <w:t xml:space="preserve">2027E EV /EBITDA </w:t>
            </w:r>
            <w:proofErr w:type="gramStart"/>
            <w:r w:rsidRPr="008A7A35">
              <w:rPr>
                <w:rFonts w:ascii="Arial" w:hAnsi="Arial" w:cs="Arial"/>
                <w:sz w:val="16"/>
                <w:szCs w:val="16"/>
                <w:lang w:eastAsia="en-GB"/>
              </w:rPr>
              <w:t>Multiple</w:t>
            </w:r>
            <w:r w:rsidRPr="008A7A35">
              <w:rPr>
                <w:rFonts w:ascii="Arial" w:hAnsi="Arial" w:cs="Arial"/>
                <w:sz w:val="16"/>
                <w:szCs w:val="16"/>
                <w:vertAlign w:val="superscript"/>
                <w:lang w:eastAsia="en-GB"/>
              </w:rPr>
              <w:t>(</w:t>
            </w:r>
            <w:proofErr w:type="gramEnd"/>
            <w:r w:rsidR="00800E42" w:rsidRPr="008A7A35">
              <w:rPr>
                <w:rFonts w:ascii="Arial" w:hAnsi="Arial" w:cs="Arial"/>
                <w:sz w:val="16"/>
                <w:szCs w:val="16"/>
                <w:vertAlign w:val="superscript"/>
                <w:lang w:eastAsia="en-GB"/>
              </w:rPr>
              <w:t>4</w:t>
            </w:r>
            <w:r w:rsidRPr="008A7A35">
              <w:rPr>
                <w:rFonts w:ascii="Arial" w:hAnsi="Arial" w:cs="Arial"/>
                <w:sz w:val="16"/>
                <w:szCs w:val="16"/>
                <w:vertAlign w:val="superscript"/>
                <w:lang w:eastAsia="en-GB"/>
              </w:rPr>
              <w:t>)</w:t>
            </w:r>
            <w:r w:rsidRPr="008A7A35">
              <w:rPr>
                <w:rFonts w:ascii="Arial" w:hAnsi="Arial" w:cs="Arial"/>
                <w:sz w:val="16"/>
                <w:szCs w:val="16"/>
                <w:lang w:eastAsia="en-GB"/>
              </w:rPr>
              <w:t xml:space="preserve"> </w:t>
            </w:r>
          </w:p>
        </w:tc>
        <w:tc>
          <w:tcPr>
            <w:tcW w:w="381" w:type="pct"/>
            <w:noWrap/>
          </w:tcPr>
          <w:p w14:paraId="1DC34ABA" w14:textId="68EF866E" w:rsidR="006623D1" w:rsidRPr="008A7A35" w:rsidRDefault="006623D1" w:rsidP="00A55DDF">
            <w:pPr>
              <w:spacing w:line="256" w:lineRule="auto"/>
              <w:rPr>
                <w:rFonts w:ascii="Arial" w:eastAsia="Calibri" w:hAnsi="Arial" w:cs="Arial"/>
                <w:sz w:val="16"/>
                <w:szCs w:val="16"/>
              </w:rPr>
            </w:pPr>
            <w:r w:rsidRPr="008A7A35">
              <w:rPr>
                <w:rFonts w:ascii="Arial" w:eastAsia="Calibri" w:hAnsi="Arial" w:cs="Arial"/>
                <w:sz w:val="16"/>
                <w:szCs w:val="16"/>
              </w:rPr>
              <w:t>2.0x</w:t>
            </w:r>
          </w:p>
        </w:tc>
        <w:tc>
          <w:tcPr>
            <w:tcW w:w="389" w:type="pct"/>
            <w:noWrap/>
          </w:tcPr>
          <w:p w14:paraId="68167113" w14:textId="2F12A8C5" w:rsidR="006623D1" w:rsidRPr="008A7A35" w:rsidRDefault="00C831B5" w:rsidP="00A55DDF">
            <w:pPr>
              <w:spacing w:line="256" w:lineRule="auto"/>
              <w:rPr>
                <w:rFonts w:ascii="Arial" w:eastAsia="Calibri" w:hAnsi="Arial" w:cs="Arial"/>
                <w:sz w:val="16"/>
                <w:szCs w:val="16"/>
              </w:rPr>
            </w:pPr>
            <w:r w:rsidRPr="008A7A35">
              <w:rPr>
                <w:rFonts w:ascii="Arial" w:eastAsia="Calibri" w:hAnsi="Arial" w:cs="Arial"/>
                <w:sz w:val="16"/>
                <w:szCs w:val="16"/>
              </w:rPr>
              <w:t>4.0</w:t>
            </w:r>
            <w:r w:rsidR="006623D1" w:rsidRPr="008A7A35">
              <w:rPr>
                <w:rFonts w:ascii="Arial" w:eastAsia="Calibri" w:hAnsi="Arial" w:cs="Arial"/>
                <w:sz w:val="16"/>
                <w:szCs w:val="16"/>
              </w:rPr>
              <w:t>x</w:t>
            </w:r>
          </w:p>
        </w:tc>
        <w:tc>
          <w:tcPr>
            <w:tcW w:w="449" w:type="pct"/>
            <w:noWrap/>
          </w:tcPr>
          <w:p w14:paraId="3FFCC5E3" w14:textId="79E15771" w:rsidR="006623D1" w:rsidRPr="008A7A35" w:rsidRDefault="00C831B5" w:rsidP="00A55DDF">
            <w:pPr>
              <w:spacing w:line="256" w:lineRule="auto"/>
              <w:rPr>
                <w:rFonts w:ascii="Arial" w:eastAsia="Calibri" w:hAnsi="Arial" w:cs="Arial"/>
                <w:sz w:val="16"/>
                <w:szCs w:val="16"/>
              </w:rPr>
            </w:pPr>
            <w:r w:rsidRPr="008A7A35">
              <w:rPr>
                <w:rFonts w:ascii="Arial" w:eastAsia="Calibri" w:hAnsi="Arial" w:cs="Arial"/>
                <w:sz w:val="16"/>
                <w:szCs w:val="16"/>
              </w:rPr>
              <w:t>3.0</w:t>
            </w:r>
            <w:r w:rsidR="006623D1" w:rsidRPr="008A7A35">
              <w:rPr>
                <w:rFonts w:ascii="Arial" w:eastAsia="Calibri" w:hAnsi="Arial" w:cs="Arial"/>
                <w:sz w:val="16"/>
                <w:szCs w:val="16"/>
              </w:rPr>
              <w:t>x</w:t>
            </w:r>
          </w:p>
        </w:tc>
        <w:tc>
          <w:tcPr>
            <w:tcW w:w="1027" w:type="pct"/>
            <w:shd w:val="clear" w:color="auto" w:fill="FFFFFF"/>
            <w:vAlign w:val="bottom"/>
          </w:tcPr>
          <w:p w14:paraId="5F406317" w14:textId="54E48E00" w:rsidR="006623D1" w:rsidRPr="008A7A35" w:rsidRDefault="00C831B5" w:rsidP="002E692B">
            <w:pPr>
              <w:spacing w:line="256" w:lineRule="auto"/>
              <w:rPr>
                <w:rFonts w:ascii="Arial" w:hAnsi="Arial" w:cs="Arial"/>
                <w:sz w:val="16"/>
                <w:szCs w:val="16"/>
              </w:rPr>
            </w:pPr>
            <w:r w:rsidRPr="008A7A35">
              <w:rPr>
                <w:rFonts w:ascii="Arial" w:hAnsi="Arial" w:cs="Arial"/>
                <w:sz w:val="16"/>
                <w:szCs w:val="16"/>
              </w:rPr>
              <w:t>15</w:t>
            </w:r>
            <w:r w:rsidR="003E4CB9" w:rsidRPr="008A7A35">
              <w:rPr>
                <w:rFonts w:ascii="Arial" w:hAnsi="Arial" w:cs="Arial"/>
                <w:sz w:val="16"/>
                <w:szCs w:val="16"/>
              </w:rPr>
              <w:t xml:space="preserve"> </w:t>
            </w:r>
            <w:r w:rsidR="003E4CB9" w:rsidRPr="008A7A35">
              <w:rPr>
                <w:rFonts w:ascii="Arial" w:hAnsi="Arial" w:cs="Arial"/>
                <w:sz w:val="16"/>
                <w:szCs w:val="16"/>
                <w:lang w:eastAsia="en-GB"/>
              </w:rPr>
              <w:t>per cent. weighted average change in the input would result in 1 per cent. change in the total fair value of Level 3 investments</w:t>
            </w:r>
          </w:p>
        </w:tc>
        <w:tc>
          <w:tcPr>
            <w:tcW w:w="959" w:type="pct"/>
            <w:noWrap/>
          </w:tcPr>
          <w:p w14:paraId="44264A17" w14:textId="5F286AE4" w:rsidR="006623D1" w:rsidRPr="008A7A35" w:rsidRDefault="00A55DDF" w:rsidP="002E692B">
            <w:pPr>
              <w:spacing w:line="256" w:lineRule="auto"/>
              <w:jc w:val="right"/>
              <w:rPr>
                <w:rFonts w:ascii="Arial" w:eastAsia="Calibri" w:hAnsi="Arial" w:cs="Arial"/>
                <w:sz w:val="16"/>
                <w:szCs w:val="16"/>
              </w:rPr>
            </w:pPr>
            <w:r w:rsidRPr="008A7A35">
              <w:rPr>
                <w:rFonts w:ascii="Arial" w:eastAsia="Calibri" w:hAnsi="Arial" w:cs="Arial"/>
                <w:sz w:val="16"/>
                <w:szCs w:val="16"/>
              </w:rPr>
              <w:t>23,375</w:t>
            </w:r>
          </w:p>
        </w:tc>
      </w:tr>
      <w:tr w:rsidR="001E2106" w:rsidRPr="008A7A35" w14:paraId="75B30143" w14:textId="77777777" w:rsidTr="00391CE4">
        <w:trPr>
          <w:trHeight w:val="104"/>
        </w:trPr>
        <w:tc>
          <w:tcPr>
            <w:tcW w:w="599" w:type="pct"/>
            <w:tcBorders>
              <w:top w:val="single" w:sz="4" w:space="0" w:color="auto"/>
            </w:tcBorders>
            <w:noWrap/>
            <w:vAlign w:val="bottom"/>
            <w:hideMark/>
          </w:tcPr>
          <w:p w14:paraId="2FD824C7" w14:textId="05AA0365" w:rsidR="001E2106" w:rsidRPr="008A7A35" w:rsidRDefault="001E2106" w:rsidP="002E692B">
            <w:pPr>
              <w:spacing w:line="256" w:lineRule="auto"/>
              <w:rPr>
                <w:rFonts w:ascii="Arial" w:hAnsi="Arial" w:cs="Arial"/>
                <w:sz w:val="16"/>
                <w:szCs w:val="16"/>
                <w:lang w:eastAsia="en-GB"/>
              </w:rPr>
            </w:pPr>
            <w:r w:rsidRPr="008A7A35">
              <w:rPr>
                <w:rFonts w:ascii="Arial" w:hAnsi="Arial" w:cs="Arial"/>
                <w:sz w:val="16"/>
                <w:szCs w:val="16"/>
                <w:lang w:eastAsia="en-GB"/>
              </w:rPr>
              <w:t>$</w:t>
            </w:r>
            <w:r w:rsidR="00B65919" w:rsidRPr="008A7A35">
              <w:rPr>
                <w:rFonts w:ascii="Arial" w:hAnsi="Arial" w:cs="Arial"/>
                <w:sz w:val="16"/>
                <w:szCs w:val="16"/>
                <w:lang w:eastAsia="en-GB"/>
              </w:rPr>
              <w:t>46,57</w:t>
            </w:r>
            <w:r w:rsidR="000512A3">
              <w:rPr>
                <w:rFonts w:ascii="Arial" w:hAnsi="Arial" w:cs="Arial"/>
                <w:sz w:val="16"/>
                <w:szCs w:val="16"/>
                <w:lang w:eastAsia="en-GB"/>
              </w:rPr>
              <w:t>5</w:t>
            </w:r>
          </w:p>
        </w:tc>
        <w:tc>
          <w:tcPr>
            <w:tcW w:w="619" w:type="pct"/>
            <w:noWrap/>
            <w:vAlign w:val="bottom"/>
            <w:hideMark/>
          </w:tcPr>
          <w:p w14:paraId="1207A8AF" w14:textId="3D16717B" w:rsidR="001E2106" w:rsidRPr="008A7A35" w:rsidRDefault="001E2106" w:rsidP="002E692B">
            <w:pPr>
              <w:spacing w:line="256" w:lineRule="auto"/>
              <w:rPr>
                <w:rFonts w:ascii="Arial" w:hAnsi="Arial" w:cs="Arial"/>
                <w:sz w:val="16"/>
                <w:szCs w:val="16"/>
                <w:lang w:eastAsia="en-GB"/>
              </w:rPr>
            </w:pPr>
            <w:proofErr w:type="gramStart"/>
            <w:r w:rsidRPr="008A7A35">
              <w:rPr>
                <w:rFonts w:ascii="Arial" w:hAnsi="Arial" w:cs="Arial"/>
                <w:sz w:val="16"/>
                <w:szCs w:val="16"/>
                <w:lang w:eastAsia="en-GB"/>
              </w:rPr>
              <w:t>Other</w:t>
            </w:r>
            <w:r w:rsidRPr="008A7A35">
              <w:rPr>
                <w:rFonts w:ascii="Arial" w:hAnsi="Arial" w:cs="Arial"/>
                <w:sz w:val="16"/>
                <w:szCs w:val="16"/>
                <w:vertAlign w:val="superscript"/>
                <w:lang w:eastAsia="en-GB"/>
              </w:rPr>
              <w:t>(</w:t>
            </w:r>
            <w:proofErr w:type="gramEnd"/>
            <w:r w:rsidR="00B0774E" w:rsidRPr="008A7A35">
              <w:rPr>
                <w:rFonts w:ascii="Arial" w:hAnsi="Arial" w:cs="Arial"/>
                <w:sz w:val="16"/>
                <w:szCs w:val="16"/>
                <w:vertAlign w:val="superscript"/>
                <w:lang w:eastAsia="en-GB"/>
              </w:rPr>
              <w:t>5</w:t>
            </w:r>
            <w:r w:rsidRPr="008A7A35">
              <w:rPr>
                <w:rFonts w:ascii="Arial" w:hAnsi="Arial" w:cs="Arial"/>
                <w:sz w:val="16"/>
                <w:szCs w:val="16"/>
                <w:vertAlign w:val="superscript"/>
                <w:lang w:eastAsia="en-GB"/>
              </w:rPr>
              <w:t>)</w:t>
            </w:r>
          </w:p>
        </w:tc>
        <w:tc>
          <w:tcPr>
            <w:tcW w:w="577" w:type="pct"/>
            <w:noWrap/>
            <w:vAlign w:val="bottom"/>
            <w:hideMark/>
          </w:tcPr>
          <w:p w14:paraId="4ADEF281" w14:textId="77777777" w:rsidR="001E2106" w:rsidRPr="008A7A35" w:rsidRDefault="001E2106" w:rsidP="002E692B">
            <w:pPr>
              <w:rPr>
                <w:rFonts w:ascii="Arial" w:hAnsi="Arial" w:cs="Arial"/>
                <w:sz w:val="16"/>
                <w:szCs w:val="16"/>
                <w:lang w:eastAsia="en-GB"/>
              </w:rPr>
            </w:pPr>
          </w:p>
        </w:tc>
        <w:tc>
          <w:tcPr>
            <w:tcW w:w="381" w:type="pct"/>
            <w:noWrap/>
            <w:vAlign w:val="bottom"/>
            <w:hideMark/>
          </w:tcPr>
          <w:p w14:paraId="660A09CA" w14:textId="77777777" w:rsidR="001E2106" w:rsidRPr="008A7A35" w:rsidRDefault="001E2106" w:rsidP="002E692B">
            <w:pPr>
              <w:spacing w:line="256" w:lineRule="auto"/>
              <w:rPr>
                <w:rFonts w:ascii="Arial" w:eastAsia="MS Mincho" w:hAnsi="Arial" w:cs="Arial"/>
                <w:lang w:eastAsia="zh-CN"/>
              </w:rPr>
            </w:pPr>
          </w:p>
        </w:tc>
        <w:tc>
          <w:tcPr>
            <w:tcW w:w="389" w:type="pct"/>
            <w:noWrap/>
            <w:vAlign w:val="bottom"/>
            <w:hideMark/>
          </w:tcPr>
          <w:p w14:paraId="2A267CCD" w14:textId="77777777" w:rsidR="001E2106" w:rsidRPr="008A7A35" w:rsidRDefault="001E2106" w:rsidP="002E692B">
            <w:pPr>
              <w:spacing w:line="256" w:lineRule="auto"/>
              <w:rPr>
                <w:rFonts w:ascii="Arial" w:eastAsia="MS Mincho" w:hAnsi="Arial" w:cs="Arial"/>
                <w:lang w:eastAsia="zh-CN"/>
              </w:rPr>
            </w:pPr>
          </w:p>
        </w:tc>
        <w:tc>
          <w:tcPr>
            <w:tcW w:w="449" w:type="pct"/>
            <w:noWrap/>
            <w:vAlign w:val="bottom"/>
            <w:hideMark/>
          </w:tcPr>
          <w:p w14:paraId="218E85F6" w14:textId="77777777" w:rsidR="001E2106" w:rsidRPr="008A7A35" w:rsidRDefault="001E2106" w:rsidP="002E692B">
            <w:pPr>
              <w:spacing w:line="256" w:lineRule="auto"/>
              <w:rPr>
                <w:rFonts w:ascii="Arial" w:eastAsia="MS Mincho" w:hAnsi="Arial" w:cs="Arial"/>
                <w:lang w:eastAsia="zh-CN"/>
              </w:rPr>
            </w:pPr>
          </w:p>
        </w:tc>
        <w:tc>
          <w:tcPr>
            <w:tcW w:w="1027" w:type="pct"/>
            <w:noWrap/>
            <w:vAlign w:val="bottom"/>
            <w:hideMark/>
          </w:tcPr>
          <w:p w14:paraId="73B5FEC3" w14:textId="77777777" w:rsidR="001E2106" w:rsidRPr="008A7A35" w:rsidRDefault="001E2106" w:rsidP="002E692B">
            <w:pPr>
              <w:spacing w:line="256" w:lineRule="auto"/>
              <w:rPr>
                <w:rFonts w:ascii="Arial" w:eastAsia="MS Mincho" w:hAnsi="Arial" w:cs="Arial"/>
                <w:lang w:eastAsia="zh-CN"/>
              </w:rPr>
            </w:pPr>
          </w:p>
        </w:tc>
        <w:tc>
          <w:tcPr>
            <w:tcW w:w="959" w:type="pct"/>
            <w:noWrap/>
            <w:vAlign w:val="bottom"/>
            <w:hideMark/>
          </w:tcPr>
          <w:p w14:paraId="27FB7B39" w14:textId="77777777" w:rsidR="001E2106" w:rsidRPr="008A7A35" w:rsidRDefault="001E2106" w:rsidP="002E692B">
            <w:pPr>
              <w:spacing w:line="256" w:lineRule="auto"/>
              <w:jc w:val="right"/>
              <w:rPr>
                <w:rFonts w:ascii="Arial" w:eastAsia="MS Mincho" w:hAnsi="Arial" w:cs="Arial"/>
                <w:lang w:eastAsia="zh-CN"/>
              </w:rPr>
            </w:pPr>
          </w:p>
        </w:tc>
      </w:tr>
      <w:tr w:rsidR="001E2106" w:rsidRPr="008A7A35" w14:paraId="65BD3B9A" w14:textId="77777777" w:rsidTr="00391CE4">
        <w:trPr>
          <w:trHeight w:val="129"/>
        </w:trPr>
        <w:tc>
          <w:tcPr>
            <w:tcW w:w="599" w:type="pct"/>
            <w:tcBorders>
              <w:top w:val="single" w:sz="4" w:space="0" w:color="auto"/>
              <w:left w:val="nil"/>
              <w:right w:val="nil"/>
            </w:tcBorders>
            <w:noWrap/>
          </w:tcPr>
          <w:p w14:paraId="6C9CED47" w14:textId="6650F8DB" w:rsidR="001E2106" w:rsidRPr="008A7A35" w:rsidRDefault="001E2106" w:rsidP="002E692B">
            <w:pPr>
              <w:spacing w:line="256" w:lineRule="auto"/>
              <w:rPr>
                <w:rFonts w:ascii="Arial" w:hAnsi="Arial" w:cs="Arial"/>
                <w:sz w:val="16"/>
                <w:szCs w:val="16"/>
                <w:lang w:eastAsia="en-GB"/>
              </w:rPr>
            </w:pPr>
            <w:r w:rsidRPr="008A7A35">
              <w:rPr>
                <w:rFonts w:ascii="Arial" w:hAnsi="Arial" w:cs="Arial"/>
                <w:b/>
                <w:bCs/>
                <w:sz w:val="16"/>
                <w:szCs w:val="16"/>
                <w:lang w:eastAsia="en-GB"/>
              </w:rPr>
              <w:t>$</w:t>
            </w:r>
            <w:r w:rsidR="00B65919" w:rsidRPr="008A7A35">
              <w:rPr>
                <w:rFonts w:ascii="Arial" w:hAnsi="Arial" w:cs="Arial"/>
                <w:b/>
                <w:bCs/>
                <w:sz w:val="16"/>
                <w:szCs w:val="16"/>
                <w:lang w:eastAsia="en-GB"/>
              </w:rPr>
              <w:t>96,</w:t>
            </w:r>
            <w:r w:rsidR="002C026D">
              <w:rPr>
                <w:rFonts w:ascii="Arial" w:hAnsi="Arial" w:cs="Arial"/>
                <w:b/>
                <w:bCs/>
                <w:sz w:val="16"/>
                <w:szCs w:val="16"/>
                <w:lang w:eastAsia="en-GB"/>
              </w:rPr>
              <w:t>106</w:t>
            </w:r>
          </w:p>
        </w:tc>
        <w:tc>
          <w:tcPr>
            <w:tcW w:w="619" w:type="pct"/>
            <w:tcBorders>
              <w:top w:val="single" w:sz="4" w:space="0" w:color="auto"/>
              <w:left w:val="nil"/>
              <w:right w:val="nil"/>
            </w:tcBorders>
            <w:noWrap/>
            <w:vAlign w:val="bottom"/>
          </w:tcPr>
          <w:p w14:paraId="5B47C037" w14:textId="77777777" w:rsidR="001E2106" w:rsidRPr="008A7A35" w:rsidRDefault="001E2106" w:rsidP="002E692B">
            <w:pPr>
              <w:spacing w:line="256" w:lineRule="auto"/>
              <w:rPr>
                <w:rFonts w:ascii="Arial" w:hAnsi="Arial" w:cs="Arial"/>
                <w:sz w:val="16"/>
                <w:szCs w:val="16"/>
                <w:lang w:eastAsia="en-GB"/>
              </w:rPr>
            </w:pPr>
            <w:r w:rsidRPr="008A7A35">
              <w:rPr>
                <w:rFonts w:ascii="Arial" w:hAnsi="Arial" w:cs="Arial"/>
                <w:b/>
                <w:bCs/>
                <w:sz w:val="16"/>
                <w:szCs w:val="16"/>
                <w:lang w:eastAsia="en-GB"/>
              </w:rPr>
              <w:t>Total</w:t>
            </w:r>
          </w:p>
        </w:tc>
        <w:tc>
          <w:tcPr>
            <w:tcW w:w="577" w:type="pct"/>
            <w:tcBorders>
              <w:top w:val="single" w:sz="4" w:space="0" w:color="auto"/>
              <w:left w:val="nil"/>
              <w:right w:val="nil"/>
            </w:tcBorders>
            <w:noWrap/>
            <w:vAlign w:val="bottom"/>
          </w:tcPr>
          <w:p w14:paraId="6AA5EEE5" w14:textId="77777777" w:rsidR="001E2106" w:rsidRPr="008A7A35" w:rsidRDefault="001E2106" w:rsidP="002E692B">
            <w:pPr>
              <w:spacing w:line="256" w:lineRule="auto"/>
              <w:rPr>
                <w:rFonts w:ascii="Arial" w:hAnsi="Arial" w:cs="Arial"/>
                <w:sz w:val="16"/>
                <w:szCs w:val="16"/>
                <w:lang w:eastAsia="en-GB"/>
              </w:rPr>
            </w:pPr>
          </w:p>
        </w:tc>
        <w:tc>
          <w:tcPr>
            <w:tcW w:w="381" w:type="pct"/>
            <w:tcBorders>
              <w:top w:val="single" w:sz="4" w:space="0" w:color="auto"/>
              <w:left w:val="nil"/>
              <w:right w:val="nil"/>
            </w:tcBorders>
            <w:noWrap/>
            <w:vAlign w:val="bottom"/>
          </w:tcPr>
          <w:p w14:paraId="7ACABD20" w14:textId="77777777" w:rsidR="001E2106" w:rsidRPr="008A7A35" w:rsidRDefault="001E2106" w:rsidP="002E692B">
            <w:pPr>
              <w:spacing w:line="256" w:lineRule="auto"/>
              <w:rPr>
                <w:rFonts w:ascii="Arial" w:hAnsi="Arial" w:cs="Arial"/>
                <w:sz w:val="16"/>
                <w:szCs w:val="16"/>
                <w:lang w:eastAsia="en-GB"/>
              </w:rPr>
            </w:pPr>
          </w:p>
        </w:tc>
        <w:tc>
          <w:tcPr>
            <w:tcW w:w="389" w:type="pct"/>
            <w:tcBorders>
              <w:top w:val="single" w:sz="4" w:space="0" w:color="auto"/>
              <w:left w:val="nil"/>
              <w:right w:val="nil"/>
            </w:tcBorders>
            <w:noWrap/>
            <w:vAlign w:val="bottom"/>
          </w:tcPr>
          <w:p w14:paraId="4EC67115" w14:textId="77777777" w:rsidR="001E2106" w:rsidRPr="008A7A35" w:rsidRDefault="001E2106" w:rsidP="002E692B">
            <w:pPr>
              <w:spacing w:line="256" w:lineRule="auto"/>
              <w:rPr>
                <w:rFonts w:ascii="Arial" w:hAnsi="Arial" w:cs="Arial"/>
                <w:sz w:val="16"/>
                <w:szCs w:val="16"/>
                <w:lang w:eastAsia="en-GB"/>
              </w:rPr>
            </w:pPr>
          </w:p>
        </w:tc>
        <w:tc>
          <w:tcPr>
            <w:tcW w:w="449" w:type="pct"/>
            <w:tcBorders>
              <w:top w:val="single" w:sz="4" w:space="0" w:color="auto"/>
              <w:left w:val="nil"/>
              <w:right w:val="nil"/>
            </w:tcBorders>
            <w:noWrap/>
            <w:vAlign w:val="bottom"/>
          </w:tcPr>
          <w:p w14:paraId="2DED013B" w14:textId="77777777" w:rsidR="001E2106" w:rsidRPr="008A7A35" w:rsidRDefault="001E2106" w:rsidP="002E692B">
            <w:pPr>
              <w:spacing w:line="256" w:lineRule="auto"/>
              <w:rPr>
                <w:rFonts w:ascii="Arial" w:hAnsi="Arial" w:cs="Arial"/>
                <w:sz w:val="16"/>
                <w:szCs w:val="16"/>
                <w:lang w:eastAsia="en-GB"/>
              </w:rPr>
            </w:pPr>
          </w:p>
        </w:tc>
        <w:tc>
          <w:tcPr>
            <w:tcW w:w="1027" w:type="pct"/>
            <w:tcBorders>
              <w:top w:val="single" w:sz="4" w:space="0" w:color="auto"/>
              <w:left w:val="nil"/>
              <w:right w:val="nil"/>
            </w:tcBorders>
            <w:noWrap/>
            <w:vAlign w:val="bottom"/>
          </w:tcPr>
          <w:p w14:paraId="7854FCA9" w14:textId="77777777" w:rsidR="001E2106" w:rsidRPr="008A7A35" w:rsidRDefault="001E2106" w:rsidP="002E692B">
            <w:pPr>
              <w:spacing w:line="256" w:lineRule="auto"/>
              <w:rPr>
                <w:rFonts w:ascii="Arial" w:hAnsi="Arial" w:cs="Arial"/>
                <w:sz w:val="16"/>
                <w:szCs w:val="16"/>
                <w:lang w:eastAsia="en-GB"/>
              </w:rPr>
            </w:pPr>
          </w:p>
        </w:tc>
        <w:tc>
          <w:tcPr>
            <w:tcW w:w="959" w:type="pct"/>
            <w:tcBorders>
              <w:top w:val="single" w:sz="4" w:space="0" w:color="auto"/>
              <w:left w:val="nil"/>
              <w:right w:val="nil"/>
            </w:tcBorders>
            <w:noWrap/>
            <w:vAlign w:val="bottom"/>
          </w:tcPr>
          <w:p w14:paraId="6F6DE37E" w14:textId="77777777" w:rsidR="001E2106" w:rsidRPr="008A7A35" w:rsidRDefault="001E2106" w:rsidP="002E692B">
            <w:pPr>
              <w:spacing w:line="256" w:lineRule="auto"/>
              <w:rPr>
                <w:rFonts w:ascii="Arial" w:hAnsi="Arial" w:cs="Arial"/>
                <w:sz w:val="16"/>
                <w:szCs w:val="16"/>
                <w:lang w:eastAsia="en-GB"/>
              </w:rPr>
            </w:pPr>
          </w:p>
        </w:tc>
      </w:tr>
    </w:tbl>
    <w:p w14:paraId="47F9106E" w14:textId="77777777" w:rsidR="001E2106" w:rsidRDefault="001E2106" w:rsidP="006564C0">
      <w:pPr>
        <w:pStyle w:val="Bodytext"/>
      </w:pPr>
    </w:p>
    <w:p w14:paraId="3F8F92CA" w14:textId="77777777" w:rsidR="006564C0" w:rsidRPr="008A7A35" w:rsidRDefault="006564C0" w:rsidP="006564C0">
      <w:pPr>
        <w:pStyle w:val="Bodytext"/>
      </w:pPr>
    </w:p>
    <w:p w14:paraId="5EC69DE0" w14:textId="77777777" w:rsidR="009E76FB" w:rsidRPr="008A7A35" w:rsidRDefault="009E76FB" w:rsidP="00BB03B1">
      <w:pPr>
        <w:tabs>
          <w:tab w:val="left" w:pos="6903"/>
        </w:tabs>
        <w:jc w:val="both"/>
        <w:rPr>
          <w:rFonts w:ascii="Arial" w:eastAsia="Calibri" w:hAnsi="Arial" w:cs="Arial"/>
          <w:sz w:val="16"/>
          <w:szCs w:val="20"/>
          <w:vertAlign w:val="superscript"/>
        </w:rPr>
      </w:pPr>
    </w:p>
    <w:p w14:paraId="2F5BE576" w14:textId="77777777" w:rsidR="009E76FB" w:rsidRPr="008A7A35" w:rsidRDefault="009E76FB" w:rsidP="00BB03B1">
      <w:pPr>
        <w:tabs>
          <w:tab w:val="left" w:pos="6903"/>
        </w:tabs>
        <w:jc w:val="both"/>
        <w:rPr>
          <w:rFonts w:ascii="Arial" w:eastAsia="Calibri" w:hAnsi="Arial" w:cs="Arial"/>
          <w:sz w:val="16"/>
          <w:szCs w:val="20"/>
          <w:vertAlign w:val="superscript"/>
        </w:rPr>
      </w:pPr>
    </w:p>
    <w:p w14:paraId="38F8305E" w14:textId="7ECD91B6" w:rsidR="001E2106" w:rsidRPr="008A7A35" w:rsidRDefault="001E2106" w:rsidP="00BB03B1">
      <w:pPr>
        <w:tabs>
          <w:tab w:val="left" w:pos="6903"/>
        </w:tabs>
        <w:jc w:val="both"/>
        <w:rPr>
          <w:rFonts w:ascii="Arial" w:eastAsia="Calibri" w:hAnsi="Arial" w:cs="Arial"/>
          <w:sz w:val="16"/>
          <w:szCs w:val="20"/>
        </w:rPr>
      </w:pPr>
      <w:r w:rsidRPr="008A7A35">
        <w:rPr>
          <w:rFonts w:ascii="Arial" w:eastAsia="Calibri" w:hAnsi="Arial" w:cs="Arial"/>
          <w:sz w:val="16"/>
          <w:szCs w:val="20"/>
          <w:vertAlign w:val="superscript"/>
        </w:rPr>
        <w:t>(1)</w:t>
      </w:r>
      <w:r w:rsidRPr="008A7A35">
        <w:rPr>
          <w:rFonts w:ascii="Arial" w:eastAsia="Calibri" w:hAnsi="Arial" w:cs="Arial"/>
          <w:sz w:val="16"/>
          <w:szCs w:val="20"/>
        </w:rPr>
        <w:t xml:space="preserve"> Calculated based on fair values of the Partnership’s Level 3 investments.</w:t>
      </w:r>
    </w:p>
    <w:p w14:paraId="246448E9" w14:textId="7138AFE3" w:rsidR="001E2106" w:rsidRPr="008A7A35" w:rsidRDefault="001E2106" w:rsidP="00BB03B1">
      <w:pPr>
        <w:tabs>
          <w:tab w:val="left" w:pos="6903"/>
        </w:tabs>
        <w:jc w:val="both"/>
        <w:rPr>
          <w:rFonts w:ascii="Arial" w:eastAsia="Calibri" w:hAnsi="Arial" w:cs="Arial"/>
          <w:sz w:val="16"/>
          <w:szCs w:val="20"/>
        </w:rPr>
      </w:pPr>
      <w:r w:rsidRPr="008A7A35">
        <w:rPr>
          <w:rFonts w:ascii="Arial" w:eastAsia="Calibri" w:hAnsi="Arial" w:cs="Arial"/>
          <w:sz w:val="16"/>
          <w:szCs w:val="20"/>
          <w:vertAlign w:val="superscript"/>
        </w:rPr>
        <w:t>(2)</w:t>
      </w:r>
      <w:r w:rsidRPr="008A7A35">
        <w:rPr>
          <w:rFonts w:ascii="Arial" w:eastAsia="Calibri" w:hAnsi="Arial" w:cs="Arial"/>
          <w:sz w:val="16"/>
          <w:szCs w:val="20"/>
        </w:rPr>
        <w:t xml:space="preserve"> Based on its professional experience and recent market conditions, the Investment Manager has provided the Board with these weighted average change</w:t>
      </w:r>
      <w:r w:rsidR="00886836">
        <w:rPr>
          <w:rFonts w:ascii="Arial" w:eastAsia="Calibri" w:hAnsi="Arial" w:cs="Arial"/>
          <w:sz w:val="16"/>
          <w:szCs w:val="20"/>
        </w:rPr>
        <w:t>s</w:t>
      </w:r>
      <w:r w:rsidRPr="008A7A35">
        <w:rPr>
          <w:rFonts w:ascii="Arial" w:eastAsia="Calibri" w:hAnsi="Arial" w:cs="Arial"/>
          <w:sz w:val="16"/>
          <w:szCs w:val="20"/>
        </w:rPr>
        <w:t xml:space="preserve"> in the inputs with a forecasted </w:t>
      </w:r>
      <w:proofErr w:type="gramStart"/>
      <w:r w:rsidRPr="008A7A35">
        <w:rPr>
          <w:rFonts w:ascii="Arial" w:eastAsia="Calibri" w:hAnsi="Arial" w:cs="Arial"/>
          <w:sz w:val="16"/>
          <w:szCs w:val="20"/>
        </w:rPr>
        <w:t>time period</w:t>
      </w:r>
      <w:proofErr w:type="gramEnd"/>
      <w:r w:rsidRPr="008A7A35">
        <w:rPr>
          <w:rFonts w:ascii="Arial" w:eastAsia="Calibri" w:hAnsi="Arial" w:cs="Arial"/>
          <w:sz w:val="16"/>
          <w:szCs w:val="20"/>
        </w:rPr>
        <w:t xml:space="preserve"> of 6 to 12 months.</w:t>
      </w:r>
    </w:p>
    <w:p w14:paraId="658D4D31" w14:textId="24966537" w:rsidR="001E2106" w:rsidRPr="008A7A35" w:rsidRDefault="001E2106" w:rsidP="00BB03B1">
      <w:pPr>
        <w:tabs>
          <w:tab w:val="left" w:pos="6903"/>
        </w:tabs>
        <w:jc w:val="both"/>
        <w:rPr>
          <w:rFonts w:ascii="Arial" w:eastAsia="Calibri" w:hAnsi="Arial" w:cs="Arial"/>
          <w:sz w:val="16"/>
          <w:szCs w:val="20"/>
        </w:rPr>
      </w:pPr>
      <w:r w:rsidRPr="008A7A35">
        <w:rPr>
          <w:rFonts w:ascii="Arial" w:eastAsia="Calibri" w:hAnsi="Arial" w:cs="Arial"/>
          <w:sz w:val="16"/>
          <w:szCs w:val="20"/>
          <w:vertAlign w:val="superscript"/>
        </w:rPr>
        <w:t>(3)</w:t>
      </w:r>
      <w:r w:rsidRPr="008A7A35">
        <w:rPr>
          <w:rFonts w:ascii="Arial" w:eastAsia="Calibri" w:hAnsi="Arial" w:cs="Arial"/>
          <w:sz w:val="16"/>
          <w:szCs w:val="20"/>
        </w:rPr>
        <w:t xml:space="preserve"> </w:t>
      </w:r>
      <w:r w:rsidR="00613DBE" w:rsidRPr="008A7A35">
        <w:rPr>
          <w:rFonts w:ascii="Arial" w:eastAsia="Calibri" w:hAnsi="Arial" w:cs="Arial"/>
          <w:sz w:val="16"/>
          <w:szCs w:val="20"/>
        </w:rPr>
        <w:t>Some of t</w:t>
      </w:r>
      <w:r w:rsidRPr="008A7A35">
        <w:rPr>
          <w:rFonts w:ascii="Arial" w:eastAsia="Calibri" w:hAnsi="Arial" w:cs="Arial"/>
          <w:sz w:val="16"/>
          <w:szCs w:val="20"/>
        </w:rPr>
        <w:t>he Partnership’s Level 3 investments are valued using one or more of the techniques which utilise one or more of the unobservable inputs, so the amounts in the “Fair value of Level 3 investments” column will not aggregate to the total fair value of the Partnership’s Level 3 investments</w:t>
      </w:r>
      <w:r w:rsidR="00E560FC" w:rsidRPr="008A7A35">
        <w:rPr>
          <w:rFonts w:ascii="Arial" w:eastAsia="Calibri" w:hAnsi="Arial" w:cs="Arial"/>
          <w:sz w:val="16"/>
          <w:szCs w:val="20"/>
        </w:rPr>
        <w:t xml:space="preserve"> as they have not been adjusted to reflect the specific weighting applied to each method at the year end.</w:t>
      </w:r>
    </w:p>
    <w:p w14:paraId="78D74516" w14:textId="2FF859E5" w:rsidR="001E2106" w:rsidRPr="008A7A35" w:rsidRDefault="001E2106" w:rsidP="00BB03B1">
      <w:pPr>
        <w:tabs>
          <w:tab w:val="left" w:pos="6903"/>
        </w:tabs>
        <w:jc w:val="both"/>
        <w:rPr>
          <w:rFonts w:ascii="Arial" w:eastAsia="Calibri" w:hAnsi="Arial" w:cs="Arial"/>
          <w:sz w:val="16"/>
          <w:szCs w:val="20"/>
        </w:rPr>
      </w:pPr>
      <w:r w:rsidRPr="008A7A35">
        <w:rPr>
          <w:rFonts w:ascii="Arial" w:eastAsia="Calibri" w:hAnsi="Arial" w:cs="Arial"/>
          <w:sz w:val="16"/>
          <w:szCs w:val="20"/>
          <w:vertAlign w:val="superscript"/>
        </w:rPr>
        <w:lastRenderedPageBreak/>
        <w:t>(</w:t>
      </w:r>
      <w:r w:rsidR="0014004E" w:rsidRPr="008A7A35">
        <w:rPr>
          <w:rFonts w:ascii="Arial" w:eastAsia="Calibri" w:hAnsi="Arial" w:cs="Arial"/>
          <w:sz w:val="16"/>
          <w:szCs w:val="20"/>
          <w:vertAlign w:val="superscript"/>
        </w:rPr>
        <w:t>4</w:t>
      </w:r>
      <w:r w:rsidRPr="008A7A35">
        <w:rPr>
          <w:rFonts w:ascii="Arial" w:eastAsia="Calibri" w:hAnsi="Arial" w:cs="Arial"/>
          <w:sz w:val="16"/>
          <w:szCs w:val="20"/>
          <w:vertAlign w:val="superscript"/>
        </w:rPr>
        <w:t xml:space="preserve">) </w:t>
      </w:r>
      <w:r w:rsidRPr="008A7A35">
        <w:rPr>
          <w:rFonts w:ascii="Arial" w:eastAsia="Calibri" w:hAnsi="Arial" w:cs="Arial"/>
          <w:sz w:val="16"/>
          <w:szCs w:val="20"/>
        </w:rPr>
        <w:t xml:space="preserve">As </w:t>
      </w:r>
      <w:proofErr w:type="gramStart"/>
      <w:r w:rsidRPr="008A7A35">
        <w:rPr>
          <w:rFonts w:ascii="Arial" w:eastAsia="Calibri" w:hAnsi="Arial" w:cs="Arial"/>
          <w:sz w:val="16"/>
          <w:szCs w:val="20"/>
        </w:rPr>
        <w:t>at</w:t>
      </w:r>
      <w:proofErr w:type="gramEnd"/>
      <w:r w:rsidRPr="008A7A35">
        <w:rPr>
          <w:rFonts w:ascii="Arial" w:eastAsia="Calibri" w:hAnsi="Arial" w:cs="Arial"/>
          <w:sz w:val="16"/>
          <w:szCs w:val="20"/>
        </w:rPr>
        <w:t xml:space="preserve"> 31 December 202</w:t>
      </w:r>
      <w:r w:rsidR="00A55DDF" w:rsidRPr="008A7A35">
        <w:rPr>
          <w:rFonts w:ascii="Arial" w:eastAsia="Calibri" w:hAnsi="Arial" w:cs="Arial"/>
          <w:sz w:val="16"/>
          <w:szCs w:val="20"/>
        </w:rPr>
        <w:t>4</w:t>
      </w:r>
      <w:r w:rsidRPr="008A7A35">
        <w:rPr>
          <w:rFonts w:ascii="Arial" w:eastAsia="Calibri" w:hAnsi="Arial" w:cs="Arial"/>
          <w:sz w:val="16"/>
          <w:szCs w:val="20"/>
        </w:rPr>
        <w:t xml:space="preserve">, the sensitivity of this unobservable input to the total fair value of Level 3 investments was determined to be significant by applying the same methodology that determined it not to be significant as </w:t>
      </w:r>
      <w:proofErr w:type="gramStart"/>
      <w:r w:rsidRPr="008A7A35">
        <w:rPr>
          <w:rFonts w:ascii="Arial" w:eastAsia="Calibri" w:hAnsi="Arial" w:cs="Arial"/>
          <w:sz w:val="16"/>
          <w:szCs w:val="20"/>
        </w:rPr>
        <w:t>at</w:t>
      </w:r>
      <w:proofErr w:type="gramEnd"/>
      <w:r w:rsidRPr="008A7A35">
        <w:rPr>
          <w:rFonts w:ascii="Arial" w:eastAsia="Calibri" w:hAnsi="Arial" w:cs="Arial"/>
          <w:sz w:val="16"/>
          <w:szCs w:val="20"/>
        </w:rPr>
        <w:t xml:space="preserve"> 31 December 20</w:t>
      </w:r>
      <w:r w:rsidR="00A55DDF" w:rsidRPr="008A7A35">
        <w:rPr>
          <w:rFonts w:ascii="Arial" w:eastAsia="Calibri" w:hAnsi="Arial" w:cs="Arial"/>
          <w:sz w:val="16"/>
          <w:szCs w:val="20"/>
        </w:rPr>
        <w:t>23</w:t>
      </w:r>
      <w:r w:rsidRPr="008A7A35">
        <w:rPr>
          <w:rFonts w:ascii="Arial" w:eastAsia="Calibri" w:hAnsi="Arial" w:cs="Arial"/>
          <w:sz w:val="16"/>
          <w:szCs w:val="20"/>
        </w:rPr>
        <w:t>.</w:t>
      </w:r>
    </w:p>
    <w:p w14:paraId="464EB18E" w14:textId="0FFD5513" w:rsidR="00A55DDF" w:rsidRPr="008A7A35" w:rsidRDefault="001E2106" w:rsidP="00C615DD">
      <w:pPr>
        <w:tabs>
          <w:tab w:val="left" w:pos="6903"/>
        </w:tabs>
        <w:jc w:val="both"/>
        <w:rPr>
          <w:rFonts w:ascii="Arial" w:hAnsi="Arial" w:cs="Arial"/>
        </w:rPr>
      </w:pPr>
      <w:r w:rsidRPr="008A7A35">
        <w:rPr>
          <w:rFonts w:ascii="Arial" w:eastAsia="Calibri" w:hAnsi="Arial" w:cs="Arial"/>
          <w:sz w:val="16"/>
          <w:szCs w:val="20"/>
          <w:vertAlign w:val="superscript"/>
        </w:rPr>
        <w:t>(</w:t>
      </w:r>
      <w:r w:rsidR="0014004E" w:rsidRPr="008A7A35">
        <w:rPr>
          <w:rFonts w:ascii="Arial" w:eastAsia="Calibri" w:hAnsi="Arial" w:cs="Arial"/>
          <w:sz w:val="16"/>
          <w:szCs w:val="20"/>
          <w:vertAlign w:val="superscript"/>
        </w:rPr>
        <w:t>5</w:t>
      </w:r>
      <w:r w:rsidRPr="008A7A35">
        <w:rPr>
          <w:rFonts w:ascii="Arial" w:eastAsia="Calibri" w:hAnsi="Arial" w:cs="Arial"/>
          <w:sz w:val="16"/>
          <w:szCs w:val="20"/>
          <w:vertAlign w:val="superscript"/>
        </w:rPr>
        <w:t>)</w:t>
      </w:r>
      <w:r w:rsidRPr="008A7A35">
        <w:rPr>
          <w:rFonts w:ascii="Arial" w:eastAsia="Calibri" w:hAnsi="Arial" w:cs="Arial"/>
          <w:sz w:val="16"/>
          <w:szCs w:val="20"/>
        </w:rPr>
        <w:t xml:space="preserve"> ‘Other’ include certain investments that are not subject to a sensitivity analysis because they are insensitive to the changes in inputs set out above as </w:t>
      </w:r>
      <w:proofErr w:type="gramStart"/>
      <w:r w:rsidRPr="008A7A35">
        <w:rPr>
          <w:rFonts w:ascii="Arial" w:eastAsia="Calibri" w:hAnsi="Arial" w:cs="Arial"/>
          <w:sz w:val="16"/>
          <w:szCs w:val="20"/>
        </w:rPr>
        <w:t>at</w:t>
      </w:r>
      <w:proofErr w:type="gramEnd"/>
      <w:r w:rsidRPr="008A7A35">
        <w:rPr>
          <w:rFonts w:ascii="Arial" w:eastAsia="Calibri" w:hAnsi="Arial" w:cs="Arial"/>
          <w:sz w:val="16"/>
          <w:szCs w:val="20"/>
        </w:rPr>
        <w:t xml:space="preserve"> 31 December 202</w:t>
      </w:r>
      <w:r w:rsidR="00A55DDF" w:rsidRPr="008A7A35">
        <w:rPr>
          <w:rFonts w:ascii="Arial" w:eastAsia="Calibri" w:hAnsi="Arial" w:cs="Arial"/>
          <w:sz w:val="16"/>
          <w:szCs w:val="20"/>
        </w:rPr>
        <w:t>4</w:t>
      </w:r>
      <w:r w:rsidRPr="008A7A35">
        <w:rPr>
          <w:rFonts w:ascii="Arial" w:eastAsia="Calibri" w:hAnsi="Arial" w:cs="Arial"/>
          <w:sz w:val="16"/>
          <w:szCs w:val="20"/>
        </w:rPr>
        <w:t>.</w:t>
      </w:r>
    </w:p>
    <w:p w14:paraId="36D832A8" w14:textId="77777777" w:rsidR="00D26880" w:rsidRPr="008A7A35" w:rsidRDefault="00D26880" w:rsidP="00B73E05">
      <w:pPr>
        <w:tabs>
          <w:tab w:val="left" w:pos="6903"/>
        </w:tabs>
        <w:ind w:left="567"/>
        <w:jc w:val="both"/>
        <w:rPr>
          <w:rFonts w:ascii="Arial" w:eastAsia="Calibri" w:hAnsi="Arial" w:cs="Arial"/>
          <w:sz w:val="16"/>
          <w:szCs w:val="20"/>
        </w:rPr>
      </w:pPr>
    </w:p>
    <w:p w14:paraId="175D5D76" w14:textId="77777777" w:rsidR="00CA69E1" w:rsidRPr="008A7A35" w:rsidRDefault="00CA69E1" w:rsidP="00C615DD">
      <w:pPr>
        <w:tabs>
          <w:tab w:val="left" w:pos="6903"/>
        </w:tabs>
        <w:jc w:val="both"/>
        <w:rPr>
          <w:rFonts w:ascii="Arial" w:hAnsi="Arial" w:cs="Arial"/>
        </w:rPr>
      </w:pPr>
    </w:p>
    <w:p w14:paraId="0A04D4D3" w14:textId="114EB618" w:rsidR="00E41A2E" w:rsidRPr="008A7A35" w:rsidRDefault="002D61AF">
      <w:pPr>
        <w:ind w:left="567" w:hanging="567"/>
        <w:outlineLvl w:val="1"/>
        <w:rPr>
          <w:rFonts w:ascii="Arial" w:hAnsi="Arial" w:cs="Arial"/>
          <w:b/>
          <w:sz w:val="28"/>
          <w:szCs w:val="28"/>
        </w:rPr>
      </w:pPr>
      <w:r w:rsidRPr="008A7A35">
        <w:rPr>
          <w:rFonts w:ascii="Arial" w:hAnsi="Arial" w:cs="Arial"/>
          <w:b/>
          <w:sz w:val="28"/>
          <w:szCs w:val="28"/>
        </w:rPr>
        <w:t>7</w:t>
      </w:r>
      <w:r w:rsidR="00E41A2E" w:rsidRPr="008A7A35">
        <w:rPr>
          <w:rFonts w:ascii="Arial" w:hAnsi="Arial" w:cs="Arial"/>
          <w:b/>
          <w:sz w:val="28"/>
          <w:szCs w:val="28"/>
        </w:rPr>
        <w:t>.</w:t>
      </w:r>
      <w:r w:rsidR="00E41A2E" w:rsidRPr="008A7A35">
        <w:rPr>
          <w:rFonts w:ascii="Arial" w:hAnsi="Arial" w:cs="Arial"/>
          <w:b/>
          <w:sz w:val="28"/>
          <w:szCs w:val="28"/>
        </w:rPr>
        <w:tab/>
        <w:t>Related party transactions</w:t>
      </w:r>
    </w:p>
    <w:p w14:paraId="7665675C" w14:textId="77777777" w:rsidR="00E41A2E" w:rsidRPr="008A7A35" w:rsidRDefault="00E41A2E" w:rsidP="00AF3A1E">
      <w:pPr>
        <w:ind w:left="567"/>
        <w:jc w:val="both"/>
        <w:rPr>
          <w:rFonts w:ascii="Arial" w:hAnsi="Arial" w:cs="Arial"/>
          <w:sz w:val="20"/>
          <w:szCs w:val="20"/>
        </w:rPr>
      </w:pPr>
      <w:r w:rsidRPr="008A7A35">
        <w:rPr>
          <w:rFonts w:ascii="Arial" w:hAnsi="Arial" w:cs="Arial"/>
          <w:sz w:val="20"/>
          <w:szCs w:val="20"/>
        </w:rPr>
        <w:t xml:space="preserve">Parties </w:t>
      </w:r>
      <w:proofErr w:type="gramStart"/>
      <w:r w:rsidRPr="008A7A35">
        <w:rPr>
          <w:rFonts w:ascii="Arial" w:hAnsi="Arial" w:cs="Arial"/>
          <w:sz w:val="20"/>
          <w:szCs w:val="20"/>
        </w:rPr>
        <w:t>are considered to be</w:t>
      </w:r>
      <w:proofErr w:type="gramEnd"/>
      <w:r w:rsidRPr="008A7A35">
        <w:rPr>
          <w:rFonts w:ascii="Arial" w:hAnsi="Arial" w:cs="Arial"/>
          <w:sz w:val="20"/>
          <w:szCs w:val="20"/>
        </w:rPr>
        <w:t xml:space="preserve"> related if one party </w:t>
      </w:r>
      <w:proofErr w:type="gramStart"/>
      <w:r w:rsidRPr="008A7A35">
        <w:rPr>
          <w:rFonts w:ascii="Arial" w:hAnsi="Arial" w:cs="Arial"/>
          <w:sz w:val="20"/>
          <w:szCs w:val="20"/>
        </w:rPr>
        <w:t>has the ability to</w:t>
      </w:r>
      <w:proofErr w:type="gramEnd"/>
      <w:r w:rsidRPr="008A7A35">
        <w:rPr>
          <w:rFonts w:ascii="Arial" w:hAnsi="Arial" w:cs="Arial"/>
          <w:sz w:val="20"/>
          <w:szCs w:val="20"/>
        </w:rPr>
        <w:t xml:space="preserve"> control the other party or exercise significant influence over the party in making financial or operational decisions.</w:t>
      </w:r>
    </w:p>
    <w:p w14:paraId="2B3B23EB" w14:textId="77777777" w:rsidR="00E41A2E" w:rsidRPr="008A7A35" w:rsidRDefault="00E41A2E" w:rsidP="00AF3A1E">
      <w:pPr>
        <w:tabs>
          <w:tab w:val="left" w:pos="6903"/>
        </w:tabs>
        <w:ind w:left="567"/>
        <w:jc w:val="both"/>
        <w:rPr>
          <w:rFonts w:ascii="Arial" w:hAnsi="Arial" w:cs="Arial"/>
        </w:rPr>
      </w:pPr>
    </w:p>
    <w:p w14:paraId="16DDACA4" w14:textId="77777777" w:rsidR="00E41A2E" w:rsidRPr="008A7A35" w:rsidRDefault="00E41A2E" w:rsidP="00AF3A1E">
      <w:pPr>
        <w:ind w:left="1134" w:hanging="567"/>
        <w:jc w:val="both"/>
        <w:outlineLvl w:val="2"/>
        <w:rPr>
          <w:rFonts w:ascii="Arial" w:hAnsi="Arial" w:cs="Arial"/>
          <w:sz w:val="26"/>
          <w:szCs w:val="26"/>
        </w:rPr>
      </w:pPr>
      <w:r w:rsidRPr="008A7A35">
        <w:rPr>
          <w:rFonts w:ascii="Arial" w:hAnsi="Arial" w:cs="Arial"/>
          <w:sz w:val="26"/>
          <w:szCs w:val="26"/>
        </w:rPr>
        <w:t>Directors</w:t>
      </w:r>
    </w:p>
    <w:p w14:paraId="5134C0E1" w14:textId="32EA83BF" w:rsidR="00E41A2E" w:rsidRPr="008A7A35" w:rsidRDefault="00E41A2E" w:rsidP="00AF3A1E">
      <w:pPr>
        <w:tabs>
          <w:tab w:val="left" w:pos="6903"/>
        </w:tabs>
        <w:ind w:left="567"/>
        <w:jc w:val="both"/>
        <w:rPr>
          <w:rFonts w:ascii="Arial" w:hAnsi="Arial" w:cs="Arial"/>
          <w:sz w:val="20"/>
          <w:szCs w:val="20"/>
        </w:rPr>
      </w:pPr>
      <w:r w:rsidRPr="008A7A35">
        <w:rPr>
          <w:rFonts w:ascii="Arial" w:hAnsi="Arial" w:cs="Arial"/>
          <w:sz w:val="20"/>
          <w:szCs w:val="20"/>
        </w:rPr>
        <w:t>The Company has</w:t>
      </w:r>
      <w:r w:rsidR="00EF22CF" w:rsidRPr="008A7A35">
        <w:rPr>
          <w:rFonts w:ascii="Arial" w:hAnsi="Arial" w:cs="Arial"/>
          <w:sz w:val="20"/>
          <w:szCs w:val="20"/>
        </w:rPr>
        <w:t xml:space="preserve"> </w:t>
      </w:r>
      <w:r w:rsidR="004F625E" w:rsidRPr="008A7A35">
        <w:rPr>
          <w:rFonts w:ascii="Arial" w:hAnsi="Arial" w:cs="Arial"/>
          <w:sz w:val="20"/>
          <w:szCs w:val="20"/>
        </w:rPr>
        <w:t xml:space="preserve">four </w:t>
      </w:r>
      <w:r w:rsidRPr="008A7A35">
        <w:rPr>
          <w:rFonts w:ascii="Arial" w:hAnsi="Arial" w:cs="Arial"/>
          <w:sz w:val="20"/>
          <w:szCs w:val="20"/>
        </w:rPr>
        <w:t>non-executive Directors (31 December 20</w:t>
      </w:r>
      <w:r w:rsidR="00D01B5F" w:rsidRPr="008A7A35">
        <w:rPr>
          <w:rFonts w:ascii="Arial" w:hAnsi="Arial" w:cs="Arial"/>
          <w:sz w:val="20"/>
          <w:szCs w:val="20"/>
        </w:rPr>
        <w:t>2</w:t>
      </w:r>
      <w:r w:rsidR="00A55DDF" w:rsidRPr="008A7A35">
        <w:rPr>
          <w:rFonts w:ascii="Arial" w:hAnsi="Arial" w:cs="Arial"/>
          <w:sz w:val="20"/>
          <w:szCs w:val="20"/>
        </w:rPr>
        <w:t>4</w:t>
      </w:r>
      <w:r w:rsidRPr="008A7A35">
        <w:rPr>
          <w:rFonts w:ascii="Arial" w:hAnsi="Arial" w:cs="Arial"/>
          <w:sz w:val="20"/>
          <w:szCs w:val="20"/>
        </w:rPr>
        <w:t xml:space="preserve">: </w:t>
      </w:r>
      <w:r w:rsidR="00A55DDF" w:rsidRPr="008A7A35">
        <w:rPr>
          <w:rFonts w:ascii="Arial" w:hAnsi="Arial" w:cs="Arial"/>
          <w:sz w:val="20"/>
          <w:szCs w:val="20"/>
        </w:rPr>
        <w:t>five</w:t>
      </w:r>
      <w:r w:rsidRPr="008A7A35">
        <w:rPr>
          <w:rFonts w:ascii="Arial" w:hAnsi="Arial" w:cs="Arial"/>
          <w:sz w:val="20"/>
          <w:szCs w:val="20"/>
        </w:rPr>
        <w:t>).</w:t>
      </w:r>
    </w:p>
    <w:p w14:paraId="6FD86581" w14:textId="77777777" w:rsidR="00E41A2E" w:rsidRPr="008A7A35" w:rsidRDefault="00E41A2E" w:rsidP="00AF3A1E">
      <w:pPr>
        <w:tabs>
          <w:tab w:val="left" w:pos="6903"/>
        </w:tabs>
        <w:ind w:left="567"/>
        <w:jc w:val="both"/>
        <w:rPr>
          <w:rFonts w:ascii="Arial" w:hAnsi="Arial" w:cs="Arial"/>
          <w:sz w:val="20"/>
          <w:szCs w:val="20"/>
        </w:rPr>
      </w:pPr>
    </w:p>
    <w:p w14:paraId="5BBB0A09" w14:textId="6D1265AD" w:rsidR="00E41A2E" w:rsidRPr="008A7A35" w:rsidRDefault="00E41A2E" w:rsidP="00AF3A1E">
      <w:pPr>
        <w:ind w:left="567"/>
        <w:jc w:val="both"/>
        <w:rPr>
          <w:rFonts w:ascii="Arial" w:hAnsi="Arial" w:cs="Arial"/>
          <w:sz w:val="20"/>
        </w:rPr>
      </w:pPr>
      <w:r w:rsidRPr="008A7A35">
        <w:rPr>
          <w:rFonts w:ascii="Arial" w:hAnsi="Arial" w:cs="Arial"/>
          <w:sz w:val="20"/>
        </w:rPr>
        <w:t xml:space="preserve">Directors’ fees and expenses </w:t>
      </w:r>
      <w:r w:rsidR="00BD690E" w:rsidRPr="008A7A35">
        <w:rPr>
          <w:rFonts w:ascii="Arial" w:hAnsi="Arial" w:cs="Arial"/>
          <w:sz w:val="20"/>
        </w:rPr>
        <w:t>for the period ended 30 June 20</w:t>
      </w:r>
      <w:r w:rsidR="00A55DDF" w:rsidRPr="008A7A35">
        <w:rPr>
          <w:rFonts w:ascii="Arial" w:hAnsi="Arial" w:cs="Arial"/>
          <w:sz w:val="20"/>
        </w:rPr>
        <w:t>25</w:t>
      </w:r>
      <w:r w:rsidRPr="008A7A35">
        <w:rPr>
          <w:rFonts w:ascii="Arial" w:hAnsi="Arial" w:cs="Arial"/>
          <w:sz w:val="20"/>
        </w:rPr>
        <w:t xml:space="preserve"> amounted to </w:t>
      </w:r>
      <w:r w:rsidR="00EC66AF" w:rsidRPr="008A7A35">
        <w:rPr>
          <w:rFonts w:ascii="Arial" w:hAnsi="Arial" w:cs="Arial"/>
          <w:sz w:val="20"/>
        </w:rPr>
        <w:t>$</w:t>
      </w:r>
      <w:r w:rsidR="009E2EB3" w:rsidRPr="008A7A35">
        <w:rPr>
          <w:rFonts w:ascii="Arial" w:hAnsi="Arial" w:cs="Arial"/>
          <w:sz w:val="20"/>
        </w:rPr>
        <w:t>315</w:t>
      </w:r>
      <w:r w:rsidR="00EC66AF" w:rsidRPr="008A7A35">
        <w:rPr>
          <w:rFonts w:ascii="Arial" w:hAnsi="Arial" w:cs="Arial"/>
          <w:sz w:val="20"/>
        </w:rPr>
        <w:t>,</w:t>
      </w:r>
      <w:r w:rsidR="009E2EB3" w:rsidRPr="008A7A35">
        <w:rPr>
          <w:rFonts w:ascii="Arial" w:hAnsi="Arial" w:cs="Arial"/>
          <w:sz w:val="20"/>
        </w:rPr>
        <w:t>965</w:t>
      </w:r>
      <w:r w:rsidR="00EC66AF" w:rsidRPr="008A7A35">
        <w:rPr>
          <w:rFonts w:ascii="Arial" w:hAnsi="Arial" w:cs="Arial"/>
          <w:sz w:val="20"/>
        </w:rPr>
        <w:t xml:space="preserve"> </w:t>
      </w:r>
      <w:r w:rsidRPr="008A7A35">
        <w:rPr>
          <w:rFonts w:ascii="Arial" w:hAnsi="Arial" w:cs="Arial"/>
          <w:sz w:val="20"/>
        </w:rPr>
        <w:t>(30 June 20</w:t>
      </w:r>
      <w:r w:rsidR="00D01B5F" w:rsidRPr="008A7A35">
        <w:rPr>
          <w:rFonts w:ascii="Arial" w:hAnsi="Arial" w:cs="Arial"/>
          <w:sz w:val="20"/>
        </w:rPr>
        <w:t>2</w:t>
      </w:r>
      <w:r w:rsidR="00A55DDF" w:rsidRPr="008A7A35">
        <w:rPr>
          <w:rFonts w:ascii="Arial" w:hAnsi="Arial" w:cs="Arial"/>
          <w:sz w:val="20"/>
        </w:rPr>
        <w:t>4</w:t>
      </w:r>
      <w:r w:rsidRPr="008A7A35">
        <w:rPr>
          <w:rFonts w:ascii="Arial" w:hAnsi="Arial" w:cs="Arial"/>
          <w:sz w:val="20"/>
        </w:rPr>
        <w:t>: $</w:t>
      </w:r>
      <w:r w:rsidR="00A55DDF" w:rsidRPr="008A7A35">
        <w:rPr>
          <w:rFonts w:ascii="Arial" w:hAnsi="Arial" w:cs="Arial"/>
          <w:sz w:val="20"/>
          <w:szCs w:val="20"/>
        </w:rPr>
        <w:t>351,741</w:t>
      </w:r>
      <w:r w:rsidRPr="008A7A35">
        <w:rPr>
          <w:rFonts w:ascii="Arial" w:hAnsi="Arial" w:cs="Arial"/>
          <w:sz w:val="20"/>
        </w:rPr>
        <w:t xml:space="preserve">), </w:t>
      </w:r>
      <w:r w:rsidR="00F71853" w:rsidRPr="008A7A35">
        <w:rPr>
          <w:rFonts w:ascii="Arial" w:hAnsi="Arial" w:cs="Arial"/>
          <w:sz w:val="20"/>
        </w:rPr>
        <w:t>$nil</w:t>
      </w:r>
      <w:r w:rsidR="004F625E" w:rsidRPr="008A7A35">
        <w:rPr>
          <w:rFonts w:ascii="Arial" w:hAnsi="Arial" w:cs="Arial"/>
          <w:sz w:val="20"/>
        </w:rPr>
        <w:t xml:space="preserve"> </w:t>
      </w:r>
      <w:r w:rsidRPr="008A7A35">
        <w:rPr>
          <w:rFonts w:ascii="Arial" w:hAnsi="Arial" w:cs="Arial"/>
          <w:sz w:val="20"/>
          <w:szCs w:val="20"/>
        </w:rPr>
        <w:t>of</w:t>
      </w:r>
      <w:r w:rsidRPr="008A7A35">
        <w:rPr>
          <w:rFonts w:ascii="Arial" w:hAnsi="Arial" w:cs="Arial"/>
          <w:sz w:val="20"/>
        </w:rPr>
        <w:t xml:space="preserve"> which was outstanding at period end (31 December 20</w:t>
      </w:r>
      <w:r w:rsidR="00D01B5F" w:rsidRPr="008A7A35">
        <w:rPr>
          <w:rFonts w:ascii="Arial" w:hAnsi="Arial" w:cs="Arial"/>
          <w:sz w:val="20"/>
        </w:rPr>
        <w:t>2</w:t>
      </w:r>
      <w:r w:rsidR="00A55DDF" w:rsidRPr="008A7A35">
        <w:rPr>
          <w:rFonts w:ascii="Arial" w:hAnsi="Arial" w:cs="Arial"/>
          <w:sz w:val="20"/>
        </w:rPr>
        <w:t>4</w:t>
      </w:r>
      <w:r w:rsidRPr="008A7A35">
        <w:rPr>
          <w:rFonts w:ascii="Arial" w:hAnsi="Arial" w:cs="Arial"/>
          <w:sz w:val="20"/>
        </w:rPr>
        <w:t xml:space="preserve">: </w:t>
      </w:r>
      <w:r w:rsidR="004E4D31" w:rsidRPr="008A7A35">
        <w:rPr>
          <w:rFonts w:ascii="Arial" w:hAnsi="Arial" w:cs="Arial"/>
          <w:sz w:val="20"/>
        </w:rPr>
        <w:t>$</w:t>
      </w:r>
      <w:r w:rsidR="00E560FC" w:rsidRPr="008A7A35">
        <w:rPr>
          <w:rFonts w:ascii="Arial" w:hAnsi="Arial" w:cs="Arial"/>
          <w:sz w:val="20"/>
        </w:rPr>
        <w:t>n</w:t>
      </w:r>
      <w:r w:rsidR="00F31F74" w:rsidRPr="008A7A35">
        <w:rPr>
          <w:rFonts w:ascii="Arial" w:hAnsi="Arial" w:cs="Arial"/>
          <w:sz w:val="20"/>
        </w:rPr>
        <w:t>il</w:t>
      </w:r>
      <w:r w:rsidRPr="008A7A35">
        <w:rPr>
          <w:rFonts w:ascii="Arial" w:hAnsi="Arial" w:cs="Arial"/>
          <w:sz w:val="20"/>
        </w:rPr>
        <w:t>).</w:t>
      </w:r>
    </w:p>
    <w:p w14:paraId="44B4BB41" w14:textId="77777777" w:rsidR="003819CB" w:rsidRPr="008A7A35" w:rsidRDefault="003819CB">
      <w:pPr>
        <w:ind w:left="567"/>
        <w:rPr>
          <w:rFonts w:ascii="Arial" w:hAnsi="Arial" w:cs="Arial"/>
          <w:sz w:val="20"/>
        </w:rPr>
      </w:pPr>
    </w:p>
    <w:p w14:paraId="1F69C96E" w14:textId="77777777" w:rsidR="00E41A2E" w:rsidRPr="008A7A35" w:rsidRDefault="00E41A2E">
      <w:pPr>
        <w:ind w:left="1134" w:hanging="567"/>
        <w:outlineLvl w:val="2"/>
        <w:rPr>
          <w:rFonts w:ascii="Arial" w:hAnsi="Arial" w:cs="Arial"/>
          <w:sz w:val="26"/>
          <w:szCs w:val="26"/>
        </w:rPr>
      </w:pPr>
      <w:r w:rsidRPr="008A7A35">
        <w:rPr>
          <w:rFonts w:ascii="Arial" w:hAnsi="Arial" w:cs="Arial"/>
          <w:sz w:val="26"/>
          <w:szCs w:val="26"/>
        </w:rPr>
        <w:t>Partnership</w:t>
      </w:r>
    </w:p>
    <w:p w14:paraId="15BFED12" w14:textId="2C8AEAC2" w:rsidR="00A03A0E" w:rsidRDefault="00E41A2E" w:rsidP="005956CB">
      <w:pPr>
        <w:ind w:left="567"/>
        <w:jc w:val="both"/>
        <w:rPr>
          <w:rFonts w:ascii="Arial" w:hAnsi="Arial" w:cs="Arial"/>
          <w:sz w:val="26"/>
          <w:szCs w:val="26"/>
        </w:rPr>
      </w:pPr>
      <w:r w:rsidRPr="008A7A35">
        <w:rPr>
          <w:rFonts w:ascii="Arial" w:hAnsi="Arial" w:cs="Arial"/>
          <w:sz w:val="20"/>
          <w:szCs w:val="20"/>
        </w:rPr>
        <w:t>In accordance with section 4.1(a) of the Partnership Agreement, the Company received distribution</w:t>
      </w:r>
      <w:r w:rsidR="00D23EE0" w:rsidRPr="008A7A35">
        <w:rPr>
          <w:rFonts w:ascii="Arial" w:hAnsi="Arial" w:cs="Arial"/>
          <w:sz w:val="20"/>
          <w:szCs w:val="20"/>
        </w:rPr>
        <w:t>s</w:t>
      </w:r>
      <w:r w:rsidRPr="008A7A35">
        <w:rPr>
          <w:rFonts w:ascii="Arial" w:hAnsi="Arial" w:cs="Arial"/>
          <w:sz w:val="20"/>
          <w:szCs w:val="20"/>
        </w:rPr>
        <w:t xml:space="preserve"> </w:t>
      </w:r>
      <w:r w:rsidR="003B4576" w:rsidRPr="008A7A35">
        <w:rPr>
          <w:rFonts w:ascii="Arial" w:hAnsi="Arial" w:cs="Arial"/>
          <w:sz w:val="20"/>
        </w:rPr>
        <w:t xml:space="preserve">in aggregate of </w:t>
      </w:r>
      <w:r w:rsidR="00527B7C" w:rsidRPr="008A7A35">
        <w:rPr>
          <w:rFonts w:ascii="Arial" w:hAnsi="Arial" w:cs="Arial"/>
          <w:sz w:val="20"/>
        </w:rPr>
        <w:t>$</w:t>
      </w:r>
      <w:r w:rsidR="009357D9" w:rsidRPr="008A7A35">
        <w:rPr>
          <w:rFonts w:ascii="Arial" w:hAnsi="Arial" w:cs="Arial"/>
          <w:sz w:val="20"/>
        </w:rPr>
        <w:t>6,583,356</w:t>
      </w:r>
      <w:r w:rsidR="003B4576" w:rsidRPr="008A7A35">
        <w:rPr>
          <w:rFonts w:ascii="Arial" w:hAnsi="Arial" w:cs="Arial"/>
          <w:sz w:val="20"/>
        </w:rPr>
        <w:t xml:space="preserve"> </w:t>
      </w:r>
      <w:r w:rsidR="00BD690E" w:rsidRPr="008A7A35">
        <w:rPr>
          <w:rFonts w:ascii="Arial" w:hAnsi="Arial" w:cs="Arial"/>
          <w:sz w:val="20"/>
        </w:rPr>
        <w:t>(30 June 20</w:t>
      </w:r>
      <w:r w:rsidR="00D01B5F" w:rsidRPr="008A7A35">
        <w:rPr>
          <w:rFonts w:ascii="Arial" w:hAnsi="Arial" w:cs="Arial"/>
          <w:sz w:val="20"/>
        </w:rPr>
        <w:t>2</w:t>
      </w:r>
      <w:r w:rsidR="004F625E" w:rsidRPr="008A7A35">
        <w:rPr>
          <w:rFonts w:ascii="Arial" w:hAnsi="Arial" w:cs="Arial"/>
          <w:sz w:val="20"/>
        </w:rPr>
        <w:t>4</w:t>
      </w:r>
      <w:r w:rsidR="00E65824" w:rsidRPr="008A7A35">
        <w:rPr>
          <w:rFonts w:ascii="Arial" w:hAnsi="Arial" w:cs="Arial"/>
          <w:sz w:val="20"/>
        </w:rPr>
        <w:t>: $</w:t>
      </w:r>
      <w:r w:rsidR="004F625E" w:rsidRPr="008A7A35">
        <w:rPr>
          <w:rFonts w:ascii="Arial" w:hAnsi="Arial" w:cs="Arial"/>
          <w:sz w:val="20"/>
          <w:szCs w:val="20"/>
        </w:rPr>
        <w:t>198,566,379</w:t>
      </w:r>
      <w:r w:rsidR="00E65824" w:rsidRPr="008A7A35">
        <w:rPr>
          <w:rFonts w:ascii="Arial" w:hAnsi="Arial" w:cs="Arial"/>
          <w:sz w:val="20"/>
        </w:rPr>
        <w:t xml:space="preserve">) </w:t>
      </w:r>
      <w:r w:rsidR="003B4576" w:rsidRPr="008A7A35">
        <w:rPr>
          <w:rFonts w:ascii="Arial" w:hAnsi="Arial" w:cs="Arial"/>
          <w:sz w:val="20"/>
        </w:rPr>
        <w:t xml:space="preserve">from the Partnership through </w:t>
      </w:r>
      <w:r w:rsidR="003A3F6E" w:rsidRPr="008A7A35">
        <w:rPr>
          <w:rFonts w:ascii="Arial" w:hAnsi="Arial" w:cs="Arial"/>
          <w:sz w:val="20"/>
        </w:rPr>
        <w:t xml:space="preserve">the </w:t>
      </w:r>
      <w:proofErr w:type="gramStart"/>
      <w:r w:rsidR="004B0025">
        <w:rPr>
          <w:rFonts w:ascii="Arial" w:hAnsi="Arial" w:cs="Arial"/>
          <w:sz w:val="20"/>
        </w:rPr>
        <w:t xml:space="preserve">six </w:t>
      </w:r>
      <w:r w:rsidR="003A3F6E" w:rsidRPr="008A7A35">
        <w:rPr>
          <w:rFonts w:ascii="Arial" w:hAnsi="Arial" w:cs="Arial"/>
          <w:sz w:val="20"/>
        </w:rPr>
        <w:t>month</w:t>
      </w:r>
      <w:proofErr w:type="gramEnd"/>
      <w:r w:rsidR="003A3F6E" w:rsidRPr="008A7A35">
        <w:rPr>
          <w:rFonts w:ascii="Arial" w:hAnsi="Arial" w:cs="Arial"/>
          <w:sz w:val="20"/>
        </w:rPr>
        <w:t xml:space="preserve"> period to 30 June 202</w:t>
      </w:r>
      <w:r w:rsidR="004F625E" w:rsidRPr="008A7A35">
        <w:rPr>
          <w:rFonts w:ascii="Arial" w:hAnsi="Arial" w:cs="Arial"/>
          <w:sz w:val="20"/>
        </w:rPr>
        <w:t>5</w:t>
      </w:r>
      <w:r w:rsidR="00686C52" w:rsidRPr="008A7A35">
        <w:rPr>
          <w:rFonts w:ascii="Arial" w:hAnsi="Arial" w:cs="Arial"/>
          <w:sz w:val="20"/>
        </w:rPr>
        <w:t>.</w:t>
      </w:r>
      <w:r w:rsidR="003B4576" w:rsidRPr="008A7A35">
        <w:rPr>
          <w:rFonts w:ascii="Arial" w:hAnsi="Arial" w:cs="Arial"/>
          <w:sz w:val="20"/>
          <w:szCs w:val="20"/>
        </w:rPr>
        <w:t xml:space="preserve"> </w:t>
      </w:r>
      <w:r w:rsidR="0069040D" w:rsidRPr="008A7A35">
        <w:rPr>
          <w:rFonts w:ascii="Arial" w:hAnsi="Arial" w:cs="Arial"/>
          <w:sz w:val="20"/>
          <w:szCs w:val="20"/>
        </w:rPr>
        <w:t xml:space="preserve">In accordance with section 4.1(a) of the Partnership Agreement, in the event of the Company requiring additional funds for working capital, it is entitled to receive </w:t>
      </w:r>
      <w:r w:rsidR="000250B8" w:rsidRPr="008A7A35">
        <w:rPr>
          <w:rFonts w:ascii="Arial" w:hAnsi="Arial" w:cs="Arial"/>
          <w:sz w:val="20"/>
          <w:szCs w:val="20"/>
        </w:rPr>
        <w:t xml:space="preserve">such </w:t>
      </w:r>
      <w:r w:rsidR="0069040D" w:rsidRPr="008A7A35">
        <w:rPr>
          <w:rFonts w:ascii="Arial" w:hAnsi="Arial" w:cs="Arial"/>
          <w:sz w:val="20"/>
          <w:szCs w:val="20"/>
        </w:rPr>
        <w:t>distribution</w:t>
      </w:r>
      <w:r w:rsidR="000250B8" w:rsidRPr="008A7A35">
        <w:rPr>
          <w:rFonts w:ascii="Arial" w:hAnsi="Arial" w:cs="Arial"/>
          <w:sz w:val="20"/>
          <w:szCs w:val="20"/>
        </w:rPr>
        <w:t>s</w:t>
      </w:r>
      <w:r w:rsidR="0069040D" w:rsidRPr="008A7A35">
        <w:rPr>
          <w:rFonts w:ascii="Arial" w:hAnsi="Arial" w:cs="Arial"/>
          <w:sz w:val="20"/>
          <w:szCs w:val="20"/>
        </w:rPr>
        <w:t xml:space="preserve"> from the Partnership.</w:t>
      </w:r>
      <w:r w:rsidR="004F625E" w:rsidRPr="008A7A35">
        <w:rPr>
          <w:rFonts w:ascii="Arial" w:hAnsi="Arial" w:cs="Arial"/>
          <w:sz w:val="20"/>
          <w:szCs w:val="20"/>
        </w:rPr>
        <w:t xml:space="preserve"> </w:t>
      </w:r>
    </w:p>
    <w:p w14:paraId="17D1D8F8" w14:textId="77777777" w:rsidR="00A03A0E" w:rsidRPr="008A7A35" w:rsidRDefault="00A03A0E" w:rsidP="005956CB">
      <w:pPr>
        <w:jc w:val="both"/>
        <w:rPr>
          <w:rFonts w:ascii="Arial" w:hAnsi="Arial" w:cs="Arial"/>
          <w:sz w:val="26"/>
          <w:szCs w:val="26"/>
        </w:rPr>
      </w:pPr>
    </w:p>
    <w:p w14:paraId="0FAEE8CA" w14:textId="75C4236E" w:rsidR="00E41A2E" w:rsidRPr="008A7A35" w:rsidRDefault="00E41A2E" w:rsidP="00AF3A1E">
      <w:pPr>
        <w:ind w:left="1134" w:hanging="567"/>
        <w:jc w:val="both"/>
        <w:outlineLvl w:val="2"/>
        <w:rPr>
          <w:rFonts w:ascii="Arial" w:hAnsi="Arial" w:cs="Arial"/>
          <w:sz w:val="26"/>
          <w:szCs w:val="26"/>
        </w:rPr>
      </w:pPr>
      <w:r w:rsidRPr="008A7A35">
        <w:rPr>
          <w:rFonts w:ascii="Arial" w:hAnsi="Arial" w:cs="Arial"/>
          <w:sz w:val="26"/>
          <w:szCs w:val="26"/>
        </w:rPr>
        <w:t>Investment Manager</w:t>
      </w:r>
    </w:p>
    <w:p w14:paraId="35D8F8A3" w14:textId="65683FE5" w:rsidR="00883EA4" w:rsidRPr="008A7A35" w:rsidRDefault="00883EA4" w:rsidP="00883EA4">
      <w:pPr>
        <w:ind w:left="567"/>
        <w:jc w:val="both"/>
        <w:rPr>
          <w:rFonts w:ascii="Arial" w:hAnsi="Arial" w:cs="Arial"/>
          <w:sz w:val="20"/>
          <w:szCs w:val="20"/>
        </w:rPr>
      </w:pPr>
      <w:r w:rsidRPr="008A7A35">
        <w:rPr>
          <w:rFonts w:ascii="Arial" w:hAnsi="Arial" w:cs="Arial"/>
          <w:sz w:val="20"/>
          <w:szCs w:val="20"/>
        </w:rPr>
        <w:t>For the provision of services under the Investment Management Agreement</w:t>
      </w:r>
      <w:r w:rsidR="004B0025">
        <w:rPr>
          <w:rFonts w:ascii="Arial" w:hAnsi="Arial" w:cs="Arial"/>
          <w:sz w:val="20"/>
          <w:szCs w:val="20"/>
        </w:rPr>
        <w:t xml:space="preserve"> (the “IMA”)</w:t>
      </w:r>
      <w:r w:rsidRPr="008A7A35">
        <w:rPr>
          <w:rFonts w:ascii="Arial" w:hAnsi="Arial" w:cs="Arial"/>
          <w:sz w:val="20"/>
          <w:szCs w:val="20"/>
        </w:rPr>
        <w:t xml:space="preserve">, </w:t>
      </w:r>
      <w:r w:rsidR="004B0025">
        <w:rPr>
          <w:rFonts w:ascii="Arial" w:hAnsi="Arial" w:cs="Arial"/>
          <w:sz w:val="20"/>
          <w:szCs w:val="20"/>
        </w:rPr>
        <w:t xml:space="preserve">as </w:t>
      </w:r>
      <w:proofErr w:type="gramStart"/>
      <w:r w:rsidR="004B0025">
        <w:rPr>
          <w:rFonts w:ascii="Arial" w:hAnsi="Arial" w:cs="Arial"/>
          <w:sz w:val="20"/>
          <w:szCs w:val="20"/>
        </w:rPr>
        <w:t>at</w:t>
      </w:r>
      <w:proofErr w:type="gramEnd"/>
      <w:r w:rsidR="004B0025">
        <w:rPr>
          <w:rFonts w:ascii="Arial" w:hAnsi="Arial" w:cs="Arial"/>
          <w:sz w:val="20"/>
          <w:szCs w:val="20"/>
        </w:rPr>
        <w:t xml:space="preserve"> 30 June 2025 and up to the conclusion of the EGM held on 22 August 2025, </w:t>
      </w:r>
      <w:r w:rsidRPr="008A7A35">
        <w:rPr>
          <w:rFonts w:ascii="Arial" w:hAnsi="Arial" w:cs="Arial"/>
          <w:sz w:val="20"/>
          <w:szCs w:val="20"/>
        </w:rPr>
        <w:t xml:space="preserve">the Investment Manager </w:t>
      </w:r>
      <w:r w:rsidR="004B0025">
        <w:rPr>
          <w:rFonts w:ascii="Arial" w:hAnsi="Arial" w:cs="Arial"/>
          <w:sz w:val="20"/>
          <w:szCs w:val="20"/>
        </w:rPr>
        <w:t>was</w:t>
      </w:r>
      <w:r w:rsidRPr="008A7A35">
        <w:rPr>
          <w:rFonts w:ascii="Arial" w:hAnsi="Arial" w:cs="Arial"/>
          <w:sz w:val="20"/>
          <w:szCs w:val="20"/>
        </w:rPr>
        <w:t xml:space="preserve"> paid in cash out of the assets of the Partnership an annual Management Fee equal to 1.5 per cent. per annum of the Company’s Net Asset Value (including cash). The fee </w:t>
      </w:r>
      <w:r w:rsidR="0044114B">
        <w:rPr>
          <w:rFonts w:ascii="Arial" w:hAnsi="Arial" w:cs="Arial"/>
          <w:sz w:val="20"/>
          <w:szCs w:val="20"/>
        </w:rPr>
        <w:t>was</w:t>
      </w:r>
      <w:r w:rsidRPr="008A7A35">
        <w:rPr>
          <w:rFonts w:ascii="Arial" w:hAnsi="Arial" w:cs="Arial"/>
          <w:sz w:val="20"/>
          <w:szCs w:val="20"/>
        </w:rPr>
        <w:t xml:space="preserve"> payable quarterly in </w:t>
      </w:r>
      <w:proofErr w:type="gramStart"/>
      <w:r w:rsidRPr="008A7A35">
        <w:rPr>
          <w:rFonts w:ascii="Arial" w:hAnsi="Arial" w:cs="Arial"/>
          <w:sz w:val="20"/>
          <w:szCs w:val="20"/>
        </w:rPr>
        <w:t>arrears</w:t>
      </w:r>
      <w:proofErr w:type="gramEnd"/>
      <w:r w:rsidRPr="008A7A35">
        <w:rPr>
          <w:rFonts w:ascii="Arial" w:hAnsi="Arial" w:cs="Arial"/>
          <w:sz w:val="20"/>
          <w:szCs w:val="20"/>
        </w:rPr>
        <w:t xml:space="preserve"> and each payment </w:t>
      </w:r>
      <w:r w:rsidR="0044114B">
        <w:rPr>
          <w:rFonts w:ascii="Arial" w:hAnsi="Arial" w:cs="Arial"/>
          <w:sz w:val="20"/>
          <w:szCs w:val="20"/>
        </w:rPr>
        <w:t>was</w:t>
      </w:r>
      <w:r w:rsidRPr="008A7A35">
        <w:rPr>
          <w:rFonts w:ascii="Arial" w:hAnsi="Arial" w:cs="Arial"/>
          <w:sz w:val="20"/>
          <w:szCs w:val="20"/>
        </w:rPr>
        <w:t xml:space="preserve"> calculated using the quarterly Net Asset Value as at the relevant </w:t>
      </w:r>
      <w:r w:rsidR="0014004E" w:rsidRPr="008A7A35">
        <w:rPr>
          <w:rFonts w:ascii="Arial" w:hAnsi="Arial" w:cs="Arial"/>
          <w:sz w:val="20"/>
          <w:szCs w:val="20"/>
        </w:rPr>
        <w:t>quarter</w:t>
      </w:r>
      <w:r w:rsidRPr="008A7A35">
        <w:rPr>
          <w:rFonts w:ascii="Arial" w:hAnsi="Arial" w:cs="Arial"/>
          <w:sz w:val="20"/>
          <w:szCs w:val="20"/>
        </w:rPr>
        <w:t xml:space="preserve"> end</w:t>
      </w:r>
      <w:r w:rsidR="00173B6F">
        <w:rPr>
          <w:rFonts w:ascii="Arial" w:hAnsi="Arial" w:cs="Arial"/>
          <w:sz w:val="20"/>
          <w:szCs w:val="20"/>
        </w:rPr>
        <w:t xml:space="preserve">. </w:t>
      </w:r>
      <w:r w:rsidRPr="008A7A35">
        <w:rPr>
          <w:rFonts w:ascii="Arial" w:hAnsi="Arial" w:cs="Arial"/>
          <w:sz w:val="20"/>
          <w:szCs w:val="20"/>
        </w:rPr>
        <w:t>During the period to 30 June 202</w:t>
      </w:r>
      <w:r w:rsidR="004F625E" w:rsidRPr="008A7A35">
        <w:rPr>
          <w:rFonts w:ascii="Arial" w:hAnsi="Arial" w:cs="Arial"/>
          <w:sz w:val="20"/>
          <w:szCs w:val="20"/>
        </w:rPr>
        <w:t>5</w:t>
      </w:r>
      <w:r w:rsidRPr="008A7A35">
        <w:rPr>
          <w:rFonts w:ascii="Arial" w:hAnsi="Arial" w:cs="Arial"/>
          <w:sz w:val="20"/>
          <w:szCs w:val="20"/>
        </w:rPr>
        <w:t xml:space="preserve">, </w:t>
      </w:r>
      <w:r w:rsidRPr="008A7A35">
        <w:rPr>
          <w:rFonts w:ascii="Arial" w:hAnsi="Arial" w:cs="Arial"/>
          <w:sz w:val="20"/>
        </w:rPr>
        <w:t>the Partnership incurred Management Fees of $</w:t>
      </w:r>
      <w:r w:rsidR="00417502">
        <w:rPr>
          <w:rFonts w:ascii="Arial" w:hAnsi="Arial" w:cs="Arial"/>
          <w:sz w:val="20"/>
        </w:rPr>
        <w:t>2,771,</w:t>
      </w:r>
      <w:r w:rsidR="00896F52">
        <w:rPr>
          <w:rFonts w:ascii="Arial" w:hAnsi="Arial" w:cs="Arial"/>
          <w:sz w:val="20"/>
        </w:rPr>
        <w:t>846</w:t>
      </w:r>
      <w:r w:rsidR="004F625E" w:rsidRPr="008A7A35">
        <w:rPr>
          <w:rFonts w:ascii="Arial" w:hAnsi="Arial" w:cs="Arial"/>
          <w:sz w:val="20"/>
        </w:rPr>
        <w:t xml:space="preserve"> </w:t>
      </w:r>
      <w:r w:rsidRPr="008A7A35">
        <w:rPr>
          <w:rFonts w:ascii="Arial" w:hAnsi="Arial" w:cs="Arial"/>
          <w:sz w:val="20"/>
        </w:rPr>
        <w:t>(30 June 202</w:t>
      </w:r>
      <w:r w:rsidR="004F625E" w:rsidRPr="008A7A35">
        <w:rPr>
          <w:rFonts w:ascii="Arial" w:hAnsi="Arial" w:cs="Arial"/>
          <w:sz w:val="20"/>
        </w:rPr>
        <w:t>4</w:t>
      </w:r>
      <w:r w:rsidRPr="008A7A35">
        <w:rPr>
          <w:rFonts w:ascii="Arial" w:hAnsi="Arial" w:cs="Arial"/>
          <w:sz w:val="20"/>
        </w:rPr>
        <w:t>: $</w:t>
      </w:r>
      <w:r w:rsidR="004F625E" w:rsidRPr="008A7A35">
        <w:rPr>
          <w:rFonts w:ascii="Arial" w:hAnsi="Arial" w:cs="Arial"/>
          <w:sz w:val="20"/>
          <w:szCs w:val="20"/>
        </w:rPr>
        <w:t>3,580,882</w:t>
      </w:r>
      <w:r w:rsidRPr="008A7A35">
        <w:rPr>
          <w:rFonts w:ascii="Arial" w:hAnsi="Arial" w:cs="Arial"/>
          <w:sz w:val="20"/>
        </w:rPr>
        <w:t>) of which $</w:t>
      </w:r>
      <w:r w:rsidR="006E09E9">
        <w:rPr>
          <w:rFonts w:ascii="Arial" w:hAnsi="Arial" w:cs="Arial"/>
          <w:sz w:val="20"/>
        </w:rPr>
        <w:t>1,393,</w:t>
      </w:r>
      <w:r w:rsidR="00896F52">
        <w:rPr>
          <w:rFonts w:ascii="Arial" w:hAnsi="Arial" w:cs="Arial"/>
          <w:sz w:val="20"/>
        </w:rPr>
        <w:t>814</w:t>
      </w:r>
      <w:r w:rsidR="004F625E" w:rsidRPr="008A7A35">
        <w:rPr>
          <w:rFonts w:ascii="Arial" w:hAnsi="Arial" w:cs="Arial"/>
          <w:sz w:val="20"/>
          <w:szCs w:val="20"/>
        </w:rPr>
        <w:t xml:space="preserve"> </w:t>
      </w:r>
      <w:r w:rsidRPr="008A7A35">
        <w:rPr>
          <w:rFonts w:ascii="Arial" w:hAnsi="Arial" w:cs="Arial"/>
          <w:sz w:val="20"/>
          <w:szCs w:val="20"/>
        </w:rPr>
        <w:t>remained outstanding as at the period end (3</w:t>
      </w:r>
      <w:r w:rsidR="000F61D8" w:rsidRPr="008A7A35">
        <w:rPr>
          <w:rFonts w:ascii="Arial" w:hAnsi="Arial" w:cs="Arial"/>
          <w:sz w:val="20"/>
          <w:szCs w:val="20"/>
        </w:rPr>
        <w:t xml:space="preserve">0 June </w:t>
      </w:r>
      <w:r w:rsidRPr="008A7A35">
        <w:rPr>
          <w:rFonts w:ascii="Arial" w:hAnsi="Arial" w:cs="Arial"/>
          <w:sz w:val="20"/>
          <w:szCs w:val="20"/>
        </w:rPr>
        <w:t>202</w:t>
      </w:r>
      <w:r w:rsidR="000F61D8" w:rsidRPr="008A7A35">
        <w:rPr>
          <w:rFonts w:ascii="Arial" w:hAnsi="Arial" w:cs="Arial"/>
          <w:sz w:val="20"/>
          <w:szCs w:val="20"/>
        </w:rPr>
        <w:t>4</w:t>
      </w:r>
      <w:r w:rsidRPr="008A7A35">
        <w:rPr>
          <w:rFonts w:ascii="Arial" w:hAnsi="Arial" w:cs="Arial"/>
          <w:sz w:val="20"/>
          <w:szCs w:val="20"/>
        </w:rPr>
        <w:t>:</w:t>
      </w:r>
      <w:r w:rsidR="00CA5E11" w:rsidRPr="008A7A35">
        <w:rPr>
          <w:rFonts w:ascii="Arial" w:hAnsi="Arial" w:cs="Arial"/>
          <w:sz w:val="20"/>
          <w:szCs w:val="20"/>
        </w:rPr>
        <w:t xml:space="preserve"> </w:t>
      </w:r>
      <w:r w:rsidRPr="008A7A35">
        <w:rPr>
          <w:rFonts w:ascii="Arial" w:hAnsi="Arial" w:cs="Arial"/>
          <w:sz w:val="20"/>
          <w:szCs w:val="20"/>
        </w:rPr>
        <w:t>$</w:t>
      </w:r>
      <w:r w:rsidR="000F61D8" w:rsidRPr="008A7A35">
        <w:rPr>
          <w:rFonts w:ascii="Arial" w:hAnsi="Arial" w:cs="Arial"/>
          <w:sz w:val="20"/>
          <w:szCs w:val="20"/>
        </w:rPr>
        <w:t>1,721,675</w:t>
      </w:r>
      <w:r w:rsidRPr="008A7A35">
        <w:rPr>
          <w:rFonts w:ascii="Arial" w:hAnsi="Arial" w:cs="Arial"/>
          <w:sz w:val="20"/>
          <w:szCs w:val="20"/>
        </w:rPr>
        <w:t xml:space="preserve">). In addition, the Company and Partnership, in aggregate, reimbursed the Investment </w:t>
      </w:r>
      <w:r w:rsidRPr="00050B37">
        <w:rPr>
          <w:rFonts w:ascii="Arial" w:hAnsi="Arial" w:cs="Arial"/>
          <w:sz w:val="20"/>
          <w:szCs w:val="20"/>
        </w:rPr>
        <w:t>Manager $</w:t>
      </w:r>
      <w:r w:rsidR="00ED2A20" w:rsidRPr="00050B37">
        <w:rPr>
          <w:rFonts w:ascii="Arial" w:hAnsi="Arial" w:cs="Arial"/>
          <w:sz w:val="20"/>
        </w:rPr>
        <w:t>471</w:t>
      </w:r>
      <w:r w:rsidR="00696A04" w:rsidRPr="00050B37">
        <w:rPr>
          <w:rFonts w:ascii="Arial" w:hAnsi="Arial" w:cs="Arial"/>
          <w:sz w:val="20"/>
        </w:rPr>
        <w:t>,492</w:t>
      </w:r>
      <w:r w:rsidR="000F61D8" w:rsidRPr="00050B37">
        <w:rPr>
          <w:rFonts w:ascii="Arial" w:hAnsi="Arial" w:cs="Arial"/>
          <w:sz w:val="20"/>
          <w:szCs w:val="20"/>
        </w:rPr>
        <w:t xml:space="preserve"> </w:t>
      </w:r>
      <w:r w:rsidRPr="00050B37">
        <w:rPr>
          <w:rFonts w:ascii="Arial" w:hAnsi="Arial" w:cs="Arial"/>
          <w:sz w:val="20"/>
          <w:szCs w:val="20"/>
        </w:rPr>
        <w:t>in respect of amounts paid on their behalf for the period (30 June 202</w:t>
      </w:r>
      <w:r w:rsidR="000F61D8" w:rsidRPr="00050B37">
        <w:rPr>
          <w:rFonts w:ascii="Arial" w:hAnsi="Arial" w:cs="Arial"/>
          <w:sz w:val="20"/>
          <w:szCs w:val="20"/>
        </w:rPr>
        <w:t>4</w:t>
      </w:r>
      <w:r w:rsidRPr="00050B37">
        <w:rPr>
          <w:rFonts w:ascii="Arial" w:hAnsi="Arial" w:cs="Arial"/>
          <w:sz w:val="20"/>
          <w:szCs w:val="20"/>
        </w:rPr>
        <w:t>: $</w:t>
      </w:r>
      <w:r w:rsidR="000F61D8" w:rsidRPr="00050B37">
        <w:rPr>
          <w:rFonts w:ascii="Arial" w:hAnsi="Arial" w:cs="Arial"/>
          <w:sz w:val="20"/>
          <w:szCs w:val="20"/>
        </w:rPr>
        <w:t>603,306</w:t>
      </w:r>
      <w:r w:rsidRPr="00050B37">
        <w:rPr>
          <w:rFonts w:ascii="Arial" w:hAnsi="Arial" w:cs="Arial"/>
          <w:sz w:val="20"/>
          <w:szCs w:val="20"/>
        </w:rPr>
        <w:t xml:space="preserve">), of which </w:t>
      </w:r>
      <w:r w:rsidRPr="00830133">
        <w:rPr>
          <w:rFonts w:ascii="Arial" w:hAnsi="Arial" w:cs="Arial"/>
          <w:sz w:val="20"/>
          <w:szCs w:val="20"/>
        </w:rPr>
        <w:t>$</w:t>
      </w:r>
      <w:r w:rsidR="007C32A9" w:rsidRPr="00830133">
        <w:rPr>
          <w:rFonts w:ascii="Arial" w:hAnsi="Arial" w:cs="Arial"/>
          <w:sz w:val="20"/>
        </w:rPr>
        <w:t>399,353</w:t>
      </w:r>
      <w:r w:rsidR="000F61D8" w:rsidRPr="00830133">
        <w:rPr>
          <w:rFonts w:ascii="Arial" w:hAnsi="Arial" w:cs="Arial"/>
          <w:sz w:val="20"/>
        </w:rPr>
        <w:t xml:space="preserve"> </w:t>
      </w:r>
      <w:r w:rsidRPr="00830133">
        <w:rPr>
          <w:rFonts w:ascii="Arial" w:hAnsi="Arial" w:cs="Arial"/>
          <w:sz w:val="20"/>
          <w:szCs w:val="20"/>
        </w:rPr>
        <w:t>related to legal and professional fees of the Company and Partnership ($</w:t>
      </w:r>
      <w:r w:rsidR="007C32A9" w:rsidRPr="00830133">
        <w:rPr>
          <w:rFonts w:ascii="Arial" w:hAnsi="Arial" w:cs="Arial"/>
          <w:sz w:val="20"/>
        </w:rPr>
        <w:t>203,900</w:t>
      </w:r>
      <w:r w:rsidR="000F61D8" w:rsidRPr="00830133">
        <w:rPr>
          <w:rFonts w:ascii="Arial" w:hAnsi="Arial" w:cs="Arial"/>
          <w:sz w:val="20"/>
        </w:rPr>
        <w:t xml:space="preserve"> </w:t>
      </w:r>
      <w:r w:rsidRPr="00830133">
        <w:rPr>
          <w:rFonts w:ascii="Arial" w:hAnsi="Arial" w:cs="Arial"/>
          <w:sz w:val="20"/>
          <w:szCs w:val="20"/>
        </w:rPr>
        <w:t>specific to the Company),</w:t>
      </w:r>
      <w:r w:rsidRPr="00050B37">
        <w:rPr>
          <w:rFonts w:ascii="Arial" w:hAnsi="Arial" w:cs="Arial"/>
          <w:sz w:val="20"/>
          <w:szCs w:val="20"/>
        </w:rPr>
        <w:t xml:space="preserve"> $</w:t>
      </w:r>
      <w:r w:rsidR="007C32A9" w:rsidRPr="00050B37">
        <w:rPr>
          <w:rFonts w:ascii="Arial" w:hAnsi="Arial" w:cs="Arial"/>
          <w:sz w:val="20"/>
        </w:rPr>
        <w:t>11,370</w:t>
      </w:r>
      <w:r w:rsidR="000F61D8" w:rsidRPr="00050B37">
        <w:rPr>
          <w:rFonts w:ascii="Arial" w:hAnsi="Arial" w:cs="Arial"/>
          <w:sz w:val="20"/>
        </w:rPr>
        <w:t xml:space="preserve"> </w:t>
      </w:r>
      <w:r w:rsidRPr="00050B37">
        <w:rPr>
          <w:rFonts w:ascii="Arial" w:hAnsi="Arial" w:cs="Arial"/>
          <w:sz w:val="20"/>
          <w:szCs w:val="20"/>
        </w:rPr>
        <w:t>related to travel and other operating expenses of the Investment Manager (</w:t>
      </w:r>
      <w:r w:rsidR="00217724" w:rsidRPr="00050B37">
        <w:rPr>
          <w:rFonts w:ascii="Arial" w:hAnsi="Arial" w:cs="Arial"/>
          <w:sz w:val="20"/>
          <w:szCs w:val="20"/>
        </w:rPr>
        <w:t>all</w:t>
      </w:r>
      <w:r w:rsidR="00CA5E11" w:rsidRPr="00050B37">
        <w:rPr>
          <w:rFonts w:ascii="Arial" w:hAnsi="Arial" w:cs="Arial"/>
          <w:sz w:val="20"/>
          <w:szCs w:val="20"/>
        </w:rPr>
        <w:t xml:space="preserve"> </w:t>
      </w:r>
      <w:r w:rsidRPr="00050B37">
        <w:rPr>
          <w:rFonts w:ascii="Arial" w:hAnsi="Arial" w:cs="Arial"/>
          <w:sz w:val="20"/>
          <w:szCs w:val="20"/>
        </w:rPr>
        <w:t>specific to the Company), and</w:t>
      </w:r>
      <w:r w:rsidR="00CA5E11" w:rsidRPr="00050B37">
        <w:rPr>
          <w:rFonts w:ascii="Arial" w:hAnsi="Arial" w:cs="Arial"/>
          <w:sz w:val="20"/>
          <w:szCs w:val="20"/>
        </w:rPr>
        <w:t xml:space="preserve"> </w:t>
      </w:r>
      <w:r w:rsidRPr="00050B37">
        <w:rPr>
          <w:rFonts w:ascii="Arial" w:hAnsi="Arial" w:cs="Arial"/>
          <w:sz w:val="20"/>
          <w:szCs w:val="20"/>
        </w:rPr>
        <w:t>$</w:t>
      </w:r>
      <w:r w:rsidR="00C109E9" w:rsidRPr="00050B37">
        <w:rPr>
          <w:rFonts w:ascii="Arial" w:hAnsi="Arial" w:cs="Arial"/>
          <w:sz w:val="20"/>
        </w:rPr>
        <w:t>60,769</w:t>
      </w:r>
      <w:r w:rsidR="000F61D8" w:rsidRPr="00050B37">
        <w:rPr>
          <w:rFonts w:ascii="Arial" w:hAnsi="Arial" w:cs="Arial"/>
          <w:sz w:val="20"/>
        </w:rPr>
        <w:t xml:space="preserve"> </w:t>
      </w:r>
      <w:r w:rsidRPr="00050B37">
        <w:rPr>
          <w:rFonts w:ascii="Arial" w:hAnsi="Arial" w:cs="Arial"/>
          <w:sz w:val="20"/>
          <w:szCs w:val="20"/>
        </w:rPr>
        <w:t>related to reimbursable expenses of the portfolio companies</w:t>
      </w:r>
      <w:r w:rsidRPr="008A7A35">
        <w:rPr>
          <w:rFonts w:ascii="Arial" w:hAnsi="Arial" w:cs="Arial"/>
          <w:sz w:val="20"/>
          <w:szCs w:val="20"/>
        </w:rPr>
        <w:t xml:space="preserve"> (</w:t>
      </w:r>
      <w:r w:rsidR="00217724" w:rsidRPr="008A7A35">
        <w:rPr>
          <w:rFonts w:ascii="Arial" w:hAnsi="Arial" w:cs="Arial"/>
          <w:sz w:val="20"/>
          <w:szCs w:val="20"/>
        </w:rPr>
        <w:t>all</w:t>
      </w:r>
      <w:r w:rsidR="00CA5E11" w:rsidRPr="008A7A35">
        <w:rPr>
          <w:rFonts w:ascii="Arial" w:hAnsi="Arial" w:cs="Arial"/>
          <w:sz w:val="20"/>
          <w:szCs w:val="20"/>
        </w:rPr>
        <w:t xml:space="preserve"> </w:t>
      </w:r>
      <w:r w:rsidRPr="008A7A35">
        <w:rPr>
          <w:rFonts w:ascii="Arial" w:hAnsi="Arial" w:cs="Arial"/>
          <w:sz w:val="20"/>
          <w:szCs w:val="20"/>
        </w:rPr>
        <w:t xml:space="preserve">specific to the Partnership). </w:t>
      </w:r>
    </w:p>
    <w:p w14:paraId="2A64ABFF" w14:textId="77777777" w:rsidR="00D540E1" w:rsidRPr="008A7A35" w:rsidRDefault="00D540E1" w:rsidP="00AA4AD5">
      <w:pPr>
        <w:rPr>
          <w:rFonts w:ascii="Arial" w:hAnsi="Arial" w:cs="Arial"/>
        </w:rPr>
      </w:pPr>
    </w:p>
    <w:p w14:paraId="3D3D578B" w14:textId="728E8630" w:rsidR="00093AB3" w:rsidRDefault="001F0384" w:rsidP="00C47CB2">
      <w:pPr>
        <w:pStyle w:val="Body1"/>
        <w:spacing w:line="240" w:lineRule="auto"/>
        <w:ind w:left="567"/>
        <w:rPr>
          <w:rFonts w:eastAsia="Times New Roman" w:cs="Arial"/>
          <w:sz w:val="20"/>
          <w:szCs w:val="20"/>
          <w:lang w:eastAsia="en-US"/>
        </w:rPr>
      </w:pPr>
      <w:r w:rsidRPr="008A7A35">
        <w:rPr>
          <w:rFonts w:eastAsia="Times New Roman" w:cs="Arial"/>
          <w:sz w:val="20"/>
          <w:szCs w:val="20"/>
          <w:lang w:eastAsia="en-US"/>
        </w:rPr>
        <w:t xml:space="preserve">The circumstances in which the Company and the Investment Manager may terminate the Investment Management Agreement </w:t>
      </w:r>
      <w:r w:rsidR="0044114B">
        <w:rPr>
          <w:rFonts w:eastAsia="Times New Roman" w:cs="Arial"/>
          <w:sz w:val="20"/>
          <w:szCs w:val="20"/>
          <w:lang w:eastAsia="en-US"/>
        </w:rPr>
        <w:t>were amended post the conclusion of the EGM held on 22 August 2025 and are now summarised as follows:</w:t>
      </w:r>
    </w:p>
    <w:p w14:paraId="45A206AF" w14:textId="6B680F3A" w:rsidR="00D66FEF" w:rsidRDefault="00D66FEF" w:rsidP="00C47CB2">
      <w:pPr>
        <w:pStyle w:val="Body1"/>
        <w:spacing w:after="0" w:line="240" w:lineRule="auto"/>
        <w:ind w:left="567"/>
        <w:rPr>
          <w:rFonts w:eastAsia="Times New Roman" w:cs="Arial"/>
          <w:sz w:val="20"/>
          <w:szCs w:val="20"/>
          <w:lang w:eastAsia="en-US"/>
        </w:rPr>
      </w:pPr>
      <w:r>
        <w:rPr>
          <w:rFonts w:eastAsia="Times New Roman" w:cs="Arial"/>
          <w:sz w:val="20"/>
          <w:szCs w:val="20"/>
          <w:lang w:eastAsia="en-US"/>
        </w:rPr>
        <w:t xml:space="preserve">The Company </w:t>
      </w:r>
      <w:r w:rsidR="00633A6B">
        <w:rPr>
          <w:rFonts w:eastAsia="Times New Roman" w:cs="Arial"/>
          <w:sz w:val="20"/>
          <w:szCs w:val="20"/>
          <w:lang w:eastAsia="en-US"/>
        </w:rPr>
        <w:t>is permitted</w:t>
      </w:r>
      <w:r>
        <w:rPr>
          <w:rFonts w:eastAsia="Times New Roman" w:cs="Arial"/>
          <w:sz w:val="20"/>
          <w:szCs w:val="20"/>
          <w:lang w:eastAsia="en-US"/>
        </w:rPr>
        <w:t xml:space="preserve"> to terminate the IMA</w:t>
      </w:r>
      <w:r w:rsidR="00FF6D1E">
        <w:rPr>
          <w:rFonts w:eastAsia="Times New Roman" w:cs="Arial"/>
          <w:sz w:val="20"/>
          <w:szCs w:val="20"/>
          <w:lang w:eastAsia="en-US"/>
        </w:rPr>
        <w:t>:</w:t>
      </w:r>
    </w:p>
    <w:p w14:paraId="3E09B3E3" w14:textId="77777777" w:rsidR="00633A6B" w:rsidRDefault="00633A6B" w:rsidP="00C47CB2">
      <w:pPr>
        <w:pStyle w:val="Body1"/>
        <w:spacing w:after="0" w:line="240" w:lineRule="auto"/>
        <w:ind w:left="567"/>
        <w:rPr>
          <w:rFonts w:eastAsia="Times New Roman" w:cs="Arial"/>
          <w:sz w:val="20"/>
          <w:szCs w:val="20"/>
          <w:lang w:eastAsia="en-US"/>
        </w:rPr>
      </w:pPr>
    </w:p>
    <w:p w14:paraId="3D1DA66D" w14:textId="77777777" w:rsidR="00633A6B" w:rsidRDefault="00633A6B" w:rsidP="00331C35">
      <w:pPr>
        <w:pStyle w:val="Body1"/>
        <w:numPr>
          <w:ilvl w:val="0"/>
          <w:numId w:val="12"/>
        </w:numPr>
        <w:rPr>
          <w:rFonts w:eastAsia="Times New Roman" w:cs="Arial"/>
          <w:sz w:val="20"/>
          <w:szCs w:val="20"/>
          <w:lang w:eastAsia="en-US"/>
        </w:rPr>
      </w:pPr>
      <w:r>
        <w:rPr>
          <w:rFonts w:eastAsia="Times New Roman" w:cs="Arial"/>
          <w:sz w:val="20"/>
          <w:szCs w:val="20"/>
          <w:lang w:eastAsia="en-US"/>
        </w:rPr>
        <w:t xml:space="preserve">At any time prior to the date on which the Company’s investments comprise only cash and cash equivalents and the Investment Manager has received all Adjustment Payments due in accordance with the terms of the IMA (the “Managed Wind-Down Completion Date”) by giving six months’ written notice to the Investment </w:t>
      </w:r>
      <w:proofErr w:type="gramStart"/>
      <w:r>
        <w:rPr>
          <w:rFonts w:eastAsia="Times New Roman" w:cs="Arial"/>
          <w:sz w:val="20"/>
          <w:szCs w:val="20"/>
          <w:lang w:eastAsia="en-US"/>
        </w:rPr>
        <w:t>Manager;</w:t>
      </w:r>
      <w:proofErr w:type="gramEnd"/>
      <w:r>
        <w:rPr>
          <w:rFonts w:eastAsia="Times New Roman" w:cs="Arial"/>
          <w:sz w:val="20"/>
          <w:szCs w:val="20"/>
          <w:lang w:eastAsia="en-US"/>
        </w:rPr>
        <w:t xml:space="preserve"> </w:t>
      </w:r>
    </w:p>
    <w:p w14:paraId="2CDE1E55" w14:textId="77777777" w:rsidR="00633A6B" w:rsidRDefault="00633A6B" w:rsidP="00331C35">
      <w:pPr>
        <w:pStyle w:val="Body1"/>
        <w:numPr>
          <w:ilvl w:val="0"/>
          <w:numId w:val="12"/>
        </w:numPr>
        <w:rPr>
          <w:rFonts w:eastAsia="Times New Roman" w:cs="Arial"/>
          <w:sz w:val="20"/>
          <w:szCs w:val="20"/>
          <w:lang w:eastAsia="en-US"/>
        </w:rPr>
      </w:pPr>
      <w:r>
        <w:rPr>
          <w:rFonts w:eastAsia="Times New Roman" w:cs="Arial"/>
          <w:sz w:val="20"/>
          <w:szCs w:val="20"/>
          <w:lang w:eastAsia="en-US"/>
        </w:rPr>
        <w:t xml:space="preserve">At any time after the Managed Wind-Down Completion Date, immediately on written notice to the Investment Manager; and </w:t>
      </w:r>
    </w:p>
    <w:p w14:paraId="6F2D0E03" w14:textId="7C67DC06" w:rsidR="00633A6B" w:rsidRPr="00633A6B" w:rsidRDefault="00633A6B" w:rsidP="00331C35">
      <w:pPr>
        <w:pStyle w:val="Body1"/>
        <w:numPr>
          <w:ilvl w:val="0"/>
          <w:numId w:val="12"/>
        </w:numPr>
        <w:rPr>
          <w:rFonts w:eastAsia="Times New Roman" w:cs="Arial"/>
          <w:sz w:val="20"/>
          <w:szCs w:val="20"/>
          <w:lang w:eastAsia="en-US"/>
        </w:rPr>
      </w:pPr>
      <w:r>
        <w:rPr>
          <w:rFonts w:eastAsia="Times New Roman" w:cs="Arial"/>
          <w:sz w:val="20"/>
          <w:szCs w:val="20"/>
          <w:lang w:eastAsia="en-US"/>
        </w:rPr>
        <w:t xml:space="preserve">At any time by giving: </w:t>
      </w:r>
    </w:p>
    <w:p w14:paraId="25527F2E" w14:textId="121D1883" w:rsidR="00384001" w:rsidRDefault="00C62DC3" w:rsidP="00331C35">
      <w:pPr>
        <w:pStyle w:val="Body1"/>
        <w:numPr>
          <w:ilvl w:val="0"/>
          <w:numId w:val="14"/>
        </w:numPr>
        <w:rPr>
          <w:rFonts w:eastAsia="Times New Roman" w:cs="Arial"/>
          <w:sz w:val="20"/>
          <w:szCs w:val="20"/>
          <w:lang w:eastAsia="en-US"/>
        </w:rPr>
      </w:pPr>
      <w:r>
        <w:rPr>
          <w:rFonts w:eastAsia="Times New Roman" w:cs="Arial"/>
          <w:sz w:val="20"/>
          <w:szCs w:val="20"/>
          <w:lang w:eastAsia="en-US"/>
        </w:rPr>
        <w:t>three months’</w:t>
      </w:r>
      <w:r w:rsidR="00633A6B">
        <w:rPr>
          <w:rFonts w:eastAsia="Times New Roman" w:cs="Arial"/>
          <w:sz w:val="20"/>
          <w:szCs w:val="20"/>
          <w:lang w:eastAsia="en-US"/>
        </w:rPr>
        <w:t xml:space="preserve"> written</w:t>
      </w:r>
      <w:r>
        <w:rPr>
          <w:rFonts w:eastAsia="Times New Roman" w:cs="Arial"/>
          <w:sz w:val="20"/>
          <w:szCs w:val="20"/>
          <w:lang w:eastAsia="en-US"/>
        </w:rPr>
        <w:t xml:space="preserve"> notice</w:t>
      </w:r>
      <w:r w:rsidR="00633A6B">
        <w:rPr>
          <w:rFonts w:eastAsia="Times New Roman" w:cs="Arial"/>
          <w:sz w:val="20"/>
          <w:szCs w:val="20"/>
          <w:lang w:eastAsia="en-US"/>
        </w:rPr>
        <w:t xml:space="preserve"> to the Investment Manager</w:t>
      </w:r>
      <w:r>
        <w:rPr>
          <w:rFonts w:eastAsia="Times New Roman" w:cs="Arial"/>
          <w:sz w:val="20"/>
          <w:szCs w:val="20"/>
          <w:lang w:eastAsia="en-US"/>
        </w:rPr>
        <w:t xml:space="preserve"> if</w:t>
      </w:r>
      <w:r w:rsidR="00633A6B">
        <w:rPr>
          <w:rFonts w:eastAsia="Times New Roman" w:cs="Arial"/>
          <w:sz w:val="20"/>
          <w:szCs w:val="20"/>
          <w:lang w:eastAsia="en-US"/>
        </w:rPr>
        <w:t>, in the unanimous opinion of</w:t>
      </w:r>
      <w:r>
        <w:rPr>
          <w:rFonts w:eastAsia="Times New Roman" w:cs="Arial"/>
          <w:sz w:val="20"/>
          <w:szCs w:val="20"/>
          <w:lang w:eastAsia="en-US"/>
        </w:rPr>
        <w:t xml:space="preserve"> </w:t>
      </w:r>
      <w:r w:rsidR="00633A6B">
        <w:rPr>
          <w:rFonts w:eastAsia="Times New Roman" w:cs="Arial"/>
          <w:sz w:val="20"/>
          <w:szCs w:val="20"/>
          <w:lang w:eastAsia="en-US"/>
        </w:rPr>
        <w:t xml:space="preserve">the Board, acting reasonably, </w:t>
      </w:r>
      <w:r>
        <w:rPr>
          <w:rFonts w:eastAsia="Times New Roman" w:cs="Arial"/>
          <w:sz w:val="20"/>
          <w:szCs w:val="20"/>
          <w:lang w:eastAsia="en-US"/>
        </w:rPr>
        <w:t xml:space="preserve">the </w:t>
      </w:r>
      <w:r w:rsidR="00735C82">
        <w:rPr>
          <w:rFonts w:eastAsia="Times New Roman" w:cs="Arial"/>
          <w:sz w:val="20"/>
          <w:szCs w:val="20"/>
          <w:lang w:eastAsia="en-US"/>
        </w:rPr>
        <w:t>Investment</w:t>
      </w:r>
      <w:r w:rsidR="00603FBC">
        <w:rPr>
          <w:rFonts w:eastAsia="Times New Roman" w:cs="Arial"/>
          <w:sz w:val="20"/>
          <w:szCs w:val="20"/>
          <w:lang w:eastAsia="en-US"/>
        </w:rPr>
        <w:t xml:space="preserve"> Manager is in material breach of </w:t>
      </w:r>
      <w:r w:rsidR="00633A6B">
        <w:rPr>
          <w:rFonts w:eastAsia="Times New Roman" w:cs="Arial"/>
          <w:sz w:val="20"/>
          <w:szCs w:val="20"/>
          <w:lang w:eastAsia="en-US"/>
        </w:rPr>
        <w:t xml:space="preserve">any of </w:t>
      </w:r>
      <w:r w:rsidR="00603FBC">
        <w:rPr>
          <w:rFonts w:eastAsia="Times New Roman" w:cs="Arial"/>
          <w:sz w:val="20"/>
          <w:szCs w:val="20"/>
          <w:lang w:eastAsia="en-US"/>
        </w:rPr>
        <w:t>its material obligations under the IMA</w:t>
      </w:r>
      <w:r w:rsidR="00096663">
        <w:rPr>
          <w:rFonts w:eastAsia="Times New Roman" w:cs="Arial"/>
          <w:sz w:val="20"/>
          <w:szCs w:val="20"/>
          <w:lang w:eastAsia="en-US"/>
        </w:rPr>
        <w:t>,</w:t>
      </w:r>
      <w:r w:rsidR="00633A6B">
        <w:rPr>
          <w:rFonts w:eastAsia="Times New Roman" w:cs="Arial"/>
          <w:sz w:val="20"/>
          <w:szCs w:val="20"/>
          <w:lang w:eastAsia="en-US"/>
        </w:rPr>
        <w:t xml:space="preserve"> the Partnership Agreement, and the governing agreements of any of the Partnership’s intermediate entities,</w:t>
      </w:r>
      <w:r w:rsidR="00096663">
        <w:rPr>
          <w:rFonts w:eastAsia="Times New Roman" w:cs="Arial"/>
          <w:sz w:val="20"/>
          <w:szCs w:val="20"/>
          <w:lang w:eastAsia="en-US"/>
        </w:rPr>
        <w:t xml:space="preserve"> unless </w:t>
      </w:r>
      <w:r w:rsidR="00633A6B">
        <w:rPr>
          <w:rFonts w:eastAsia="Times New Roman" w:cs="Arial"/>
          <w:sz w:val="20"/>
          <w:szCs w:val="20"/>
          <w:lang w:eastAsia="en-US"/>
        </w:rPr>
        <w:t xml:space="preserve">such breach has been </w:t>
      </w:r>
      <w:r w:rsidR="00735C82">
        <w:rPr>
          <w:rFonts w:eastAsia="Times New Roman" w:cs="Arial"/>
          <w:sz w:val="20"/>
          <w:szCs w:val="20"/>
          <w:lang w:eastAsia="en-US"/>
        </w:rPr>
        <w:t>remedied</w:t>
      </w:r>
      <w:r w:rsidR="00096663">
        <w:rPr>
          <w:rFonts w:eastAsia="Times New Roman" w:cs="Arial"/>
          <w:sz w:val="20"/>
          <w:szCs w:val="20"/>
          <w:lang w:eastAsia="en-US"/>
        </w:rPr>
        <w:t xml:space="preserve"> to the reasonable satisfaction of the Company within </w:t>
      </w:r>
      <w:r w:rsidR="00672066">
        <w:rPr>
          <w:rFonts w:eastAsia="Times New Roman" w:cs="Arial"/>
          <w:sz w:val="20"/>
          <w:szCs w:val="20"/>
          <w:lang w:eastAsia="en-US"/>
        </w:rPr>
        <w:t xml:space="preserve">such </w:t>
      </w:r>
      <w:r w:rsidR="00C112DA">
        <w:rPr>
          <w:rFonts w:eastAsia="Times New Roman" w:cs="Arial"/>
          <w:sz w:val="20"/>
          <w:szCs w:val="20"/>
          <w:lang w:eastAsia="en-US"/>
        </w:rPr>
        <w:t>three-month</w:t>
      </w:r>
      <w:r w:rsidR="00672066">
        <w:rPr>
          <w:rFonts w:eastAsia="Times New Roman" w:cs="Arial"/>
          <w:sz w:val="20"/>
          <w:szCs w:val="20"/>
          <w:lang w:eastAsia="en-US"/>
        </w:rPr>
        <w:t xml:space="preserve"> period</w:t>
      </w:r>
      <w:r w:rsidR="009C6E13">
        <w:rPr>
          <w:rFonts w:eastAsia="Times New Roman" w:cs="Arial"/>
          <w:sz w:val="20"/>
          <w:szCs w:val="20"/>
          <w:lang w:eastAsia="en-US"/>
        </w:rPr>
        <w:t>; or</w:t>
      </w:r>
    </w:p>
    <w:p w14:paraId="47976A53" w14:textId="5F8E84BE" w:rsidR="00672066" w:rsidRDefault="00633A6B" w:rsidP="00331C35">
      <w:pPr>
        <w:pStyle w:val="Body1"/>
        <w:numPr>
          <w:ilvl w:val="0"/>
          <w:numId w:val="14"/>
        </w:numPr>
        <w:rPr>
          <w:rFonts w:eastAsia="Times New Roman" w:cs="Arial"/>
          <w:sz w:val="20"/>
          <w:szCs w:val="20"/>
          <w:lang w:eastAsia="en-US"/>
        </w:rPr>
      </w:pPr>
      <w:r>
        <w:rPr>
          <w:rFonts w:eastAsia="Times New Roman" w:cs="Arial"/>
          <w:sz w:val="20"/>
          <w:szCs w:val="20"/>
          <w:lang w:eastAsia="en-US"/>
        </w:rPr>
        <w:lastRenderedPageBreak/>
        <w:t xml:space="preserve">immediate written notice to the Investment Manager </w:t>
      </w:r>
      <w:r w:rsidR="00672066">
        <w:rPr>
          <w:rFonts w:eastAsia="Times New Roman" w:cs="Arial"/>
          <w:sz w:val="20"/>
          <w:szCs w:val="20"/>
          <w:lang w:eastAsia="en-US"/>
        </w:rPr>
        <w:t>if</w:t>
      </w:r>
      <w:r>
        <w:rPr>
          <w:rFonts w:eastAsia="Times New Roman" w:cs="Arial"/>
          <w:sz w:val="20"/>
          <w:szCs w:val="20"/>
          <w:lang w:eastAsia="en-US"/>
        </w:rPr>
        <w:t>, in the unanimous opinion of the Board, acting reasonably,</w:t>
      </w:r>
      <w:r w:rsidR="00672066">
        <w:rPr>
          <w:rFonts w:eastAsia="Times New Roman" w:cs="Arial"/>
          <w:sz w:val="20"/>
          <w:szCs w:val="20"/>
          <w:lang w:eastAsia="en-US"/>
        </w:rPr>
        <w:t xml:space="preserve"> the Investment Manager</w:t>
      </w:r>
      <w:r>
        <w:rPr>
          <w:rFonts w:eastAsia="Times New Roman" w:cs="Arial"/>
          <w:sz w:val="20"/>
          <w:szCs w:val="20"/>
          <w:lang w:eastAsia="en-US"/>
        </w:rPr>
        <w:t xml:space="preserve"> or the General Partner</w:t>
      </w:r>
      <w:r w:rsidR="00672066">
        <w:rPr>
          <w:rFonts w:eastAsia="Times New Roman" w:cs="Arial"/>
          <w:sz w:val="20"/>
          <w:szCs w:val="20"/>
          <w:lang w:eastAsia="en-US"/>
        </w:rPr>
        <w:t xml:space="preserve"> commits an act of fraud or wilful </w:t>
      </w:r>
      <w:r>
        <w:rPr>
          <w:rFonts w:eastAsia="Times New Roman" w:cs="Arial"/>
          <w:sz w:val="20"/>
          <w:szCs w:val="20"/>
          <w:lang w:eastAsia="en-US"/>
        </w:rPr>
        <w:t xml:space="preserve">misconduct </w:t>
      </w:r>
      <w:r w:rsidR="00672066">
        <w:rPr>
          <w:rFonts w:eastAsia="Times New Roman" w:cs="Arial"/>
          <w:sz w:val="20"/>
          <w:szCs w:val="20"/>
          <w:lang w:eastAsia="en-US"/>
        </w:rPr>
        <w:t>in relation to the Company which results in material harm to the Company</w:t>
      </w:r>
      <w:r>
        <w:rPr>
          <w:rFonts w:eastAsia="Times New Roman" w:cs="Arial"/>
          <w:sz w:val="20"/>
          <w:szCs w:val="20"/>
          <w:lang w:eastAsia="en-US"/>
        </w:rPr>
        <w:t>’s business</w:t>
      </w:r>
      <w:r w:rsidR="009C6E13">
        <w:rPr>
          <w:rFonts w:eastAsia="Times New Roman" w:cs="Arial"/>
          <w:sz w:val="20"/>
          <w:szCs w:val="20"/>
          <w:lang w:eastAsia="en-US"/>
        </w:rPr>
        <w:t>.</w:t>
      </w:r>
    </w:p>
    <w:p w14:paraId="2524C988" w14:textId="77777777" w:rsidR="006E09E9" w:rsidRDefault="006E09E9" w:rsidP="006E09E9">
      <w:pPr>
        <w:pStyle w:val="Body1"/>
        <w:spacing w:after="0" w:line="240" w:lineRule="auto"/>
        <w:ind w:left="1287"/>
        <w:rPr>
          <w:rFonts w:eastAsia="Times New Roman" w:cs="Arial"/>
          <w:sz w:val="20"/>
          <w:szCs w:val="20"/>
          <w:lang w:eastAsia="en-US"/>
        </w:rPr>
      </w:pPr>
    </w:p>
    <w:p w14:paraId="1E743E88" w14:textId="798744EA" w:rsidR="00D66FEF" w:rsidRDefault="00FF6D1E" w:rsidP="00C47CB2">
      <w:pPr>
        <w:pStyle w:val="Body1"/>
        <w:spacing w:after="0" w:line="240" w:lineRule="auto"/>
        <w:ind w:left="567"/>
        <w:rPr>
          <w:rFonts w:eastAsia="Times New Roman" w:cs="Arial"/>
          <w:sz w:val="20"/>
          <w:szCs w:val="20"/>
          <w:lang w:eastAsia="en-US"/>
        </w:rPr>
      </w:pPr>
      <w:r>
        <w:rPr>
          <w:rFonts w:eastAsia="Times New Roman" w:cs="Arial"/>
          <w:sz w:val="20"/>
          <w:szCs w:val="20"/>
          <w:lang w:eastAsia="en-US"/>
        </w:rPr>
        <w:t xml:space="preserve">The Investment Manager </w:t>
      </w:r>
      <w:r w:rsidR="00633A6B">
        <w:rPr>
          <w:rFonts w:eastAsia="Times New Roman" w:cs="Arial"/>
          <w:sz w:val="20"/>
          <w:szCs w:val="20"/>
          <w:lang w:eastAsia="en-US"/>
        </w:rPr>
        <w:t xml:space="preserve">is permitted </w:t>
      </w:r>
      <w:r>
        <w:rPr>
          <w:rFonts w:eastAsia="Times New Roman" w:cs="Arial"/>
          <w:sz w:val="20"/>
          <w:szCs w:val="20"/>
          <w:lang w:eastAsia="en-US"/>
        </w:rPr>
        <w:t>to terminate the IMA:</w:t>
      </w:r>
    </w:p>
    <w:p w14:paraId="40ABA101" w14:textId="77777777" w:rsidR="00633A6B" w:rsidRDefault="00633A6B" w:rsidP="00C47CB2">
      <w:pPr>
        <w:pStyle w:val="Body1"/>
        <w:spacing w:after="0" w:line="240" w:lineRule="auto"/>
        <w:ind w:left="567"/>
        <w:rPr>
          <w:rFonts w:eastAsia="Times New Roman" w:cs="Arial"/>
          <w:sz w:val="20"/>
          <w:szCs w:val="20"/>
          <w:lang w:eastAsia="en-US"/>
        </w:rPr>
      </w:pPr>
    </w:p>
    <w:p w14:paraId="3838D361" w14:textId="5EB70A77" w:rsidR="00633A6B" w:rsidRPr="00A06BE6" w:rsidRDefault="00633A6B" w:rsidP="00331C35">
      <w:pPr>
        <w:pStyle w:val="Body1"/>
        <w:numPr>
          <w:ilvl w:val="0"/>
          <w:numId w:val="12"/>
        </w:numPr>
        <w:rPr>
          <w:rFonts w:eastAsia="Times New Roman" w:cs="Arial"/>
          <w:sz w:val="20"/>
          <w:szCs w:val="20"/>
          <w:lang w:eastAsia="en-US"/>
        </w:rPr>
      </w:pPr>
      <w:r>
        <w:rPr>
          <w:rFonts w:eastAsia="Times New Roman" w:cs="Arial"/>
          <w:sz w:val="20"/>
          <w:szCs w:val="20"/>
          <w:lang w:eastAsia="en-US"/>
        </w:rPr>
        <w:t xml:space="preserve">At any time prior to the Managed Wind-Down Completion Date, by giving six months’ written notice to the Company; </w:t>
      </w:r>
      <w:r w:rsidRPr="00A06BE6">
        <w:rPr>
          <w:rFonts w:eastAsia="Times New Roman" w:cs="Arial"/>
          <w:sz w:val="20"/>
          <w:szCs w:val="20"/>
          <w:lang w:eastAsia="en-US"/>
        </w:rPr>
        <w:t>and</w:t>
      </w:r>
    </w:p>
    <w:p w14:paraId="62064706" w14:textId="2C10D3DF" w:rsidR="00BD2884" w:rsidRDefault="00BB6948" w:rsidP="00331C35">
      <w:pPr>
        <w:pStyle w:val="Body1"/>
        <w:numPr>
          <w:ilvl w:val="0"/>
          <w:numId w:val="12"/>
        </w:numPr>
        <w:spacing w:after="0" w:line="240" w:lineRule="auto"/>
        <w:rPr>
          <w:rFonts w:eastAsia="Times New Roman" w:cs="Arial"/>
          <w:sz w:val="20"/>
          <w:szCs w:val="20"/>
          <w:lang w:eastAsia="en-US"/>
        </w:rPr>
      </w:pPr>
      <w:r w:rsidRPr="009B1684">
        <w:rPr>
          <w:rFonts w:eastAsia="Times New Roman" w:cs="Arial"/>
          <w:sz w:val="20"/>
          <w:szCs w:val="20"/>
          <w:lang w:eastAsia="en-US"/>
        </w:rPr>
        <w:t>At any time, i</w:t>
      </w:r>
      <w:r w:rsidR="00BD2884" w:rsidRPr="009B1684">
        <w:rPr>
          <w:rFonts w:eastAsia="Times New Roman" w:cs="Arial"/>
          <w:sz w:val="20"/>
          <w:szCs w:val="20"/>
          <w:lang w:eastAsia="en-US"/>
        </w:rPr>
        <w:t>mmediately</w:t>
      </w:r>
      <w:r w:rsidR="00BD2884" w:rsidRPr="00A06BE6">
        <w:rPr>
          <w:rFonts w:eastAsia="Times New Roman" w:cs="Arial"/>
          <w:sz w:val="20"/>
          <w:szCs w:val="20"/>
          <w:lang w:eastAsia="en-US"/>
        </w:rPr>
        <w:t xml:space="preserve"> </w:t>
      </w:r>
      <w:r w:rsidRPr="00A06BE6">
        <w:rPr>
          <w:rFonts w:eastAsia="Times New Roman" w:cs="Arial"/>
          <w:sz w:val="20"/>
          <w:szCs w:val="20"/>
          <w:lang w:eastAsia="en-US"/>
        </w:rPr>
        <w:t>on written notice to the Company</w:t>
      </w:r>
      <w:r>
        <w:rPr>
          <w:rFonts w:eastAsia="Times New Roman" w:cs="Arial"/>
          <w:sz w:val="20"/>
          <w:szCs w:val="20"/>
          <w:lang w:eastAsia="en-US"/>
        </w:rPr>
        <w:t>, if the Partnership or</w:t>
      </w:r>
      <w:r w:rsidR="00BD2884">
        <w:rPr>
          <w:rFonts w:eastAsia="Times New Roman" w:cs="Arial"/>
          <w:sz w:val="20"/>
          <w:szCs w:val="20"/>
          <w:lang w:eastAsia="en-US"/>
        </w:rPr>
        <w:t xml:space="preserve"> </w:t>
      </w:r>
      <w:r>
        <w:rPr>
          <w:rFonts w:eastAsia="Times New Roman" w:cs="Arial"/>
          <w:sz w:val="20"/>
          <w:szCs w:val="20"/>
          <w:lang w:eastAsia="en-US"/>
        </w:rPr>
        <w:t xml:space="preserve">any of its intermediate entities </w:t>
      </w:r>
      <w:r w:rsidR="00BD2884">
        <w:rPr>
          <w:rFonts w:eastAsia="Times New Roman" w:cs="Arial"/>
          <w:sz w:val="20"/>
          <w:szCs w:val="20"/>
          <w:lang w:eastAsia="en-US"/>
        </w:rPr>
        <w:t xml:space="preserve">is in material breach of </w:t>
      </w:r>
      <w:r>
        <w:rPr>
          <w:rFonts w:eastAsia="Times New Roman" w:cs="Arial"/>
          <w:sz w:val="20"/>
          <w:szCs w:val="20"/>
          <w:lang w:eastAsia="en-US"/>
        </w:rPr>
        <w:t xml:space="preserve">any of their </w:t>
      </w:r>
      <w:r w:rsidR="00BD2884">
        <w:rPr>
          <w:rFonts w:eastAsia="Times New Roman" w:cs="Arial"/>
          <w:sz w:val="20"/>
          <w:szCs w:val="20"/>
          <w:lang w:eastAsia="en-US"/>
        </w:rPr>
        <w:t>material obligations under the IMA</w:t>
      </w:r>
      <w:r>
        <w:rPr>
          <w:rFonts w:eastAsia="Times New Roman" w:cs="Arial"/>
          <w:sz w:val="20"/>
          <w:szCs w:val="20"/>
          <w:lang w:eastAsia="en-US"/>
        </w:rPr>
        <w:t xml:space="preserve"> (and such breach is not due to the acts or omissions of the Investment Manager)</w:t>
      </w:r>
      <w:r w:rsidR="00EA434A">
        <w:rPr>
          <w:rFonts w:eastAsia="Times New Roman" w:cs="Arial"/>
          <w:sz w:val="20"/>
          <w:szCs w:val="20"/>
          <w:lang w:eastAsia="en-US"/>
        </w:rPr>
        <w:t>, unless</w:t>
      </w:r>
      <w:r>
        <w:rPr>
          <w:rFonts w:eastAsia="Times New Roman" w:cs="Arial"/>
          <w:sz w:val="20"/>
          <w:szCs w:val="20"/>
          <w:lang w:eastAsia="en-US"/>
        </w:rPr>
        <w:t xml:space="preserve"> such breach has been</w:t>
      </w:r>
      <w:r w:rsidR="00EA434A">
        <w:rPr>
          <w:rFonts w:eastAsia="Times New Roman" w:cs="Arial"/>
          <w:sz w:val="20"/>
          <w:szCs w:val="20"/>
          <w:lang w:eastAsia="en-US"/>
        </w:rPr>
        <w:t xml:space="preserve"> remedied to the reasonable satisfaction of the Investment Manager within </w:t>
      </w:r>
      <w:r w:rsidR="00C112DA">
        <w:rPr>
          <w:rFonts w:eastAsia="Times New Roman" w:cs="Arial"/>
          <w:sz w:val="20"/>
          <w:szCs w:val="20"/>
          <w:lang w:eastAsia="en-US"/>
        </w:rPr>
        <w:t>three</w:t>
      </w:r>
      <w:r>
        <w:rPr>
          <w:rFonts w:eastAsia="Times New Roman" w:cs="Arial"/>
          <w:sz w:val="20"/>
          <w:szCs w:val="20"/>
          <w:lang w:eastAsia="en-US"/>
        </w:rPr>
        <w:t xml:space="preserve"> </w:t>
      </w:r>
      <w:r w:rsidR="00C112DA">
        <w:rPr>
          <w:rFonts w:eastAsia="Times New Roman" w:cs="Arial"/>
          <w:sz w:val="20"/>
          <w:szCs w:val="20"/>
          <w:lang w:eastAsia="en-US"/>
        </w:rPr>
        <w:t>month</w:t>
      </w:r>
      <w:r>
        <w:rPr>
          <w:rFonts w:eastAsia="Times New Roman" w:cs="Arial"/>
          <w:sz w:val="20"/>
          <w:szCs w:val="20"/>
          <w:lang w:eastAsia="en-US"/>
        </w:rPr>
        <w:t>s</w:t>
      </w:r>
      <w:r w:rsidR="00EA434A">
        <w:rPr>
          <w:rFonts w:eastAsia="Times New Roman" w:cs="Arial"/>
          <w:sz w:val="20"/>
          <w:szCs w:val="20"/>
          <w:lang w:eastAsia="en-US"/>
        </w:rPr>
        <w:t xml:space="preserve"> </w:t>
      </w:r>
      <w:r>
        <w:rPr>
          <w:rFonts w:eastAsia="Times New Roman" w:cs="Arial"/>
          <w:sz w:val="20"/>
          <w:szCs w:val="20"/>
          <w:lang w:eastAsia="en-US"/>
        </w:rPr>
        <w:t>of the Investment Manager giving written notice specifying the breach</w:t>
      </w:r>
      <w:r w:rsidR="009C6E13">
        <w:rPr>
          <w:rFonts w:eastAsia="Times New Roman" w:cs="Arial"/>
          <w:sz w:val="20"/>
          <w:szCs w:val="20"/>
          <w:lang w:eastAsia="en-US"/>
        </w:rPr>
        <w:t>; or</w:t>
      </w:r>
    </w:p>
    <w:p w14:paraId="1FB02655" w14:textId="77777777" w:rsidR="00BB6948" w:rsidRDefault="00BB6948" w:rsidP="00BB6948">
      <w:pPr>
        <w:pStyle w:val="Body1"/>
        <w:spacing w:after="0" w:line="240" w:lineRule="auto"/>
        <w:ind w:left="1287"/>
        <w:rPr>
          <w:rFonts w:eastAsia="Times New Roman" w:cs="Arial"/>
          <w:sz w:val="20"/>
          <w:szCs w:val="20"/>
          <w:lang w:eastAsia="en-US"/>
        </w:rPr>
      </w:pPr>
    </w:p>
    <w:p w14:paraId="22DAA6D5" w14:textId="35B835B5" w:rsidR="00BB6948" w:rsidRPr="00BB6948" w:rsidRDefault="00BB6948" w:rsidP="00331C35">
      <w:pPr>
        <w:pStyle w:val="Body1"/>
        <w:numPr>
          <w:ilvl w:val="0"/>
          <w:numId w:val="12"/>
        </w:numPr>
        <w:rPr>
          <w:rFonts w:eastAsia="Times New Roman" w:cs="Arial"/>
          <w:sz w:val="20"/>
          <w:szCs w:val="20"/>
          <w:lang w:eastAsia="en-US"/>
        </w:rPr>
      </w:pPr>
      <w:r>
        <w:rPr>
          <w:rFonts w:eastAsia="Times New Roman" w:cs="Arial"/>
          <w:sz w:val="20"/>
          <w:szCs w:val="20"/>
          <w:lang w:eastAsia="en-US"/>
        </w:rPr>
        <w:t>Immediately on written notice to the Company if:</w:t>
      </w:r>
    </w:p>
    <w:p w14:paraId="4A405AF7" w14:textId="77777777" w:rsidR="00BB6948" w:rsidRDefault="00BB6948" w:rsidP="00331C35">
      <w:pPr>
        <w:pStyle w:val="Body1"/>
        <w:numPr>
          <w:ilvl w:val="1"/>
          <w:numId w:val="12"/>
        </w:numPr>
        <w:rPr>
          <w:rFonts w:eastAsia="Times New Roman" w:cs="Arial"/>
          <w:sz w:val="20"/>
          <w:szCs w:val="20"/>
          <w:lang w:eastAsia="en-US"/>
        </w:rPr>
      </w:pPr>
      <w:r>
        <w:rPr>
          <w:rFonts w:eastAsia="Times New Roman" w:cs="Arial"/>
          <w:sz w:val="20"/>
          <w:szCs w:val="20"/>
          <w:lang w:eastAsia="en-US"/>
        </w:rPr>
        <w:t xml:space="preserve">the Company ceases to hold appropriate regulatory authorisation in </w:t>
      </w:r>
      <w:proofErr w:type="gramStart"/>
      <w:r>
        <w:rPr>
          <w:rFonts w:eastAsia="Times New Roman" w:cs="Arial"/>
          <w:sz w:val="20"/>
          <w:szCs w:val="20"/>
          <w:lang w:eastAsia="en-US"/>
        </w:rPr>
        <w:t>Guernsey;</w:t>
      </w:r>
      <w:proofErr w:type="gramEnd"/>
      <w:r>
        <w:rPr>
          <w:rFonts w:eastAsia="Times New Roman" w:cs="Arial"/>
          <w:sz w:val="20"/>
          <w:szCs w:val="20"/>
          <w:lang w:eastAsia="en-US"/>
        </w:rPr>
        <w:t xml:space="preserve"> </w:t>
      </w:r>
    </w:p>
    <w:p w14:paraId="21EE8981" w14:textId="77777777" w:rsidR="00BB6948" w:rsidRDefault="00BB6948" w:rsidP="00331C35">
      <w:pPr>
        <w:pStyle w:val="Body1"/>
        <w:numPr>
          <w:ilvl w:val="1"/>
          <w:numId w:val="12"/>
        </w:numPr>
        <w:rPr>
          <w:rFonts w:eastAsia="Times New Roman" w:cs="Arial"/>
          <w:sz w:val="20"/>
          <w:szCs w:val="20"/>
          <w:lang w:eastAsia="en-US"/>
        </w:rPr>
      </w:pPr>
      <w:r>
        <w:rPr>
          <w:rFonts w:eastAsia="Times New Roman" w:cs="Arial"/>
          <w:sz w:val="20"/>
          <w:szCs w:val="20"/>
          <w:lang w:eastAsia="en-US"/>
        </w:rPr>
        <w:t xml:space="preserve">the Board makes a further material change to its investment policy without the prior consent of the Investment </w:t>
      </w:r>
      <w:proofErr w:type="gramStart"/>
      <w:r>
        <w:rPr>
          <w:rFonts w:eastAsia="Times New Roman" w:cs="Arial"/>
          <w:sz w:val="20"/>
          <w:szCs w:val="20"/>
          <w:lang w:eastAsia="en-US"/>
        </w:rPr>
        <w:t>Manager;</w:t>
      </w:r>
      <w:proofErr w:type="gramEnd"/>
      <w:r>
        <w:rPr>
          <w:rFonts w:eastAsia="Times New Roman" w:cs="Arial"/>
          <w:sz w:val="20"/>
          <w:szCs w:val="20"/>
          <w:lang w:eastAsia="en-US"/>
        </w:rPr>
        <w:t xml:space="preserve"> </w:t>
      </w:r>
    </w:p>
    <w:p w14:paraId="571DD02F" w14:textId="77777777" w:rsidR="00BB6948" w:rsidRDefault="00BB6948" w:rsidP="00331C35">
      <w:pPr>
        <w:pStyle w:val="Body1"/>
        <w:numPr>
          <w:ilvl w:val="1"/>
          <w:numId w:val="12"/>
        </w:numPr>
        <w:rPr>
          <w:rFonts w:eastAsia="Times New Roman" w:cs="Arial"/>
          <w:sz w:val="20"/>
          <w:szCs w:val="20"/>
          <w:lang w:eastAsia="en-US"/>
        </w:rPr>
      </w:pPr>
      <w:r>
        <w:rPr>
          <w:rFonts w:eastAsia="Times New Roman" w:cs="Arial"/>
          <w:sz w:val="20"/>
          <w:szCs w:val="20"/>
          <w:lang w:eastAsia="en-US"/>
        </w:rPr>
        <w:t xml:space="preserve">the Company undergoes a change of </w:t>
      </w:r>
      <w:proofErr w:type="gramStart"/>
      <w:r>
        <w:rPr>
          <w:rFonts w:eastAsia="Times New Roman" w:cs="Arial"/>
          <w:sz w:val="20"/>
          <w:szCs w:val="20"/>
          <w:lang w:eastAsia="en-US"/>
        </w:rPr>
        <w:t>control</w:t>
      </w:r>
      <w:proofErr w:type="gramEnd"/>
      <w:r>
        <w:rPr>
          <w:rFonts w:eastAsia="Times New Roman" w:cs="Arial"/>
          <w:sz w:val="20"/>
          <w:szCs w:val="20"/>
          <w:lang w:eastAsia="en-US"/>
        </w:rPr>
        <w:t xml:space="preserve"> and the Ordinary Shares cease to be listed on the Official </w:t>
      </w:r>
      <w:proofErr w:type="gramStart"/>
      <w:r>
        <w:rPr>
          <w:rFonts w:eastAsia="Times New Roman" w:cs="Arial"/>
          <w:sz w:val="20"/>
          <w:szCs w:val="20"/>
          <w:lang w:eastAsia="en-US"/>
        </w:rPr>
        <w:t>List;</w:t>
      </w:r>
      <w:proofErr w:type="gramEnd"/>
    </w:p>
    <w:p w14:paraId="2DC88F5D" w14:textId="77777777" w:rsidR="00BB6948" w:rsidRDefault="00BB6948" w:rsidP="00331C35">
      <w:pPr>
        <w:pStyle w:val="Body1"/>
        <w:numPr>
          <w:ilvl w:val="1"/>
          <w:numId w:val="12"/>
        </w:numPr>
        <w:rPr>
          <w:rFonts w:eastAsia="Times New Roman" w:cs="Arial"/>
          <w:sz w:val="20"/>
          <w:szCs w:val="20"/>
          <w:lang w:eastAsia="en-US"/>
        </w:rPr>
      </w:pPr>
      <w:r>
        <w:rPr>
          <w:rFonts w:eastAsia="Times New Roman" w:cs="Arial"/>
          <w:sz w:val="20"/>
          <w:szCs w:val="20"/>
          <w:lang w:eastAsia="en-US"/>
        </w:rPr>
        <w:t>the Board (1) raises new equity or distributes any income or capital of any member of the Company group except with the prior written consent of the Investment Manager; or (2) returns or distributes capital of the Company by way of a compulsory redemption of Ordinary Shares other than in accordance with the provisions of the Company’s new Articles of Association and the IMA.</w:t>
      </w:r>
    </w:p>
    <w:p w14:paraId="0230B908" w14:textId="77777777" w:rsidR="00BB6948" w:rsidRDefault="00BB6948" w:rsidP="00BB6948">
      <w:pPr>
        <w:pStyle w:val="Body1"/>
        <w:rPr>
          <w:rFonts w:eastAsia="Times New Roman" w:cs="Arial"/>
          <w:sz w:val="20"/>
          <w:szCs w:val="20"/>
          <w:lang w:eastAsia="en-US"/>
        </w:rPr>
      </w:pPr>
      <w:r>
        <w:rPr>
          <w:rFonts w:eastAsia="Times New Roman" w:cs="Arial"/>
          <w:sz w:val="20"/>
          <w:szCs w:val="20"/>
          <w:lang w:eastAsia="en-US"/>
        </w:rPr>
        <w:t>Any party may terminate the IMA immediately by written notice to the others if a party:</w:t>
      </w:r>
    </w:p>
    <w:p w14:paraId="22371E02" w14:textId="77777777" w:rsidR="00BB6948" w:rsidRDefault="00BB6948" w:rsidP="00331C35">
      <w:pPr>
        <w:pStyle w:val="Body1"/>
        <w:numPr>
          <w:ilvl w:val="0"/>
          <w:numId w:val="16"/>
        </w:numPr>
        <w:rPr>
          <w:rFonts w:eastAsia="Times New Roman" w:cs="Arial"/>
          <w:sz w:val="20"/>
          <w:szCs w:val="20"/>
          <w:lang w:eastAsia="en-US"/>
        </w:rPr>
      </w:pPr>
      <w:r>
        <w:rPr>
          <w:rFonts w:eastAsia="Times New Roman" w:cs="Arial"/>
          <w:sz w:val="20"/>
          <w:szCs w:val="20"/>
          <w:lang w:eastAsia="en-US"/>
        </w:rPr>
        <w:t xml:space="preserve">Fails or becomes unable to pay its debts as they fall </w:t>
      </w:r>
      <w:proofErr w:type="gramStart"/>
      <w:r>
        <w:rPr>
          <w:rFonts w:eastAsia="Times New Roman" w:cs="Arial"/>
          <w:sz w:val="20"/>
          <w:szCs w:val="20"/>
          <w:lang w:eastAsia="en-US"/>
        </w:rPr>
        <w:t>due;</w:t>
      </w:r>
      <w:proofErr w:type="gramEnd"/>
      <w:r>
        <w:rPr>
          <w:rFonts w:eastAsia="Times New Roman" w:cs="Arial"/>
          <w:sz w:val="20"/>
          <w:szCs w:val="20"/>
          <w:lang w:eastAsia="en-US"/>
        </w:rPr>
        <w:t xml:space="preserve"> </w:t>
      </w:r>
    </w:p>
    <w:p w14:paraId="3786EBC0" w14:textId="77777777" w:rsidR="00BB6948" w:rsidRDefault="00BB6948" w:rsidP="00331C35">
      <w:pPr>
        <w:pStyle w:val="Body1"/>
        <w:numPr>
          <w:ilvl w:val="0"/>
          <w:numId w:val="16"/>
        </w:numPr>
        <w:rPr>
          <w:rFonts w:eastAsia="Times New Roman" w:cs="Arial"/>
          <w:sz w:val="20"/>
          <w:szCs w:val="20"/>
          <w:lang w:eastAsia="en-US"/>
        </w:rPr>
      </w:pPr>
      <w:r>
        <w:rPr>
          <w:rFonts w:eastAsia="Times New Roman" w:cs="Arial"/>
          <w:sz w:val="20"/>
          <w:szCs w:val="20"/>
          <w:lang w:eastAsia="en-US"/>
        </w:rPr>
        <w:t>Has an administrator or similar officer or an administrative receiver appointed over, or any encumbrancer takes possession of, the whole or any significant part of its undertaking or assets; or</w:t>
      </w:r>
    </w:p>
    <w:p w14:paraId="6ABCE973" w14:textId="19876ED2" w:rsidR="00BB6948" w:rsidRPr="00BB6948" w:rsidRDefault="00BB6948" w:rsidP="00331C35">
      <w:pPr>
        <w:pStyle w:val="Body1"/>
        <w:numPr>
          <w:ilvl w:val="0"/>
          <w:numId w:val="15"/>
        </w:numPr>
        <w:spacing w:after="0"/>
        <w:rPr>
          <w:rFonts w:eastAsia="Times New Roman" w:cs="Arial"/>
          <w:sz w:val="20"/>
          <w:szCs w:val="20"/>
          <w:lang w:eastAsia="en-US"/>
        </w:rPr>
      </w:pPr>
      <w:r>
        <w:rPr>
          <w:rFonts w:eastAsia="Times New Roman" w:cs="Arial"/>
          <w:sz w:val="20"/>
          <w:szCs w:val="20"/>
          <w:lang w:eastAsia="en-US"/>
        </w:rPr>
        <w:t>Passes a resolution for winding up (otherwise than for the purpose of a bona fide scheme for solvent amalgamation or reconstruction).</w:t>
      </w:r>
    </w:p>
    <w:p w14:paraId="1DB9E62C" w14:textId="77777777" w:rsidR="00BB6948" w:rsidRDefault="00BB6948" w:rsidP="00C47CB2">
      <w:pPr>
        <w:pStyle w:val="Body1"/>
        <w:spacing w:line="240" w:lineRule="auto"/>
        <w:ind w:left="540"/>
        <w:rPr>
          <w:rFonts w:eastAsia="Times New Roman"/>
          <w:sz w:val="20"/>
          <w:szCs w:val="24"/>
          <w:lang w:eastAsia="en-US"/>
        </w:rPr>
      </w:pPr>
    </w:p>
    <w:p w14:paraId="25447A78" w14:textId="79827B1C" w:rsidR="0048384B" w:rsidRDefault="00FE0E22" w:rsidP="00C47CB2">
      <w:pPr>
        <w:pStyle w:val="Body1"/>
        <w:spacing w:line="240" w:lineRule="auto"/>
        <w:ind w:left="540"/>
        <w:rPr>
          <w:rFonts w:eastAsia="Times New Roman"/>
          <w:sz w:val="20"/>
          <w:szCs w:val="24"/>
          <w:lang w:eastAsia="en-US"/>
        </w:rPr>
      </w:pPr>
      <w:r w:rsidRPr="008A7A35">
        <w:rPr>
          <w:rFonts w:eastAsia="Times New Roman"/>
          <w:sz w:val="20"/>
          <w:szCs w:val="24"/>
          <w:lang w:eastAsia="en-US"/>
        </w:rPr>
        <w:t xml:space="preserve">Following </w:t>
      </w:r>
      <w:r w:rsidR="0044114B">
        <w:rPr>
          <w:rFonts w:eastAsia="Times New Roman"/>
          <w:sz w:val="20"/>
          <w:szCs w:val="24"/>
          <w:lang w:eastAsia="en-US"/>
        </w:rPr>
        <w:t xml:space="preserve">the various resolutions being approved </w:t>
      </w:r>
      <w:r w:rsidRPr="008A7A35">
        <w:rPr>
          <w:rFonts w:eastAsia="Times New Roman"/>
          <w:sz w:val="20"/>
          <w:szCs w:val="24"/>
          <w:lang w:eastAsia="en-US"/>
        </w:rPr>
        <w:t xml:space="preserve">at </w:t>
      </w:r>
      <w:r w:rsidR="0044114B">
        <w:rPr>
          <w:rFonts w:eastAsia="Times New Roman"/>
          <w:sz w:val="20"/>
          <w:szCs w:val="24"/>
          <w:lang w:eastAsia="en-US"/>
        </w:rPr>
        <w:t xml:space="preserve">the </w:t>
      </w:r>
      <w:r w:rsidRPr="008A7A35">
        <w:rPr>
          <w:rFonts w:eastAsia="Times New Roman"/>
          <w:sz w:val="20"/>
          <w:szCs w:val="24"/>
          <w:lang w:eastAsia="en-US"/>
        </w:rPr>
        <w:t xml:space="preserve">EGM </w:t>
      </w:r>
      <w:r w:rsidR="0044114B">
        <w:rPr>
          <w:rFonts w:eastAsia="Times New Roman"/>
          <w:sz w:val="20"/>
          <w:szCs w:val="24"/>
          <w:lang w:eastAsia="en-US"/>
        </w:rPr>
        <w:t xml:space="preserve">held </w:t>
      </w:r>
      <w:r w:rsidRPr="008A7A35">
        <w:rPr>
          <w:rFonts w:eastAsia="Times New Roman"/>
          <w:sz w:val="20"/>
          <w:szCs w:val="24"/>
          <w:lang w:eastAsia="en-US"/>
        </w:rPr>
        <w:t>on 22 August</w:t>
      </w:r>
      <w:r w:rsidR="0044114B">
        <w:rPr>
          <w:rFonts w:eastAsia="Times New Roman"/>
          <w:sz w:val="20"/>
          <w:szCs w:val="24"/>
          <w:lang w:eastAsia="en-US"/>
        </w:rPr>
        <w:t xml:space="preserve"> 2025</w:t>
      </w:r>
      <w:r w:rsidRPr="008A7A35">
        <w:rPr>
          <w:rFonts w:eastAsia="Times New Roman"/>
          <w:sz w:val="20"/>
          <w:szCs w:val="24"/>
          <w:lang w:eastAsia="en-US"/>
        </w:rPr>
        <w:t xml:space="preserve">, the </w:t>
      </w:r>
      <w:r w:rsidR="0044114B">
        <w:rPr>
          <w:rFonts w:eastAsia="Times New Roman"/>
          <w:sz w:val="20"/>
          <w:szCs w:val="24"/>
          <w:lang w:eastAsia="en-US"/>
        </w:rPr>
        <w:t xml:space="preserve">Company’s </w:t>
      </w:r>
      <w:r w:rsidRPr="008A7A35">
        <w:rPr>
          <w:rFonts w:eastAsia="Times New Roman"/>
          <w:sz w:val="20"/>
          <w:szCs w:val="24"/>
          <w:lang w:eastAsia="en-US"/>
        </w:rPr>
        <w:t>investment objective and policy changed</w:t>
      </w:r>
      <w:r w:rsidR="0044114B">
        <w:rPr>
          <w:rFonts w:eastAsia="Times New Roman"/>
          <w:sz w:val="20"/>
          <w:szCs w:val="24"/>
          <w:lang w:eastAsia="en-US"/>
        </w:rPr>
        <w:t xml:space="preserve"> and </w:t>
      </w:r>
      <w:proofErr w:type="gramStart"/>
      <w:r w:rsidR="0044114B">
        <w:rPr>
          <w:rFonts w:eastAsia="Times New Roman"/>
          <w:sz w:val="20"/>
          <w:szCs w:val="24"/>
          <w:lang w:eastAsia="en-US"/>
        </w:rPr>
        <w:t>as a consequence</w:t>
      </w:r>
      <w:proofErr w:type="gramEnd"/>
      <w:r w:rsidR="0044114B">
        <w:rPr>
          <w:rFonts w:eastAsia="Times New Roman"/>
          <w:sz w:val="20"/>
          <w:szCs w:val="24"/>
          <w:lang w:eastAsia="en-US"/>
        </w:rPr>
        <w:t xml:space="preserve"> the IMA was revised to outline new terms of appointment for the Investment Manager for the period of the Managed Wind-Down. The </w:t>
      </w:r>
      <w:r w:rsidRPr="008A7A35">
        <w:rPr>
          <w:rFonts w:eastAsia="Times New Roman"/>
          <w:sz w:val="20"/>
          <w:szCs w:val="24"/>
          <w:lang w:eastAsia="en-US"/>
        </w:rPr>
        <w:t xml:space="preserve">management fee payable by </w:t>
      </w:r>
      <w:r w:rsidR="0044114B">
        <w:rPr>
          <w:rFonts w:eastAsia="Times New Roman"/>
          <w:sz w:val="20"/>
          <w:szCs w:val="24"/>
          <w:lang w:eastAsia="en-US"/>
        </w:rPr>
        <w:t xml:space="preserve">the Company has now with effect from 22 August 2025 </w:t>
      </w:r>
      <w:r w:rsidRPr="008A7A35">
        <w:rPr>
          <w:rFonts w:eastAsia="Times New Roman"/>
          <w:sz w:val="20"/>
          <w:szCs w:val="24"/>
          <w:lang w:eastAsia="en-US"/>
        </w:rPr>
        <w:t>be</w:t>
      </w:r>
      <w:r w:rsidR="0044114B">
        <w:rPr>
          <w:rFonts w:eastAsia="Times New Roman"/>
          <w:sz w:val="20"/>
          <w:szCs w:val="24"/>
          <w:lang w:eastAsia="en-US"/>
        </w:rPr>
        <w:t>en</w:t>
      </w:r>
      <w:r w:rsidRPr="008A7A35">
        <w:rPr>
          <w:rFonts w:eastAsia="Times New Roman"/>
          <w:sz w:val="20"/>
          <w:szCs w:val="24"/>
          <w:lang w:eastAsia="en-US"/>
        </w:rPr>
        <w:t xml:space="preserve"> reduced from 1.5 per cent. per annum of the Company's Net Asset Value (including cash) to 1 per cent. per annum of Net Asset Value (excluding cash), subject until 31 December 2027 to a minimum fee of US$500,000 per annum, pro-rated for any partial year. The management fee continue</w:t>
      </w:r>
      <w:r w:rsidR="0044114B">
        <w:rPr>
          <w:rFonts w:eastAsia="Times New Roman"/>
          <w:sz w:val="20"/>
          <w:szCs w:val="24"/>
          <w:lang w:eastAsia="en-US"/>
        </w:rPr>
        <w:t>s</w:t>
      </w:r>
      <w:r w:rsidRPr="008A7A35">
        <w:rPr>
          <w:rFonts w:eastAsia="Times New Roman"/>
          <w:sz w:val="20"/>
          <w:szCs w:val="24"/>
          <w:lang w:eastAsia="en-US"/>
        </w:rPr>
        <w:t xml:space="preserve"> to be payable quarterly in </w:t>
      </w:r>
      <w:proofErr w:type="gramStart"/>
      <w:r w:rsidRPr="008A7A35">
        <w:rPr>
          <w:rFonts w:eastAsia="Times New Roman"/>
          <w:sz w:val="20"/>
          <w:szCs w:val="24"/>
          <w:lang w:eastAsia="en-US"/>
        </w:rPr>
        <w:t>arrear</w:t>
      </w:r>
      <w:r w:rsidR="00D76EBC">
        <w:rPr>
          <w:rFonts w:eastAsia="Times New Roman"/>
          <w:sz w:val="20"/>
          <w:szCs w:val="24"/>
          <w:lang w:eastAsia="en-US"/>
        </w:rPr>
        <w:t>s</w:t>
      </w:r>
      <w:proofErr w:type="gramEnd"/>
      <w:r w:rsidRPr="008A7A35">
        <w:rPr>
          <w:rFonts w:eastAsia="Times New Roman"/>
          <w:sz w:val="20"/>
          <w:szCs w:val="24"/>
          <w:lang w:eastAsia="en-US"/>
        </w:rPr>
        <w:t xml:space="preserve"> and each payment continue</w:t>
      </w:r>
      <w:r w:rsidR="0044114B">
        <w:rPr>
          <w:rFonts w:eastAsia="Times New Roman"/>
          <w:sz w:val="20"/>
          <w:szCs w:val="24"/>
          <w:lang w:eastAsia="en-US"/>
        </w:rPr>
        <w:t>s</w:t>
      </w:r>
      <w:r w:rsidRPr="008A7A35">
        <w:rPr>
          <w:rFonts w:eastAsia="Times New Roman"/>
          <w:sz w:val="20"/>
          <w:szCs w:val="24"/>
          <w:lang w:eastAsia="en-US"/>
        </w:rPr>
        <w:t xml:space="preserve"> to be calculated using the quarterly Net Asset Value of </w:t>
      </w:r>
      <w:r w:rsidR="0044114B">
        <w:rPr>
          <w:rFonts w:eastAsia="Times New Roman"/>
          <w:sz w:val="20"/>
          <w:szCs w:val="24"/>
          <w:lang w:eastAsia="en-US"/>
        </w:rPr>
        <w:t xml:space="preserve">the Company (excluding cash) </w:t>
      </w:r>
      <w:r w:rsidRPr="008A7A35">
        <w:rPr>
          <w:rFonts w:eastAsia="Times New Roman"/>
          <w:sz w:val="20"/>
          <w:szCs w:val="24"/>
          <w:lang w:eastAsia="en-US"/>
        </w:rPr>
        <w:t>as at the relevant quarter end</w:t>
      </w:r>
      <w:r w:rsidR="0048384B">
        <w:rPr>
          <w:rFonts w:eastAsia="Times New Roman"/>
          <w:sz w:val="20"/>
          <w:szCs w:val="24"/>
          <w:lang w:eastAsia="en-US"/>
        </w:rPr>
        <w:t>.</w:t>
      </w:r>
    </w:p>
    <w:p w14:paraId="3C729EDC" w14:textId="6DBC94FD" w:rsidR="008F48FD" w:rsidRDefault="00173B6F" w:rsidP="00C47CB2">
      <w:pPr>
        <w:pStyle w:val="Body1"/>
        <w:spacing w:line="240" w:lineRule="auto"/>
        <w:ind w:left="540"/>
        <w:rPr>
          <w:rFonts w:eastAsia="Times New Roman"/>
          <w:sz w:val="20"/>
          <w:szCs w:val="24"/>
          <w:lang w:eastAsia="en-US"/>
        </w:rPr>
      </w:pPr>
      <w:r>
        <w:rPr>
          <w:rFonts w:eastAsia="Times New Roman"/>
          <w:sz w:val="20"/>
          <w:szCs w:val="24"/>
          <w:lang w:eastAsia="en-US"/>
        </w:rPr>
        <w:t xml:space="preserve">The revisions to the IMA from 22 August 2025 </w:t>
      </w:r>
      <w:proofErr w:type="gramStart"/>
      <w:r>
        <w:rPr>
          <w:rFonts w:eastAsia="Times New Roman"/>
          <w:sz w:val="20"/>
          <w:szCs w:val="24"/>
          <w:lang w:eastAsia="en-US"/>
        </w:rPr>
        <w:t>also</w:t>
      </w:r>
      <w:r w:rsidR="008F48FD">
        <w:rPr>
          <w:rFonts w:eastAsia="Times New Roman"/>
          <w:sz w:val="20"/>
          <w:szCs w:val="24"/>
          <w:lang w:eastAsia="en-US"/>
        </w:rPr>
        <w:t>;</w:t>
      </w:r>
      <w:proofErr w:type="gramEnd"/>
      <w:r>
        <w:rPr>
          <w:rFonts w:eastAsia="Times New Roman"/>
          <w:sz w:val="20"/>
          <w:szCs w:val="24"/>
          <w:lang w:eastAsia="en-US"/>
        </w:rPr>
        <w:t xml:space="preserve"> </w:t>
      </w:r>
    </w:p>
    <w:p w14:paraId="7806D7F5" w14:textId="74384522" w:rsidR="008F48FD" w:rsidRDefault="00173B6F" w:rsidP="00331C35">
      <w:pPr>
        <w:pStyle w:val="Body1"/>
        <w:numPr>
          <w:ilvl w:val="0"/>
          <w:numId w:val="11"/>
        </w:numPr>
        <w:spacing w:line="240" w:lineRule="auto"/>
        <w:rPr>
          <w:rFonts w:eastAsia="Times New Roman"/>
          <w:sz w:val="20"/>
          <w:szCs w:val="24"/>
          <w:lang w:eastAsia="en-US"/>
        </w:rPr>
      </w:pPr>
      <w:r>
        <w:rPr>
          <w:rFonts w:eastAsia="Times New Roman"/>
          <w:sz w:val="20"/>
          <w:szCs w:val="24"/>
          <w:lang w:eastAsia="en-US"/>
        </w:rPr>
        <w:t xml:space="preserve">removed the </w:t>
      </w:r>
      <w:r w:rsidR="008F48FD">
        <w:rPr>
          <w:rFonts w:eastAsia="Times New Roman"/>
          <w:sz w:val="20"/>
          <w:szCs w:val="24"/>
          <w:lang w:eastAsia="en-US"/>
        </w:rPr>
        <w:t>fee offset obligation of the Investment Manager to reimburse the Company when the total of all directors’ fees, travel costs and related expenses of the Directors exceeded certain annual limits, currently set at 0.084</w:t>
      </w:r>
      <w:r w:rsidR="00EE73A7">
        <w:rPr>
          <w:rFonts w:eastAsia="Times New Roman"/>
          <w:sz w:val="20"/>
          <w:szCs w:val="24"/>
          <w:lang w:eastAsia="en-US"/>
        </w:rPr>
        <w:t xml:space="preserve"> per cent.</w:t>
      </w:r>
      <w:r w:rsidR="008F48FD">
        <w:rPr>
          <w:rFonts w:eastAsia="Times New Roman"/>
          <w:sz w:val="20"/>
          <w:szCs w:val="24"/>
          <w:lang w:eastAsia="en-US"/>
        </w:rPr>
        <w:t xml:space="preserve"> of the latest NAV of the Company. From the commencement of the Managed Wind-Down the Company is now responsible for the payment of all directors’ fees, costs and related </w:t>
      </w:r>
      <w:proofErr w:type="gramStart"/>
      <w:r w:rsidR="008F48FD">
        <w:rPr>
          <w:rFonts w:eastAsia="Times New Roman"/>
          <w:sz w:val="20"/>
          <w:szCs w:val="24"/>
          <w:lang w:eastAsia="en-US"/>
        </w:rPr>
        <w:t>expenses;</w:t>
      </w:r>
      <w:proofErr w:type="gramEnd"/>
      <w:r w:rsidR="008F48FD">
        <w:rPr>
          <w:rFonts w:eastAsia="Times New Roman"/>
          <w:sz w:val="20"/>
          <w:szCs w:val="24"/>
          <w:lang w:eastAsia="en-US"/>
        </w:rPr>
        <w:t xml:space="preserve"> </w:t>
      </w:r>
    </w:p>
    <w:p w14:paraId="4CF4B5F3" w14:textId="04B5795F" w:rsidR="008F48FD" w:rsidRDefault="008F48FD" w:rsidP="00331C35">
      <w:pPr>
        <w:pStyle w:val="Body1"/>
        <w:numPr>
          <w:ilvl w:val="0"/>
          <w:numId w:val="11"/>
        </w:numPr>
        <w:spacing w:line="240" w:lineRule="auto"/>
        <w:rPr>
          <w:rFonts w:eastAsia="Times New Roman"/>
          <w:sz w:val="20"/>
          <w:szCs w:val="24"/>
          <w:lang w:eastAsia="en-US"/>
        </w:rPr>
      </w:pPr>
      <w:r>
        <w:rPr>
          <w:rFonts w:eastAsia="Times New Roman"/>
          <w:sz w:val="20"/>
          <w:szCs w:val="24"/>
          <w:lang w:eastAsia="en-US"/>
        </w:rPr>
        <w:lastRenderedPageBreak/>
        <w:t xml:space="preserve">required the Company to reimburse the Investment Manager </w:t>
      </w:r>
      <w:r w:rsidRPr="008F48FD">
        <w:rPr>
          <w:sz w:val="20"/>
        </w:rPr>
        <w:t>for 50 per</w:t>
      </w:r>
      <w:r>
        <w:rPr>
          <w:sz w:val="20"/>
        </w:rPr>
        <w:t xml:space="preserve"> </w:t>
      </w:r>
      <w:r w:rsidRPr="008F48FD">
        <w:rPr>
          <w:sz w:val="20"/>
        </w:rPr>
        <w:t>cent. of its reasonably incurred and documented external legal fees and expenses associated with</w:t>
      </w:r>
      <w:r>
        <w:rPr>
          <w:sz w:val="20"/>
        </w:rPr>
        <w:t xml:space="preserve"> </w:t>
      </w:r>
      <w:r w:rsidRPr="008F48FD">
        <w:rPr>
          <w:sz w:val="20"/>
        </w:rPr>
        <w:t>agreeing the terms of the Managed Wind-Down and the implementation of the Proposed</w:t>
      </w:r>
      <w:r>
        <w:rPr>
          <w:sz w:val="20"/>
        </w:rPr>
        <w:t xml:space="preserve"> </w:t>
      </w:r>
      <w:r w:rsidRPr="008F48FD">
        <w:rPr>
          <w:sz w:val="20"/>
        </w:rPr>
        <w:t>Amendments, provided that (other than in respect of certain Investment Undertakings which form</w:t>
      </w:r>
      <w:r>
        <w:rPr>
          <w:sz w:val="20"/>
        </w:rPr>
        <w:t xml:space="preserve"> </w:t>
      </w:r>
      <w:r w:rsidRPr="008F48FD">
        <w:rPr>
          <w:sz w:val="20"/>
        </w:rPr>
        <w:t xml:space="preserve">part of the Company’s investment holding structure) the Company </w:t>
      </w:r>
      <w:r>
        <w:rPr>
          <w:sz w:val="20"/>
        </w:rPr>
        <w:t>was</w:t>
      </w:r>
      <w:r w:rsidRPr="008F48FD">
        <w:rPr>
          <w:sz w:val="20"/>
        </w:rPr>
        <w:t xml:space="preserve"> not responsible for</w:t>
      </w:r>
      <w:r>
        <w:rPr>
          <w:sz w:val="20"/>
        </w:rPr>
        <w:t xml:space="preserve"> </w:t>
      </w:r>
      <w:r w:rsidRPr="008F48FD">
        <w:rPr>
          <w:sz w:val="20"/>
        </w:rPr>
        <w:t>reimbursing the Investment Manager in respect of any legal costs incurred in relation to any</w:t>
      </w:r>
      <w:r>
        <w:rPr>
          <w:sz w:val="20"/>
        </w:rPr>
        <w:t xml:space="preserve"> </w:t>
      </w:r>
      <w:r w:rsidRPr="008F48FD">
        <w:rPr>
          <w:rFonts w:eastAsia="Times New Roman"/>
          <w:sz w:val="20"/>
          <w:szCs w:val="24"/>
          <w:lang w:eastAsia="en-US"/>
        </w:rPr>
        <w:t>document to which the Company is not a party.</w:t>
      </w:r>
      <w:r>
        <w:rPr>
          <w:rFonts w:eastAsia="Times New Roman"/>
          <w:sz w:val="20"/>
          <w:szCs w:val="24"/>
          <w:lang w:eastAsia="en-US"/>
        </w:rPr>
        <w:t xml:space="preserve"> The Company is therefore required to reimburse </w:t>
      </w:r>
      <w:r w:rsidR="00F0286F">
        <w:rPr>
          <w:rFonts w:eastAsia="Times New Roman"/>
          <w:sz w:val="20"/>
          <w:szCs w:val="24"/>
          <w:lang w:eastAsia="en-US"/>
        </w:rPr>
        <w:t xml:space="preserve">approximately </w:t>
      </w:r>
      <w:r w:rsidRPr="00E71514">
        <w:rPr>
          <w:rFonts w:eastAsia="Times New Roman"/>
          <w:sz w:val="20"/>
          <w:szCs w:val="24"/>
          <w:lang w:eastAsia="en-US"/>
        </w:rPr>
        <w:t>$</w:t>
      </w:r>
      <w:r w:rsidR="00F0286F" w:rsidRPr="00E71514">
        <w:rPr>
          <w:rFonts w:eastAsia="Times New Roman"/>
          <w:sz w:val="20"/>
          <w:szCs w:val="24"/>
          <w:lang w:eastAsia="en-US"/>
        </w:rPr>
        <w:t>0.2 million</w:t>
      </w:r>
      <w:r>
        <w:rPr>
          <w:rFonts w:eastAsia="Times New Roman"/>
          <w:sz w:val="20"/>
          <w:szCs w:val="24"/>
          <w:lang w:eastAsia="en-US"/>
        </w:rPr>
        <w:t xml:space="preserve"> to the Investment Manager; and</w:t>
      </w:r>
    </w:p>
    <w:p w14:paraId="76BEA320" w14:textId="0B5ECC0E" w:rsidR="008F48FD" w:rsidRPr="008F48FD" w:rsidRDefault="3123CEE4" w:rsidP="00331C35">
      <w:pPr>
        <w:pStyle w:val="Body1"/>
        <w:numPr>
          <w:ilvl w:val="0"/>
          <w:numId w:val="11"/>
        </w:numPr>
        <w:spacing w:line="240" w:lineRule="auto"/>
        <w:rPr>
          <w:rFonts w:eastAsia="Times New Roman"/>
          <w:sz w:val="20"/>
          <w:szCs w:val="20"/>
          <w:lang w:eastAsia="en-US"/>
        </w:rPr>
      </w:pPr>
      <w:r w:rsidRPr="1792F60E">
        <w:rPr>
          <w:rFonts w:eastAsia="Times New Roman"/>
          <w:sz w:val="20"/>
          <w:szCs w:val="20"/>
          <w:lang w:eastAsia="en-US"/>
        </w:rPr>
        <w:t xml:space="preserve">provided the </w:t>
      </w:r>
      <w:r w:rsidRPr="1792F60E">
        <w:rPr>
          <w:sz w:val="20"/>
          <w:szCs w:val="20"/>
        </w:rPr>
        <w:t>Investment Manager (in its own capacity or on behalf of its associates and/or any one or more Other Riverstone Funds) with a right of last look in respect of Private Portfolio investments during the term of the</w:t>
      </w:r>
      <w:r w:rsidR="005956CB">
        <w:rPr>
          <w:sz w:val="20"/>
          <w:szCs w:val="20"/>
        </w:rPr>
        <w:t xml:space="preserve"> revised</w:t>
      </w:r>
      <w:r w:rsidRPr="1792F60E">
        <w:rPr>
          <w:sz w:val="20"/>
          <w:szCs w:val="20"/>
        </w:rPr>
        <w:t xml:space="preserve"> Investment Management Agreement and for a period of two years thereafter (save where the Investment Management Agreement has </w:t>
      </w:r>
      <w:r w:rsidRPr="1792F60E">
        <w:rPr>
          <w:rFonts w:eastAsia="Times New Roman"/>
          <w:sz w:val="20"/>
          <w:szCs w:val="20"/>
          <w:lang w:eastAsia="en-US"/>
        </w:rPr>
        <w:t xml:space="preserve">been terminated by way of Company Cause Termination). </w:t>
      </w:r>
      <w:r w:rsidRPr="1792F60E">
        <w:rPr>
          <w:sz w:val="20"/>
          <w:szCs w:val="20"/>
        </w:rPr>
        <w:t xml:space="preserve">The Investment Manager’s right of last look gives the Investment Manager or its nominated associate the right to acquire (in its own capacity or on behalf of one or more Other Riverstone Funds) all or any part of the investments in the Private Portfolio proposed to be sold by the Company to a third party, on materially the same terms offered to that third party by paying a 5 per </w:t>
      </w:r>
      <w:r w:rsidRPr="1792F60E">
        <w:rPr>
          <w:rFonts w:eastAsia="Times New Roman"/>
          <w:sz w:val="20"/>
          <w:szCs w:val="20"/>
          <w:lang w:eastAsia="en-US"/>
        </w:rPr>
        <w:t>cent. premium to the price offered for the relevant investment by such third party.</w:t>
      </w:r>
    </w:p>
    <w:p w14:paraId="04F9E114" w14:textId="59D44763" w:rsidR="0048384B" w:rsidRPr="008A7A35" w:rsidRDefault="0048384B" w:rsidP="00C47CB2">
      <w:pPr>
        <w:pStyle w:val="Body1"/>
        <w:spacing w:line="240" w:lineRule="auto"/>
        <w:ind w:left="540"/>
        <w:rPr>
          <w:rFonts w:eastAsia="Times New Roman"/>
          <w:sz w:val="20"/>
          <w:szCs w:val="24"/>
          <w:lang w:eastAsia="en-US"/>
        </w:rPr>
      </w:pPr>
      <w:r>
        <w:rPr>
          <w:rFonts w:cs="Arial"/>
          <w:sz w:val="20"/>
          <w:szCs w:val="20"/>
        </w:rPr>
        <w:t xml:space="preserve">In addition, the Partnership Agreement with the General Partner has also been amended to eliminate, on commencement of the Managed Wind-Down, the termination payment otherwise payable to the General Partner, an entity in the same group as the Investment Manager. </w:t>
      </w:r>
      <w:r w:rsidR="00446BC5">
        <w:rPr>
          <w:rFonts w:cs="Arial"/>
          <w:sz w:val="20"/>
          <w:szCs w:val="20"/>
        </w:rPr>
        <w:t>Details are noted in the next section.</w:t>
      </w:r>
      <w:r>
        <w:rPr>
          <w:rFonts w:cs="Arial"/>
          <w:sz w:val="20"/>
          <w:szCs w:val="20"/>
        </w:rPr>
        <w:t xml:space="preserve">   </w:t>
      </w:r>
    </w:p>
    <w:p w14:paraId="21EC8067" w14:textId="399C3A47" w:rsidR="00E41A2E" w:rsidRPr="008A7A35" w:rsidRDefault="00E41A2E" w:rsidP="00AF3A1E">
      <w:pPr>
        <w:tabs>
          <w:tab w:val="left" w:pos="6903"/>
        </w:tabs>
        <w:ind w:left="567"/>
        <w:jc w:val="both"/>
        <w:rPr>
          <w:rFonts w:ascii="Arial" w:hAnsi="Arial" w:cs="Arial"/>
          <w:sz w:val="26"/>
          <w:szCs w:val="26"/>
        </w:rPr>
      </w:pPr>
      <w:r w:rsidRPr="008A7A35">
        <w:rPr>
          <w:rFonts w:ascii="Arial" w:hAnsi="Arial" w:cs="Arial"/>
          <w:sz w:val="26"/>
          <w:szCs w:val="26"/>
        </w:rPr>
        <w:t>General Partner</w:t>
      </w:r>
    </w:p>
    <w:p w14:paraId="5D31E361" w14:textId="4CF41859" w:rsidR="0048384B" w:rsidRDefault="00596FBB" w:rsidP="0048384B">
      <w:pPr>
        <w:pStyle w:val="Bodytext"/>
        <w:ind w:left="567"/>
        <w:jc w:val="both"/>
      </w:pPr>
      <w:r w:rsidRPr="008A7A35">
        <w:t>The General Partner makes all management decisions, other than investment management decisions, in relation to the Partnership and controls all other actions by the Partnership</w:t>
      </w:r>
      <w:r w:rsidR="0044114B">
        <w:t xml:space="preserve">. </w:t>
      </w:r>
      <w:proofErr w:type="gramStart"/>
      <w:r w:rsidR="0044114B">
        <w:t>As a consequence of</w:t>
      </w:r>
      <w:proofErr w:type="gramEnd"/>
      <w:r w:rsidR="0044114B">
        <w:t xml:space="preserve"> </w:t>
      </w:r>
      <w:proofErr w:type="gramStart"/>
      <w:r w:rsidR="00FE0E22" w:rsidRPr="008A7A35">
        <w:t>entering into</w:t>
      </w:r>
      <w:proofErr w:type="gramEnd"/>
      <w:r w:rsidR="00FE0E22" w:rsidRPr="008A7A35">
        <w:t xml:space="preserve"> the Managed Wind-Down, the performance allocation arrangements </w:t>
      </w:r>
      <w:r w:rsidR="0044114B">
        <w:t xml:space="preserve">as </w:t>
      </w:r>
      <w:proofErr w:type="gramStart"/>
      <w:r w:rsidR="0044114B">
        <w:t>at</w:t>
      </w:r>
      <w:proofErr w:type="gramEnd"/>
      <w:r w:rsidR="0044114B">
        <w:t xml:space="preserve"> 30 June 2025 and up to 22 August 2025 </w:t>
      </w:r>
      <w:r w:rsidR="00FE0E22" w:rsidRPr="008A7A35">
        <w:t xml:space="preserve">in respect of </w:t>
      </w:r>
      <w:r w:rsidR="0044114B">
        <w:t xml:space="preserve">the Company’s </w:t>
      </w:r>
      <w:r w:rsidR="00FE0E22" w:rsidRPr="008A7A35">
        <w:t xml:space="preserve">investment portfolio </w:t>
      </w:r>
      <w:r w:rsidR="0044114B">
        <w:t>have now ceased to apply</w:t>
      </w:r>
      <w:r w:rsidR="00B71237">
        <w:t xml:space="preserve"> from 22 August 2025. As </w:t>
      </w:r>
      <w:proofErr w:type="gramStart"/>
      <w:r w:rsidR="00B71237">
        <w:t>at</w:t>
      </w:r>
      <w:proofErr w:type="gramEnd"/>
      <w:r w:rsidR="00B71237">
        <w:t xml:space="preserve"> 30 June 2025 because</w:t>
      </w:r>
      <w:r w:rsidR="00FE0E22" w:rsidRPr="008A7A35">
        <w:t xml:space="preserve"> of the current valuation of the Company's investment portfolio and its performance against applicable benchmarks, no further performance allocation </w:t>
      </w:r>
      <w:r w:rsidR="00B71237">
        <w:t xml:space="preserve">has been accrued nor </w:t>
      </w:r>
      <w:r w:rsidR="00FE0E22" w:rsidRPr="008A7A35">
        <w:t>paid by the Company.</w:t>
      </w:r>
    </w:p>
    <w:p w14:paraId="2A3CE7D1" w14:textId="77777777" w:rsidR="0048384B" w:rsidRDefault="0048384B" w:rsidP="0048384B">
      <w:pPr>
        <w:pStyle w:val="Bodytext"/>
        <w:ind w:left="567"/>
        <w:jc w:val="both"/>
      </w:pPr>
    </w:p>
    <w:p w14:paraId="6D82438F" w14:textId="39054802" w:rsidR="00612A32" w:rsidRDefault="0048384B" w:rsidP="00830133">
      <w:pPr>
        <w:pStyle w:val="Bodytext"/>
        <w:ind w:left="567"/>
        <w:jc w:val="both"/>
        <w:rPr>
          <w:rFonts w:cs="Arial"/>
          <w:szCs w:val="20"/>
        </w:rPr>
      </w:pPr>
      <w:r>
        <w:rPr>
          <w:rFonts w:cs="Arial"/>
          <w:szCs w:val="20"/>
        </w:rPr>
        <w:t xml:space="preserve">In addition, the Partnership Agreement with the General Partner has also been amended to eliminate, on commencement of the Managed Wind-Down, the termination payment otherwise payable to the General Partner. For the avoidance of doubt, no termination payment has been triggered by the Company entering Managed Wind-Down. However, in consideration for the changes, principally in-lieu of those related to the removal of the previous termination payment provisions included in the Partnership Agreement, the Company, the Investment Manager and the other parties to the IMA and the Partnership Agreement have agreed to provide for the payment by the Company to the Investment Manager of certain cash amounts (the “Adjustment Payments”) during the Managed Wind-Down period.  </w:t>
      </w:r>
    </w:p>
    <w:p w14:paraId="2F38529D" w14:textId="77777777" w:rsidR="00612A32" w:rsidRDefault="00612A32" w:rsidP="00830133">
      <w:pPr>
        <w:pStyle w:val="Bodytext"/>
        <w:ind w:left="567"/>
        <w:jc w:val="both"/>
        <w:rPr>
          <w:rFonts w:cs="Arial"/>
          <w:szCs w:val="20"/>
        </w:rPr>
      </w:pPr>
    </w:p>
    <w:p w14:paraId="59C2BFAD" w14:textId="40FDDF38" w:rsidR="00330EF2" w:rsidRPr="008A7A35" w:rsidRDefault="0048384B" w:rsidP="00830133">
      <w:pPr>
        <w:pStyle w:val="Bodytext"/>
        <w:ind w:left="567"/>
        <w:jc w:val="both"/>
      </w:pPr>
      <w:r>
        <w:rPr>
          <w:rFonts w:cs="Arial"/>
          <w:szCs w:val="20"/>
        </w:rPr>
        <w:t>The initial Adjustment Payment due by the Company on entering Managed Wind-Down is</w:t>
      </w:r>
      <w:r w:rsidR="00E53D6E">
        <w:rPr>
          <w:rFonts w:cs="Arial"/>
          <w:szCs w:val="20"/>
        </w:rPr>
        <w:t xml:space="preserve"> approximately</w:t>
      </w:r>
      <w:r>
        <w:rPr>
          <w:rFonts w:cs="Arial"/>
          <w:szCs w:val="20"/>
        </w:rPr>
        <w:t xml:space="preserve"> $</w:t>
      </w:r>
      <w:r w:rsidR="00E53D6E">
        <w:rPr>
          <w:rFonts w:cs="Arial"/>
          <w:szCs w:val="20"/>
        </w:rPr>
        <w:t>21.</w:t>
      </w:r>
      <w:r w:rsidR="004726B9">
        <w:rPr>
          <w:rFonts w:cs="Arial"/>
          <w:szCs w:val="20"/>
        </w:rPr>
        <w:t>2</w:t>
      </w:r>
      <w:r w:rsidR="00E53D6E">
        <w:rPr>
          <w:rFonts w:cs="Arial"/>
          <w:szCs w:val="20"/>
        </w:rPr>
        <w:t xml:space="preserve"> million</w:t>
      </w:r>
      <w:r>
        <w:rPr>
          <w:rFonts w:cs="Arial"/>
          <w:szCs w:val="20"/>
        </w:rPr>
        <w:t>, payable by 8 September 2025 and is calculated at 7.5</w:t>
      </w:r>
      <w:r w:rsidR="00EE73A7">
        <w:rPr>
          <w:rFonts w:cs="Arial"/>
          <w:szCs w:val="20"/>
        </w:rPr>
        <w:t xml:space="preserve"> per cent.</w:t>
      </w:r>
      <w:r>
        <w:rPr>
          <w:rFonts w:cs="Arial"/>
          <w:szCs w:val="20"/>
        </w:rPr>
        <w:t xml:space="preserve"> on the combined value as </w:t>
      </w:r>
      <w:proofErr w:type="gramStart"/>
      <w:r>
        <w:rPr>
          <w:rFonts w:cs="Arial"/>
          <w:szCs w:val="20"/>
        </w:rPr>
        <w:t>at</w:t>
      </w:r>
      <w:proofErr w:type="gramEnd"/>
      <w:r>
        <w:rPr>
          <w:rFonts w:cs="Arial"/>
          <w:szCs w:val="20"/>
        </w:rPr>
        <w:t xml:space="preserve"> 30 June 2025 of the cash balances and the remaining unsold publicly listed investments as at the commencement of the Managed Wind-Down period. Subsequent Adjustment Payments due to the Investment Manager arising from the orderly realisation of the Company’s investment portfolio during the Managed Wind-Down period will also be calculated at 7.5</w:t>
      </w:r>
      <w:r w:rsidR="00EE73A7">
        <w:rPr>
          <w:rFonts w:cs="Arial"/>
          <w:szCs w:val="20"/>
        </w:rPr>
        <w:t xml:space="preserve"> per cent.</w:t>
      </w:r>
      <w:r>
        <w:rPr>
          <w:rFonts w:cs="Arial"/>
          <w:szCs w:val="20"/>
        </w:rPr>
        <w:t xml:space="preserve"> on the cash proceeds received by the Company from such disposals. </w:t>
      </w:r>
      <w:r w:rsidR="00CB2AE8">
        <w:rPr>
          <w:rFonts w:cs="Arial"/>
          <w:szCs w:val="20"/>
        </w:rPr>
        <w:t>N</w:t>
      </w:r>
      <w:r>
        <w:rPr>
          <w:rFonts w:cs="Arial"/>
          <w:szCs w:val="20"/>
        </w:rPr>
        <w:t xml:space="preserve">o subsequent Adjustment Payments will arise on the later disposal of the Company’s unsold publicly listed investments held as </w:t>
      </w:r>
      <w:proofErr w:type="gramStart"/>
      <w:r>
        <w:rPr>
          <w:rFonts w:cs="Arial"/>
          <w:szCs w:val="20"/>
        </w:rPr>
        <w:t>at</w:t>
      </w:r>
      <w:proofErr w:type="gramEnd"/>
      <w:r>
        <w:rPr>
          <w:rFonts w:cs="Arial"/>
          <w:szCs w:val="20"/>
        </w:rPr>
        <w:t xml:space="preserve"> 30 June 2025.   </w:t>
      </w:r>
    </w:p>
    <w:p w14:paraId="2DE1B488" w14:textId="77777777" w:rsidR="00CE2592" w:rsidRPr="008A7A35" w:rsidRDefault="00CE2592" w:rsidP="00AF3A1E">
      <w:pPr>
        <w:pStyle w:val="Bodytext"/>
        <w:ind w:left="567"/>
        <w:jc w:val="both"/>
        <w:rPr>
          <w:rFonts w:cs="Arial"/>
        </w:rPr>
      </w:pPr>
    </w:p>
    <w:p w14:paraId="4BD85B73" w14:textId="77777777" w:rsidR="00E41A2E" w:rsidRPr="008A7A35" w:rsidRDefault="00E41A2E" w:rsidP="00AF3A1E">
      <w:pPr>
        <w:tabs>
          <w:tab w:val="left" w:pos="6903"/>
        </w:tabs>
        <w:ind w:left="567"/>
        <w:jc w:val="both"/>
        <w:rPr>
          <w:rFonts w:ascii="Arial" w:hAnsi="Arial" w:cs="Arial"/>
          <w:sz w:val="26"/>
          <w:szCs w:val="26"/>
        </w:rPr>
      </w:pPr>
      <w:r w:rsidRPr="008A7A35">
        <w:rPr>
          <w:rFonts w:ascii="Arial" w:hAnsi="Arial" w:cs="Arial"/>
          <w:sz w:val="26"/>
          <w:szCs w:val="26"/>
        </w:rPr>
        <w:t>Cornerstone Investors</w:t>
      </w:r>
    </w:p>
    <w:p w14:paraId="3BF87BF9" w14:textId="2B5217F6" w:rsidR="00887227" w:rsidRPr="008A7A35" w:rsidRDefault="00E41A2E" w:rsidP="008A7A35">
      <w:pPr>
        <w:tabs>
          <w:tab w:val="left" w:pos="6903"/>
        </w:tabs>
        <w:ind w:left="567"/>
        <w:jc w:val="both"/>
        <w:rPr>
          <w:rFonts w:ascii="Arial" w:hAnsi="Arial" w:cs="Arial"/>
        </w:rPr>
      </w:pPr>
      <w:r w:rsidRPr="008A7A35">
        <w:rPr>
          <w:rFonts w:ascii="Arial" w:hAnsi="Arial" w:cs="Arial"/>
          <w:sz w:val="20"/>
          <w:szCs w:val="20"/>
        </w:rPr>
        <w:t>Each of the Cornerstone Investors has acquired an indirect economic interest in each of the General Partner and the Investment Manager depending on the size of their commitment and the total issue size, up to an aggregate maximum indirect economic interest of 20 per cent. in each, for nominal consideration. These interests entitle the Cornerstone Investors to participate in the economic returns generated by the General Partner and the Investment Manager, which receives the Management Fee.</w:t>
      </w:r>
    </w:p>
    <w:p w14:paraId="458DAD0F" w14:textId="77777777" w:rsidR="00DE4E0D" w:rsidRPr="008A7A35" w:rsidRDefault="00DE4E0D" w:rsidP="003C67B6">
      <w:pPr>
        <w:tabs>
          <w:tab w:val="left" w:pos="6903"/>
        </w:tabs>
        <w:ind w:left="567"/>
        <w:rPr>
          <w:rFonts w:ascii="Arial" w:hAnsi="Arial" w:cs="Arial"/>
        </w:rPr>
      </w:pPr>
    </w:p>
    <w:p w14:paraId="18545D08" w14:textId="53828C3A" w:rsidR="00E41A2E" w:rsidRPr="008A7A35" w:rsidRDefault="002D61AF">
      <w:pPr>
        <w:ind w:left="567" w:hanging="567"/>
        <w:outlineLvl w:val="1"/>
        <w:rPr>
          <w:rFonts w:ascii="Arial" w:hAnsi="Arial" w:cs="Arial"/>
          <w:b/>
          <w:sz w:val="28"/>
          <w:szCs w:val="28"/>
        </w:rPr>
      </w:pPr>
      <w:r w:rsidRPr="008A7A35">
        <w:rPr>
          <w:rFonts w:ascii="Arial" w:hAnsi="Arial" w:cs="Arial"/>
          <w:b/>
          <w:sz w:val="28"/>
          <w:szCs w:val="28"/>
        </w:rPr>
        <w:t>8</w:t>
      </w:r>
      <w:r w:rsidR="00E41A2E" w:rsidRPr="008A7A35">
        <w:rPr>
          <w:rFonts w:ascii="Arial" w:hAnsi="Arial" w:cs="Arial"/>
          <w:b/>
          <w:sz w:val="28"/>
          <w:szCs w:val="28"/>
        </w:rPr>
        <w:t>.</w:t>
      </w:r>
      <w:r w:rsidR="00E41A2E" w:rsidRPr="008A7A35">
        <w:rPr>
          <w:rFonts w:ascii="Arial" w:hAnsi="Arial" w:cs="Arial"/>
          <w:b/>
          <w:sz w:val="28"/>
          <w:szCs w:val="28"/>
        </w:rPr>
        <w:tab/>
        <w:t>Segmental reporting</w:t>
      </w:r>
    </w:p>
    <w:p w14:paraId="7781AD81" w14:textId="0A38E5D8" w:rsidR="00E41A2E" w:rsidRPr="008A7A35" w:rsidRDefault="00E41A2E" w:rsidP="00AF3A1E">
      <w:pPr>
        <w:ind w:left="567"/>
        <w:jc w:val="both"/>
        <w:rPr>
          <w:rFonts w:ascii="Arial" w:hAnsi="Arial" w:cs="Arial"/>
          <w:sz w:val="20"/>
          <w:szCs w:val="20"/>
        </w:rPr>
      </w:pPr>
      <w:r w:rsidRPr="008A7A35">
        <w:rPr>
          <w:rFonts w:ascii="Arial" w:hAnsi="Arial" w:cs="Arial"/>
          <w:sz w:val="20"/>
          <w:szCs w:val="20"/>
        </w:rPr>
        <w:t xml:space="preserve">Operating segments are reported in a manner consistent with the internal reporting provided to the chief operating decision-maker. The chief operating decision-maker, who is responsible for allocating resources and assessing performance of the operating segments, has been identified as the Board of Directors, as a whole. The key measure of performance used by the Board to assess the Company’s performance and </w:t>
      </w:r>
      <w:r w:rsidRPr="008A7A35">
        <w:rPr>
          <w:rFonts w:ascii="Arial" w:hAnsi="Arial" w:cs="Arial"/>
          <w:sz w:val="20"/>
          <w:szCs w:val="20"/>
        </w:rPr>
        <w:lastRenderedPageBreak/>
        <w:t xml:space="preserve">to allocate resources is the </w:t>
      </w:r>
      <w:r w:rsidR="008376DE" w:rsidRPr="008A7A35">
        <w:rPr>
          <w:rFonts w:ascii="Arial" w:hAnsi="Arial" w:cs="Arial"/>
          <w:sz w:val="20"/>
          <w:szCs w:val="20"/>
        </w:rPr>
        <w:t>T</w:t>
      </w:r>
      <w:r w:rsidRPr="008A7A35">
        <w:rPr>
          <w:rFonts w:ascii="Arial" w:hAnsi="Arial" w:cs="Arial"/>
          <w:sz w:val="20"/>
          <w:szCs w:val="20"/>
        </w:rPr>
        <w:t xml:space="preserve">otal </w:t>
      </w:r>
      <w:r w:rsidR="008376DE" w:rsidRPr="008A7A35">
        <w:rPr>
          <w:rFonts w:ascii="Arial" w:hAnsi="Arial" w:cs="Arial"/>
          <w:sz w:val="20"/>
          <w:szCs w:val="20"/>
        </w:rPr>
        <w:t>R</w:t>
      </w:r>
      <w:r w:rsidRPr="008A7A35">
        <w:rPr>
          <w:rFonts w:ascii="Arial" w:hAnsi="Arial" w:cs="Arial"/>
          <w:sz w:val="20"/>
          <w:szCs w:val="20"/>
        </w:rPr>
        <w:t>eturn on the Company’s Net Asset Value, as calculated under IFRS, and therefore no reconciliation is required between the measure of profit or loss used by the Board and that contained in the Financial Statements and Interim Report.</w:t>
      </w:r>
    </w:p>
    <w:p w14:paraId="44EA3782" w14:textId="77777777" w:rsidR="00E41A2E" w:rsidRPr="008A7A35" w:rsidRDefault="00E41A2E" w:rsidP="00AF3A1E">
      <w:pPr>
        <w:ind w:left="567"/>
        <w:jc w:val="both"/>
        <w:rPr>
          <w:rFonts w:ascii="Arial" w:hAnsi="Arial" w:cs="Arial"/>
          <w:sz w:val="20"/>
          <w:szCs w:val="20"/>
        </w:rPr>
      </w:pPr>
    </w:p>
    <w:p w14:paraId="686043A0" w14:textId="77777777" w:rsidR="00E41A2E" w:rsidRPr="008A7A35" w:rsidRDefault="00E41A2E" w:rsidP="00AF3A1E">
      <w:pPr>
        <w:ind w:left="567"/>
        <w:jc w:val="both"/>
        <w:rPr>
          <w:rFonts w:ascii="Arial" w:hAnsi="Arial" w:cs="Arial"/>
          <w:sz w:val="20"/>
          <w:szCs w:val="20"/>
        </w:rPr>
      </w:pPr>
      <w:r w:rsidRPr="008A7A35">
        <w:rPr>
          <w:rFonts w:ascii="Arial" w:hAnsi="Arial" w:cs="Arial"/>
          <w:sz w:val="20"/>
          <w:szCs w:val="20"/>
        </w:rPr>
        <w:t>For management purposes, the Company is organised into one main operating segment, which invests in one limited partnership.</w:t>
      </w:r>
    </w:p>
    <w:p w14:paraId="500F4351" w14:textId="77777777" w:rsidR="00E41A2E" w:rsidRPr="008A7A35" w:rsidRDefault="00E41A2E" w:rsidP="00AF3A1E">
      <w:pPr>
        <w:ind w:left="567"/>
        <w:jc w:val="both"/>
        <w:rPr>
          <w:rFonts w:ascii="Arial" w:hAnsi="Arial" w:cs="Arial"/>
          <w:sz w:val="20"/>
          <w:szCs w:val="20"/>
        </w:rPr>
      </w:pPr>
    </w:p>
    <w:p w14:paraId="74964D5E" w14:textId="12B8ACE3" w:rsidR="00E41A2E" w:rsidRPr="008A7A35" w:rsidRDefault="00E41A2E" w:rsidP="00AF3A1E">
      <w:pPr>
        <w:ind w:left="567"/>
        <w:jc w:val="both"/>
        <w:rPr>
          <w:rFonts w:ascii="Arial" w:hAnsi="Arial" w:cs="Arial"/>
          <w:sz w:val="20"/>
          <w:szCs w:val="20"/>
        </w:rPr>
      </w:pPr>
      <w:proofErr w:type="gramStart"/>
      <w:r w:rsidRPr="008A7A35">
        <w:rPr>
          <w:rFonts w:ascii="Arial" w:hAnsi="Arial" w:cs="Arial"/>
          <w:sz w:val="20"/>
          <w:szCs w:val="20"/>
        </w:rPr>
        <w:t>All of</w:t>
      </w:r>
      <w:proofErr w:type="gramEnd"/>
      <w:r w:rsidRPr="008A7A35">
        <w:rPr>
          <w:rFonts w:ascii="Arial" w:hAnsi="Arial" w:cs="Arial"/>
          <w:sz w:val="20"/>
          <w:szCs w:val="20"/>
        </w:rPr>
        <w:t xml:space="preserve"> the Company’s income is derived from within Guernsey</w:t>
      </w:r>
      <w:r w:rsidR="004E405C" w:rsidRPr="008A7A35">
        <w:rPr>
          <w:rFonts w:ascii="Arial" w:hAnsi="Arial" w:cs="Arial"/>
          <w:sz w:val="20"/>
          <w:szCs w:val="20"/>
        </w:rPr>
        <w:t xml:space="preserve"> </w:t>
      </w:r>
      <w:r w:rsidRPr="008A7A35">
        <w:rPr>
          <w:rFonts w:ascii="Arial" w:hAnsi="Arial" w:cs="Arial"/>
          <w:sz w:val="20"/>
          <w:szCs w:val="20"/>
        </w:rPr>
        <w:t>and the Cayman Islands.</w:t>
      </w:r>
    </w:p>
    <w:p w14:paraId="45231246" w14:textId="77777777" w:rsidR="00E41A2E" w:rsidRPr="008A7A35" w:rsidRDefault="00E41A2E" w:rsidP="00AF3A1E">
      <w:pPr>
        <w:ind w:left="567"/>
        <w:jc w:val="both"/>
        <w:rPr>
          <w:rFonts w:ascii="Arial" w:hAnsi="Arial" w:cs="Arial"/>
          <w:sz w:val="20"/>
          <w:szCs w:val="20"/>
        </w:rPr>
      </w:pPr>
    </w:p>
    <w:p w14:paraId="6D80DC52" w14:textId="77777777" w:rsidR="00E41A2E" w:rsidRPr="008A7A35" w:rsidRDefault="00E41A2E" w:rsidP="00AF3A1E">
      <w:pPr>
        <w:ind w:left="567"/>
        <w:jc w:val="both"/>
        <w:rPr>
          <w:rFonts w:ascii="Arial" w:hAnsi="Arial" w:cs="Arial"/>
          <w:sz w:val="20"/>
          <w:szCs w:val="20"/>
        </w:rPr>
      </w:pPr>
      <w:proofErr w:type="gramStart"/>
      <w:r w:rsidRPr="008A7A35">
        <w:rPr>
          <w:rFonts w:ascii="Arial" w:hAnsi="Arial" w:cs="Arial"/>
          <w:sz w:val="20"/>
          <w:szCs w:val="20"/>
        </w:rPr>
        <w:t>All of</w:t>
      </w:r>
      <w:proofErr w:type="gramEnd"/>
      <w:r w:rsidRPr="008A7A35">
        <w:rPr>
          <w:rFonts w:ascii="Arial" w:hAnsi="Arial" w:cs="Arial"/>
          <w:sz w:val="20"/>
          <w:szCs w:val="20"/>
        </w:rPr>
        <w:t xml:space="preserve"> the Company’s non-current assets </w:t>
      </w:r>
      <w:proofErr w:type="gramStart"/>
      <w:r w:rsidRPr="008A7A35">
        <w:rPr>
          <w:rFonts w:ascii="Arial" w:hAnsi="Arial" w:cs="Arial"/>
          <w:sz w:val="20"/>
          <w:szCs w:val="20"/>
        </w:rPr>
        <w:t>are located in</w:t>
      </w:r>
      <w:proofErr w:type="gramEnd"/>
      <w:r w:rsidRPr="008A7A35">
        <w:rPr>
          <w:rFonts w:ascii="Arial" w:hAnsi="Arial" w:cs="Arial"/>
          <w:sz w:val="20"/>
          <w:szCs w:val="20"/>
        </w:rPr>
        <w:t xml:space="preserve"> the Cayman Islands.</w:t>
      </w:r>
    </w:p>
    <w:p w14:paraId="03912E47" w14:textId="77777777" w:rsidR="00E41A2E" w:rsidRPr="008A7A35" w:rsidRDefault="00E41A2E" w:rsidP="00AF3A1E">
      <w:pPr>
        <w:ind w:left="567"/>
        <w:jc w:val="both"/>
        <w:rPr>
          <w:rFonts w:ascii="Arial" w:hAnsi="Arial" w:cs="Arial"/>
          <w:sz w:val="20"/>
          <w:szCs w:val="20"/>
        </w:rPr>
      </w:pPr>
    </w:p>
    <w:p w14:paraId="53B73F7C" w14:textId="5E06468C" w:rsidR="003819CB" w:rsidRDefault="00E41A2E" w:rsidP="00EE73A7">
      <w:pPr>
        <w:ind w:left="567"/>
        <w:jc w:val="both"/>
        <w:rPr>
          <w:rFonts w:ascii="Arial" w:hAnsi="Arial" w:cs="Arial"/>
          <w:sz w:val="20"/>
          <w:szCs w:val="20"/>
        </w:rPr>
      </w:pPr>
      <w:r w:rsidRPr="008A7A35">
        <w:rPr>
          <w:rFonts w:ascii="Arial" w:hAnsi="Arial" w:cs="Arial"/>
          <w:sz w:val="20"/>
          <w:szCs w:val="20"/>
        </w:rPr>
        <w:t>Due to the Company’s nature, it has no customers.</w:t>
      </w:r>
    </w:p>
    <w:p w14:paraId="0B16852C" w14:textId="77777777" w:rsidR="00DE2110" w:rsidRPr="008A7A35" w:rsidRDefault="00DE2110" w:rsidP="006564C0">
      <w:pPr>
        <w:jc w:val="both"/>
        <w:rPr>
          <w:rFonts w:ascii="Arial" w:hAnsi="Arial" w:cs="Arial"/>
          <w:sz w:val="20"/>
          <w:szCs w:val="20"/>
        </w:rPr>
      </w:pPr>
    </w:p>
    <w:p w14:paraId="5B9F29E8" w14:textId="77777777" w:rsidR="00E41A2E" w:rsidRPr="008A7A35" w:rsidRDefault="00E41A2E" w:rsidP="00D540E1">
      <w:pPr>
        <w:tabs>
          <w:tab w:val="left" w:pos="6903"/>
        </w:tabs>
        <w:rPr>
          <w:rFonts w:ascii="Arial" w:hAnsi="Arial" w:cs="Arial"/>
        </w:rPr>
      </w:pPr>
    </w:p>
    <w:p w14:paraId="5DF08DCA" w14:textId="3DEF6C15" w:rsidR="00E41A2E" w:rsidRPr="008A7A35" w:rsidRDefault="002D61AF">
      <w:pPr>
        <w:ind w:left="567" w:hanging="567"/>
        <w:outlineLvl w:val="1"/>
        <w:rPr>
          <w:rFonts w:ascii="Arial" w:hAnsi="Arial" w:cs="Arial"/>
          <w:b/>
          <w:sz w:val="28"/>
          <w:szCs w:val="28"/>
        </w:rPr>
      </w:pPr>
      <w:r w:rsidRPr="008A7A35">
        <w:rPr>
          <w:rFonts w:ascii="Arial" w:hAnsi="Arial" w:cs="Arial"/>
          <w:b/>
          <w:sz w:val="28"/>
          <w:szCs w:val="28"/>
        </w:rPr>
        <w:t>9</w:t>
      </w:r>
      <w:r w:rsidR="00E41A2E" w:rsidRPr="008A7A35">
        <w:rPr>
          <w:rFonts w:ascii="Arial" w:hAnsi="Arial" w:cs="Arial"/>
          <w:b/>
          <w:sz w:val="28"/>
          <w:szCs w:val="28"/>
        </w:rPr>
        <w:t>.</w:t>
      </w:r>
      <w:r w:rsidR="00E41A2E" w:rsidRPr="008A7A35">
        <w:rPr>
          <w:rFonts w:ascii="Arial" w:hAnsi="Arial" w:cs="Arial"/>
          <w:b/>
          <w:sz w:val="28"/>
          <w:szCs w:val="28"/>
        </w:rPr>
        <w:tab/>
      </w:r>
      <w:r w:rsidR="00D62311" w:rsidRPr="008A7A35">
        <w:rPr>
          <w:rFonts w:ascii="Arial" w:hAnsi="Arial" w:cs="Arial"/>
          <w:b/>
          <w:sz w:val="28"/>
          <w:szCs w:val="28"/>
        </w:rPr>
        <w:t>Earning</w:t>
      </w:r>
      <w:r w:rsidR="003A3F6E" w:rsidRPr="008A7A35">
        <w:rPr>
          <w:rFonts w:ascii="Arial" w:hAnsi="Arial" w:cs="Arial"/>
          <w:b/>
          <w:sz w:val="28"/>
          <w:szCs w:val="28"/>
        </w:rPr>
        <w:t>s</w:t>
      </w:r>
      <w:r w:rsidR="00E41A2E" w:rsidRPr="008A7A35">
        <w:rPr>
          <w:rFonts w:ascii="Arial" w:hAnsi="Arial" w:cs="Arial"/>
          <w:b/>
          <w:sz w:val="28"/>
          <w:szCs w:val="28"/>
        </w:rPr>
        <w:t xml:space="preserve"> </w:t>
      </w:r>
      <w:r w:rsidR="008547A7" w:rsidRPr="008A7A35">
        <w:rPr>
          <w:rFonts w:ascii="Arial" w:hAnsi="Arial" w:cs="Arial"/>
          <w:b/>
          <w:sz w:val="28"/>
          <w:szCs w:val="28"/>
        </w:rPr>
        <w:t xml:space="preserve">per </w:t>
      </w:r>
      <w:r w:rsidR="00E41A2E" w:rsidRPr="008A7A35">
        <w:rPr>
          <w:rFonts w:ascii="Arial" w:hAnsi="Arial" w:cs="Arial"/>
          <w:b/>
          <w:sz w:val="28"/>
          <w:szCs w:val="28"/>
        </w:rPr>
        <w:t>Share and Net Asset Value per Share</w:t>
      </w:r>
    </w:p>
    <w:p w14:paraId="707C5E23" w14:textId="77777777" w:rsidR="00E41A2E" w:rsidRPr="008A7A35" w:rsidRDefault="00E41A2E">
      <w:pPr>
        <w:rPr>
          <w:rFonts w:ascii="Arial" w:hAnsi="Arial" w:cs="Arial"/>
        </w:rPr>
      </w:pPr>
    </w:p>
    <w:p w14:paraId="6E346A29" w14:textId="25122704" w:rsidR="00E41A2E" w:rsidRPr="008A7A35" w:rsidRDefault="00D62311">
      <w:pPr>
        <w:tabs>
          <w:tab w:val="left" w:pos="6903"/>
        </w:tabs>
        <w:ind w:left="567"/>
        <w:rPr>
          <w:rFonts w:ascii="Arial" w:hAnsi="Arial" w:cs="Arial"/>
        </w:rPr>
      </w:pPr>
      <w:r w:rsidRPr="008A7A35">
        <w:rPr>
          <w:rFonts w:ascii="Arial" w:hAnsi="Arial" w:cs="Arial"/>
          <w:sz w:val="26"/>
          <w:szCs w:val="26"/>
        </w:rPr>
        <w:t>Earnings</w:t>
      </w:r>
      <w:r w:rsidR="00DD0E9B" w:rsidRPr="008A7A35">
        <w:rPr>
          <w:rFonts w:ascii="Arial" w:hAnsi="Arial" w:cs="Arial"/>
          <w:sz w:val="26"/>
          <w:szCs w:val="26"/>
        </w:rPr>
        <w:t xml:space="preserve"> </w:t>
      </w:r>
      <w:r w:rsidR="00E41A2E" w:rsidRPr="008A7A35">
        <w:rPr>
          <w:rFonts w:ascii="Arial" w:hAnsi="Arial" w:cs="Arial"/>
          <w:sz w:val="26"/>
          <w:szCs w:val="26"/>
        </w:rPr>
        <w:t>per Share</w:t>
      </w:r>
    </w:p>
    <w:p w14:paraId="383FF59A" w14:textId="61687637" w:rsidR="00E41A2E" w:rsidRPr="008A7A35" w:rsidRDefault="00E41A2E">
      <w:pPr>
        <w:tabs>
          <w:tab w:val="left" w:pos="6903"/>
        </w:tabs>
        <w:ind w:left="567"/>
        <w:rPr>
          <w:rFonts w:ascii="Arial" w:hAnsi="Arial" w:cs="Arial"/>
          <w:sz w:val="20"/>
          <w:szCs w:val="20"/>
        </w:rPr>
      </w:pPr>
    </w:p>
    <w:tbl>
      <w:tblPr>
        <w:tblW w:w="9781" w:type="dxa"/>
        <w:tblLook w:val="04A0" w:firstRow="1" w:lastRow="0" w:firstColumn="1" w:lastColumn="0" w:noHBand="0" w:noVBand="1"/>
      </w:tblPr>
      <w:tblGrid>
        <w:gridCol w:w="4820"/>
        <w:gridCol w:w="2551"/>
        <w:gridCol w:w="2410"/>
      </w:tblGrid>
      <w:tr w:rsidR="009C2210" w:rsidRPr="008A7A35" w14:paraId="3F916C38" w14:textId="77777777" w:rsidTr="00C615DD">
        <w:trPr>
          <w:trHeight w:val="299"/>
        </w:trPr>
        <w:tc>
          <w:tcPr>
            <w:tcW w:w="4820" w:type="dxa"/>
            <w:tcBorders>
              <w:top w:val="nil"/>
              <w:left w:val="nil"/>
              <w:right w:val="nil"/>
            </w:tcBorders>
            <w:shd w:val="clear" w:color="000000" w:fill="FFFFFF"/>
            <w:noWrap/>
            <w:vAlign w:val="bottom"/>
            <w:hideMark/>
          </w:tcPr>
          <w:p w14:paraId="4ACCD647" w14:textId="77777777" w:rsidR="009C2210" w:rsidRPr="008A7A35" w:rsidRDefault="009C2210" w:rsidP="009C2210">
            <w:pPr>
              <w:rPr>
                <w:rFonts w:ascii="Arial Body" w:hAnsi="Arial Body" w:cs="Calibri"/>
                <w:sz w:val="20"/>
                <w:szCs w:val="20"/>
                <w:lang w:eastAsia="en-GB"/>
              </w:rPr>
            </w:pPr>
            <w:r w:rsidRPr="008A7A35">
              <w:rPr>
                <w:rFonts w:ascii="Arial Body" w:hAnsi="Arial Body" w:cs="Calibri"/>
                <w:sz w:val="20"/>
                <w:szCs w:val="20"/>
                <w:lang w:eastAsia="en-GB"/>
              </w:rPr>
              <w:t> </w:t>
            </w:r>
          </w:p>
        </w:tc>
        <w:tc>
          <w:tcPr>
            <w:tcW w:w="2551" w:type="dxa"/>
            <w:tcBorders>
              <w:top w:val="nil"/>
              <w:left w:val="nil"/>
              <w:right w:val="nil"/>
            </w:tcBorders>
            <w:shd w:val="clear" w:color="000000" w:fill="FFFFFF"/>
            <w:noWrap/>
            <w:vAlign w:val="center"/>
            <w:hideMark/>
          </w:tcPr>
          <w:p w14:paraId="2F454B4B" w14:textId="4ACEBC18" w:rsidR="009C2210" w:rsidRPr="008A7A35" w:rsidRDefault="009C2210" w:rsidP="009C2210">
            <w:pPr>
              <w:jc w:val="right"/>
              <w:rPr>
                <w:rFonts w:ascii="Arial Body" w:hAnsi="Arial Body" w:cs="Calibri"/>
                <w:b/>
                <w:bCs/>
                <w:sz w:val="20"/>
                <w:szCs w:val="20"/>
                <w:lang w:eastAsia="en-GB"/>
              </w:rPr>
            </w:pPr>
            <w:r w:rsidRPr="008A7A35">
              <w:rPr>
                <w:rFonts w:ascii="Arial Body" w:hAnsi="Arial Body" w:cs="Calibri"/>
                <w:b/>
                <w:bCs/>
                <w:sz w:val="20"/>
                <w:szCs w:val="20"/>
                <w:lang w:eastAsia="en-GB"/>
              </w:rPr>
              <w:t>1 January 2025</w:t>
            </w:r>
          </w:p>
        </w:tc>
        <w:tc>
          <w:tcPr>
            <w:tcW w:w="2410" w:type="dxa"/>
            <w:tcBorders>
              <w:top w:val="nil"/>
              <w:left w:val="nil"/>
              <w:right w:val="nil"/>
            </w:tcBorders>
            <w:shd w:val="clear" w:color="000000" w:fill="FFFFFF"/>
            <w:noWrap/>
            <w:vAlign w:val="center"/>
            <w:hideMark/>
          </w:tcPr>
          <w:p w14:paraId="10664C7F" w14:textId="7812D21C" w:rsidR="009C2210" w:rsidRPr="008A7A35" w:rsidRDefault="009C2210" w:rsidP="009C2210">
            <w:pPr>
              <w:jc w:val="right"/>
              <w:rPr>
                <w:rFonts w:ascii="Arial Body" w:hAnsi="Arial Body" w:cs="Calibri"/>
                <w:b/>
                <w:bCs/>
                <w:sz w:val="20"/>
                <w:szCs w:val="20"/>
                <w:lang w:eastAsia="en-GB"/>
              </w:rPr>
            </w:pPr>
            <w:r w:rsidRPr="008A7A35">
              <w:rPr>
                <w:rFonts w:ascii="Arial Body" w:hAnsi="Arial Body" w:cs="Calibri"/>
                <w:b/>
                <w:bCs/>
                <w:sz w:val="20"/>
                <w:szCs w:val="20"/>
                <w:lang w:eastAsia="en-GB"/>
              </w:rPr>
              <w:t>1 January 2024</w:t>
            </w:r>
          </w:p>
        </w:tc>
      </w:tr>
      <w:tr w:rsidR="009C2210" w:rsidRPr="008A7A35" w14:paraId="19245B6D" w14:textId="77777777" w:rsidTr="00C615DD">
        <w:trPr>
          <w:trHeight w:val="249"/>
        </w:trPr>
        <w:tc>
          <w:tcPr>
            <w:tcW w:w="4820" w:type="dxa"/>
            <w:tcBorders>
              <w:top w:val="nil"/>
              <w:left w:val="nil"/>
              <w:bottom w:val="single" w:sz="4" w:space="0" w:color="auto"/>
              <w:right w:val="nil"/>
            </w:tcBorders>
            <w:shd w:val="clear" w:color="000000" w:fill="FFFFFF"/>
            <w:noWrap/>
            <w:vAlign w:val="bottom"/>
            <w:hideMark/>
          </w:tcPr>
          <w:p w14:paraId="48F17024" w14:textId="77777777" w:rsidR="009C2210" w:rsidRPr="008A7A35" w:rsidRDefault="009C2210" w:rsidP="009C2210">
            <w:pPr>
              <w:rPr>
                <w:rFonts w:ascii="Arial Body" w:hAnsi="Arial Body" w:cs="Calibri"/>
                <w:sz w:val="20"/>
                <w:szCs w:val="20"/>
                <w:lang w:eastAsia="en-GB"/>
              </w:rPr>
            </w:pPr>
            <w:r w:rsidRPr="008A7A35">
              <w:rPr>
                <w:rFonts w:ascii="Arial Body" w:hAnsi="Arial Body" w:cs="Calibri"/>
                <w:sz w:val="20"/>
                <w:szCs w:val="20"/>
                <w:lang w:eastAsia="en-GB"/>
              </w:rPr>
              <w:t> </w:t>
            </w:r>
          </w:p>
        </w:tc>
        <w:tc>
          <w:tcPr>
            <w:tcW w:w="2551" w:type="dxa"/>
            <w:tcBorders>
              <w:top w:val="nil"/>
              <w:left w:val="nil"/>
              <w:bottom w:val="single" w:sz="4" w:space="0" w:color="auto"/>
              <w:right w:val="nil"/>
            </w:tcBorders>
            <w:shd w:val="clear" w:color="000000" w:fill="FFFFFF"/>
            <w:noWrap/>
            <w:vAlign w:val="center"/>
            <w:hideMark/>
          </w:tcPr>
          <w:p w14:paraId="71680013" w14:textId="051383DF" w:rsidR="009C2210" w:rsidRPr="008A7A35" w:rsidRDefault="009C2210" w:rsidP="009C2210">
            <w:pPr>
              <w:jc w:val="right"/>
              <w:rPr>
                <w:rFonts w:ascii="Arial Body" w:hAnsi="Arial Body" w:cs="Calibri"/>
                <w:b/>
                <w:bCs/>
                <w:sz w:val="20"/>
                <w:szCs w:val="20"/>
                <w:lang w:eastAsia="en-GB"/>
              </w:rPr>
            </w:pPr>
            <w:r w:rsidRPr="008A7A35">
              <w:rPr>
                <w:rFonts w:ascii="Arial Body" w:hAnsi="Arial Body" w:cs="Calibri"/>
                <w:b/>
                <w:bCs/>
                <w:sz w:val="20"/>
                <w:szCs w:val="20"/>
                <w:lang w:eastAsia="en-GB"/>
              </w:rPr>
              <w:t>to 30 June 2025</w:t>
            </w:r>
          </w:p>
        </w:tc>
        <w:tc>
          <w:tcPr>
            <w:tcW w:w="2410" w:type="dxa"/>
            <w:tcBorders>
              <w:top w:val="nil"/>
              <w:left w:val="nil"/>
              <w:bottom w:val="single" w:sz="4" w:space="0" w:color="auto"/>
              <w:right w:val="nil"/>
            </w:tcBorders>
            <w:shd w:val="clear" w:color="000000" w:fill="FFFFFF"/>
            <w:noWrap/>
            <w:vAlign w:val="center"/>
            <w:hideMark/>
          </w:tcPr>
          <w:p w14:paraId="3DD7C16E" w14:textId="58B6B3B0" w:rsidR="009C2210" w:rsidRPr="008A7A35" w:rsidRDefault="009C2210" w:rsidP="009C2210">
            <w:pPr>
              <w:jc w:val="right"/>
              <w:rPr>
                <w:rFonts w:ascii="Arial Body" w:hAnsi="Arial Body" w:cs="Calibri"/>
                <w:b/>
                <w:bCs/>
                <w:sz w:val="20"/>
                <w:szCs w:val="20"/>
                <w:lang w:eastAsia="en-GB"/>
              </w:rPr>
            </w:pPr>
            <w:r w:rsidRPr="008A7A35">
              <w:rPr>
                <w:rFonts w:ascii="Arial Body" w:hAnsi="Arial Body" w:cs="Calibri"/>
                <w:b/>
                <w:bCs/>
                <w:sz w:val="20"/>
                <w:szCs w:val="20"/>
                <w:lang w:eastAsia="en-GB"/>
              </w:rPr>
              <w:t>to 30 June 2024</w:t>
            </w:r>
          </w:p>
        </w:tc>
      </w:tr>
      <w:tr w:rsidR="009C2210" w:rsidRPr="008A7A35" w14:paraId="09E0DE6E" w14:textId="77777777" w:rsidTr="00391CE4">
        <w:trPr>
          <w:trHeight w:val="147"/>
        </w:trPr>
        <w:tc>
          <w:tcPr>
            <w:tcW w:w="4820" w:type="dxa"/>
            <w:tcBorders>
              <w:top w:val="single" w:sz="4" w:space="0" w:color="auto"/>
              <w:left w:val="nil"/>
              <w:bottom w:val="nil"/>
              <w:right w:val="nil"/>
            </w:tcBorders>
            <w:shd w:val="clear" w:color="000000" w:fill="FFFFFF"/>
            <w:noWrap/>
            <w:vAlign w:val="bottom"/>
            <w:hideMark/>
          </w:tcPr>
          <w:p w14:paraId="401D3DFB" w14:textId="63EF67A4" w:rsidR="009C2210" w:rsidRPr="008A7A35" w:rsidRDefault="00F139F2" w:rsidP="009C2210">
            <w:pPr>
              <w:rPr>
                <w:rFonts w:ascii="Arial Body" w:hAnsi="Arial Body" w:cs="Calibri"/>
                <w:sz w:val="20"/>
                <w:szCs w:val="20"/>
                <w:lang w:eastAsia="en-GB"/>
              </w:rPr>
            </w:pPr>
            <w:r w:rsidRPr="008A7A35">
              <w:rPr>
                <w:rFonts w:ascii="Arial Body" w:hAnsi="Arial Body" w:cs="Calibri"/>
                <w:sz w:val="20"/>
                <w:szCs w:val="20"/>
                <w:lang w:eastAsia="en-GB"/>
              </w:rPr>
              <w:t xml:space="preserve">Profit/(Loss) </w:t>
            </w:r>
            <w:r w:rsidR="009C2210" w:rsidRPr="008A7A35">
              <w:rPr>
                <w:rFonts w:ascii="Arial Body" w:hAnsi="Arial Body" w:cs="Calibri"/>
                <w:sz w:val="20"/>
                <w:szCs w:val="20"/>
                <w:lang w:eastAsia="en-GB"/>
              </w:rPr>
              <w:t>for the period ($’000)</w:t>
            </w:r>
          </w:p>
        </w:tc>
        <w:tc>
          <w:tcPr>
            <w:tcW w:w="2551" w:type="dxa"/>
            <w:tcBorders>
              <w:top w:val="single" w:sz="4" w:space="0" w:color="auto"/>
              <w:left w:val="nil"/>
              <w:bottom w:val="nil"/>
              <w:right w:val="nil"/>
            </w:tcBorders>
            <w:shd w:val="clear" w:color="000000" w:fill="FFFFFF"/>
          </w:tcPr>
          <w:p w14:paraId="3CDF9E13" w14:textId="7BB31DF1" w:rsidR="009C2210" w:rsidRPr="008A7A35" w:rsidRDefault="00896F52" w:rsidP="009C2210">
            <w:pPr>
              <w:jc w:val="right"/>
              <w:rPr>
                <w:rFonts w:ascii="Arial Body" w:hAnsi="Arial Body" w:cs="Calibri"/>
                <w:b/>
                <w:bCs/>
                <w:sz w:val="20"/>
                <w:szCs w:val="20"/>
                <w:lang w:eastAsia="en-GB"/>
              </w:rPr>
            </w:pPr>
            <w:r>
              <w:rPr>
                <w:rFonts w:ascii="Arial" w:hAnsi="Arial" w:cs="Arial"/>
                <w:b/>
                <w:bCs/>
                <w:sz w:val="20"/>
              </w:rPr>
              <w:t>3,033</w:t>
            </w:r>
          </w:p>
        </w:tc>
        <w:tc>
          <w:tcPr>
            <w:tcW w:w="2410" w:type="dxa"/>
            <w:tcBorders>
              <w:top w:val="single" w:sz="4" w:space="0" w:color="auto"/>
              <w:left w:val="nil"/>
              <w:bottom w:val="nil"/>
              <w:right w:val="nil"/>
            </w:tcBorders>
            <w:shd w:val="clear" w:color="000000" w:fill="FFFFFF"/>
            <w:vAlign w:val="bottom"/>
            <w:hideMark/>
          </w:tcPr>
          <w:p w14:paraId="69C01B36" w14:textId="1D3A17CC"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(15,890)</w:t>
            </w:r>
          </w:p>
        </w:tc>
      </w:tr>
      <w:tr w:rsidR="009C2210" w:rsidRPr="008A7A35" w14:paraId="3AB104D1" w14:textId="77777777" w:rsidTr="00391CE4">
        <w:trPr>
          <w:trHeight w:val="147"/>
        </w:trPr>
        <w:tc>
          <w:tcPr>
            <w:tcW w:w="4820" w:type="dxa"/>
            <w:tcBorders>
              <w:top w:val="nil"/>
              <w:left w:val="nil"/>
              <w:right w:val="nil"/>
            </w:tcBorders>
            <w:shd w:val="clear" w:color="000000" w:fill="FFFFFF"/>
            <w:noWrap/>
            <w:vAlign w:val="bottom"/>
            <w:hideMark/>
          </w:tcPr>
          <w:p w14:paraId="12C1E673" w14:textId="088B8F3E" w:rsidR="009C2210" w:rsidRPr="008A7A35" w:rsidRDefault="009C2210" w:rsidP="009C2210">
            <w:pPr>
              <w:rPr>
                <w:rFonts w:ascii="Arial Body" w:hAnsi="Arial Body" w:cs="Calibri"/>
                <w:sz w:val="20"/>
                <w:szCs w:val="20"/>
                <w:lang w:eastAsia="en-GB"/>
              </w:rPr>
            </w:pPr>
            <w:r w:rsidRPr="008A7A35">
              <w:rPr>
                <w:rFonts w:ascii="Arial Body" w:hAnsi="Arial Body" w:cs="Calibri"/>
                <w:sz w:val="20"/>
                <w:szCs w:val="20"/>
                <w:lang w:eastAsia="en-GB"/>
              </w:rPr>
              <w:t>Weighted average numbers of Shares in issue</w:t>
            </w:r>
          </w:p>
        </w:tc>
        <w:tc>
          <w:tcPr>
            <w:tcW w:w="2551" w:type="dxa"/>
            <w:tcBorders>
              <w:top w:val="nil"/>
              <w:left w:val="nil"/>
              <w:right w:val="nil"/>
            </w:tcBorders>
            <w:shd w:val="clear" w:color="000000" w:fill="FFFFFF"/>
          </w:tcPr>
          <w:p w14:paraId="33B27E01" w14:textId="6950B6E1" w:rsidR="009C2210" w:rsidRPr="008A7A35" w:rsidRDefault="00F139F2" w:rsidP="009C2210">
            <w:pPr>
              <w:jc w:val="right"/>
              <w:rPr>
                <w:rFonts w:ascii="Arial Body" w:hAnsi="Arial Body" w:cs="Calibri"/>
                <w:b/>
                <w:bCs/>
                <w:sz w:val="20"/>
                <w:szCs w:val="20"/>
                <w:lang w:eastAsia="en-GB"/>
              </w:rPr>
            </w:pPr>
            <w:r w:rsidRPr="008A7A35">
              <w:rPr>
                <w:rFonts w:ascii="Arial" w:hAnsi="Arial" w:cs="Arial"/>
                <w:b/>
                <w:bCs/>
                <w:sz w:val="20"/>
              </w:rPr>
              <w:t>24,938,786</w:t>
            </w:r>
          </w:p>
        </w:tc>
        <w:tc>
          <w:tcPr>
            <w:tcW w:w="2410" w:type="dxa"/>
            <w:tcBorders>
              <w:top w:val="nil"/>
              <w:left w:val="nil"/>
              <w:right w:val="nil"/>
            </w:tcBorders>
            <w:shd w:val="clear" w:color="000000" w:fill="FFFFFF"/>
            <w:vAlign w:val="bottom"/>
            <w:hideMark/>
          </w:tcPr>
          <w:p w14:paraId="6198B6FD" w14:textId="32697567"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34,381,003</w:t>
            </w:r>
          </w:p>
        </w:tc>
      </w:tr>
      <w:tr w:rsidR="009C2210" w:rsidRPr="008A7A35" w14:paraId="6B9A9523" w14:textId="77777777" w:rsidTr="00391CE4">
        <w:trPr>
          <w:trHeight w:val="147"/>
        </w:trPr>
        <w:tc>
          <w:tcPr>
            <w:tcW w:w="4820" w:type="dxa"/>
            <w:tcBorders>
              <w:top w:val="nil"/>
              <w:left w:val="nil"/>
              <w:bottom w:val="single" w:sz="4" w:space="0" w:color="auto"/>
              <w:right w:val="nil"/>
            </w:tcBorders>
            <w:shd w:val="clear" w:color="000000" w:fill="FFFFFF"/>
            <w:noWrap/>
            <w:vAlign w:val="bottom"/>
            <w:hideMark/>
          </w:tcPr>
          <w:p w14:paraId="341297E6" w14:textId="5F6759EB" w:rsidR="009C2210" w:rsidRPr="008A7A35" w:rsidRDefault="009C2210" w:rsidP="009C2210">
            <w:pPr>
              <w:rPr>
                <w:rFonts w:ascii="Arial Body" w:hAnsi="Arial Body" w:cs="Calibri"/>
                <w:sz w:val="20"/>
                <w:szCs w:val="20"/>
                <w:lang w:eastAsia="en-GB"/>
              </w:rPr>
            </w:pPr>
            <w:r w:rsidRPr="008A7A35">
              <w:rPr>
                <w:rFonts w:ascii="Arial Body" w:hAnsi="Arial Body" w:cs="Calibri"/>
                <w:sz w:val="20"/>
                <w:szCs w:val="20"/>
                <w:lang w:eastAsia="en-GB"/>
              </w:rPr>
              <w:t>E</w:t>
            </w:r>
            <w:r w:rsidR="00F139F2" w:rsidRPr="008A7A35">
              <w:rPr>
                <w:rFonts w:ascii="Arial Body" w:hAnsi="Arial Body" w:cs="Calibri"/>
                <w:sz w:val="20"/>
                <w:szCs w:val="20"/>
                <w:lang w:eastAsia="en-GB"/>
              </w:rPr>
              <w:t>arnings/(Loss) Per Share</w:t>
            </w:r>
          </w:p>
        </w:tc>
        <w:tc>
          <w:tcPr>
            <w:tcW w:w="2551" w:type="dxa"/>
            <w:tcBorders>
              <w:top w:val="nil"/>
              <w:left w:val="nil"/>
              <w:bottom w:val="single" w:sz="4" w:space="0" w:color="auto"/>
              <w:right w:val="nil"/>
            </w:tcBorders>
            <w:shd w:val="clear" w:color="000000" w:fill="FFFFFF"/>
          </w:tcPr>
          <w:p w14:paraId="485A2174" w14:textId="21909479" w:rsidR="009C2210" w:rsidRPr="008A7A35" w:rsidRDefault="00896F52" w:rsidP="009C2210">
            <w:pPr>
              <w:jc w:val="right"/>
              <w:rPr>
                <w:rFonts w:ascii="Arial Body" w:hAnsi="Arial Body" w:cs="Calibri"/>
                <w:b/>
                <w:bCs/>
                <w:sz w:val="20"/>
                <w:szCs w:val="20"/>
                <w:lang w:eastAsia="en-GB"/>
              </w:rPr>
            </w:pPr>
            <w:r>
              <w:rPr>
                <w:rFonts w:ascii="Arial" w:hAnsi="Arial" w:cs="Arial"/>
                <w:b/>
                <w:bCs/>
                <w:sz w:val="20"/>
              </w:rPr>
              <w:t>12.16</w:t>
            </w:r>
          </w:p>
        </w:tc>
        <w:tc>
          <w:tcPr>
            <w:tcW w:w="2410" w:type="dxa"/>
            <w:tcBorders>
              <w:top w:val="nil"/>
              <w:left w:val="nil"/>
              <w:bottom w:val="single" w:sz="4" w:space="0" w:color="auto"/>
              <w:right w:val="nil"/>
            </w:tcBorders>
            <w:shd w:val="clear" w:color="000000" w:fill="FFFFFF"/>
            <w:vAlign w:val="bottom"/>
            <w:hideMark/>
          </w:tcPr>
          <w:p w14:paraId="44C2433F" w14:textId="29AE2233"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(46.22)</w:t>
            </w:r>
          </w:p>
        </w:tc>
      </w:tr>
    </w:tbl>
    <w:p w14:paraId="7F8C0720" w14:textId="13F9B299" w:rsidR="00E148CC" w:rsidRPr="008A7A35" w:rsidRDefault="00E148CC">
      <w:pPr>
        <w:tabs>
          <w:tab w:val="left" w:pos="6903"/>
        </w:tabs>
        <w:ind w:left="567"/>
        <w:rPr>
          <w:rFonts w:ascii="Arial" w:hAnsi="Arial" w:cs="Arial"/>
          <w:sz w:val="20"/>
          <w:szCs w:val="20"/>
        </w:rPr>
      </w:pPr>
    </w:p>
    <w:p w14:paraId="08BDE5A6" w14:textId="6061EA46" w:rsidR="00E41A2E" w:rsidRPr="008A7A35" w:rsidRDefault="00E41A2E" w:rsidP="00AF3A1E">
      <w:pPr>
        <w:tabs>
          <w:tab w:val="left" w:pos="6903"/>
        </w:tabs>
        <w:jc w:val="both"/>
        <w:rPr>
          <w:rFonts w:ascii="Arial" w:hAnsi="Arial" w:cs="Arial"/>
          <w:sz w:val="20"/>
          <w:szCs w:val="20"/>
        </w:rPr>
      </w:pPr>
      <w:r w:rsidRPr="008A7A35">
        <w:rPr>
          <w:rFonts w:ascii="Arial" w:hAnsi="Arial" w:cs="Arial"/>
          <w:sz w:val="20"/>
          <w:szCs w:val="20"/>
        </w:rPr>
        <w:t xml:space="preserve">The </w:t>
      </w:r>
      <w:r w:rsidR="00D62311" w:rsidRPr="008A7A35">
        <w:rPr>
          <w:rFonts w:ascii="Arial" w:hAnsi="Arial" w:cs="Arial"/>
          <w:sz w:val="20"/>
          <w:szCs w:val="20"/>
        </w:rPr>
        <w:t>Earnings</w:t>
      </w:r>
      <w:r w:rsidR="00E8682E" w:rsidRPr="008A7A35">
        <w:rPr>
          <w:rFonts w:ascii="Arial" w:hAnsi="Arial" w:cs="Arial"/>
          <w:sz w:val="20"/>
          <w:szCs w:val="20"/>
        </w:rPr>
        <w:t xml:space="preserve"> </w:t>
      </w:r>
      <w:r w:rsidRPr="008A7A35">
        <w:rPr>
          <w:rFonts w:ascii="Arial" w:hAnsi="Arial" w:cs="Arial"/>
          <w:sz w:val="20"/>
          <w:szCs w:val="20"/>
        </w:rPr>
        <w:t>per Share is based on the profit or loss of the Company for the period and on the weighted average number of Shares the Company had in issue for the period.</w:t>
      </w:r>
    </w:p>
    <w:p w14:paraId="781FB677" w14:textId="77777777" w:rsidR="00E41A2E" w:rsidRPr="008A7A35" w:rsidRDefault="00E41A2E" w:rsidP="00AF3A1E">
      <w:pPr>
        <w:tabs>
          <w:tab w:val="left" w:pos="6903"/>
        </w:tabs>
        <w:ind w:left="567"/>
        <w:jc w:val="both"/>
        <w:rPr>
          <w:rFonts w:ascii="Arial" w:hAnsi="Arial" w:cs="Arial"/>
          <w:sz w:val="20"/>
          <w:szCs w:val="20"/>
        </w:rPr>
      </w:pPr>
    </w:p>
    <w:p w14:paraId="0DBCB4DE" w14:textId="208C9CEC" w:rsidR="00E41A2E" w:rsidRPr="008A7A35" w:rsidRDefault="00E41A2E" w:rsidP="00BB03B1">
      <w:pPr>
        <w:tabs>
          <w:tab w:val="left" w:pos="6903"/>
        </w:tabs>
        <w:jc w:val="both"/>
        <w:rPr>
          <w:rFonts w:ascii="Arial" w:hAnsi="Arial"/>
          <w:sz w:val="20"/>
        </w:rPr>
      </w:pPr>
      <w:r w:rsidRPr="008A7A35">
        <w:rPr>
          <w:rFonts w:ascii="Arial" w:hAnsi="Arial" w:cs="Arial"/>
          <w:sz w:val="20"/>
          <w:szCs w:val="20"/>
        </w:rPr>
        <w:t xml:space="preserve">There are </w:t>
      </w:r>
      <w:r w:rsidR="001A2A96" w:rsidRPr="008A7A35">
        <w:rPr>
          <w:rFonts w:ascii="Arial" w:hAnsi="Arial"/>
          <w:sz w:val="20"/>
        </w:rPr>
        <w:t>no</w:t>
      </w:r>
      <w:r w:rsidRPr="008A7A35">
        <w:rPr>
          <w:rFonts w:ascii="Arial" w:hAnsi="Arial" w:cs="Arial"/>
          <w:sz w:val="20"/>
          <w:szCs w:val="20"/>
        </w:rPr>
        <w:t xml:space="preserve"> dilutive S</w:t>
      </w:r>
      <w:r w:rsidR="00BC03D9" w:rsidRPr="008A7A35">
        <w:rPr>
          <w:rFonts w:ascii="Arial" w:hAnsi="Arial" w:cs="Arial"/>
          <w:sz w:val="20"/>
          <w:szCs w:val="20"/>
        </w:rPr>
        <w:t xml:space="preserve">hares in issue as </w:t>
      </w:r>
      <w:proofErr w:type="gramStart"/>
      <w:r w:rsidR="00BC03D9" w:rsidRPr="008A7A35">
        <w:rPr>
          <w:rFonts w:ascii="Arial" w:hAnsi="Arial" w:cs="Arial"/>
          <w:sz w:val="20"/>
          <w:szCs w:val="20"/>
        </w:rPr>
        <w:t>at</w:t>
      </w:r>
      <w:proofErr w:type="gramEnd"/>
      <w:r w:rsidR="00BC03D9" w:rsidRPr="008A7A35">
        <w:rPr>
          <w:rFonts w:ascii="Arial" w:hAnsi="Arial" w:cs="Arial"/>
          <w:sz w:val="20"/>
          <w:szCs w:val="20"/>
        </w:rPr>
        <w:t xml:space="preserve"> 30 June 202</w:t>
      </w:r>
      <w:r w:rsidR="009C2210" w:rsidRPr="008A7A35">
        <w:rPr>
          <w:rFonts w:ascii="Arial" w:hAnsi="Arial" w:cs="Arial"/>
          <w:sz w:val="20"/>
          <w:szCs w:val="20"/>
        </w:rPr>
        <w:t>5</w:t>
      </w:r>
      <w:r w:rsidR="00BC03D9" w:rsidRPr="008A7A35">
        <w:rPr>
          <w:rFonts w:ascii="Arial" w:hAnsi="Arial" w:cs="Arial"/>
          <w:sz w:val="20"/>
          <w:szCs w:val="20"/>
        </w:rPr>
        <w:t xml:space="preserve"> (30 June 20</w:t>
      </w:r>
      <w:r w:rsidR="00FD465D" w:rsidRPr="008A7A35">
        <w:rPr>
          <w:rFonts w:ascii="Arial" w:hAnsi="Arial" w:cs="Arial"/>
          <w:sz w:val="20"/>
          <w:szCs w:val="20"/>
        </w:rPr>
        <w:t>2</w:t>
      </w:r>
      <w:r w:rsidR="009C2210" w:rsidRPr="008A7A35">
        <w:rPr>
          <w:rFonts w:ascii="Arial" w:hAnsi="Arial" w:cs="Arial"/>
          <w:sz w:val="20"/>
          <w:szCs w:val="20"/>
        </w:rPr>
        <w:t>4</w:t>
      </w:r>
      <w:r w:rsidRPr="008A7A35">
        <w:rPr>
          <w:rFonts w:ascii="Arial" w:hAnsi="Arial" w:cs="Arial"/>
          <w:sz w:val="20"/>
          <w:szCs w:val="20"/>
        </w:rPr>
        <w:t>: none).</w:t>
      </w:r>
    </w:p>
    <w:p w14:paraId="69748CC8" w14:textId="77777777" w:rsidR="00AF3A1E" w:rsidRPr="008A7A35" w:rsidRDefault="00AF3A1E" w:rsidP="001B011A">
      <w:pPr>
        <w:tabs>
          <w:tab w:val="left" w:pos="6903"/>
        </w:tabs>
        <w:rPr>
          <w:rFonts w:ascii="Arial" w:hAnsi="Arial"/>
          <w:sz w:val="20"/>
        </w:rPr>
      </w:pPr>
    </w:p>
    <w:p w14:paraId="68BDA530" w14:textId="05777B6B" w:rsidR="00B300DC" w:rsidRPr="008A7A35" w:rsidRDefault="00E41A2E" w:rsidP="00391CE4">
      <w:pPr>
        <w:ind w:left="567" w:hanging="567"/>
        <w:outlineLvl w:val="2"/>
        <w:rPr>
          <w:rFonts w:ascii="Arial" w:hAnsi="Arial" w:cs="Arial"/>
          <w:sz w:val="26"/>
          <w:szCs w:val="26"/>
        </w:rPr>
      </w:pPr>
      <w:r w:rsidRPr="008A7A35">
        <w:rPr>
          <w:rFonts w:ascii="Arial" w:hAnsi="Arial" w:cs="Arial"/>
          <w:sz w:val="26"/>
          <w:szCs w:val="26"/>
        </w:rPr>
        <w:t>Net Asset Value per Share</w:t>
      </w:r>
    </w:p>
    <w:tbl>
      <w:tblPr>
        <w:tblW w:w="9781" w:type="dxa"/>
        <w:tblLayout w:type="fixed"/>
        <w:tblLook w:val="04A0" w:firstRow="1" w:lastRow="0" w:firstColumn="1" w:lastColumn="0" w:noHBand="0" w:noVBand="1"/>
      </w:tblPr>
      <w:tblGrid>
        <w:gridCol w:w="4395"/>
        <w:gridCol w:w="1842"/>
        <w:gridCol w:w="1985"/>
        <w:gridCol w:w="1559"/>
      </w:tblGrid>
      <w:tr w:rsidR="00B300DC" w:rsidRPr="008A7A35" w14:paraId="33BB548B" w14:textId="77777777" w:rsidTr="00040EB0">
        <w:trPr>
          <w:trHeight w:val="359"/>
        </w:trPr>
        <w:tc>
          <w:tcPr>
            <w:tcW w:w="4395" w:type="dxa"/>
            <w:tcBorders>
              <w:top w:val="nil"/>
              <w:left w:val="nil"/>
              <w:bottom w:val="single" w:sz="4" w:space="0" w:color="auto"/>
              <w:right w:val="nil"/>
            </w:tcBorders>
            <w:shd w:val="clear" w:color="000000" w:fill="FFFFFF"/>
            <w:noWrap/>
            <w:vAlign w:val="bottom"/>
            <w:hideMark/>
          </w:tcPr>
          <w:p w14:paraId="6C7C3A10" w14:textId="77777777" w:rsidR="00B300DC" w:rsidRPr="008A7A35" w:rsidRDefault="00B300DC" w:rsidP="002E692B">
            <w:pPr>
              <w:rPr>
                <w:rFonts w:ascii="Arial Body" w:hAnsi="Arial Body" w:cs="Calibri"/>
                <w:sz w:val="20"/>
                <w:szCs w:val="20"/>
                <w:lang w:eastAsia="en-GB"/>
              </w:rPr>
            </w:pPr>
            <w:r w:rsidRPr="008A7A35">
              <w:rPr>
                <w:rFonts w:ascii="Arial Body" w:hAnsi="Arial Body" w:cs="Calibri"/>
                <w:sz w:val="20"/>
                <w:szCs w:val="20"/>
                <w:lang w:eastAsia="en-GB"/>
              </w:rPr>
              <w:t> </w:t>
            </w:r>
          </w:p>
        </w:tc>
        <w:tc>
          <w:tcPr>
            <w:tcW w:w="1842" w:type="dxa"/>
            <w:tcBorders>
              <w:top w:val="nil"/>
              <w:left w:val="nil"/>
              <w:bottom w:val="single" w:sz="4" w:space="0" w:color="auto"/>
              <w:right w:val="nil"/>
            </w:tcBorders>
            <w:shd w:val="clear" w:color="000000" w:fill="FFFFFF"/>
          </w:tcPr>
          <w:p w14:paraId="2D3646F2" w14:textId="77777777" w:rsidR="00441CA8" w:rsidRPr="008A7A35" w:rsidRDefault="00441CA8" w:rsidP="00441CA8">
            <w:pPr>
              <w:jc w:val="right"/>
              <w:rPr>
                <w:rFonts w:ascii="Arial Body" w:hAnsi="Arial Body" w:cs="Calibri"/>
                <w:b/>
                <w:bCs/>
                <w:sz w:val="20"/>
                <w:szCs w:val="20"/>
                <w:lang w:eastAsia="en-GB"/>
              </w:rPr>
            </w:pPr>
          </w:p>
          <w:p w14:paraId="19E2D854" w14:textId="53C67E14" w:rsidR="00B300DC" w:rsidRPr="008A7A35" w:rsidRDefault="00B300DC" w:rsidP="00441CA8">
            <w:pPr>
              <w:jc w:val="right"/>
              <w:rPr>
                <w:rFonts w:ascii="Arial Body" w:hAnsi="Arial Body" w:cs="Calibri"/>
                <w:b/>
                <w:bCs/>
                <w:sz w:val="20"/>
                <w:szCs w:val="20"/>
                <w:lang w:eastAsia="en-GB"/>
              </w:rPr>
            </w:pPr>
            <w:r w:rsidRPr="008A7A35">
              <w:rPr>
                <w:rFonts w:ascii="Arial Body" w:hAnsi="Arial Body" w:cs="Calibri"/>
                <w:b/>
                <w:bCs/>
                <w:sz w:val="20"/>
                <w:szCs w:val="20"/>
                <w:lang w:eastAsia="en-GB"/>
              </w:rPr>
              <w:t>30 June 202</w:t>
            </w:r>
            <w:r w:rsidR="009C2210" w:rsidRPr="008A7A35">
              <w:rPr>
                <w:rFonts w:ascii="Arial Body" w:hAnsi="Arial Body" w:cs="Calibri"/>
                <w:b/>
                <w:bCs/>
                <w:sz w:val="20"/>
                <w:szCs w:val="20"/>
                <w:lang w:eastAsia="en-GB"/>
              </w:rPr>
              <w:t>5</w:t>
            </w:r>
          </w:p>
        </w:tc>
        <w:tc>
          <w:tcPr>
            <w:tcW w:w="1985" w:type="dxa"/>
            <w:tcBorders>
              <w:top w:val="nil"/>
              <w:left w:val="nil"/>
              <w:bottom w:val="single" w:sz="4" w:space="0" w:color="auto"/>
              <w:right w:val="nil"/>
            </w:tcBorders>
            <w:shd w:val="clear" w:color="000000" w:fill="FFFFFF"/>
            <w:noWrap/>
            <w:vAlign w:val="center"/>
            <w:hideMark/>
          </w:tcPr>
          <w:p w14:paraId="10BCE6BF" w14:textId="77777777" w:rsidR="00441CA8" w:rsidRPr="008A7A35" w:rsidRDefault="00441CA8" w:rsidP="00441CA8">
            <w:pPr>
              <w:jc w:val="right"/>
              <w:rPr>
                <w:rFonts w:ascii="Arial Body" w:hAnsi="Arial Body" w:cs="Calibri"/>
                <w:b/>
                <w:bCs/>
                <w:sz w:val="20"/>
                <w:szCs w:val="20"/>
                <w:lang w:eastAsia="en-GB"/>
              </w:rPr>
            </w:pPr>
          </w:p>
          <w:p w14:paraId="74CC7397" w14:textId="00DFA6AD" w:rsidR="00B300DC" w:rsidRPr="008A7A35" w:rsidRDefault="00B300DC" w:rsidP="00441CA8">
            <w:pPr>
              <w:jc w:val="right"/>
              <w:rPr>
                <w:rFonts w:ascii="Arial Body" w:hAnsi="Arial Body" w:cs="Calibri"/>
                <w:b/>
                <w:bCs/>
                <w:sz w:val="20"/>
                <w:szCs w:val="20"/>
                <w:lang w:eastAsia="en-GB"/>
              </w:rPr>
            </w:pPr>
            <w:r w:rsidRPr="008A7A35">
              <w:rPr>
                <w:rFonts w:ascii="Arial Body" w:hAnsi="Arial Body" w:cs="Calibri"/>
                <w:b/>
                <w:bCs/>
                <w:sz w:val="20"/>
                <w:szCs w:val="20"/>
                <w:lang w:eastAsia="en-GB"/>
              </w:rPr>
              <w:t>31 December 202</w:t>
            </w:r>
            <w:r w:rsidR="009C2210" w:rsidRPr="008A7A35">
              <w:rPr>
                <w:rFonts w:ascii="Arial Body" w:hAnsi="Arial Body" w:cs="Calibri"/>
                <w:b/>
                <w:bCs/>
                <w:sz w:val="20"/>
                <w:szCs w:val="20"/>
                <w:lang w:eastAsia="en-GB"/>
              </w:rPr>
              <w:t>4</w:t>
            </w:r>
          </w:p>
        </w:tc>
        <w:tc>
          <w:tcPr>
            <w:tcW w:w="1559" w:type="dxa"/>
            <w:tcBorders>
              <w:top w:val="nil"/>
              <w:left w:val="nil"/>
              <w:bottom w:val="single" w:sz="4" w:space="0" w:color="auto"/>
              <w:right w:val="nil"/>
            </w:tcBorders>
            <w:shd w:val="clear" w:color="000000" w:fill="FFFFFF"/>
            <w:noWrap/>
            <w:vAlign w:val="center"/>
            <w:hideMark/>
          </w:tcPr>
          <w:p w14:paraId="50F99EC2" w14:textId="77777777" w:rsidR="00441CA8" w:rsidRPr="008A7A35" w:rsidRDefault="00441CA8" w:rsidP="00441CA8">
            <w:pPr>
              <w:jc w:val="right"/>
              <w:rPr>
                <w:rFonts w:ascii="Arial Body" w:hAnsi="Arial Body" w:cs="Calibri"/>
                <w:b/>
                <w:bCs/>
                <w:sz w:val="20"/>
                <w:szCs w:val="20"/>
                <w:lang w:eastAsia="en-GB"/>
              </w:rPr>
            </w:pPr>
          </w:p>
          <w:p w14:paraId="627B6AC1" w14:textId="1F09F36C" w:rsidR="00B300DC" w:rsidRPr="008A7A35" w:rsidRDefault="00B300DC" w:rsidP="00441CA8">
            <w:pPr>
              <w:jc w:val="right"/>
              <w:rPr>
                <w:rFonts w:ascii="Arial Body" w:hAnsi="Arial Body" w:cs="Calibri"/>
                <w:b/>
                <w:bCs/>
                <w:sz w:val="20"/>
                <w:szCs w:val="20"/>
                <w:lang w:eastAsia="en-GB"/>
              </w:rPr>
            </w:pPr>
            <w:r w:rsidRPr="008A7A35">
              <w:rPr>
                <w:rFonts w:ascii="Arial Body" w:hAnsi="Arial Body" w:cs="Calibri"/>
                <w:b/>
                <w:bCs/>
                <w:sz w:val="20"/>
                <w:szCs w:val="20"/>
                <w:lang w:eastAsia="en-GB"/>
              </w:rPr>
              <w:t>30 June 202</w:t>
            </w:r>
            <w:r w:rsidR="009C2210" w:rsidRPr="008A7A35">
              <w:rPr>
                <w:rFonts w:ascii="Arial Body" w:hAnsi="Arial Body" w:cs="Calibri"/>
                <w:b/>
                <w:bCs/>
                <w:sz w:val="20"/>
                <w:szCs w:val="20"/>
                <w:lang w:eastAsia="en-GB"/>
              </w:rPr>
              <w:t>4</w:t>
            </w:r>
          </w:p>
        </w:tc>
      </w:tr>
      <w:tr w:rsidR="009C2210" w:rsidRPr="008A7A35" w14:paraId="683A8EE4" w14:textId="77777777" w:rsidTr="00391CE4">
        <w:trPr>
          <w:trHeight w:val="359"/>
        </w:trPr>
        <w:tc>
          <w:tcPr>
            <w:tcW w:w="4395" w:type="dxa"/>
            <w:tcBorders>
              <w:top w:val="single" w:sz="4" w:space="0" w:color="auto"/>
              <w:left w:val="nil"/>
              <w:bottom w:val="nil"/>
              <w:right w:val="nil"/>
            </w:tcBorders>
            <w:shd w:val="clear" w:color="000000" w:fill="FFFFFF"/>
            <w:noWrap/>
            <w:vAlign w:val="bottom"/>
            <w:hideMark/>
          </w:tcPr>
          <w:p w14:paraId="34A71796" w14:textId="6C648528" w:rsidR="009C2210" w:rsidRPr="008A7A35" w:rsidRDefault="009C2210" w:rsidP="009C2210">
            <w:pPr>
              <w:rPr>
                <w:rFonts w:ascii="Arial Body" w:hAnsi="Arial Body" w:cs="Calibri"/>
                <w:sz w:val="20"/>
                <w:szCs w:val="20"/>
                <w:lang w:eastAsia="en-GB"/>
              </w:rPr>
            </w:pPr>
            <w:r w:rsidRPr="008A7A35">
              <w:rPr>
                <w:rFonts w:ascii="Arial" w:hAnsi="Arial" w:cs="Arial"/>
                <w:sz w:val="20"/>
                <w:szCs w:val="20"/>
                <w:lang w:eastAsia="en-GB"/>
              </w:rPr>
              <w:t>NAV ($'000)</w:t>
            </w:r>
          </w:p>
        </w:tc>
        <w:tc>
          <w:tcPr>
            <w:tcW w:w="1842" w:type="dxa"/>
            <w:tcBorders>
              <w:top w:val="single" w:sz="4" w:space="0" w:color="auto"/>
              <w:left w:val="nil"/>
              <w:bottom w:val="nil"/>
              <w:right w:val="nil"/>
            </w:tcBorders>
            <w:shd w:val="clear" w:color="000000" w:fill="FFFFFF"/>
          </w:tcPr>
          <w:p w14:paraId="1A7D9985" w14:textId="77777777" w:rsidR="009C2210" w:rsidRPr="008A7A35" w:rsidRDefault="009C2210" w:rsidP="009C2210">
            <w:pPr>
              <w:jc w:val="right"/>
              <w:rPr>
                <w:rFonts w:ascii="Arial" w:hAnsi="Arial" w:cs="Arial"/>
                <w:b/>
                <w:bCs/>
                <w:sz w:val="20"/>
              </w:rPr>
            </w:pPr>
          </w:p>
          <w:p w14:paraId="2CBA11AF" w14:textId="429CAB6A" w:rsidR="009C2210" w:rsidRPr="008A7A35" w:rsidRDefault="00896F52" w:rsidP="009C2210">
            <w:pPr>
              <w:jc w:val="right"/>
              <w:rPr>
                <w:rFonts w:ascii="Arial" w:hAnsi="Arial" w:cs="Arial"/>
                <w:b/>
                <w:bCs/>
                <w:sz w:val="20"/>
              </w:rPr>
            </w:pPr>
            <w:r>
              <w:rPr>
                <w:rFonts w:ascii="Arial" w:hAnsi="Arial" w:cs="Arial"/>
                <w:b/>
                <w:bCs/>
                <w:sz w:val="20"/>
              </w:rPr>
              <w:t>371,683</w:t>
            </w:r>
            <w:r w:rsidR="009C2210" w:rsidRPr="008A7A35">
              <w:rPr>
                <w:rFonts w:ascii="Arial" w:hAnsi="Arial" w:cs="Arial"/>
                <w:b/>
                <w:bCs/>
                <w:sz w:val="20"/>
              </w:rPr>
              <w:t xml:space="preserve"> </w:t>
            </w:r>
          </w:p>
        </w:tc>
        <w:tc>
          <w:tcPr>
            <w:tcW w:w="1985" w:type="dxa"/>
            <w:tcBorders>
              <w:top w:val="single" w:sz="4" w:space="0" w:color="auto"/>
              <w:left w:val="nil"/>
              <w:bottom w:val="nil"/>
              <w:right w:val="nil"/>
            </w:tcBorders>
            <w:shd w:val="clear" w:color="000000" w:fill="FFFFFF"/>
            <w:vAlign w:val="bottom"/>
          </w:tcPr>
          <w:p w14:paraId="0940AD16" w14:textId="67F74531" w:rsidR="009C2210" w:rsidRPr="008A7A35" w:rsidRDefault="009C2210" w:rsidP="009C2210">
            <w:pPr>
              <w:jc w:val="right"/>
              <w:rPr>
                <w:rFonts w:ascii="Arial Body" w:hAnsi="Arial Body" w:cs="Calibri"/>
                <w:sz w:val="20"/>
                <w:szCs w:val="20"/>
                <w:lang w:eastAsia="en-GB"/>
              </w:rPr>
            </w:pPr>
            <w:r w:rsidRPr="008A7A35">
              <w:rPr>
                <w:rFonts w:ascii="Arial" w:hAnsi="Arial" w:cs="Arial"/>
                <w:sz w:val="20"/>
                <w:szCs w:val="20"/>
                <w:lang w:eastAsia="en-GB"/>
              </w:rPr>
              <w:t>375,844</w:t>
            </w:r>
          </w:p>
        </w:tc>
        <w:tc>
          <w:tcPr>
            <w:tcW w:w="1559" w:type="dxa"/>
            <w:tcBorders>
              <w:top w:val="single" w:sz="4" w:space="0" w:color="auto"/>
              <w:left w:val="nil"/>
              <w:bottom w:val="nil"/>
              <w:right w:val="nil"/>
            </w:tcBorders>
            <w:shd w:val="clear" w:color="000000" w:fill="FFFFFF"/>
            <w:vAlign w:val="bottom"/>
            <w:hideMark/>
          </w:tcPr>
          <w:p w14:paraId="113CE56F" w14:textId="142668B5"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459,113</w:t>
            </w:r>
          </w:p>
        </w:tc>
      </w:tr>
      <w:tr w:rsidR="009C2210" w:rsidRPr="008A7A35" w14:paraId="0E0386B0" w14:textId="77777777" w:rsidTr="00391CE4">
        <w:trPr>
          <w:trHeight w:val="359"/>
        </w:trPr>
        <w:tc>
          <w:tcPr>
            <w:tcW w:w="4395" w:type="dxa"/>
            <w:tcBorders>
              <w:top w:val="nil"/>
              <w:left w:val="nil"/>
              <w:bottom w:val="nil"/>
              <w:right w:val="nil"/>
            </w:tcBorders>
            <w:shd w:val="clear" w:color="000000" w:fill="FFFFFF"/>
            <w:noWrap/>
            <w:vAlign w:val="bottom"/>
            <w:hideMark/>
          </w:tcPr>
          <w:p w14:paraId="2988AA2E" w14:textId="4B1DBC4B" w:rsidR="009C2210" w:rsidRPr="008A7A35" w:rsidRDefault="009C2210" w:rsidP="009C2210">
            <w:pPr>
              <w:rPr>
                <w:rFonts w:ascii="Arial Body" w:hAnsi="Arial Body" w:cs="Calibri"/>
                <w:sz w:val="20"/>
                <w:szCs w:val="20"/>
                <w:lang w:eastAsia="en-GB"/>
              </w:rPr>
            </w:pPr>
            <w:r w:rsidRPr="008A7A35">
              <w:rPr>
                <w:rFonts w:ascii="Arial" w:hAnsi="Arial" w:cs="Arial"/>
                <w:sz w:val="20"/>
                <w:szCs w:val="20"/>
                <w:lang w:eastAsia="en-GB"/>
              </w:rPr>
              <w:t>Number of Shares in issue</w:t>
            </w:r>
          </w:p>
        </w:tc>
        <w:tc>
          <w:tcPr>
            <w:tcW w:w="1842" w:type="dxa"/>
            <w:tcBorders>
              <w:top w:val="nil"/>
              <w:left w:val="nil"/>
              <w:bottom w:val="nil"/>
              <w:right w:val="nil"/>
            </w:tcBorders>
            <w:shd w:val="clear" w:color="000000" w:fill="FFFFFF"/>
          </w:tcPr>
          <w:p w14:paraId="109B0448" w14:textId="77777777" w:rsidR="009C2210" w:rsidRPr="008A7A35" w:rsidRDefault="009C2210" w:rsidP="009C2210">
            <w:pPr>
              <w:jc w:val="right"/>
              <w:rPr>
                <w:rFonts w:ascii="Arial" w:hAnsi="Arial" w:cs="Arial"/>
                <w:b/>
                <w:bCs/>
                <w:sz w:val="20"/>
              </w:rPr>
            </w:pPr>
          </w:p>
          <w:p w14:paraId="6D441C87" w14:textId="27281419" w:rsidR="009C2210" w:rsidRPr="008A7A35" w:rsidRDefault="00F139F2" w:rsidP="009C2210">
            <w:pPr>
              <w:jc w:val="right"/>
              <w:rPr>
                <w:rFonts w:ascii="Arial" w:hAnsi="Arial" w:cs="Arial"/>
                <w:b/>
                <w:bCs/>
                <w:sz w:val="20"/>
              </w:rPr>
            </w:pPr>
            <w:r w:rsidRPr="008A7A35">
              <w:rPr>
                <w:rFonts w:ascii="Arial" w:hAnsi="Arial" w:cs="Arial"/>
                <w:b/>
                <w:bCs/>
                <w:sz w:val="20"/>
              </w:rPr>
              <w:t>24,591,380</w:t>
            </w:r>
            <w:r w:rsidR="009C2210" w:rsidRPr="008A7A35">
              <w:rPr>
                <w:rFonts w:ascii="Arial" w:hAnsi="Arial" w:cs="Arial"/>
                <w:b/>
                <w:bCs/>
                <w:sz w:val="20"/>
              </w:rPr>
              <w:t xml:space="preserve"> </w:t>
            </w:r>
          </w:p>
        </w:tc>
        <w:tc>
          <w:tcPr>
            <w:tcW w:w="1985" w:type="dxa"/>
            <w:tcBorders>
              <w:top w:val="nil"/>
              <w:left w:val="nil"/>
              <w:bottom w:val="nil"/>
              <w:right w:val="nil"/>
            </w:tcBorders>
            <w:shd w:val="clear" w:color="000000" w:fill="FFFFFF"/>
            <w:vAlign w:val="bottom"/>
          </w:tcPr>
          <w:p w14:paraId="33CADB81" w14:textId="4797CFCF" w:rsidR="009C2210" w:rsidRPr="008A7A35" w:rsidRDefault="009C2210" w:rsidP="009C2210">
            <w:pPr>
              <w:jc w:val="right"/>
              <w:rPr>
                <w:rFonts w:ascii="Arial Body" w:hAnsi="Arial Body" w:cs="Calibri"/>
                <w:sz w:val="20"/>
                <w:szCs w:val="20"/>
                <w:lang w:eastAsia="en-GB"/>
              </w:rPr>
            </w:pPr>
            <w:r w:rsidRPr="008A7A35">
              <w:rPr>
                <w:rFonts w:ascii="Arial" w:hAnsi="Arial" w:cs="Arial"/>
                <w:sz w:val="20"/>
                <w:szCs w:val="20"/>
                <w:lang w:eastAsia="en-GB"/>
              </w:rPr>
              <w:t>25,342,691</w:t>
            </w:r>
          </w:p>
        </w:tc>
        <w:tc>
          <w:tcPr>
            <w:tcW w:w="1559" w:type="dxa"/>
            <w:tcBorders>
              <w:top w:val="nil"/>
              <w:left w:val="nil"/>
              <w:bottom w:val="nil"/>
              <w:right w:val="nil"/>
            </w:tcBorders>
            <w:shd w:val="clear" w:color="000000" w:fill="FFFFFF"/>
            <w:vAlign w:val="bottom"/>
            <w:hideMark/>
          </w:tcPr>
          <w:p w14:paraId="0853B2EB" w14:textId="260C120A"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27,148,170</w:t>
            </w:r>
          </w:p>
        </w:tc>
      </w:tr>
      <w:tr w:rsidR="009C2210" w:rsidRPr="008A7A35" w14:paraId="7D05221D" w14:textId="77777777" w:rsidTr="00391CE4">
        <w:trPr>
          <w:trHeight w:val="359"/>
        </w:trPr>
        <w:tc>
          <w:tcPr>
            <w:tcW w:w="4395" w:type="dxa"/>
            <w:tcBorders>
              <w:top w:val="nil"/>
              <w:left w:val="nil"/>
              <w:bottom w:val="nil"/>
              <w:right w:val="nil"/>
            </w:tcBorders>
            <w:shd w:val="clear" w:color="000000" w:fill="FFFFFF"/>
            <w:noWrap/>
            <w:vAlign w:val="bottom"/>
            <w:hideMark/>
          </w:tcPr>
          <w:p w14:paraId="3852D2F2" w14:textId="4A8D3CF5" w:rsidR="009C2210" w:rsidRPr="008A7A35" w:rsidRDefault="009C2210" w:rsidP="009C2210">
            <w:pPr>
              <w:rPr>
                <w:rFonts w:ascii="Arial Body" w:hAnsi="Arial Body" w:cs="Calibri"/>
                <w:sz w:val="20"/>
                <w:szCs w:val="20"/>
                <w:lang w:eastAsia="en-GB"/>
              </w:rPr>
            </w:pPr>
            <w:r w:rsidRPr="008A7A35">
              <w:rPr>
                <w:rFonts w:ascii="Arial" w:hAnsi="Arial" w:cs="Arial"/>
                <w:sz w:val="20"/>
                <w:szCs w:val="20"/>
                <w:lang w:eastAsia="en-GB"/>
              </w:rPr>
              <w:t>Net Asset Value per Share (</w:t>
            </w:r>
            <w:proofErr w:type="gramStart"/>
            <w:r w:rsidRPr="008A7A35">
              <w:rPr>
                <w:rFonts w:ascii="Arial" w:hAnsi="Arial" w:cs="Arial"/>
                <w:sz w:val="20"/>
                <w:szCs w:val="20"/>
                <w:lang w:eastAsia="en-GB"/>
              </w:rPr>
              <w:t>$)</w:t>
            </w:r>
            <w:r w:rsidRPr="008A7A35">
              <w:rPr>
                <w:rFonts w:ascii="Arial" w:hAnsi="Arial" w:cs="Arial"/>
                <w:sz w:val="16"/>
                <w:szCs w:val="16"/>
                <w:vertAlign w:val="superscript"/>
                <w:lang w:eastAsia="en-GB"/>
              </w:rPr>
              <w:t>(</w:t>
            </w:r>
            <w:proofErr w:type="gramEnd"/>
            <w:r w:rsidRPr="008A7A35">
              <w:rPr>
                <w:rFonts w:ascii="Arial" w:hAnsi="Arial" w:cs="Arial"/>
                <w:sz w:val="16"/>
                <w:szCs w:val="16"/>
                <w:vertAlign w:val="superscript"/>
                <w:lang w:eastAsia="en-GB"/>
              </w:rPr>
              <w:t>1)</w:t>
            </w:r>
          </w:p>
        </w:tc>
        <w:tc>
          <w:tcPr>
            <w:tcW w:w="1842" w:type="dxa"/>
            <w:tcBorders>
              <w:top w:val="nil"/>
              <w:left w:val="nil"/>
              <w:bottom w:val="nil"/>
              <w:right w:val="nil"/>
            </w:tcBorders>
            <w:shd w:val="clear" w:color="000000" w:fill="FFFFFF"/>
          </w:tcPr>
          <w:p w14:paraId="3EA8B0BA" w14:textId="77777777" w:rsidR="009C2210" w:rsidRPr="008A7A35" w:rsidRDefault="009C2210" w:rsidP="009C2210">
            <w:pPr>
              <w:jc w:val="right"/>
              <w:rPr>
                <w:rFonts w:ascii="Arial" w:hAnsi="Arial" w:cs="Arial"/>
                <w:b/>
                <w:bCs/>
                <w:sz w:val="20"/>
              </w:rPr>
            </w:pPr>
          </w:p>
          <w:p w14:paraId="593C4E39" w14:textId="0F68E9F6" w:rsidR="009C2210" w:rsidRPr="008A7A35" w:rsidRDefault="00417502" w:rsidP="009C2210">
            <w:pPr>
              <w:jc w:val="right"/>
              <w:rPr>
                <w:rFonts w:ascii="Arial" w:hAnsi="Arial" w:cs="Arial"/>
                <w:b/>
                <w:bCs/>
                <w:sz w:val="20"/>
              </w:rPr>
            </w:pPr>
            <w:r>
              <w:rPr>
                <w:rFonts w:ascii="Arial" w:hAnsi="Arial" w:cs="Arial"/>
                <w:b/>
                <w:bCs/>
                <w:sz w:val="20"/>
              </w:rPr>
              <w:t>15.11</w:t>
            </w:r>
            <w:r w:rsidR="009C2210" w:rsidRPr="008A7A35">
              <w:rPr>
                <w:rFonts w:ascii="Arial" w:hAnsi="Arial" w:cs="Arial"/>
                <w:b/>
                <w:bCs/>
                <w:sz w:val="20"/>
              </w:rPr>
              <w:t xml:space="preserve"> </w:t>
            </w:r>
          </w:p>
        </w:tc>
        <w:tc>
          <w:tcPr>
            <w:tcW w:w="1985" w:type="dxa"/>
            <w:tcBorders>
              <w:top w:val="nil"/>
              <w:left w:val="nil"/>
              <w:bottom w:val="nil"/>
              <w:right w:val="nil"/>
            </w:tcBorders>
            <w:shd w:val="clear" w:color="000000" w:fill="FFFFFF"/>
            <w:vAlign w:val="bottom"/>
          </w:tcPr>
          <w:p w14:paraId="5C7372EA" w14:textId="58BF65CB" w:rsidR="009C2210" w:rsidRPr="008A7A35" w:rsidRDefault="009C2210" w:rsidP="009C2210">
            <w:pPr>
              <w:jc w:val="right"/>
              <w:rPr>
                <w:rFonts w:ascii="Arial Body" w:hAnsi="Arial Body" w:cs="Calibri"/>
                <w:sz w:val="20"/>
                <w:szCs w:val="20"/>
                <w:lang w:eastAsia="en-GB"/>
              </w:rPr>
            </w:pPr>
            <w:r w:rsidRPr="008A7A35">
              <w:rPr>
                <w:rFonts w:ascii="Arial" w:hAnsi="Arial" w:cs="Arial"/>
                <w:sz w:val="20"/>
                <w:szCs w:val="20"/>
                <w:lang w:eastAsia="en-GB"/>
              </w:rPr>
              <w:t>14.83</w:t>
            </w:r>
          </w:p>
        </w:tc>
        <w:tc>
          <w:tcPr>
            <w:tcW w:w="1559" w:type="dxa"/>
            <w:tcBorders>
              <w:top w:val="nil"/>
              <w:left w:val="nil"/>
              <w:bottom w:val="nil"/>
              <w:right w:val="nil"/>
            </w:tcBorders>
            <w:shd w:val="clear" w:color="000000" w:fill="FFFFFF"/>
            <w:vAlign w:val="bottom"/>
            <w:hideMark/>
          </w:tcPr>
          <w:p w14:paraId="540C7584" w14:textId="41B10EDD"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16.91</w:t>
            </w:r>
          </w:p>
        </w:tc>
      </w:tr>
      <w:tr w:rsidR="009C2210" w:rsidRPr="008A7A35" w14:paraId="29CE5903" w14:textId="77777777" w:rsidTr="00391CE4">
        <w:trPr>
          <w:trHeight w:val="359"/>
        </w:trPr>
        <w:tc>
          <w:tcPr>
            <w:tcW w:w="4395" w:type="dxa"/>
            <w:tcBorders>
              <w:top w:val="nil"/>
              <w:left w:val="nil"/>
              <w:right w:val="nil"/>
            </w:tcBorders>
            <w:shd w:val="clear" w:color="000000" w:fill="FFFFFF"/>
            <w:noWrap/>
            <w:vAlign w:val="bottom"/>
          </w:tcPr>
          <w:p w14:paraId="07E642F8" w14:textId="19153692" w:rsidR="009C2210" w:rsidRPr="008A7A35" w:rsidRDefault="009C2210" w:rsidP="009C2210">
            <w:pPr>
              <w:rPr>
                <w:rFonts w:ascii="Arial Body" w:hAnsi="Arial Body" w:cs="Calibri"/>
                <w:sz w:val="20"/>
                <w:szCs w:val="20"/>
                <w:lang w:eastAsia="en-GB"/>
              </w:rPr>
            </w:pPr>
            <w:r w:rsidRPr="008A7A35">
              <w:rPr>
                <w:rFonts w:ascii="Arial" w:hAnsi="Arial" w:cs="Arial"/>
                <w:sz w:val="20"/>
                <w:szCs w:val="20"/>
                <w:lang w:eastAsia="en-GB"/>
              </w:rPr>
              <w:t>Net Asset Value per Share (£)</w:t>
            </w:r>
          </w:p>
        </w:tc>
        <w:tc>
          <w:tcPr>
            <w:tcW w:w="1842" w:type="dxa"/>
            <w:tcBorders>
              <w:top w:val="nil"/>
              <w:left w:val="nil"/>
              <w:right w:val="nil"/>
            </w:tcBorders>
            <w:shd w:val="clear" w:color="000000" w:fill="FFFFFF"/>
          </w:tcPr>
          <w:p w14:paraId="5641243E" w14:textId="77777777" w:rsidR="009C2210" w:rsidRPr="008A7A35" w:rsidRDefault="009C2210" w:rsidP="009C2210">
            <w:pPr>
              <w:jc w:val="right"/>
              <w:rPr>
                <w:rFonts w:ascii="Arial" w:hAnsi="Arial" w:cs="Arial"/>
                <w:b/>
                <w:bCs/>
                <w:sz w:val="20"/>
              </w:rPr>
            </w:pPr>
          </w:p>
          <w:p w14:paraId="27A3EC1A" w14:textId="46E43DC9" w:rsidR="009C2210" w:rsidRPr="008A7A35" w:rsidRDefault="00417502" w:rsidP="009C2210">
            <w:pPr>
              <w:jc w:val="right"/>
              <w:rPr>
                <w:rFonts w:ascii="Arial" w:hAnsi="Arial" w:cs="Arial"/>
                <w:b/>
                <w:bCs/>
                <w:sz w:val="20"/>
              </w:rPr>
            </w:pPr>
            <w:r>
              <w:rPr>
                <w:rFonts w:ascii="Arial" w:hAnsi="Arial" w:cs="Arial"/>
                <w:b/>
                <w:bCs/>
                <w:sz w:val="20"/>
              </w:rPr>
              <w:t>11.0</w:t>
            </w:r>
            <w:r w:rsidR="00896F52">
              <w:rPr>
                <w:rFonts w:ascii="Arial" w:hAnsi="Arial" w:cs="Arial"/>
                <w:b/>
                <w:bCs/>
                <w:sz w:val="20"/>
              </w:rPr>
              <w:t>2</w:t>
            </w:r>
            <w:r w:rsidR="009C2210" w:rsidRPr="008A7A35">
              <w:rPr>
                <w:rFonts w:ascii="Arial" w:hAnsi="Arial" w:cs="Arial"/>
                <w:b/>
                <w:bCs/>
                <w:sz w:val="20"/>
              </w:rPr>
              <w:t xml:space="preserve"> </w:t>
            </w:r>
          </w:p>
        </w:tc>
        <w:tc>
          <w:tcPr>
            <w:tcW w:w="1985" w:type="dxa"/>
            <w:tcBorders>
              <w:top w:val="nil"/>
              <w:left w:val="nil"/>
              <w:right w:val="nil"/>
            </w:tcBorders>
            <w:shd w:val="clear" w:color="000000" w:fill="FFFFFF"/>
            <w:vAlign w:val="bottom"/>
          </w:tcPr>
          <w:p w14:paraId="56A56A46" w14:textId="517EBE3A" w:rsidR="009C2210" w:rsidRPr="008A7A35" w:rsidRDefault="009C2210" w:rsidP="009C2210">
            <w:pPr>
              <w:jc w:val="right"/>
              <w:rPr>
                <w:rFonts w:ascii="Arial" w:hAnsi="Arial" w:cs="Arial"/>
              </w:rPr>
            </w:pPr>
            <w:r w:rsidRPr="008A7A35">
              <w:rPr>
                <w:rFonts w:ascii="Arial" w:hAnsi="Arial" w:cs="Arial"/>
                <w:sz w:val="20"/>
                <w:szCs w:val="20"/>
                <w:lang w:eastAsia="en-GB"/>
              </w:rPr>
              <w:t>11.81</w:t>
            </w:r>
          </w:p>
        </w:tc>
        <w:tc>
          <w:tcPr>
            <w:tcW w:w="1559" w:type="dxa"/>
            <w:tcBorders>
              <w:top w:val="nil"/>
              <w:left w:val="nil"/>
              <w:right w:val="nil"/>
            </w:tcBorders>
            <w:shd w:val="clear" w:color="000000" w:fill="FFFFFF"/>
            <w:vAlign w:val="bottom"/>
          </w:tcPr>
          <w:p w14:paraId="22EAEE8D" w14:textId="06548CB8"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13.37</w:t>
            </w:r>
          </w:p>
        </w:tc>
      </w:tr>
      <w:tr w:rsidR="009C2210" w:rsidRPr="008A7A35" w14:paraId="4BD72950" w14:textId="77777777" w:rsidTr="00391CE4">
        <w:trPr>
          <w:trHeight w:val="359"/>
        </w:trPr>
        <w:tc>
          <w:tcPr>
            <w:tcW w:w="4395" w:type="dxa"/>
            <w:tcBorders>
              <w:top w:val="nil"/>
              <w:left w:val="nil"/>
              <w:bottom w:val="single" w:sz="4" w:space="0" w:color="auto"/>
              <w:right w:val="nil"/>
            </w:tcBorders>
            <w:shd w:val="clear" w:color="000000" w:fill="FFFFFF"/>
            <w:noWrap/>
            <w:vAlign w:val="bottom"/>
          </w:tcPr>
          <w:p w14:paraId="03D6F23B" w14:textId="49245EAB" w:rsidR="009C2210" w:rsidRPr="008A7A35" w:rsidRDefault="009C2210" w:rsidP="009C2210">
            <w:pPr>
              <w:rPr>
                <w:rFonts w:ascii="Arial Body" w:hAnsi="Arial Body" w:cs="Calibri"/>
                <w:sz w:val="20"/>
                <w:szCs w:val="20"/>
                <w:lang w:eastAsia="en-GB"/>
              </w:rPr>
            </w:pPr>
            <w:r w:rsidRPr="008A7A35">
              <w:rPr>
                <w:rFonts w:ascii="Arial" w:hAnsi="Arial" w:cs="Arial"/>
                <w:sz w:val="20"/>
                <w:szCs w:val="20"/>
                <w:lang w:eastAsia="en-GB"/>
              </w:rPr>
              <w:t>Discount to NAV (per cent</w:t>
            </w:r>
            <w:proofErr w:type="gramStart"/>
            <w:r w:rsidRPr="008A7A35">
              <w:rPr>
                <w:rFonts w:ascii="Arial" w:hAnsi="Arial" w:cs="Arial"/>
                <w:sz w:val="20"/>
                <w:szCs w:val="20"/>
                <w:lang w:eastAsia="en-GB"/>
              </w:rPr>
              <w:t>.)</w:t>
            </w:r>
            <w:r w:rsidRPr="008A7A35">
              <w:rPr>
                <w:rFonts w:ascii="Arial" w:hAnsi="Arial" w:cs="Arial"/>
                <w:sz w:val="16"/>
                <w:szCs w:val="16"/>
                <w:vertAlign w:val="superscript"/>
                <w:lang w:eastAsia="en-GB"/>
              </w:rPr>
              <w:t>(</w:t>
            </w:r>
            <w:proofErr w:type="gramEnd"/>
            <w:r w:rsidRPr="008A7A35">
              <w:rPr>
                <w:rFonts w:ascii="Arial" w:hAnsi="Arial" w:cs="Arial"/>
                <w:sz w:val="16"/>
                <w:szCs w:val="16"/>
                <w:vertAlign w:val="superscript"/>
                <w:lang w:eastAsia="en-GB"/>
              </w:rPr>
              <w:t>2)</w:t>
            </w:r>
          </w:p>
        </w:tc>
        <w:tc>
          <w:tcPr>
            <w:tcW w:w="1842" w:type="dxa"/>
            <w:tcBorders>
              <w:top w:val="nil"/>
              <w:left w:val="nil"/>
              <w:bottom w:val="single" w:sz="4" w:space="0" w:color="auto"/>
              <w:right w:val="nil"/>
            </w:tcBorders>
            <w:shd w:val="clear" w:color="000000" w:fill="FFFFFF"/>
          </w:tcPr>
          <w:p w14:paraId="2A03B247" w14:textId="77777777" w:rsidR="009C2210" w:rsidRPr="008A7A35" w:rsidRDefault="009C2210" w:rsidP="009C2210">
            <w:pPr>
              <w:jc w:val="right"/>
              <w:rPr>
                <w:rFonts w:ascii="Arial" w:hAnsi="Arial" w:cs="Arial"/>
                <w:b/>
                <w:bCs/>
                <w:sz w:val="20"/>
              </w:rPr>
            </w:pPr>
          </w:p>
          <w:p w14:paraId="681773DC" w14:textId="3D23236F" w:rsidR="009C2210" w:rsidRPr="008A7A35" w:rsidRDefault="00417502" w:rsidP="009C2210">
            <w:pPr>
              <w:jc w:val="right"/>
              <w:rPr>
                <w:rFonts w:ascii="Arial" w:hAnsi="Arial" w:cs="Arial"/>
                <w:b/>
                <w:bCs/>
                <w:sz w:val="20"/>
              </w:rPr>
            </w:pPr>
            <w:r>
              <w:rPr>
                <w:rFonts w:ascii="Arial" w:hAnsi="Arial" w:cs="Arial"/>
                <w:b/>
                <w:bCs/>
                <w:sz w:val="20"/>
              </w:rPr>
              <w:t>27.33</w:t>
            </w:r>
            <w:r w:rsidR="009C2210" w:rsidRPr="008A7A35">
              <w:rPr>
                <w:rFonts w:ascii="Arial" w:hAnsi="Arial" w:cs="Arial"/>
                <w:b/>
                <w:bCs/>
                <w:sz w:val="20"/>
              </w:rPr>
              <w:t xml:space="preserve"> </w:t>
            </w:r>
          </w:p>
        </w:tc>
        <w:tc>
          <w:tcPr>
            <w:tcW w:w="1985" w:type="dxa"/>
            <w:tcBorders>
              <w:top w:val="nil"/>
              <w:left w:val="nil"/>
              <w:bottom w:val="single" w:sz="4" w:space="0" w:color="auto"/>
              <w:right w:val="nil"/>
            </w:tcBorders>
            <w:shd w:val="clear" w:color="000000" w:fill="FFFFFF"/>
            <w:vAlign w:val="bottom"/>
          </w:tcPr>
          <w:p w14:paraId="66C4A220" w14:textId="2A638CDF" w:rsidR="009C2210" w:rsidRPr="008A7A35" w:rsidRDefault="009C2210" w:rsidP="009C2210">
            <w:pPr>
              <w:jc w:val="right"/>
              <w:rPr>
                <w:rFonts w:ascii="Arial" w:hAnsi="Arial" w:cs="Arial"/>
              </w:rPr>
            </w:pPr>
            <w:r w:rsidRPr="008A7A35">
              <w:rPr>
                <w:rFonts w:ascii="Arial" w:hAnsi="Arial" w:cs="Arial"/>
                <w:sz w:val="20"/>
                <w:szCs w:val="20"/>
                <w:lang w:eastAsia="en-GB"/>
              </w:rPr>
              <w:t>33.45</w:t>
            </w:r>
          </w:p>
        </w:tc>
        <w:tc>
          <w:tcPr>
            <w:tcW w:w="1559" w:type="dxa"/>
            <w:tcBorders>
              <w:top w:val="nil"/>
              <w:left w:val="nil"/>
              <w:bottom w:val="single" w:sz="4" w:space="0" w:color="auto"/>
              <w:right w:val="nil"/>
            </w:tcBorders>
            <w:shd w:val="clear" w:color="000000" w:fill="FFFFFF"/>
            <w:vAlign w:val="bottom"/>
          </w:tcPr>
          <w:p w14:paraId="208C9259" w14:textId="48201F21" w:rsidR="009C2210" w:rsidRPr="008A7A35" w:rsidRDefault="009C2210" w:rsidP="009C2210">
            <w:pPr>
              <w:jc w:val="right"/>
              <w:rPr>
                <w:rFonts w:ascii="Arial Body" w:hAnsi="Arial Body" w:cs="Calibri"/>
                <w:sz w:val="20"/>
                <w:szCs w:val="20"/>
                <w:lang w:eastAsia="en-GB"/>
              </w:rPr>
            </w:pPr>
            <w:r w:rsidRPr="008A7A35">
              <w:rPr>
                <w:rFonts w:ascii="Arial Body" w:hAnsi="Arial Body" w:cs="Calibri"/>
                <w:sz w:val="20"/>
                <w:szCs w:val="20"/>
                <w:lang w:eastAsia="en-GB"/>
              </w:rPr>
              <w:t>39.86</w:t>
            </w:r>
          </w:p>
        </w:tc>
      </w:tr>
    </w:tbl>
    <w:p w14:paraId="091F6B20" w14:textId="77777777" w:rsidR="003378B6" w:rsidRPr="008A7A35" w:rsidRDefault="003378B6" w:rsidP="003378B6">
      <w:pPr>
        <w:tabs>
          <w:tab w:val="left" w:pos="6903"/>
        </w:tabs>
        <w:ind w:left="567"/>
        <w:jc w:val="both"/>
        <w:rPr>
          <w:rFonts w:ascii="Arial" w:eastAsia="Calibri" w:hAnsi="Arial" w:cs="Arial"/>
          <w:sz w:val="16"/>
          <w:szCs w:val="20"/>
          <w:vertAlign w:val="superscript"/>
        </w:rPr>
      </w:pPr>
    </w:p>
    <w:p w14:paraId="4F265599" w14:textId="2AD23B36" w:rsidR="003378B6" w:rsidRPr="008A7A35" w:rsidRDefault="003378B6" w:rsidP="003378B6">
      <w:pPr>
        <w:tabs>
          <w:tab w:val="left" w:pos="6903"/>
        </w:tabs>
        <w:ind w:left="567"/>
        <w:jc w:val="both"/>
        <w:rPr>
          <w:rFonts w:ascii="Arial" w:eastAsia="Calibri" w:hAnsi="Arial" w:cs="Arial"/>
          <w:sz w:val="16"/>
          <w:szCs w:val="20"/>
        </w:rPr>
      </w:pPr>
      <w:r w:rsidRPr="008A7A35">
        <w:rPr>
          <w:rFonts w:ascii="Arial" w:eastAsia="Calibri" w:hAnsi="Arial" w:cs="Arial"/>
          <w:sz w:val="16"/>
          <w:szCs w:val="20"/>
          <w:vertAlign w:val="superscript"/>
        </w:rPr>
        <w:t>(1)</w:t>
      </w:r>
      <w:r w:rsidRPr="008A7A35">
        <w:rPr>
          <w:rFonts w:ascii="Arial" w:eastAsia="Calibri" w:hAnsi="Arial" w:cs="Arial"/>
          <w:sz w:val="16"/>
          <w:szCs w:val="20"/>
        </w:rPr>
        <w:t xml:space="preserve"> The </w:t>
      </w:r>
      <w:proofErr w:type="gramStart"/>
      <w:r w:rsidRPr="008A7A35">
        <w:rPr>
          <w:rFonts w:ascii="Arial" w:eastAsia="Calibri" w:hAnsi="Arial" w:cs="Arial"/>
          <w:sz w:val="16"/>
          <w:szCs w:val="20"/>
        </w:rPr>
        <w:t>GBP:USD</w:t>
      </w:r>
      <w:proofErr w:type="gramEnd"/>
      <w:r w:rsidRPr="008A7A35">
        <w:rPr>
          <w:rFonts w:ascii="Arial" w:eastAsia="Calibri" w:hAnsi="Arial" w:cs="Arial"/>
          <w:sz w:val="16"/>
          <w:szCs w:val="20"/>
        </w:rPr>
        <w:t xml:space="preserve"> FX rate is</w:t>
      </w:r>
      <w:r w:rsidR="00BC3B1B" w:rsidRPr="008A7A35">
        <w:rPr>
          <w:rFonts w:ascii="Arial" w:eastAsia="Calibri" w:hAnsi="Arial" w:cs="Arial"/>
          <w:sz w:val="16"/>
          <w:szCs w:val="20"/>
        </w:rPr>
        <w:t xml:space="preserve"> </w:t>
      </w:r>
      <w:r w:rsidR="00F139F2" w:rsidRPr="008A7A35">
        <w:rPr>
          <w:rFonts w:ascii="Arial" w:eastAsia="Calibri" w:hAnsi="Arial" w:cs="Arial"/>
          <w:sz w:val="16"/>
          <w:szCs w:val="20"/>
        </w:rPr>
        <w:t>1.3</w:t>
      </w:r>
      <w:r w:rsidR="00CE2592">
        <w:rPr>
          <w:rFonts w:ascii="Arial" w:eastAsia="Calibri" w:hAnsi="Arial" w:cs="Arial"/>
          <w:sz w:val="16"/>
          <w:szCs w:val="20"/>
        </w:rPr>
        <w:t>720</w:t>
      </w:r>
      <w:r w:rsidRPr="008A7A35">
        <w:rPr>
          <w:rFonts w:ascii="Arial" w:eastAsia="Calibri" w:hAnsi="Arial" w:cs="Arial"/>
          <w:sz w:val="16"/>
          <w:szCs w:val="20"/>
        </w:rPr>
        <w:t xml:space="preserve"> as </w:t>
      </w:r>
      <w:proofErr w:type="gramStart"/>
      <w:r w:rsidRPr="008A7A35">
        <w:rPr>
          <w:rFonts w:ascii="Arial" w:eastAsia="Calibri" w:hAnsi="Arial" w:cs="Arial"/>
          <w:sz w:val="16"/>
          <w:szCs w:val="20"/>
        </w:rPr>
        <w:t>at</w:t>
      </w:r>
      <w:proofErr w:type="gramEnd"/>
      <w:r w:rsidRPr="008A7A35">
        <w:rPr>
          <w:rFonts w:ascii="Arial" w:eastAsia="Calibri" w:hAnsi="Arial" w:cs="Arial"/>
          <w:sz w:val="16"/>
          <w:szCs w:val="20"/>
        </w:rPr>
        <w:t xml:space="preserve"> 30 June 202</w:t>
      </w:r>
      <w:r w:rsidR="009C2210" w:rsidRPr="008A7A35">
        <w:rPr>
          <w:rFonts w:ascii="Arial" w:eastAsia="Calibri" w:hAnsi="Arial" w:cs="Arial"/>
          <w:sz w:val="16"/>
          <w:szCs w:val="20"/>
        </w:rPr>
        <w:t>5</w:t>
      </w:r>
      <w:r w:rsidRPr="008A7A35">
        <w:rPr>
          <w:rFonts w:ascii="Arial" w:eastAsia="Calibri" w:hAnsi="Arial" w:cs="Arial"/>
          <w:sz w:val="16"/>
          <w:szCs w:val="20"/>
        </w:rPr>
        <w:t>.</w:t>
      </w:r>
    </w:p>
    <w:p w14:paraId="0CAE9B89" w14:textId="6DD146EF" w:rsidR="003378B6" w:rsidRPr="008A7A35" w:rsidRDefault="003378B6" w:rsidP="003378B6">
      <w:pPr>
        <w:tabs>
          <w:tab w:val="left" w:pos="6903"/>
        </w:tabs>
        <w:ind w:left="567"/>
        <w:jc w:val="both"/>
        <w:rPr>
          <w:rFonts w:ascii="Arial" w:eastAsia="Calibri" w:hAnsi="Arial" w:cs="Arial"/>
          <w:sz w:val="16"/>
          <w:szCs w:val="20"/>
        </w:rPr>
      </w:pPr>
      <w:r w:rsidRPr="008A7A35">
        <w:rPr>
          <w:rFonts w:ascii="Arial" w:eastAsia="Calibri" w:hAnsi="Arial" w:cs="Arial"/>
          <w:sz w:val="16"/>
          <w:szCs w:val="20"/>
          <w:vertAlign w:val="superscript"/>
        </w:rPr>
        <w:t>(2)</w:t>
      </w:r>
      <w:r w:rsidRPr="008A7A35">
        <w:rPr>
          <w:rFonts w:ascii="Arial" w:eastAsia="Calibri" w:hAnsi="Arial" w:cs="Arial"/>
          <w:sz w:val="16"/>
          <w:szCs w:val="20"/>
        </w:rPr>
        <w:t xml:space="preserve"> The share price used to calculate the Discount to NAV (per cent.) is $</w:t>
      </w:r>
      <w:r w:rsidR="00F139F2" w:rsidRPr="008A7A35">
        <w:rPr>
          <w:rFonts w:ascii="Arial" w:eastAsia="Calibri" w:hAnsi="Arial" w:cs="Arial"/>
          <w:sz w:val="16"/>
          <w:szCs w:val="20"/>
        </w:rPr>
        <w:t>10.98</w:t>
      </w:r>
      <w:r w:rsidR="005D0EA3">
        <w:rPr>
          <w:rFonts w:ascii="Arial" w:eastAsia="Calibri" w:hAnsi="Arial" w:cs="Arial"/>
          <w:sz w:val="16"/>
          <w:szCs w:val="20"/>
        </w:rPr>
        <w:t>/</w:t>
      </w:r>
      <w:r w:rsidRPr="008A7A35">
        <w:rPr>
          <w:rFonts w:ascii="Arial" w:eastAsia="Calibri" w:hAnsi="Arial" w:cs="Arial"/>
          <w:sz w:val="16"/>
          <w:szCs w:val="20"/>
        </w:rPr>
        <w:t>£</w:t>
      </w:r>
      <w:r w:rsidR="00F139F2" w:rsidRPr="008A7A35">
        <w:rPr>
          <w:rFonts w:ascii="Arial" w:eastAsia="Calibri" w:hAnsi="Arial" w:cs="Arial"/>
          <w:sz w:val="16"/>
          <w:szCs w:val="20"/>
        </w:rPr>
        <w:t>8.00</w:t>
      </w:r>
      <w:r w:rsidRPr="008A7A35">
        <w:rPr>
          <w:rFonts w:ascii="Arial" w:eastAsia="Calibri" w:hAnsi="Arial" w:cs="Arial"/>
          <w:sz w:val="16"/>
          <w:szCs w:val="20"/>
        </w:rPr>
        <w:t>)</w:t>
      </w:r>
      <w:r w:rsidR="00A9723B">
        <w:rPr>
          <w:rFonts w:ascii="Arial" w:eastAsia="Calibri" w:hAnsi="Arial" w:cs="Arial"/>
          <w:sz w:val="16"/>
          <w:szCs w:val="20"/>
        </w:rPr>
        <w:t xml:space="preserve"> </w:t>
      </w:r>
      <w:proofErr w:type="gramStart"/>
      <w:r w:rsidR="003C34C0">
        <w:rPr>
          <w:rFonts w:ascii="Arial" w:eastAsia="Calibri" w:hAnsi="Arial" w:cs="Arial"/>
          <w:sz w:val="16"/>
          <w:szCs w:val="20"/>
        </w:rPr>
        <w:t>at</w:t>
      </w:r>
      <w:proofErr w:type="gramEnd"/>
      <w:r w:rsidR="00A9723B">
        <w:rPr>
          <w:rFonts w:ascii="Arial" w:eastAsia="Calibri" w:hAnsi="Arial" w:cs="Arial"/>
          <w:sz w:val="16"/>
          <w:szCs w:val="20"/>
        </w:rPr>
        <w:t xml:space="preserve"> 30 June 2025</w:t>
      </w:r>
      <w:r w:rsidR="003C34C0">
        <w:rPr>
          <w:rFonts w:ascii="Arial" w:eastAsia="Calibri" w:hAnsi="Arial" w:cs="Arial"/>
          <w:sz w:val="16"/>
          <w:szCs w:val="20"/>
        </w:rPr>
        <w:t xml:space="preserve"> (31 December 2024: $9.87/</w:t>
      </w:r>
      <w:r w:rsidR="00304D82">
        <w:rPr>
          <w:rFonts w:ascii="Arial" w:eastAsia="Calibri" w:hAnsi="Arial" w:cs="Arial"/>
          <w:sz w:val="16"/>
          <w:szCs w:val="20"/>
        </w:rPr>
        <w:t>£7.86, 30 June 2024: $10.17/£8.04)</w:t>
      </w:r>
      <w:r w:rsidRPr="008A7A35">
        <w:rPr>
          <w:rFonts w:ascii="Arial" w:eastAsia="Calibri" w:hAnsi="Arial" w:cs="Arial"/>
          <w:sz w:val="16"/>
          <w:szCs w:val="20"/>
        </w:rPr>
        <w:t>.</w:t>
      </w:r>
    </w:p>
    <w:p w14:paraId="65CE47A6" w14:textId="77777777" w:rsidR="003877D3" w:rsidRPr="008A7A35" w:rsidRDefault="003877D3" w:rsidP="003877D3">
      <w:pPr>
        <w:tabs>
          <w:tab w:val="left" w:pos="6903"/>
        </w:tabs>
        <w:rPr>
          <w:rFonts w:ascii="Arial" w:eastAsia="Calibri" w:hAnsi="Arial" w:cs="Arial"/>
          <w:sz w:val="16"/>
          <w:szCs w:val="20"/>
        </w:rPr>
      </w:pPr>
    </w:p>
    <w:p w14:paraId="2CF48405" w14:textId="2F2765D1" w:rsidR="00896F52" w:rsidRDefault="00E41A2E" w:rsidP="006564C0">
      <w:pPr>
        <w:tabs>
          <w:tab w:val="left" w:pos="6903"/>
        </w:tabs>
        <w:jc w:val="both"/>
        <w:rPr>
          <w:rFonts w:ascii="Arial" w:hAnsi="Arial" w:cs="Arial"/>
          <w:sz w:val="20"/>
          <w:szCs w:val="20"/>
        </w:rPr>
      </w:pPr>
      <w:r w:rsidRPr="008A7A35">
        <w:rPr>
          <w:rFonts w:ascii="Arial" w:hAnsi="Arial" w:cs="Arial"/>
          <w:sz w:val="20"/>
          <w:szCs w:val="20"/>
        </w:rPr>
        <w:t xml:space="preserve">The Net Asset Value per Share is arrived at by dividing the net assets as at the date of the </w:t>
      </w:r>
      <w:r w:rsidR="00861DF7" w:rsidRPr="008A7A35">
        <w:rPr>
          <w:rFonts w:ascii="Arial" w:hAnsi="Arial" w:cs="Arial"/>
          <w:sz w:val="20"/>
          <w:szCs w:val="20"/>
        </w:rPr>
        <w:t xml:space="preserve">Condensed </w:t>
      </w:r>
      <w:r w:rsidRPr="008A7A35">
        <w:rPr>
          <w:rFonts w:ascii="Arial" w:hAnsi="Arial" w:cs="Arial"/>
          <w:sz w:val="20"/>
          <w:szCs w:val="20"/>
        </w:rPr>
        <w:t>Statement of Financial Position by the number of Ordinary Shares in issue at that date.</w:t>
      </w:r>
      <w:r w:rsidR="00F47977" w:rsidRPr="008A7A35">
        <w:rPr>
          <w:rFonts w:ascii="Arial" w:hAnsi="Arial" w:cs="Arial"/>
          <w:sz w:val="20"/>
          <w:szCs w:val="20"/>
        </w:rPr>
        <w:t xml:space="preserve"> The Discount to NAV is arrived at by calculating the percentage discount of the Company’s Net Asset Value per Share to the Company’s closing Share price as at the date of the Condensed Statement of Financial Position.</w:t>
      </w:r>
    </w:p>
    <w:p w14:paraId="04EE3BBA" w14:textId="77777777" w:rsidR="00DE4E0D" w:rsidRDefault="00DE4E0D" w:rsidP="003C67B6">
      <w:pPr>
        <w:tabs>
          <w:tab w:val="left" w:pos="6903"/>
        </w:tabs>
        <w:rPr>
          <w:rFonts w:ascii="Arial" w:hAnsi="Arial" w:cs="Arial"/>
          <w:sz w:val="20"/>
          <w:szCs w:val="20"/>
        </w:rPr>
      </w:pPr>
    </w:p>
    <w:p w14:paraId="658C6045" w14:textId="6EF32F3C" w:rsidR="00E41A2E" w:rsidRPr="008A7A35" w:rsidRDefault="00E41A2E" w:rsidP="00DB03D2">
      <w:pPr>
        <w:ind w:left="567" w:hanging="567"/>
        <w:outlineLvl w:val="1"/>
        <w:rPr>
          <w:rFonts w:ascii="Arial" w:hAnsi="Arial" w:cs="Arial"/>
          <w:b/>
          <w:sz w:val="28"/>
          <w:szCs w:val="28"/>
        </w:rPr>
      </w:pPr>
      <w:r w:rsidRPr="008A7A35">
        <w:rPr>
          <w:rFonts w:ascii="Arial" w:hAnsi="Arial" w:cs="Arial"/>
          <w:b/>
          <w:sz w:val="28"/>
          <w:szCs w:val="28"/>
        </w:rPr>
        <w:t>1</w:t>
      </w:r>
      <w:r w:rsidR="002D61AF" w:rsidRPr="008A7A35">
        <w:rPr>
          <w:rFonts w:ascii="Arial" w:hAnsi="Arial" w:cs="Arial"/>
          <w:b/>
          <w:sz w:val="28"/>
          <w:szCs w:val="28"/>
        </w:rPr>
        <w:t>0</w:t>
      </w:r>
      <w:r w:rsidRPr="008A7A35">
        <w:rPr>
          <w:rFonts w:ascii="Arial" w:hAnsi="Arial" w:cs="Arial"/>
          <w:b/>
          <w:sz w:val="28"/>
          <w:szCs w:val="28"/>
        </w:rPr>
        <w:t>.</w:t>
      </w:r>
      <w:r w:rsidRPr="008A7A35">
        <w:rPr>
          <w:rFonts w:ascii="Arial" w:hAnsi="Arial" w:cs="Arial"/>
          <w:b/>
          <w:sz w:val="28"/>
          <w:szCs w:val="28"/>
        </w:rPr>
        <w:tab/>
      </w:r>
      <w:r w:rsidR="000452F7" w:rsidRPr="008A7A35">
        <w:rPr>
          <w:rFonts w:ascii="Arial" w:hAnsi="Arial" w:cs="Arial"/>
          <w:b/>
          <w:sz w:val="28"/>
          <w:szCs w:val="28"/>
        </w:rPr>
        <w:t>Post-</w:t>
      </w:r>
      <w:r w:rsidR="0033333C" w:rsidRPr="008A7A35">
        <w:rPr>
          <w:rFonts w:ascii="Arial" w:hAnsi="Arial" w:cs="Arial"/>
          <w:b/>
          <w:sz w:val="28"/>
          <w:szCs w:val="28"/>
        </w:rPr>
        <w:t>Period</w:t>
      </w:r>
      <w:r w:rsidR="000452F7" w:rsidRPr="008A7A35">
        <w:rPr>
          <w:rFonts w:ascii="Arial" w:hAnsi="Arial" w:cs="Arial"/>
          <w:b/>
          <w:sz w:val="28"/>
          <w:szCs w:val="28"/>
        </w:rPr>
        <w:t xml:space="preserve"> End Updates</w:t>
      </w:r>
    </w:p>
    <w:p w14:paraId="3666F5AE" w14:textId="16BACD4A" w:rsidR="00DB536D" w:rsidRPr="008A7A35" w:rsidRDefault="00DB536D" w:rsidP="00382244">
      <w:pPr>
        <w:pStyle w:val="CommentText"/>
        <w:jc w:val="both"/>
        <w:rPr>
          <w:rFonts w:ascii="Arial" w:hAnsi="Arial" w:cs="Arial"/>
        </w:rPr>
      </w:pPr>
    </w:p>
    <w:p w14:paraId="6BF25C3C" w14:textId="109B3CEF" w:rsidR="008E0A18" w:rsidRPr="008A7A35" w:rsidRDefault="008E0A18" w:rsidP="008E0A18">
      <w:pPr>
        <w:pStyle w:val="CommentText"/>
        <w:jc w:val="both"/>
        <w:rPr>
          <w:rFonts w:ascii="Arial" w:hAnsi="Arial" w:cs="Arial"/>
        </w:rPr>
      </w:pPr>
      <w:r>
        <w:rPr>
          <w:rFonts w:ascii="Arial" w:hAnsi="Arial" w:cs="Arial"/>
        </w:rPr>
        <w:t xml:space="preserve">As </w:t>
      </w:r>
      <w:r w:rsidRPr="008A7A35">
        <w:rPr>
          <w:rFonts w:ascii="Arial" w:hAnsi="Arial" w:cs="Arial"/>
        </w:rPr>
        <w:t>a result of discussions between the Investment Manager and the Board as to the strategic direction of the Company, the Company and the Investment Manager agreed the key terms of a proposal for a Managed Wind-Down of the Company</w:t>
      </w:r>
      <w:r>
        <w:rPr>
          <w:rFonts w:ascii="Arial" w:hAnsi="Arial" w:cs="Arial"/>
        </w:rPr>
        <w:t xml:space="preserve"> which were put to the Company’s </w:t>
      </w:r>
      <w:r w:rsidR="00902BFC">
        <w:rPr>
          <w:rFonts w:ascii="Arial" w:hAnsi="Arial" w:cs="Arial"/>
        </w:rPr>
        <w:t>S</w:t>
      </w:r>
      <w:r>
        <w:rPr>
          <w:rFonts w:ascii="Arial" w:hAnsi="Arial" w:cs="Arial"/>
        </w:rPr>
        <w:t>hareholders in an EGM on 22 August 2025.</w:t>
      </w:r>
    </w:p>
    <w:p w14:paraId="4BC94F53" w14:textId="77777777" w:rsidR="008E0A18" w:rsidRPr="008A7A35" w:rsidRDefault="008E0A18" w:rsidP="008E0A18">
      <w:pPr>
        <w:pStyle w:val="CommentText"/>
        <w:jc w:val="both"/>
        <w:rPr>
          <w:rFonts w:ascii="Arial" w:hAnsi="Arial" w:cs="Arial"/>
        </w:rPr>
      </w:pPr>
    </w:p>
    <w:p w14:paraId="465265AB" w14:textId="05CC2BF8" w:rsidR="008E0A18" w:rsidRPr="008A7A35" w:rsidRDefault="008E0A18" w:rsidP="008E0A18">
      <w:pPr>
        <w:pStyle w:val="CommentText"/>
        <w:jc w:val="both"/>
        <w:rPr>
          <w:rFonts w:ascii="Arial" w:hAnsi="Arial" w:cs="Arial"/>
        </w:rPr>
      </w:pPr>
      <w:r w:rsidRPr="008A7A35">
        <w:rPr>
          <w:rFonts w:ascii="Arial" w:hAnsi="Arial" w:cs="Arial"/>
        </w:rPr>
        <w:t xml:space="preserve">Following Shareholder approval at </w:t>
      </w:r>
      <w:r>
        <w:rPr>
          <w:rFonts w:ascii="Arial" w:hAnsi="Arial" w:cs="Arial"/>
        </w:rPr>
        <w:t xml:space="preserve">that </w:t>
      </w:r>
      <w:r w:rsidRPr="008A7A35">
        <w:rPr>
          <w:rFonts w:ascii="Arial" w:hAnsi="Arial" w:cs="Arial"/>
        </w:rPr>
        <w:t>EGM, the Company’s investment objective and policy w</w:t>
      </w:r>
      <w:r w:rsidR="009B6647">
        <w:rPr>
          <w:rFonts w:ascii="Arial" w:hAnsi="Arial" w:cs="Arial"/>
        </w:rPr>
        <w:t>ere</w:t>
      </w:r>
      <w:r w:rsidRPr="008A7A35">
        <w:rPr>
          <w:rFonts w:ascii="Arial" w:hAnsi="Arial" w:cs="Arial"/>
        </w:rPr>
        <w:t xml:space="preserve"> amended to facilitate the orderly realisation </w:t>
      </w:r>
      <w:r w:rsidR="009B6647">
        <w:rPr>
          <w:rFonts w:ascii="Arial" w:hAnsi="Arial" w:cs="Arial"/>
        </w:rPr>
        <w:t xml:space="preserve">of the </w:t>
      </w:r>
      <w:r w:rsidRPr="008A7A35">
        <w:rPr>
          <w:rFonts w:ascii="Arial" w:hAnsi="Arial" w:cs="Arial"/>
        </w:rPr>
        <w:t xml:space="preserve">existing investments and </w:t>
      </w:r>
      <w:r w:rsidR="009B6647">
        <w:rPr>
          <w:rFonts w:ascii="Arial" w:hAnsi="Arial" w:cs="Arial"/>
        </w:rPr>
        <w:t xml:space="preserve">the </w:t>
      </w:r>
      <w:r w:rsidRPr="008A7A35">
        <w:rPr>
          <w:rFonts w:ascii="Arial" w:hAnsi="Arial" w:cs="Arial"/>
        </w:rPr>
        <w:t xml:space="preserve">return </w:t>
      </w:r>
      <w:r w:rsidR="009B6647">
        <w:rPr>
          <w:rFonts w:ascii="Arial" w:hAnsi="Arial" w:cs="Arial"/>
        </w:rPr>
        <w:t xml:space="preserve">of </w:t>
      </w:r>
      <w:r w:rsidRPr="008A7A35">
        <w:rPr>
          <w:rFonts w:ascii="Arial" w:hAnsi="Arial" w:cs="Arial"/>
        </w:rPr>
        <w:t xml:space="preserve">capital to </w:t>
      </w:r>
      <w:r w:rsidR="00902BFC">
        <w:rPr>
          <w:rFonts w:ascii="Arial" w:hAnsi="Arial" w:cs="Arial"/>
        </w:rPr>
        <w:t>S</w:t>
      </w:r>
      <w:r w:rsidRPr="008A7A35">
        <w:rPr>
          <w:rFonts w:ascii="Arial" w:hAnsi="Arial" w:cs="Arial"/>
        </w:rPr>
        <w:t>hareholders through compulsory redemptions</w:t>
      </w:r>
      <w:r w:rsidR="009B6647">
        <w:rPr>
          <w:rFonts w:ascii="Arial" w:hAnsi="Arial" w:cs="Arial"/>
        </w:rPr>
        <w:t xml:space="preserve"> of the Company’s ordinary shares</w:t>
      </w:r>
      <w:r w:rsidRPr="008A7A35">
        <w:rPr>
          <w:rFonts w:ascii="Arial" w:hAnsi="Arial" w:cs="Arial"/>
        </w:rPr>
        <w:t>,</w:t>
      </w:r>
      <w:r w:rsidR="009B6647">
        <w:rPr>
          <w:rFonts w:ascii="Arial" w:hAnsi="Arial" w:cs="Arial"/>
        </w:rPr>
        <w:t xml:space="preserve"> such compulsory redemptions being at the discretion of the Company,</w:t>
      </w:r>
      <w:r w:rsidRPr="008A7A35">
        <w:rPr>
          <w:rFonts w:ascii="Arial" w:hAnsi="Arial" w:cs="Arial"/>
        </w:rPr>
        <w:t xml:space="preserve"> while ceasing new investments</w:t>
      </w:r>
      <w:r>
        <w:rPr>
          <w:rFonts w:ascii="Arial" w:hAnsi="Arial" w:cs="Arial"/>
        </w:rPr>
        <w:t>. Material revisions were also implemented to the IMA with the Investment Manager as referred to in Note 7.</w:t>
      </w:r>
      <w:r w:rsidR="00074BAB">
        <w:rPr>
          <w:rFonts w:ascii="Arial" w:hAnsi="Arial" w:cs="Arial"/>
        </w:rPr>
        <w:t xml:space="preserve"> </w:t>
      </w:r>
    </w:p>
    <w:p w14:paraId="62132F4E" w14:textId="77777777" w:rsidR="008E0A18" w:rsidRDefault="008E0A18" w:rsidP="008E0A18">
      <w:pPr>
        <w:jc w:val="both"/>
        <w:rPr>
          <w:rFonts w:ascii="Arial" w:eastAsia="Calibri" w:hAnsi="Arial" w:cs="Arial"/>
          <w:kern w:val="2"/>
          <w:sz w:val="20"/>
          <w:szCs w:val="20"/>
          <w14:ligatures w14:val="standardContextual"/>
        </w:rPr>
      </w:pPr>
      <w:proofErr w:type="gramStart"/>
      <w:r w:rsidRPr="008A7A35">
        <w:rPr>
          <w:rFonts w:ascii="Arial" w:eastAsia="Calibri" w:hAnsi="Arial" w:cs="Arial"/>
          <w:kern w:val="2"/>
          <w:sz w:val="20"/>
          <w:szCs w:val="20"/>
          <w14:ligatures w14:val="standardContextual"/>
        </w:rPr>
        <w:lastRenderedPageBreak/>
        <w:t>Subsequent to</w:t>
      </w:r>
      <w:proofErr w:type="gramEnd"/>
      <w:r w:rsidRPr="008A7A35">
        <w:rPr>
          <w:rFonts w:ascii="Arial" w:eastAsia="Calibri" w:hAnsi="Arial" w:cs="Arial"/>
          <w:kern w:val="2"/>
          <w:sz w:val="20"/>
          <w:szCs w:val="20"/>
          <w14:ligatures w14:val="standardContextual"/>
        </w:rPr>
        <w:t xml:space="preserve"> the period end, there have been no other material updates noted for the Company.</w:t>
      </w:r>
    </w:p>
    <w:p w14:paraId="40740636" w14:textId="77777777" w:rsidR="00481EC4" w:rsidRPr="008A7A35" w:rsidRDefault="00481EC4" w:rsidP="008E0A18">
      <w:pPr>
        <w:jc w:val="both"/>
        <w:rPr>
          <w:rFonts w:ascii="Arial" w:eastAsia="Calibri" w:hAnsi="Arial" w:cs="Arial"/>
          <w:kern w:val="2"/>
          <w:sz w:val="20"/>
          <w:szCs w:val="20"/>
          <w14:ligatures w14:val="standardContextual"/>
        </w:rPr>
      </w:pPr>
    </w:p>
    <w:p w14:paraId="2C92DC94" w14:textId="2C68CA47" w:rsidR="003B7D88" w:rsidRPr="008A7A35" w:rsidRDefault="003B7D88" w:rsidP="00BB03B1">
      <w:pPr>
        <w:pStyle w:val="CommentText"/>
        <w:jc w:val="both"/>
        <w:rPr>
          <w:rFonts w:ascii="Arial" w:hAnsi="Arial" w:cs="Arial"/>
        </w:rPr>
      </w:pPr>
    </w:p>
    <w:p w14:paraId="7A0BE53B" w14:textId="1579CC22" w:rsidR="004A13D3" w:rsidRPr="008A7A35" w:rsidRDefault="004A13D3" w:rsidP="00386D28">
      <w:pPr>
        <w:pStyle w:val="Heading1"/>
        <w:keepNext w:val="0"/>
        <w:keepLines w:val="0"/>
        <w:widowControl w:val="0"/>
        <w:spacing w:before="0"/>
        <w:contextualSpacing/>
        <w:rPr>
          <w:rFonts w:cs="Arial"/>
        </w:rPr>
      </w:pPr>
      <w:r w:rsidRPr="008A7A35">
        <w:rPr>
          <w:rFonts w:cs="Arial"/>
        </w:rPr>
        <w:t>Glossary of Capitalised Defined Terms</w:t>
      </w:r>
    </w:p>
    <w:p w14:paraId="4C46FB97" w14:textId="77777777" w:rsidR="000D18BB" w:rsidRDefault="000D18BB" w:rsidP="00AB02E6"/>
    <w:p w14:paraId="21919183" w14:textId="355CC1C8" w:rsidR="000D18BB" w:rsidRPr="002101DF" w:rsidRDefault="000D18BB" w:rsidP="00C47CB2">
      <w:pPr>
        <w:pStyle w:val="Bodytext"/>
        <w:spacing w:after="80"/>
      </w:pPr>
      <w:r w:rsidRPr="009B1684">
        <w:t>“</w:t>
      </w:r>
      <w:r w:rsidRPr="009B1684">
        <w:rPr>
          <w:b/>
        </w:rPr>
        <w:t>Adjustment Payments</w:t>
      </w:r>
      <w:r w:rsidRPr="009B1684">
        <w:t xml:space="preserve">” </w:t>
      </w:r>
      <w:r w:rsidRPr="002101DF">
        <w:t>means the payment by the Company to the Investment Manager of certain cash payments in US dollars in connection with the Managed Wind-</w:t>
      </w:r>
      <w:proofErr w:type="gramStart"/>
      <w:r w:rsidRPr="002101DF">
        <w:t>Down;</w:t>
      </w:r>
      <w:proofErr w:type="gramEnd"/>
    </w:p>
    <w:p w14:paraId="2B7B8EC2" w14:textId="60A9AA33" w:rsidR="00780C20" w:rsidRPr="002101DF" w:rsidRDefault="00780C20" w:rsidP="00780C20">
      <w:pPr>
        <w:pStyle w:val="Bodytext"/>
        <w:spacing w:after="80"/>
      </w:pPr>
      <w:r w:rsidRPr="002101DF">
        <w:t>“</w:t>
      </w:r>
      <w:r w:rsidRPr="002101DF">
        <w:rPr>
          <w:b/>
        </w:rPr>
        <w:t>Administrator</w:t>
      </w:r>
      <w:r w:rsidRPr="002101DF">
        <w:t xml:space="preserve">” means </w:t>
      </w:r>
      <w:r w:rsidR="00F47977" w:rsidRPr="002101DF">
        <w:t xml:space="preserve">Ocorian Administration (Guernsey) </w:t>
      </w:r>
      <w:proofErr w:type="gramStart"/>
      <w:r w:rsidR="00F47977" w:rsidRPr="002101DF">
        <w:t>Limited</w:t>
      </w:r>
      <w:r w:rsidR="00A073D9" w:rsidRPr="002101DF">
        <w:t>;</w:t>
      </w:r>
      <w:proofErr w:type="gramEnd"/>
    </w:p>
    <w:p w14:paraId="46BBF5F9" w14:textId="37D27C2D" w:rsidR="00AD57E5" w:rsidRPr="002101DF" w:rsidRDefault="00AD57E5" w:rsidP="00780C20">
      <w:pPr>
        <w:pStyle w:val="Bodytext"/>
        <w:spacing w:after="80"/>
      </w:pPr>
      <w:r w:rsidRPr="002101DF">
        <w:rPr>
          <w:b/>
        </w:rPr>
        <w:t>“Aleph</w:t>
      </w:r>
      <w:r w:rsidR="00324DD1" w:rsidRPr="002101DF">
        <w:rPr>
          <w:b/>
        </w:rPr>
        <w:t xml:space="preserve"> Midstream</w:t>
      </w:r>
      <w:r w:rsidRPr="002101DF">
        <w:rPr>
          <w:b/>
        </w:rPr>
        <w:t xml:space="preserve">” </w:t>
      </w:r>
      <w:r w:rsidRPr="002101DF">
        <w:t>means Aleph Midstream S.</w:t>
      </w:r>
      <w:proofErr w:type="gramStart"/>
      <w:r w:rsidRPr="002101DF">
        <w:t>A;</w:t>
      </w:r>
      <w:proofErr w:type="gramEnd"/>
    </w:p>
    <w:p w14:paraId="0D3150C9" w14:textId="77777777" w:rsidR="00780C20" w:rsidRPr="002101DF" w:rsidRDefault="00780C20" w:rsidP="00780C20">
      <w:pPr>
        <w:pStyle w:val="Bodytext"/>
        <w:spacing w:after="80"/>
      </w:pPr>
      <w:r w:rsidRPr="002101DF">
        <w:t>“</w:t>
      </w:r>
      <w:r w:rsidRPr="002101DF">
        <w:rPr>
          <w:b/>
        </w:rPr>
        <w:t>Annual General Meeting</w:t>
      </w:r>
      <w:r w:rsidRPr="002101DF">
        <w:t>” or “</w:t>
      </w:r>
      <w:r w:rsidRPr="002101DF">
        <w:rPr>
          <w:b/>
        </w:rPr>
        <w:t>AGM</w:t>
      </w:r>
      <w:r w:rsidRPr="002101DF">
        <w:t xml:space="preserve">” means the general meeting of the </w:t>
      </w:r>
      <w:proofErr w:type="gramStart"/>
      <w:r w:rsidRPr="002101DF">
        <w:t>Company;</w:t>
      </w:r>
      <w:proofErr w:type="gramEnd"/>
    </w:p>
    <w:p w14:paraId="37F4D755" w14:textId="605D3E87" w:rsidR="00780C20" w:rsidRPr="002101DF" w:rsidRDefault="00780C20" w:rsidP="00780C20">
      <w:pPr>
        <w:pStyle w:val="Bodytext"/>
        <w:spacing w:after="80"/>
      </w:pPr>
      <w:r w:rsidRPr="002101DF">
        <w:t>“</w:t>
      </w:r>
      <w:r w:rsidRPr="002101DF">
        <w:rPr>
          <w:b/>
        </w:rPr>
        <w:t>Annual Report and Financial Statements</w:t>
      </w:r>
      <w:r w:rsidRPr="002101DF">
        <w:t xml:space="preserve">” means the annual publication of the Company provided to the Shareholders to describe their operations and financial conditions, together with their Financial </w:t>
      </w:r>
      <w:proofErr w:type="gramStart"/>
      <w:r w:rsidRPr="002101DF">
        <w:t>Statements;</w:t>
      </w:r>
      <w:proofErr w:type="gramEnd"/>
    </w:p>
    <w:p w14:paraId="7434A452" w14:textId="0BDB6703" w:rsidR="009B32FF" w:rsidRPr="002101DF" w:rsidRDefault="009B32FF" w:rsidP="00780C20">
      <w:pPr>
        <w:pStyle w:val="Bodytext"/>
        <w:spacing w:after="80"/>
      </w:pPr>
      <w:r w:rsidRPr="002101DF">
        <w:t>“</w:t>
      </w:r>
      <w:r w:rsidRPr="002101DF">
        <w:rPr>
          <w:b/>
        </w:rPr>
        <w:t>Anuvia</w:t>
      </w:r>
      <w:r w:rsidRPr="002101DF">
        <w:t xml:space="preserve">” means Anuvia Plant Nutrients </w:t>
      </w:r>
      <w:proofErr w:type="gramStart"/>
      <w:r w:rsidRPr="002101DF">
        <w:t>Inc</w:t>
      </w:r>
      <w:r w:rsidR="001001F3" w:rsidRPr="002101DF">
        <w:t>.;</w:t>
      </w:r>
      <w:proofErr w:type="gramEnd"/>
    </w:p>
    <w:p w14:paraId="591783E1" w14:textId="77777777" w:rsidR="00780C20" w:rsidRPr="002101DF" w:rsidRDefault="00780C20" w:rsidP="00780C20">
      <w:pPr>
        <w:pStyle w:val="Bodytext"/>
        <w:spacing w:after="80"/>
      </w:pPr>
      <w:r w:rsidRPr="002101DF">
        <w:t>“</w:t>
      </w:r>
      <w:r w:rsidRPr="002101DF">
        <w:rPr>
          <w:b/>
        </w:rPr>
        <w:t>Audit Committee</w:t>
      </w:r>
      <w:r w:rsidRPr="002101DF">
        <w:t xml:space="preserve">” means a formal committee of the Board with defined terms of </w:t>
      </w:r>
      <w:proofErr w:type="gramStart"/>
      <w:r w:rsidRPr="002101DF">
        <w:t>reference;</w:t>
      </w:r>
      <w:proofErr w:type="gramEnd"/>
    </w:p>
    <w:p w14:paraId="58F599B0" w14:textId="0AA67800" w:rsidR="00AD57E5" w:rsidRDefault="00780C20" w:rsidP="00C632C6">
      <w:pPr>
        <w:pStyle w:val="Bodytext"/>
        <w:spacing w:after="80"/>
      </w:pPr>
      <w:r w:rsidRPr="002101DF">
        <w:t>“</w:t>
      </w:r>
      <w:r w:rsidRPr="002101DF">
        <w:rPr>
          <w:b/>
        </w:rPr>
        <w:t>Board</w:t>
      </w:r>
      <w:r w:rsidRPr="002101DF">
        <w:t>” or “</w:t>
      </w:r>
      <w:r w:rsidRPr="002101DF">
        <w:rPr>
          <w:b/>
        </w:rPr>
        <w:t>Directors</w:t>
      </w:r>
      <w:r w:rsidRPr="002101DF">
        <w:t xml:space="preserve">” means the directors of the </w:t>
      </w:r>
      <w:proofErr w:type="gramStart"/>
      <w:r w:rsidRPr="002101DF">
        <w:t>Company;</w:t>
      </w:r>
      <w:proofErr w:type="gramEnd"/>
    </w:p>
    <w:p w14:paraId="1BCEB10E" w14:textId="110B8559" w:rsidR="002B0C6E" w:rsidRPr="002101DF" w:rsidRDefault="002B0C6E" w:rsidP="00C632C6">
      <w:pPr>
        <w:pStyle w:val="Bodytext"/>
        <w:spacing w:after="80"/>
      </w:pPr>
      <w:r w:rsidRPr="002101DF">
        <w:t>“</w:t>
      </w:r>
      <w:r w:rsidRPr="002101DF">
        <w:rPr>
          <w:b/>
        </w:rPr>
        <w:t>Bo</w:t>
      </w:r>
      <w:r>
        <w:rPr>
          <w:b/>
        </w:rPr>
        <w:t>e/d</w:t>
      </w:r>
      <w:r w:rsidRPr="002101DF">
        <w:t xml:space="preserve">” means </w:t>
      </w:r>
      <w:r>
        <w:t xml:space="preserve">barrels of oil equivalent per </w:t>
      </w:r>
      <w:proofErr w:type="gramStart"/>
      <w:r>
        <w:t>day</w:t>
      </w:r>
      <w:r w:rsidRPr="002101DF">
        <w:t>;</w:t>
      </w:r>
      <w:proofErr w:type="gramEnd"/>
    </w:p>
    <w:p w14:paraId="1D840850" w14:textId="77777777" w:rsidR="00780C20" w:rsidRPr="002101DF" w:rsidRDefault="00780C20" w:rsidP="00780C20">
      <w:pPr>
        <w:pStyle w:val="Bodytext"/>
        <w:spacing w:after="80"/>
      </w:pPr>
      <w:r w:rsidRPr="002101DF">
        <w:t>“</w:t>
      </w:r>
      <w:r w:rsidRPr="002101DF">
        <w:rPr>
          <w:b/>
        </w:rPr>
        <w:t>CanEra III</w:t>
      </w:r>
      <w:r w:rsidRPr="002101DF">
        <w:t xml:space="preserve">” means CanEra </w:t>
      </w:r>
      <w:proofErr w:type="gramStart"/>
      <w:r w:rsidRPr="002101DF">
        <w:t>Inc.;</w:t>
      </w:r>
      <w:proofErr w:type="gramEnd"/>
    </w:p>
    <w:p w14:paraId="3D38C761" w14:textId="77777777" w:rsidR="00780C20" w:rsidRDefault="00780C20" w:rsidP="00780C20">
      <w:pPr>
        <w:pStyle w:val="Bodytext"/>
        <w:spacing w:after="80"/>
      </w:pPr>
      <w:r w:rsidRPr="002101DF">
        <w:t>“</w:t>
      </w:r>
      <w:r w:rsidRPr="002101DF">
        <w:rPr>
          <w:b/>
        </w:rPr>
        <w:t>Carrier II</w:t>
      </w:r>
      <w:r w:rsidRPr="002101DF">
        <w:t xml:space="preserve">” means Carrier Energy Partners II </w:t>
      </w:r>
      <w:proofErr w:type="gramStart"/>
      <w:r w:rsidRPr="002101DF">
        <w:t>LLC;</w:t>
      </w:r>
      <w:proofErr w:type="gramEnd"/>
    </w:p>
    <w:p w14:paraId="7CBA7B60" w14:textId="13AB5AB7" w:rsidR="000861E7" w:rsidRPr="002101DF" w:rsidRDefault="000861E7" w:rsidP="00780C20">
      <w:pPr>
        <w:pStyle w:val="Bodytext"/>
        <w:spacing w:after="80"/>
      </w:pPr>
      <w:r w:rsidRPr="009B1684">
        <w:rPr>
          <w:b/>
          <w:bCs/>
        </w:rPr>
        <w:t>“Cash Portfolio”</w:t>
      </w:r>
      <w:r>
        <w:t xml:space="preserve"> means cash and cash equivalents held by </w:t>
      </w:r>
      <w:r w:rsidR="009B6647">
        <w:t>the Company</w:t>
      </w:r>
      <w:r>
        <w:t xml:space="preserve"> and the Partnership</w:t>
      </w:r>
      <w:r w:rsidR="00122036">
        <w:t xml:space="preserve">, including its </w:t>
      </w:r>
      <w:proofErr w:type="gramStart"/>
      <w:r w:rsidR="00122036">
        <w:t>wholly-owned</w:t>
      </w:r>
      <w:proofErr w:type="gramEnd"/>
      <w:r w:rsidR="00122036">
        <w:t xml:space="preserve"> subsidiaries, </w:t>
      </w:r>
      <w:r>
        <w:t xml:space="preserve">net of Management Fee payable as of 30 June </w:t>
      </w:r>
      <w:proofErr w:type="gramStart"/>
      <w:r>
        <w:t>2025;</w:t>
      </w:r>
      <w:proofErr w:type="gramEnd"/>
    </w:p>
    <w:p w14:paraId="4645BB6A" w14:textId="77777777" w:rsidR="00780C20" w:rsidRPr="002101DF" w:rsidRDefault="00780C20" w:rsidP="00780C20">
      <w:pPr>
        <w:pStyle w:val="Bodytext"/>
        <w:spacing w:after="80"/>
      </w:pPr>
      <w:r w:rsidRPr="002101DF">
        <w:t>“</w:t>
      </w:r>
      <w:r w:rsidRPr="002101DF">
        <w:rPr>
          <w:b/>
        </w:rPr>
        <w:t>Castex 2005</w:t>
      </w:r>
      <w:r w:rsidRPr="002101DF">
        <w:t xml:space="preserve">” means Castex Energy 2005 </w:t>
      </w:r>
      <w:proofErr w:type="gramStart"/>
      <w:r w:rsidRPr="002101DF">
        <w:t>LLC;</w:t>
      </w:r>
      <w:proofErr w:type="gramEnd"/>
    </w:p>
    <w:p w14:paraId="7C33AFEA" w14:textId="77777777" w:rsidR="00780C20" w:rsidRPr="002101DF" w:rsidRDefault="00780C20" w:rsidP="00780C20">
      <w:pPr>
        <w:pStyle w:val="Bodytext"/>
        <w:spacing w:after="80"/>
      </w:pPr>
      <w:r w:rsidRPr="002101DF">
        <w:t>“</w:t>
      </w:r>
      <w:r w:rsidRPr="002101DF">
        <w:rPr>
          <w:b/>
        </w:rPr>
        <w:t>Castex 2014</w:t>
      </w:r>
      <w:r w:rsidRPr="002101DF">
        <w:t xml:space="preserve">” means Castex Energy 2014 </w:t>
      </w:r>
      <w:proofErr w:type="gramStart"/>
      <w:r w:rsidRPr="002101DF">
        <w:t>LLC;</w:t>
      </w:r>
      <w:proofErr w:type="gramEnd"/>
    </w:p>
    <w:p w14:paraId="73B949D7" w14:textId="0720709F" w:rsidR="00153C48" w:rsidRPr="002101DF" w:rsidRDefault="00153C48" w:rsidP="00780C20">
      <w:pPr>
        <w:pStyle w:val="Bodytext"/>
        <w:spacing w:after="80"/>
      </w:pPr>
      <w:r w:rsidRPr="009B1684">
        <w:t>“</w:t>
      </w:r>
      <w:r w:rsidRPr="009B1684">
        <w:rPr>
          <w:b/>
        </w:rPr>
        <w:t>Circular</w:t>
      </w:r>
      <w:r w:rsidRPr="009B1684">
        <w:t xml:space="preserve">” </w:t>
      </w:r>
      <w:r w:rsidRPr="002101DF">
        <w:t>means</w:t>
      </w:r>
      <w:r w:rsidR="000D18BB" w:rsidRPr="002101DF">
        <w:t xml:space="preserve"> the </w:t>
      </w:r>
      <w:r w:rsidR="000D18BB" w:rsidRPr="002101DF">
        <w:rPr>
          <w:rFonts w:cs="Arial"/>
          <w:szCs w:val="20"/>
        </w:rPr>
        <w:t xml:space="preserve">Circular published by the Company on 1 August </w:t>
      </w:r>
      <w:proofErr w:type="gramStart"/>
      <w:r w:rsidR="000D18BB" w:rsidRPr="002101DF">
        <w:rPr>
          <w:rFonts w:cs="Arial"/>
          <w:szCs w:val="20"/>
        </w:rPr>
        <w:t>2025;</w:t>
      </w:r>
      <w:proofErr w:type="gramEnd"/>
    </w:p>
    <w:p w14:paraId="42ADBCC2" w14:textId="77777777" w:rsidR="00780C20" w:rsidRPr="002101DF" w:rsidRDefault="00780C20" w:rsidP="00780C20">
      <w:pPr>
        <w:pStyle w:val="Bodytext"/>
        <w:spacing w:after="80"/>
      </w:pPr>
      <w:r w:rsidRPr="002101DF">
        <w:t>“</w:t>
      </w:r>
      <w:r w:rsidRPr="002101DF">
        <w:rPr>
          <w:b/>
        </w:rPr>
        <w:t>Company</w:t>
      </w:r>
      <w:r w:rsidRPr="002101DF">
        <w:t>” or “</w:t>
      </w:r>
      <w:r w:rsidRPr="002101DF">
        <w:rPr>
          <w:b/>
        </w:rPr>
        <w:t>REL</w:t>
      </w:r>
      <w:r w:rsidRPr="002101DF">
        <w:t xml:space="preserve">” means Riverstone Energy </w:t>
      </w:r>
      <w:proofErr w:type="gramStart"/>
      <w:r w:rsidRPr="002101DF">
        <w:t>Limited;</w:t>
      </w:r>
      <w:proofErr w:type="gramEnd"/>
    </w:p>
    <w:p w14:paraId="009E0C88" w14:textId="0AC58B59" w:rsidR="00153C48" w:rsidRPr="008A7A35" w:rsidRDefault="00153C48" w:rsidP="00780C20">
      <w:pPr>
        <w:pStyle w:val="Bodytext"/>
        <w:spacing w:after="80"/>
      </w:pPr>
      <w:r w:rsidRPr="009B1684">
        <w:t>“</w:t>
      </w:r>
      <w:r w:rsidRPr="009B1684">
        <w:rPr>
          <w:b/>
        </w:rPr>
        <w:t>Company Cause Termination</w:t>
      </w:r>
      <w:r w:rsidRPr="009B1684">
        <w:t xml:space="preserve">” </w:t>
      </w:r>
      <w:r w:rsidRPr="002101DF">
        <w:t>means</w:t>
      </w:r>
      <w:r w:rsidR="000D18BB" w:rsidRPr="002101DF">
        <w:t xml:space="preserve"> the Company would have the right to terminate the </w:t>
      </w:r>
      <w:r w:rsidR="00F27EEC" w:rsidRPr="002101DF">
        <w:t>IMA</w:t>
      </w:r>
      <w:r w:rsidR="000D18BB" w:rsidRPr="002101DF">
        <w:t xml:space="preserve">: (i) on three months’ notice if the Investment Manager is in material breach of its material obligations under the </w:t>
      </w:r>
      <w:r w:rsidR="00F27EEC" w:rsidRPr="002101DF">
        <w:t>IMA</w:t>
      </w:r>
      <w:r w:rsidR="000D18BB" w:rsidRPr="002101DF">
        <w:t xml:space="preserve"> (unless remedied to the reasonable satisfaction of the Company within such three month period); or (ii) immediately if the Investment Manager commits an act of fraud or wilful default in relation to the Company which results in material harm to the Company</w:t>
      </w:r>
      <w:r w:rsidR="00F27EEC" w:rsidRPr="002101DF">
        <w:t>;</w:t>
      </w:r>
    </w:p>
    <w:p w14:paraId="1E2F33E6" w14:textId="1ECF4146" w:rsidR="00780C20" w:rsidRPr="008A7A35" w:rsidRDefault="00780C20" w:rsidP="00780C20">
      <w:pPr>
        <w:pStyle w:val="Bodytext"/>
        <w:spacing w:after="80"/>
      </w:pPr>
      <w:r w:rsidRPr="008A7A35">
        <w:t>“</w:t>
      </w:r>
      <w:r w:rsidRPr="008A7A35">
        <w:rPr>
          <w:b/>
        </w:rPr>
        <w:t>Company Secretary</w:t>
      </w:r>
      <w:r w:rsidRPr="008A7A35">
        <w:t xml:space="preserve">” means </w:t>
      </w:r>
      <w:r w:rsidR="00F47977" w:rsidRPr="008A7A35">
        <w:t xml:space="preserve">Ocorian Administration (Guernsey) </w:t>
      </w:r>
      <w:proofErr w:type="gramStart"/>
      <w:r w:rsidR="00F47977" w:rsidRPr="008A7A35">
        <w:t>Limited;</w:t>
      </w:r>
      <w:proofErr w:type="gramEnd"/>
    </w:p>
    <w:p w14:paraId="13E6B4BB" w14:textId="1B8B3558" w:rsidR="00780C20" w:rsidRPr="008A7A35" w:rsidRDefault="00780C20" w:rsidP="00780C20">
      <w:pPr>
        <w:pStyle w:val="Bodytext"/>
        <w:spacing w:after="80"/>
      </w:pPr>
      <w:r w:rsidRPr="008A7A35">
        <w:t>“</w:t>
      </w:r>
      <w:r w:rsidRPr="008A7A35">
        <w:rPr>
          <w:b/>
        </w:rPr>
        <w:t>Cornerstone Investors</w:t>
      </w:r>
      <w:r w:rsidRPr="008A7A35">
        <w:t xml:space="preserve">” </w:t>
      </w:r>
      <w:r w:rsidR="00F47977" w:rsidRPr="008A7A35">
        <w:t xml:space="preserve">means those investors who have acquired Ordinary Shares and acquired a minority economic interest in the General Partner and in the Investment Manager, being AKRC Investments LLC, Casita, L.P., KFI and </w:t>
      </w:r>
      <w:proofErr w:type="gramStart"/>
      <w:r w:rsidR="00F47977" w:rsidRPr="008A7A35">
        <w:t>McNair;</w:t>
      </w:r>
      <w:proofErr w:type="gramEnd"/>
    </w:p>
    <w:p w14:paraId="318F3296" w14:textId="25522736" w:rsidR="00F47977" w:rsidRPr="008A7A35" w:rsidRDefault="00F47977" w:rsidP="00F47977">
      <w:pPr>
        <w:pStyle w:val="Bodytext"/>
        <w:spacing w:after="80"/>
      </w:pPr>
      <w:r w:rsidRPr="008A7A35">
        <w:t>“</w:t>
      </w:r>
      <w:r w:rsidRPr="008A7A35">
        <w:rPr>
          <w:b/>
        </w:rPr>
        <w:t>Corporate Broker</w:t>
      </w:r>
      <w:r w:rsidRPr="008A7A35">
        <w:t xml:space="preserve">” means </w:t>
      </w:r>
      <w:r w:rsidR="00785A7F" w:rsidRPr="008A7A35">
        <w:rPr>
          <w:rFonts w:cs="Arial"/>
          <w:szCs w:val="20"/>
          <w:lang w:val="en-US"/>
        </w:rPr>
        <w:t xml:space="preserve">Deutsche </w:t>
      </w:r>
      <w:r w:rsidRPr="008A7A35">
        <w:t xml:space="preserve">Numis Securities </w:t>
      </w:r>
      <w:proofErr w:type="gramStart"/>
      <w:r w:rsidRPr="008A7A35">
        <w:t>Limited;</w:t>
      </w:r>
      <w:proofErr w:type="gramEnd"/>
    </w:p>
    <w:p w14:paraId="1DC6E9D1" w14:textId="59277869" w:rsidR="006D4905" w:rsidRPr="008A7A35" w:rsidRDefault="00780C20" w:rsidP="00780C20">
      <w:pPr>
        <w:pStyle w:val="Bodytext"/>
        <w:spacing w:after="80"/>
      </w:pPr>
      <w:r w:rsidRPr="008A7A35">
        <w:t>“</w:t>
      </w:r>
      <w:r w:rsidRPr="008A7A35">
        <w:rPr>
          <w:b/>
        </w:rPr>
        <w:t>C Corporations</w:t>
      </w:r>
      <w:r w:rsidRPr="008A7A35">
        <w:t xml:space="preserve">” means a C Corporation, under U.S. federal income tax law, being a corporation that is taxed separately from its </w:t>
      </w:r>
      <w:proofErr w:type="gramStart"/>
      <w:r w:rsidRPr="008A7A35">
        <w:t>owners;</w:t>
      </w:r>
      <w:proofErr w:type="gramEnd"/>
      <w:r w:rsidRPr="008A7A35">
        <w:t xml:space="preserve"> </w:t>
      </w:r>
    </w:p>
    <w:p w14:paraId="5F81DDF9" w14:textId="7A2D54C9" w:rsidR="00AD57E5" w:rsidRPr="008A7A35" w:rsidRDefault="007B4CD5" w:rsidP="00780C20">
      <w:pPr>
        <w:pStyle w:val="Bodytext"/>
        <w:spacing w:after="80"/>
      </w:pPr>
      <w:r w:rsidRPr="008A7A35">
        <w:t>“</w:t>
      </w:r>
      <w:r w:rsidRPr="008A7A35">
        <w:rPr>
          <w:b/>
        </w:rPr>
        <w:t>DCRC</w:t>
      </w:r>
      <w:r w:rsidRPr="008A7A35">
        <w:t xml:space="preserve">” means Decarbonization Plus Acquisition Corporation </w:t>
      </w:r>
      <w:proofErr w:type="gramStart"/>
      <w:r w:rsidRPr="008A7A35">
        <w:t>III;</w:t>
      </w:r>
      <w:proofErr w:type="gramEnd"/>
    </w:p>
    <w:p w14:paraId="56D16DBD" w14:textId="3B6BCB7E" w:rsidR="000B1BA6" w:rsidRPr="008A7A35" w:rsidRDefault="00971812" w:rsidP="00BD73CE">
      <w:pPr>
        <w:pStyle w:val="Bodytext"/>
        <w:spacing w:after="80"/>
      </w:pPr>
      <w:r w:rsidRPr="008A7A35">
        <w:rPr>
          <w:b/>
          <w:bCs/>
        </w:rPr>
        <w:t>“Disclosure Guidance and Transparency Rules” or “DTRs”</w:t>
      </w:r>
      <w:r w:rsidRPr="008A7A35">
        <w:t xml:space="preserve"> mean the disclosure guidance published by the FCA and the transparency rules made by the FCA under section 73A of </w:t>
      </w:r>
      <w:proofErr w:type="gramStart"/>
      <w:r w:rsidRPr="008A7A35">
        <w:t>FSMA;</w:t>
      </w:r>
      <w:proofErr w:type="gramEnd"/>
    </w:p>
    <w:p w14:paraId="0701915F" w14:textId="77777777" w:rsidR="00780C20" w:rsidRPr="008A7A35" w:rsidRDefault="00780C20" w:rsidP="00780C20">
      <w:pPr>
        <w:pStyle w:val="Bodytext"/>
        <w:spacing w:after="80"/>
      </w:pPr>
      <w:r w:rsidRPr="008A7A35">
        <w:t>“</w:t>
      </w:r>
      <w:r w:rsidRPr="008A7A35">
        <w:rPr>
          <w:b/>
        </w:rPr>
        <w:t>Discount to NAV</w:t>
      </w:r>
      <w:r w:rsidRPr="008A7A35">
        <w:t xml:space="preserve">” means the situation where the Ordinary shares of the Company are trading at a price lower than the Company’s Net Asset </w:t>
      </w:r>
      <w:proofErr w:type="gramStart"/>
      <w:r w:rsidRPr="008A7A35">
        <w:t>Value;</w:t>
      </w:r>
      <w:proofErr w:type="gramEnd"/>
    </w:p>
    <w:p w14:paraId="6232AC0C" w14:textId="1CF0EED9" w:rsidR="00780C20" w:rsidRPr="008A7A35" w:rsidRDefault="00780C20" w:rsidP="00F47977">
      <w:pPr>
        <w:pStyle w:val="Bodytext"/>
        <w:spacing w:after="80"/>
      </w:pPr>
      <w:r w:rsidRPr="008A7A35">
        <w:t>“</w:t>
      </w:r>
      <w:r w:rsidRPr="008A7A35">
        <w:rPr>
          <w:b/>
        </w:rPr>
        <w:t>E&amp;P</w:t>
      </w:r>
      <w:r w:rsidRPr="008A7A35">
        <w:t xml:space="preserve">” means exploration and </w:t>
      </w:r>
      <w:proofErr w:type="gramStart"/>
      <w:r w:rsidRPr="008A7A35">
        <w:t>production;</w:t>
      </w:r>
      <w:proofErr w:type="gramEnd"/>
    </w:p>
    <w:p w14:paraId="4CFF2D96" w14:textId="77777777" w:rsidR="00780C20" w:rsidRPr="008A7A35" w:rsidRDefault="00780C20" w:rsidP="00780C20">
      <w:pPr>
        <w:pStyle w:val="Bodytext"/>
        <w:spacing w:after="80"/>
      </w:pPr>
      <w:r w:rsidRPr="008A7A35">
        <w:t>“</w:t>
      </w:r>
      <w:r w:rsidRPr="008A7A35">
        <w:rPr>
          <w:b/>
        </w:rPr>
        <w:t>Eagle II</w:t>
      </w:r>
      <w:r w:rsidRPr="008A7A35">
        <w:t xml:space="preserve">” means Eagle Energy Exploration, </w:t>
      </w:r>
      <w:proofErr w:type="gramStart"/>
      <w:r w:rsidRPr="008A7A35">
        <w:t>LLC;</w:t>
      </w:r>
      <w:proofErr w:type="gramEnd"/>
    </w:p>
    <w:p w14:paraId="7484BC8A" w14:textId="77777777" w:rsidR="00780C20" w:rsidRPr="008A7A35" w:rsidRDefault="00780C20" w:rsidP="00780C20">
      <w:pPr>
        <w:pStyle w:val="Bodytext"/>
        <w:spacing w:after="80"/>
      </w:pPr>
      <w:r w:rsidRPr="008A7A35">
        <w:t>“</w:t>
      </w:r>
      <w:r w:rsidRPr="008A7A35">
        <w:rPr>
          <w:b/>
        </w:rPr>
        <w:t>Earnings per Share</w:t>
      </w:r>
      <w:r w:rsidRPr="008A7A35">
        <w:t>” or “</w:t>
      </w:r>
      <w:r w:rsidRPr="008A7A35">
        <w:rPr>
          <w:b/>
        </w:rPr>
        <w:t>EPS</w:t>
      </w:r>
      <w:r w:rsidRPr="008A7A35">
        <w:t xml:space="preserve">” means the Earnings per Ordinary Share and is expressed in U.S. </w:t>
      </w:r>
      <w:proofErr w:type="gramStart"/>
      <w:r w:rsidRPr="008A7A35">
        <w:t>dollars;</w:t>
      </w:r>
      <w:proofErr w:type="gramEnd"/>
    </w:p>
    <w:p w14:paraId="0C9EBA1B" w14:textId="77777777" w:rsidR="00F47977" w:rsidRPr="008A7A35" w:rsidRDefault="00780C20" w:rsidP="00780C20">
      <w:pPr>
        <w:pStyle w:val="Bodytext"/>
        <w:spacing w:after="80"/>
      </w:pPr>
      <w:r w:rsidRPr="008A7A35">
        <w:t>“</w:t>
      </w:r>
      <w:r w:rsidRPr="008A7A35">
        <w:rPr>
          <w:b/>
        </w:rPr>
        <w:t>EBITDA</w:t>
      </w:r>
      <w:r w:rsidRPr="008A7A35">
        <w:t>” means earnings before interest, taxes, depreciation and</w:t>
      </w:r>
      <w:r w:rsidR="00F47977" w:rsidRPr="008A7A35">
        <w:t xml:space="preserve"> </w:t>
      </w:r>
      <w:proofErr w:type="gramStart"/>
      <w:r w:rsidR="00F47977" w:rsidRPr="008A7A35">
        <w:t>amortisation;</w:t>
      </w:r>
      <w:proofErr w:type="gramEnd"/>
    </w:p>
    <w:p w14:paraId="1B00067C" w14:textId="2E085ABC" w:rsidR="00F47977" w:rsidRPr="008A7A35" w:rsidRDefault="00780C20" w:rsidP="00F47977">
      <w:pPr>
        <w:pStyle w:val="Bodytext"/>
        <w:spacing w:after="80"/>
      </w:pPr>
      <w:r w:rsidRPr="008A7A35">
        <w:t>“</w:t>
      </w:r>
      <w:r w:rsidRPr="008A7A35">
        <w:rPr>
          <w:b/>
        </w:rPr>
        <w:t>ECI</w:t>
      </w:r>
      <w:r w:rsidRPr="008A7A35">
        <w:t xml:space="preserve">” means effectively connected income, which refers to all income from sources within the United States connected with the conduct of a trade or </w:t>
      </w:r>
      <w:proofErr w:type="gramStart"/>
      <w:r w:rsidRPr="008A7A35">
        <w:t>business;</w:t>
      </w:r>
      <w:proofErr w:type="gramEnd"/>
    </w:p>
    <w:p w14:paraId="56D17333" w14:textId="67E0FE1B" w:rsidR="008547A7" w:rsidRPr="008A7A35" w:rsidRDefault="00780C20" w:rsidP="00780C20">
      <w:pPr>
        <w:pStyle w:val="Bodytext"/>
        <w:spacing w:after="80"/>
      </w:pPr>
      <w:r w:rsidRPr="008A7A35">
        <w:t>“</w:t>
      </w:r>
      <w:r w:rsidRPr="008A7A35">
        <w:rPr>
          <w:b/>
        </w:rPr>
        <w:t>EGM</w:t>
      </w:r>
      <w:r w:rsidRPr="008A7A35">
        <w:t xml:space="preserve">” means an Extraordinary General Meeting of the </w:t>
      </w:r>
      <w:proofErr w:type="gramStart"/>
      <w:r w:rsidRPr="008A7A35">
        <w:t>Company;</w:t>
      </w:r>
      <w:proofErr w:type="gramEnd"/>
      <w:r w:rsidRPr="008A7A35">
        <w:t xml:space="preserve"> </w:t>
      </w:r>
    </w:p>
    <w:p w14:paraId="05DDBA07" w14:textId="143F2DEC" w:rsidR="00C94C65" w:rsidRPr="008A7A35" w:rsidRDefault="00C94C65" w:rsidP="00780C20">
      <w:pPr>
        <w:pStyle w:val="Bodytext"/>
        <w:spacing w:after="80"/>
      </w:pPr>
      <w:r w:rsidRPr="008A7A35">
        <w:t>“</w:t>
      </w:r>
      <w:r w:rsidRPr="008A7A35">
        <w:rPr>
          <w:b/>
          <w:bCs/>
        </w:rPr>
        <w:t>Enviva</w:t>
      </w:r>
      <w:r w:rsidRPr="008A7A35">
        <w:t xml:space="preserve">” means Enviva Holdings, </w:t>
      </w:r>
      <w:proofErr w:type="gramStart"/>
      <w:r w:rsidRPr="008A7A35">
        <w:t>L.P.;</w:t>
      </w:r>
      <w:proofErr w:type="gramEnd"/>
    </w:p>
    <w:p w14:paraId="42DB3C45" w14:textId="40BF4C45" w:rsidR="00780C20" w:rsidRPr="008A7A35" w:rsidRDefault="00780C20" w:rsidP="00780C20">
      <w:pPr>
        <w:pStyle w:val="Bodytext"/>
        <w:spacing w:after="80"/>
      </w:pPr>
      <w:r w:rsidRPr="008A7A35">
        <w:t>“</w:t>
      </w:r>
      <w:r w:rsidRPr="008A7A35">
        <w:rPr>
          <w:b/>
        </w:rPr>
        <w:t>EU</w:t>
      </w:r>
      <w:r w:rsidRPr="008A7A35">
        <w:t xml:space="preserve">” means the European </w:t>
      </w:r>
      <w:proofErr w:type="gramStart"/>
      <w:r w:rsidRPr="008A7A35">
        <w:t>Union;</w:t>
      </w:r>
      <w:proofErr w:type="gramEnd"/>
    </w:p>
    <w:p w14:paraId="020A57DF" w14:textId="27A21476" w:rsidR="00780C20" w:rsidRPr="008A7A35" w:rsidRDefault="00780C20" w:rsidP="00780C20">
      <w:pPr>
        <w:pStyle w:val="Bodytext"/>
        <w:spacing w:after="80"/>
      </w:pPr>
      <w:r w:rsidRPr="008A7A35">
        <w:t>“</w:t>
      </w:r>
      <w:r w:rsidRPr="008A7A35">
        <w:rPr>
          <w:b/>
        </w:rPr>
        <w:t>EV</w:t>
      </w:r>
      <w:r w:rsidRPr="008A7A35">
        <w:t xml:space="preserve">” means enterprise </w:t>
      </w:r>
      <w:proofErr w:type="gramStart"/>
      <w:r w:rsidRPr="008A7A35">
        <w:t>value;</w:t>
      </w:r>
      <w:proofErr w:type="gramEnd"/>
    </w:p>
    <w:p w14:paraId="61D9AA80" w14:textId="77777777" w:rsidR="00780C20" w:rsidRPr="008A7A35" w:rsidRDefault="00780C20" w:rsidP="00780C20">
      <w:pPr>
        <w:pStyle w:val="Bodytext"/>
        <w:spacing w:after="80"/>
      </w:pPr>
      <w:r w:rsidRPr="008A7A35">
        <w:t>“</w:t>
      </w:r>
      <w:r w:rsidRPr="008A7A35">
        <w:rPr>
          <w:b/>
        </w:rPr>
        <w:t>FCA</w:t>
      </w:r>
      <w:r w:rsidRPr="008A7A35">
        <w:t>” means the UK Financial Conduct Authority (or its successor bodies</w:t>
      </w:r>
      <w:proofErr w:type="gramStart"/>
      <w:r w:rsidRPr="008A7A35">
        <w:t>);</w:t>
      </w:r>
      <w:proofErr w:type="gramEnd"/>
    </w:p>
    <w:p w14:paraId="766EDBF2" w14:textId="77777777" w:rsidR="00780C20" w:rsidRPr="008A7A35" w:rsidRDefault="00780C20" w:rsidP="00780C20">
      <w:pPr>
        <w:pStyle w:val="Bodytext"/>
        <w:spacing w:after="80"/>
      </w:pPr>
      <w:r w:rsidRPr="008A7A35">
        <w:lastRenderedPageBreak/>
        <w:t>“</w:t>
      </w:r>
      <w:r w:rsidRPr="008A7A35">
        <w:rPr>
          <w:b/>
        </w:rPr>
        <w:t>Fieldwood</w:t>
      </w:r>
      <w:r w:rsidRPr="008A7A35">
        <w:t xml:space="preserve">” means Fieldwood Energy </w:t>
      </w:r>
      <w:proofErr w:type="gramStart"/>
      <w:r w:rsidRPr="008A7A35">
        <w:t>LLC;</w:t>
      </w:r>
      <w:proofErr w:type="gramEnd"/>
    </w:p>
    <w:p w14:paraId="15F8D5E4" w14:textId="77777777" w:rsidR="00780C20" w:rsidRPr="008A7A35" w:rsidRDefault="00780C20" w:rsidP="00780C20">
      <w:pPr>
        <w:pStyle w:val="Bodytext"/>
        <w:spacing w:after="80"/>
      </w:pPr>
      <w:r w:rsidRPr="008A7A35">
        <w:t>“</w:t>
      </w:r>
      <w:r w:rsidRPr="008A7A35">
        <w:rPr>
          <w:b/>
        </w:rPr>
        <w:t>Financial Statements</w:t>
      </w:r>
      <w:r w:rsidRPr="008A7A35">
        <w:t xml:space="preserve">” means the audited financial statements of the Company, including the Statement of Financial Position, the Statement of Comprehensive Income, the Statement of Cash Flows, the Statement of Changes in Equity and associated </w:t>
      </w:r>
      <w:proofErr w:type="gramStart"/>
      <w:r w:rsidRPr="008A7A35">
        <w:t>notes;</w:t>
      </w:r>
      <w:proofErr w:type="gramEnd"/>
    </w:p>
    <w:p w14:paraId="539C6605" w14:textId="146ADA9C" w:rsidR="006D4905" w:rsidRPr="008A7A35" w:rsidRDefault="006D4905" w:rsidP="00780C20">
      <w:pPr>
        <w:pStyle w:val="Bodytext"/>
        <w:spacing w:after="80"/>
      </w:pPr>
      <w:r w:rsidRPr="008A7A35">
        <w:t>“</w:t>
      </w:r>
      <w:r w:rsidRPr="008A7A35">
        <w:rPr>
          <w:b/>
        </w:rPr>
        <w:t>Free</w:t>
      </w:r>
      <w:r w:rsidR="00C15814" w:rsidRPr="008A7A35">
        <w:rPr>
          <w:b/>
        </w:rPr>
        <w:t>W</w:t>
      </w:r>
      <w:r w:rsidRPr="008A7A35">
        <w:rPr>
          <w:b/>
        </w:rPr>
        <w:t>ire</w:t>
      </w:r>
      <w:r w:rsidRPr="008A7A35">
        <w:t xml:space="preserve">” </w:t>
      </w:r>
      <w:r w:rsidR="007B4CD5" w:rsidRPr="008A7A35">
        <w:t xml:space="preserve">means FreeWire Technologies, </w:t>
      </w:r>
      <w:proofErr w:type="gramStart"/>
      <w:r w:rsidR="007B4CD5" w:rsidRPr="008A7A35">
        <w:t>Inc.;</w:t>
      </w:r>
      <w:proofErr w:type="gramEnd"/>
    </w:p>
    <w:p w14:paraId="02ED1B52" w14:textId="77777777" w:rsidR="00780C20" w:rsidRPr="008A7A35" w:rsidRDefault="00780C20" w:rsidP="00780C20">
      <w:pPr>
        <w:pStyle w:val="Bodytext"/>
        <w:spacing w:after="80"/>
      </w:pPr>
      <w:r w:rsidRPr="008A7A35">
        <w:t>“</w:t>
      </w:r>
      <w:r w:rsidRPr="008A7A35">
        <w:rPr>
          <w:b/>
        </w:rPr>
        <w:t>General Partner</w:t>
      </w:r>
      <w:r w:rsidRPr="008A7A35">
        <w:t xml:space="preserve">” means REL IP General Partner LP (acting through its general partner, REL IP General Partner Limited), the general partner of the Partnership and a member of the Riverstone </w:t>
      </w:r>
      <w:proofErr w:type="gramStart"/>
      <w:r w:rsidRPr="008A7A35">
        <w:t>group;</w:t>
      </w:r>
      <w:proofErr w:type="gramEnd"/>
    </w:p>
    <w:p w14:paraId="26C3BF07" w14:textId="7A924B51" w:rsidR="00780C20" w:rsidRPr="008A7A35" w:rsidRDefault="00780C20" w:rsidP="00780C20">
      <w:pPr>
        <w:pStyle w:val="Bodytext"/>
        <w:spacing w:after="80"/>
      </w:pPr>
      <w:r w:rsidRPr="008A7A35">
        <w:t>“</w:t>
      </w:r>
      <w:r w:rsidRPr="008A7A35">
        <w:rPr>
          <w:b/>
        </w:rPr>
        <w:t>GFSC</w:t>
      </w:r>
      <w:r w:rsidRPr="008A7A35">
        <w:t>” or “</w:t>
      </w:r>
      <w:r w:rsidRPr="008A7A35">
        <w:rPr>
          <w:b/>
        </w:rPr>
        <w:t>Commission</w:t>
      </w:r>
      <w:r w:rsidRPr="008A7A35">
        <w:t xml:space="preserve">” means the Guernsey Financial Services </w:t>
      </w:r>
      <w:proofErr w:type="gramStart"/>
      <w:r w:rsidRPr="008A7A35">
        <w:t>Commission;</w:t>
      </w:r>
      <w:proofErr w:type="gramEnd"/>
    </w:p>
    <w:p w14:paraId="3E8427D1" w14:textId="205170ED" w:rsidR="00780C20" w:rsidRPr="008A7A35" w:rsidRDefault="00931FA2" w:rsidP="00780C20">
      <w:pPr>
        <w:pStyle w:val="Bodytext"/>
        <w:spacing w:after="80"/>
      </w:pPr>
      <w:r w:rsidRPr="008A7A35">
        <w:t>“</w:t>
      </w:r>
      <w:r w:rsidRPr="008A7A35">
        <w:rPr>
          <w:b/>
        </w:rPr>
        <w:t>GoodLeap</w:t>
      </w:r>
      <w:r w:rsidRPr="008A7A35">
        <w:t>” means GoodLeap, LLC</w:t>
      </w:r>
      <w:r w:rsidR="005116BB" w:rsidRPr="008A7A35">
        <w:t xml:space="preserve"> formerly known as </w:t>
      </w:r>
      <w:proofErr w:type="spellStart"/>
      <w:r w:rsidR="005116BB" w:rsidRPr="008A7A35">
        <w:t>LoanPal</w:t>
      </w:r>
      <w:proofErr w:type="spellEnd"/>
      <w:r w:rsidR="005116BB" w:rsidRPr="008A7A35">
        <w:t xml:space="preserve"> </w:t>
      </w:r>
      <w:proofErr w:type="gramStart"/>
      <w:r w:rsidR="005116BB" w:rsidRPr="008A7A35">
        <w:t>LLC</w:t>
      </w:r>
      <w:r w:rsidRPr="008A7A35">
        <w:t>;</w:t>
      </w:r>
      <w:proofErr w:type="gramEnd"/>
    </w:p>
    <w:p w14:paraId="44C435CD" w14:textId="11F3BE7C" w:rsidR="00780C20" w:rsidRPr="008A7A35" w:rsidRDefault="00780C20" w:rsidP="00F47977">
      <w:pPr>
        <w:pStyle w:val="Bodytext"/>
        <w:spacing w:after="80"/>
      </w:pPr>
      <w:r w:rsidRPr="008A7A35">
        <w:t>“</w:t>
      </w:r>
      <w:r w:rsidRPr="008A7A35">
        <w:rPr>
          <w:b/>
        </w:rPr>
        <w:t>Gross MOIC</w:t>
      </w:r>
      <w:r w:rsidRPr="008A7A35">
        <w:t xml:space="preserve">” means gross multiple of invested </w:t>
      </w:r>
      <w:proofErr w:type="gramStart"/>
      <w:r w:rsidRPr="008A7A35">
        <w:t>capital;</w:t>
      </w:r>
      <w:proofErr w:type="gramEnd"/>
    </w:p>
    <w:p w14:paraId="3650DFC0" w14:textId="3FB94960" w:rsidR="00780C20" w:rsidRPr="008A7A35" w:rsidRDefault="001001F3" w:rsidP="00780C20">
      <w:pPr>
        <w:pStyle w:val="Bodytext"/>
        <w:spacing w:after="80"/>
      </w:pPr>
      <w:r w:rsidRPr="008A7A35">
        <w:t>“</w:t>
      </w:r>
      <w:r w:rsidRPr="008A7A35">
        <w:rPr>
          <w:b/>
        </w:rPr>
        <w:t>Group14</w:t>
      </w:r>
      <w:r w:rsidRPr="008A7A35">
        <w:t xml:space="preserve">” means Group14 Technologies </w:t>
      </w:r>
      <w:proofErr w:type="gramStart"/>
      <w:r w:rsidRPr="008A7A35">
        <w:t>Inc.;</w:t>
      </w:r>
      <w:proofErr w:type="gramEnd"/>
    </w:p>
    <w:p w14:paraId="67EE80D5" w14:textId="6AFF4626" w:rsidR="0014004E" w:rsidRPr="008A7A35" w:rsidRDefault="0014004E" w:rsidP="00780C20">
      <w:pPr>
        <w:pStyle w:val="Bodytext"/>
        <w:spacing w:after="80"/>
      </w:pPr>
      <w:r w:rsidRPr="008A7A35">
        <w:rPr>
          <w:b/>
          <w:bCs/>
        </w:rPr>
        <w:t>“Henry Hub”</w:t>
      </w:r>
      <w:r w:rsidRPr="008A7A35">
        <w:t xml:space="preserve"> </w:t>
      </w:r>
      <w:r w:rsidR="007D366E" w:rsidRPr="008A7A35">
        <w:rPr>
          <w:lang w:val="en-US"/>
        </w:rPr>
        <w:t xml:space="preserve">means a pipeline interchange of natural gas in North America used as a benchmark in gas </w:t>
      </w:r>
      <w:proofErr w:type="gramStart"/>
      <w:r w:rsidR="007D366E" w:rsidRPr="008A7A35">
        <w:rPr>
          <w:lang w:val="en-US"/>
        </w:rPr>
        <w:t>pricing;</w:t>
      </w:r>
      <w:proofErr w:type="gramEnd"/>
    </w:p>
    <w:p w14:paraId="3F73A306" w14:textId="63F1B4A9" w:rsidR="00913F27" w:rsidRPr="008A7A35" w:rsidRDefault="00913F27" w:rsidP="00780C20">
      <w:pPr>
        <w:pStyle w:val="Bodytext"/>
        <w:spacing w:after="80"/>
      </w:pPr>
      <w:r w:rsidRPr="008A7A35">
        <w:t>“</w:t>
      </w:r>
      <w:r w:rsidRPr="008A7A35">
        <w:rPr>
          <w:b/>
          <w:bCs/>
        </w:rPr>
        <w:t>Hyzon</w:t>
      </w:r>
      <w:r w:rsidRPr="008A7A35">
        <w:t xml:space="preserve">” means Hyzon Motors, </w:t>
      </w:r>
      <w:proofErr w:type="gramStart"/>
      <w:r w:rsidRPr="008A7A35">
        <w:t>Inc.;</w:t>
      </w:r>
      <w:proofErr w:type="gramEnd"/>
    </w:p>
    <w:p w14:paraId="1943DDD3" w14:textId="77777777" w:rsidR="00780C20" w:rsidRPr="008A7A35" w:rsidRDefault="00780C20" w:rsidP="00780C20">
      <w:pPr>
        <w:pStyle w:val="Bodytext"/>
        <w:spacing w:after="80"/>
      </w:pPr>
      <w:r w:rsidRPr="008A7A35">
        <w:t>“</w:t>
      </w:r>
      <w:r w:rsidRPr="008A7A35">
        <w:rPr>
          <w:b/>
        </w:rPr>
        <w:t>IAS</w:t>
      </w:r>
      <w:r w:rsidRPr="008A7A35">
        <w:t xml:space="preserve">” means international accounting standards as issued by the Board of the International Accounting Standards </w:t>
      </w:r>
      <w:proofErr w:type="gramStart"/>
      <w:r w:rsidRPr="008A7A35">
        <w:t>Committee;</w:t>
      </w:r>
      <w:proofErr w:type="gramEnd"/>
    </w:p>
    <w:p w14:paraId="5BA1AA43" w14:textId="77777777" w:rsidR="00780C20" w:rsidRPr="008A7A35" w:rsidRDefault="00780C20" w:rsidP="00830133">
      <w:pPr>
        <w:pStyle w:val="Bodytext"/>
        <w:spacing w:after="80"/>
        <w:jc w:val="both"/>
      </w:pPr>
      <w:r w:rsidRPr="008A7A35">
        <w:t>“</w:t>
      </w:r>
      <w:r w:rsidRPr="008A7A35">
        <w:rPr>
          <w:b/>
        </w:rPr>
        <w:t>IFRS</w:t>
      </w:r>
      <w:r w:rsidRPr="008A7A35">
        <w:t xml:space="preserve">” means the International Financial Reporting Standards, being the principles-based accounting standards, interpretations and the framework by that name issued by the International Accounting Standards Board, as adopted by the </w:t>
      </w:r>
      <w:proofErr w:type="gramStart"/>
      <w:r w:rsidRPr="008A7A35">
        <w:t>EU;</w:t>
      </w:r>
      <w:proofErr w:type="gramEnd"/>
    </w:p>
    <w:p w14:paraId="4FD9864F" w14:textId="3DC91C7A" w:rsidR="00C660C1" w:rsidRPr="008A7A35" w:rsidRDefault="00780C20" w:rsidP="00780C20">
      <w:pPr>
        <w:pStyle w:val="Bodytext"/>
        <w:spacing w:after="80"/>
      </w:pPr>
      <w:r w:rsidRPr="008A7A35">
        <w:t>“</w:t>
      </w:r>
      <w:r w:rsidRPr="008A7A35">
        <w:rPr>
          <w:b/>
        </w:rPr>
        <w:t>ILX III</w:t>
      </w:r>
      <w:r w:rsidRPr="008A7A35">
        <w:t xml:space="preserve">” means ILX Holdings III </w:t>
      </w:r>
      <w:proofErr w:type="gramStart"/>
      <w:r w:rsidRPr="008A7A35">
        <w:t>LLC;</w:t>
      </w:r>
      <w:proofErr w:type="gramEnd"/>
    </w:p>
    <w:p w14:paraId="0D83485C" w14:textId="4DB60567" w:rsidR="009B32FF" w:rsidRPr="008A7A35" w:rsidRDefault="009B32FF" w:rsidP="00780C20">
      <w:pPr>
        <w:pStyle w:val="Bodytext"/>
        <w:spacing w:after="80"/>
      </w:pPr>
      <w:r w:rsidRPr="008A7A35">
        <w:t>“</w:t>
      </w:r>
      <w:r w:rsidRPr="008A7A35">
        <w:rPr>
          <w:b/>
        </w:rPr>
        <w:t>Infinitum</w:t>
      </w:r>
      <w:r w:rsidRPr="008A7A35">
        <w:t xml:space="preserve">” means Infinitum Electric </w:t>
      </w:r>
      <w:proofErr w:type="gramStart"/>
      <w:r w:rsidRPr="008A7A35">
        <w:t>Inc.</w:t>
      </w:r>
      <w:r w:rsidR="007A7A31" w:rsidRPr="008A7A35">
        <w:t>;</w:t>
      </w:r>
      <w:proofErr w:type="gramEnd"/>
    </w:p>
    <w:p w14:paraId="7D6D44B2" w14:textId="43D64D23" w:rsidR="00780C20" w:rsidRPr="008A7A35" w:rsidRDefault="00780C20" w:rsidP="00780C20">
      <w:pPr>
        <w:pStyle w:val="Bodytext"/>
        <w:spacing w:after="80"/>
      </w:pPr>
      <w:r w:rsidRPr="008A7A35">
        <w:t>“</w:t>
      </w:r>
      <w:r w:rsidRPr="008A7A35">
        <w:rPr>
          <w:b/>
        </w:rPr>
        <w:t>Interim Report</w:t>
      </w:r>
      <w:r w:rsidRPr="008A7A35">
        <w:t xml:space="preserve">” means the Company’s half yearly report and unaudited interim condensed financial statements for the period ended 30 </w:t>
      </w:r>
      <w:proofErr w:type="gramStart"/>
      <w:r w:rsidRPr="008A7A35">
        <w:t>June;</w:t>
      </w:r>
      <w:proofErr w:type="gramEnd"/>
    </w:p>
    <w:p w14:paraId="63F15434" w14:textId="0939384E" w:rsidR="00780C20" w:rsidRPr="008A7A35" w:rsidRDefault="00780C20" w:rsidP="00780C20">
      <w:pPr>
        <w:pStyle w:val="Bodytext"/>
        <w:spacing w:after="80"/>
      </w:pPr>
      <w:r w:rsidRPr="008A7A35">
        <w:t>“</w:t>
      </w:r>
      <w:r w:rsidRPr="008A7A35">
        <w:rPr>
          <w:b/>
        </w:rPr>
        <w:t>Investment Manager</w:t>
      </w:r>
      <w:r w:rsidRPr="008A7A35">
        <w:t xml:space="preserve">” means </w:t>
      </w:r>
      <w:r w:rsidR="00C60FFF" w:rsidRPr="008A7A35">
        <w:t>RIL</w:t>
      </w:r>
      <w:r w:rsidR="00E7267B" w:rsidRPr="008A7A35">
        <w:t xml:space="preserve"> </w:t>
      </w:r>
      <w:r w:rsidR="00C60FFF" w:rsidRPr="008A7A35">
        <w:t>(</w:t>
      </w:r>
      <w:r w:rsidR="00E7267B" w:rsidRPr="008A7A35">
        <w:t xml:space="preserve">effective through </w:t>
      </w:r>
      <w:r w:rsidR="006D4905" w:rsidRPr="008A7A35">
        <w:t xml:space="preserve">17 August </w:t>
      </w:r>
      <w:r w:rsidR="00E7267B" w:rsidRPr="008A7A35">
        <w:t xml:space="preserve">2020) </w:t>
      </w:r>
      <w:r w:rsidR="00C60FFF" w:rsidRPr="008A7A35">
        <w:t>and</w:t>
      </w:r>
      <w:r w:rsidR="00E7267B" w:rsidRPr="008A7A35">
        <w:t xml:space="preserve"> RIGL (effective after </w:t>
      </w:r>
      <w:r w:rsidR="006D4905" w:rsidRPr="008A7A35">
        <w:t>17 August</w:t>
      </w:r>
      <w:r w:rsidR="00E7267B" w:rsidRPr="008A7A35">
        <w:t xml:space="preserve"> 2020)</w:t>
      </w:r>
      <w:r w:rsidRPr="008A7A35">
        <w:t xml:space="preserve"> which </w:t>
      </w:r>
      <w:r w:rsidR="00E7267B" w:rsidRPr="008A7A35">
        <w:t>are</w:t>
      </w:r>
      <w:r w:rsidR="00C60FFF" w:rsidRPr="008A7A35">
        <w:t xml:space="preserve"> both</w:t>
      </w:r>
      <w:r w:rsidRPr="008A7A35">
        <w:t xml:space="preserve"> majority-owned and controlled by </w:t>
      </w:r>
      <w:proofErr w:type="gramStart"/>
      <w:r w:rsidRPr="008A7A35">
        <w:t>Riverstone;</w:t>
      </w:r>
      <w:proofErr w:type="gramEnd"/>
    </w:p>
    <w:p w14:paraId="44A6217E" w14:textId="6FFEB92E" w:rsidR="00F47977" w:rsidRPr="008A7A35" w:rsidRDefault="00780C20" w:rsidP="00830133">
      <w:pPr>
        <w:pStyle w:val="Bodytext"/>
        <w:spacing w:after="80"/>
        <w:jc w:val="both"/>
      </w:pPr>
      <w:r w:rsidRPr="008A7A35">
        <w:t>“</w:t>
      </w:r>
      <w:r w:rsidRPr="008A7A35">
        <w:rPr>
          <w:b/>
        </w:rPr>
        <w:t>Investment Management Agreement</w:t>
      </w:r>
      <w:r w:rsidR="00C27DFA">
        <w:rPr>
          <w:b/>
        </w:rPr>
        <w:t>”</w:t>
      </w:r>
      <w:r w:rsidR="004434AD" w:rsidRPr="00C47CB2">
        <w:rPr>
          <w:bCs/>
        </w:rPr>
        <w:t xml:space="preserve"> or </w:t>
      </w:r>
      <w:r w:rsidR="00C27DFA">
        <w:rPr>
          <w:b/>
        </w:rPr>
        <w:t>“</w:t>
      </w:r>
      <w:r w:rsidR="004434AD">
        <w:rPr>
          <w:b/>
        </w:rPr>
        <w:t>IMA</w:t>
      </w:r>
      <w:r w:rsidRPr="008A7A35">
        <w:t>” means the investment management agreement dated 24 September 2013 between RIL, the Company and the Partnership (acting through its General Partner) under which RIL is appointed as the Investment Manager of both the Company and the Partnership</w:t>
      </w:r>
      <w:r w:rsidR="00E7267B" w:rsidRPr="008A7A35">
        <w:t xml:space="preserve"> (effective through </w:t>
      </w:r>
      <w:r w:rsidR="006D4905" w:rsidRPr="008A7A35">
        <w:t xml:space="preserve">17 August </w:t>
      </w:r>
      <w:r w:rsidR="00E7267B" w:rsidRPr="008A7A35">
        <w:t>2020)</w:t>
      </w:r>
      <w:r w:rsidR="006D4905" w:rsidRPr="008A7A35">
        <w:t>, the</w:t>
      </w:r>
      <w:r w:rsidR="00E7267B" w:rsidRPr="008A7A35">
        <w:t xml:space="preserve"> 2</w:t>
      </w:r>
      <w:r w:rsidR="00E7267B" w:rsidRPr="008A7A35">
        <w:rPr>
          <w:vertAlign w:val="superscript"/>
        </w:rPr>
        <w:t>nd</w:t>
      </w:r>
      <w:r w:rsidR="00E7267B" w:rsidRPr="008A7A35">
        <w:t xml:space="preserve"> Amended &amp; Restated investment management agreement effective after </w:t>
      </w:r>
      <w:r w:rsidR="006D4905" w:rsidRPr="008A7A35">
        <w:t xml:space="preserve">17 August </w:t>
      </w:r>
      <w:r w:rsidR="00E7267B" w:rsidRPr="008A7A35">
        <w:t>2020 between RIGL, the Company and the Partnership (acting through its General Partner) under which RIGL is appointed as the Investment Manager of both the Company and the Partnership</w:t>
      </w:r>
      <w:r w:rsidR="006D4905" w:rsidRPr="008A7A35">
        <w:t xml:space="preserve"> and the 3</w:t>
      </w:r>
      <w:r w:rsidR="006D4905" w:rsidRPr="008A7A35">
        <w:rPr>
          <w:vertAlign w:val="superscript"/>
        </w:rPr>
        <w:t>rd</w:t>
      </w:r>
      <w:r w:rsidR="006D4905" w:rsidRPr="008A7A35">
        <w:t xml:space="preserve"> Amended &amp; Restatement investment management agreement effective 9 December 2020 between RIGL, the Company and the Partnership (acting through its General Partner)</w:t>
      </w:r>
      <w:r w:rsidR="00B931D7">
        <w:t xml:space="preserve"> as at 30</w:t>
      </w:r>
      <w:r w:rsidR="00612A32">
        <w:t xml:space="preserve"> </w:t>
      </w:r>
      <w:r w:rsidR="00B931D7">
        <w:t xml:space="preserve">June 2025 and up to the conclusion of the EGM held on 22 August </w:t>
      </w:r>
      <w:r w:rsidR="00D46EBC">
        <w:t xml:space="preserve">2025. </w:t>
      </w:r>
      <w:r w:rsidR="001C219E">
        <w:t xml:space="preserve">At this date </w:t>
      </w:r>
      <w:r w:rsidR="001C219E" w:rsidRPr="008A7A35">
        <w:t xml:space="preserve">the </w:t>
      </w:r>
      <w:r w:rsidR="001C219E">
        <w:t xml:space="preserve">Company’s </w:t>
      </w:r>
      <w:r w:rsidR="001C219E" w:rsidRPr="008A7A35">
        <w:t>investment objective and policy changed</w:t>
      </w:r>
      <w:r w:rsidR="001C219E">
        <w:t xml:space="preserve"> and </w:t>
      </w:r>
      <w:proofErr w:type="gramStart"/>
      <w:r w:rsidR="001C219E">
        <w:t>as a consequence</w:t>
      </w:r>
      <w:proofErr w:type="gramEnd"/>
      <w:r w:rsidR="001C219E">
        <w:t xml:space="preserve"> the IMA was revised to outline new terms of appointment for the Investment Manager for the period of the Managed Wind-</w:t>
      </w:r>
      <w:proofErr w:type="gramStart"/>
      <w:r w:rsidR="001C219E">
        <w:t>Down</w:t>
      </w:r>
      <w:r w:rsidRPr="008A7A35">
        <w:t>;</w:t>
      </w:r>
      <w:proofErr w:type="gramEnd"/>
    </w:p>
    <w:p w14:paraId="520399A8" w14:textId="72393145" w:rsidR="00780C20" w:rsidRPr="008A7A35" w:rsidRDefault="00780C20" w:rsidP="00830133">
      <w:pPr>
        <w:pStyle w:val="Bodytext"/>
        <w:spacing w:after="80"/>
        <w:jc w:val="both"/>
      </w:pPr>
      <w:r w:rsidRPr="008A7A35">
        <w:t>“</w:t>
      </w:r>
      <w:r w:rsidRPr="008A7A35">
        <w:rPr>
          <w:b/>
        </w:rPr>
        <w:t>Investment Undertaking</w:t>
      </w:r>
      <w:r w:rsidRPr="008A7A35">
        <w:t xml:space="preserve">” means the Partnership, any intermediate holding or investing entities that the Company or the Partnership may establish from time to time for the purposes of efficient portfolio management and to assist with tax planning generally and any subsidiary undertaking of the Company or the Partnership from time to </w:t>
      </w:r>
      <w:proofErr w:type="gramStart"/>
      <w:r w:rsidRPr="008A7A35">
        <w:t>time;</w:t>
      </w:r>
      <w:proofErr w:type="gramEnd"/>
    </w:p>
    <w:p w14:paraId="6F2A9DAA" w14:textId="77777777" w:rsidR="00780C20" w:rsidRPr="008A7A35" w:rsidRDefault="00780C20" w:rsidP="00780C20">
      <w:pPr>
        <w:pStyle w:val="Bodytext"/>
        <w:spacing w:after="80"/>
      </w:pPr>
      <w:r w:rsidRPr="008A7A35">
        <w:t>“</w:t>
      </w:r>
      <w:r w:rsidRPr="008A7A35">
        <w:rPr>
          <w:b/>
        </w:rPr>
        <w:t>IPEV Valuation Guidelines</w:t>
      </w:r>
      <w:r w:rsidRPr="008A7A35">
        <w:t xml:space="preserve">” means the International Private Equity and Venture Capital Valuation </w:t>
      </w:r>
      <w:proofErr w:type="gramStart"/>
      <w:r w:rsidRPr="008A7A35">
        <w:t>Guidelines;</w:t>
      </w:r>
      <w:proofErr w:type="gramEnd"/>
    </w:p>
    <w:p w14:paraId="50EF8894" w14:textId="77777777" w:rsidR="00780C20" w:rsidRPr="008A7A35" w:rsidRDefault="00780C20" w:rsidP="00780C20">
      <w:pPr>
        <w:pStyle w:val="Bodytext"/>
        <w:spacing w:after="80"/>
      </w:pPr>
      <w:r w:rsidRPr="008A7A35">
        <w:t>“</w:t>
      </w:r>
      <w:r w:rsidRPr="008A7A35">
        <w:rPr>
          <w:b/>
        </w:rPr>
        <w:t>IPO</w:t>
      </w:r>
      <w:r w:rsidRPr="008A7A35">
        <w:t xml:space="preserve">” means the initial public offering of shares by a private company to the </w:t>
      </w:r>
      <w:proofErr w:type="gramStart"/>
      <w:r w:rsidRPr="008A7A35">
        <w:t>public;</w:t>
      </w:r>
      <w:proofErr w:type="gramEnd"/>
    </w:p>
    <w:p w14:paraId="10577F58" w14:textId="0623B5B8" w:rsidR="00780C20" w:rsidRPr="008A7A35" w:rsidRDefault="00780C20" w:rsidP="00780C20">
      <w:pPr>
        <w:pStyle w:val="Bodytext"/>
        <w:spacing w:after="80"/>
      </w:pPr>
      <w:r w:rsidRPr="008A7A35">
        <w:t>“</w:t>
      </w:r>
      <w:r w:rsidRPr="008A7A35">
        <w:rPr>
          <w:b/>
        </w:rPr>
        <w:t>IRS</w:t>
      </w:r>
      <w:r w:rsidRPr="008A7A35">
        <w:t xml:space="preserve">” means the Internal Revenue Service, the revenue service of the U.S. federal </w:t>
      </w:r>
      <w:proofErr w:type="gramStart"/>
      <w:r w:rsidRPr="008A7A35">
        <w:t>government;</w:t>
      </w:r>
      <w:proofErr w:type="gramEnd"/>
      <w:r w:rsidRPr="008A7A35">
        <w:t xml:space="preserve"> </w:t>
      </w:r>
    </w:p>
    <w:p w14:paraId="5E6E74BA" w14:textId="5813F5A2" w:rsidR="00780C20" w:rsidRPr="008A7A35" w:rsidRDefault="00780C20" w:rsidP="00780C20">
      <w:pPr>
        <w:pStyle w:val="Bodytext"/>
        <w:spacing w:after="80"/>
      </w:pPr>
      <w:r w:rsidRPr="008A7A35">
        <w:t>“</w:t>
      </w:r>
      <w:r w:rsidRPr="008A7A35">
        <w:rPr>
          <w:b/>
        </w:rPr>
        <w:t>ISIN</w:t>
      </w:r>
      <w:r w:rsidRPr="008A7A35">
        <w:t xml:space="preserve">” means an International Securities Identification </w:t>
      </w:r>
      <w:proofErr w:type="gramStart"/>
      <w:r w:rsidRPr="008A7A35">
        <w:t>Number;</w:t>
      </w:r>
      <w:proofErr w:type="gramEnd"/>
    </w:p>
    <w:p w14:paraId="125807B1" w14:textId="67831A29" w:rsidR="00443250" w:rsidRPr="008A7A35" w:rsidRDefault="00780C20" w:rsidP="00780C20">
      <w:pPr>
        <w:pStyle w:val="Bodytext"/>
        <w:spacing w:after="80"/>
      </w:pPr>
      <w:r w:rsidRPr="008A7A35">
        <w:t>“</w:t>
      </w:r>
      <w:r w:rsidRPr="008A7A35">
        <w:rPr>
          <w:b/>
        </w:rPr>
        <w:t>Liberty II</w:t>
      </w:r>
      <w:r w:rsidRPr="008A7A35">
        <w:t xml:space="preserve">” means Liberty Resources II </w:t>
      </w:r>
      <w:proofErr w:type="gramStart"/>
      <w:r w:rsidRPr="008A7A35">
        <w:t>LLC;</w:t>
      </w:r>
      <w:proofErr w:type="gramEnd"/>
    </w:p>
    <w:p w14:paraId="0C968EA8" w14:textId="684C9AAB" w:rsidR="00780C20" w:rsidRPr="008A7A35" w:rsidRDefault="00780C20" w:rsidP="00780C20">
      <w:pPr>
        <w:pStyle w:val="Bodytext"/>
        <w:spacing w:after="80"/>
      </w:pPr>
      <w:r w:rsidRPr="008A7A35">
        <w:t>“</w:t>
      </w:r>
      <w:r w:rsidRPr="008A7A35">
        <w:rPr>
          <w:b/>
        </w:rPr>
        <w:t>London Stock Exchange</w:t>
      </w:r>
      <w:r w:rsidRPr="008A7A35">
        <w:t>” or “</w:t>
      </w:r>
      <w:r w:rsidRPr="008A7A35">
        <w:rPr>
          <w:b/>
        </w:rPr>
        <w:t>LSE</w:t>
      </w:r>
      <w:r w:rsidRPr="008A7A35">
        <w:t xml:space="preserve">” means London Stock Exchange </w:t>
      </w:r>
      <w:proofErr w:type="gramStart"/>
      <w:r w:rsidR="00BD5F24" w:rsidRPr="008A7A35">
        <w:t>P</w:t>
      </w:r>
      <w:r w:rsidRPr="008A7A35">
        <w:t>lc;</w:t>
      </w:r>
      <w:proofErr w:type="gramEnd"/>
    </w:p>
    <w:p w14:paraId="32AC73DB" w14:textId="02912688" w:rsidR="00443250" w:rsidRPr="008A7A35" w:rsidRDefault="00443250" w:rsidP="00780C20">
      <w:pPr>
        <w:pStyle w:val="Bodytext"/>
        <w:spacing w:after="80"/>
      </w:pPr>
      <w:r w:rsidRPr="008A7A35">
        <w:t>“</w:t>
      </w:r>
      <w:r w:rsidRPr="008A7A35">
        <w:rPr>
          <w:b/>
        </w:rPr>
        <w:t>mcf</w:t>
      </w:r>
      <w:r w:rsidRPr="008A7A35">
        <w:t xml:space="preserve">” means </w:t>
      </w:r>
      <w:r w:rsidR="00FE61F0" w:rsidRPr="008A7A35">
        <w:t xml:space="preserve">one thousand cubic </w:t>
      </w:r>
      <w:proofErr w:type="gramStart"/>
      <w:r w:rsidR="00FE61F0" w:rsidRPr="008A7A35">
        <w:t>feet</w:t>
      </w:r>
      <w:r w:rsidR="00862641" w:rsidRPr="008A7A35">
        <w:t>;</w:t>
      </w:r>
      <w:proofErr w:type="gramEnd"/>
    </w:p>
    <w:p w14:paraId="10FD789C" w14:textId="77777777" w:rsidR="00780C20" w:rsidRPr="008A7A35" w:rsidRDefault="00780C20" w:rsidP="00780C20">
      <w:pPr>
        <w:pStyle w:val="Bodytext"/>
        <w:spacing w:after="80"/>
      </w:pPr>
      <w:r w:rsidRPr="008A7A35">
        <w:t>“</w:t>
      </w:r>
      <w:r w:rsidRPr="008A7A35">
        <w:rPr>
          <w:b/>
        </w:rPr>
        <w:t>Management Engagement Committee</w:t>
      </w:r>
      <w:r w:rsidRPr="008A7A35">
        <w:t xml:space="preserve">” means a formal committee of the Board with defined terms of </w:t>
      </w:r>
      <w:proofErr w:type="gramStart"/>
      <w:r w:rsidRPr="008A7A35">
        <w:t>reference;</w:t>
      </w:r>
      <w:proofErr w:type="gramEnd"/>
    </w:p>
    <w:p w14:paraId="4F77ED61" w14:textId="557EB7C6" w:rsidR="00EE5E5B" w:rsidRDefault="00780C20" w:rsidP="00780C20">
      <w:pPr>
        <w:pStyle w:val="Bodytext"/>
        <w:spacing w:after="80"/>
      </w:pPr>
      <w:r w:rsidRPr="008A7A35">
        <w:t>“</w:t>
      </w:r>
      <w:r w:rsidRPr="008A7A35">
        <w:rPr>
          <w:b/>
        </w:rPr>
        <w:t>Management Fee</w:t>
      </w:r>
      <w:r w:rsidRPr="008A7A35">
        <w:t xml:space="preserve">” means the management fee to which RIL is </w:t>
      </w:r>
      <w:proofErr w:type="gramStart"/>
      <w:r w:rsidRPr="008A7A35">
        <w:t>entitled;</w:t>
      </w:r>
      <w:proofErr w:type="gramEnd"/>
    </w:p>
    <w:p w14:paraId="5C667922" w14:textId="07933F6D" w:rsidR="00E43FCC" w:rsidRPr="002101DF" w:rsidRDefault="00E43FCC" w:rsidP="00780C20">
      <w:pPr>
        <w:pStyle w:val="Bodytext"/>
        <w:spacing w:after="80"/>
      </w:pPr>
      <w:r w:rsidRPr="009B1684">
        <w:t>“</w:t>
      </w:r>
      <w:r w:rsidRPr="009B1684">
        <w:rPr>
          <w:rFonts w:cs="Arial"/>
          <w:b/>
          <w:bCs/>
          <w:szCs w:val="20"/>
        </w:rPr>
        <w:t>Managed Wind-Down</w:t>
      </w:r>
      <w:r w:rsidRPr="009B1684">
        <w:t xml:space="preserve">” </w:t>
      </w:r>
      <w:r w:rsidRPr="002101DF">
        <w:t>means</w:t>
      </w:r>
      <w:r w:rsidR="00F27EEC" w:rsidRPr="002101DF">
        <w:t xml:space="preserve"> an orderly realisation of the Company’s investment </w:t>
      </w:r>
      <w:proofErr w:type="gramStart"/>
      <w:r w:rsidR="00F27EEC" w:rsidRPr="002101DF">
        <w:t>portfolio;</w:t>
      </w:r>
      <w:proofErr w:type="gramEnd"/>
      <w:r w:rsidR="00F27EEC" w:rsidRPr="002101DF">
        <w:t xml:space="preserve"> </w:t>
      </w:r>
    </w:p>
    <w:p w14:paraId="5C0DAA91" w14:textId="2F7926C1" w:rsidR="00780C20" w:rsidRPr="002101DF" w:rsidRDefault="00780C20" w:rsidP="00780C20">
      <w:pPr>
        <w:pStyle w:val="Bodytext"/>
        <w:spacing w:after="80"/>
      </w:pPr>
      <w:r w:rsidRPr="002101DF">
        <w:t>“</w:t>
      </w:r>
      <w:r w:rsidRPr="002101DF">
        <w:rPr>
          <w:b/>
        </w:rPr>
        <w:t>Meritage III</w:t>
      </w:r>
      <w:r w:rsidRPr="002101DF">
        <w:t xml:space="preserve">” means Meritage Midstream Services III, </w:t>
      </w:r>
      <w:proofErr w:type="gramStart"/>
      <w:r w:rsidRPr="002101DF">
        <w:t>L.P.;</w:t>
      </w:r>
      <w:proofErr w:type="gramEnd"/>
    </w:p>
    <w:p w14:paraId="44A17182" w14:textId="495CA2F7" w:rsidR="00780C20" w:rsidRPr="002101DF" w:rsidRDefault="00780C20" w:rsidP="00780C20">
      <w:pPr>
        <w:pStyle w:val="Bodytext"/>
        <w:spacing w:after="80"/>
      </w:pPr>
      <w:r w:rsidRPr="002101DF">
        <w:t>“</w:t>
      </w:r>
      <w:r w:rsidRPr="002101DF">
        <w:rPr>
          <w:b/>
        </w:rPr>
        <w:t>NASDAQ</w:t>
      </w:r>
      <w:r w:rsidRPr="002101DF">
        <w:t>” means National Association of Securities Dealers Automated Quotations</w:t>
      </w:r>
      <w:r w:rsidR="005D56D0" w:rsidRPr="002101DF">
        <w:t xml:space="preserve"> </w:t>
      </w:r>
      <w:r w:rsidRPr="002101DF">
        <w:t xml:space="preserve">Stock </w:t>
      </w:r>
      <w:proofErr w:type="gramStart"/>
      <w:r w:rsidRPr="002101DF">
        <w:t>Market;</w:t>
      </w:r>
      <w:proofErr w:type="gramEnd"/>
      <w:r w:rsidRPr="002101DF">
        <w:t xml:space="preserve"> </w:t>
      </w:r>
    </w:p>
    <w:p w14:paraId="008C4E97" w14:textId="77777777" w:rsidR="00780C20" w:rsidRPr="008A7A35" w:rsidRDefault="00780C20" w:rsidP="00780C20">
      <w:pPr>
        <w:pStyle w:val="Bodytext"/>
        <w:spacing w:after="80"/>
      </w:pPr>
      <w:r w:rsidRPr="002101DF">
        <w:lastRenderedPageBreak/>
        <w:t>“</w:t>
      </w:r>
      <w:r w:rsidRPr="002101DF">
        <w:rPr>
          <w:b/>
        </w:rPr>
        <w:t>NAV per Share</w:t>
      </w:r>
      <w:r w:rsidRPr="002101DF">
        <w:t>” means</w:t>
      </w:r>
      <w:r w:rsidRPr="008A7A35">
        <w:t xml:space="preserve"> the Net Asset Value per Ordinary </w:t>
      </w:r>
      <w:proofErr w:type="gramStart"/>
      <w:r w:rsidRPr="008A7A35">
        <w:t>Share;</w:t>
      </w:r>
      <w:proofErr w:type="gramEnd"/>
    </w:p>
    <w:p w14:paraId="689F8DA6" w14:textId="35C3B712" w:rsidR="00780C20" w:rsidRPr="008A7A35" w:rsidRDefault="00780C20" w:rsidP="00780C20">
      <w:pPr>
        <w:pStyle w:val="Bodytext"/>
        <w:spacing w:after="80"/>
      </w:pPr>
      <w:r w:rsidRPr="008A7A35">
        <w:t>“</w:t>
      </w:r>
      <w:r w:rsidRPr="008A7A35">
        <w:rPr>
          <w:b/>
        </w:rPr>
        <w:t>Net Asset Value</w:t>
      </w:r>
      <w:r w:rsidRPr="008A7A35">
        <w:t>” or “</w:t>
      </w:r>
      <w:r w:rsidRPr="008A7A35">
        <w:rPr>
          <w:b/>
        </w:rPr>
        <w:t>NAV</w:t>
      </w:r>
      <w:r w:rsidRPr="008A7A35">
        <w:t>” means the value of the assets of the Company less its liabilities as calculated in accordance with the Company’s valuation policy and expressed in U.S. dollar</w:t>
      </w:r>
    </w:p>
    <w:p w14:paraId="4C0A04B7" w14:textId="6B2C9F1C" w:rsidR="00780C20" w:rsidRPr="008A7A35" w:rsidRDefault="00780C20" w:rsidP="00780C20">
      <w:pPr>
        <w:pStyle w:val="Bodytext"/>
        <w:spacing w:after="80"/>
      </w:pPr>
      <w:r w:rsidRPr="008A7A35">
        <w:t>“</w:t>
      </w:r>
      <w:r w:rsidRPr="008A7A35">
        <w:rPr>
          <w:b/>
        </w:rPr>
        <w:t>Net MOIC</w:t>
      </w:r>
      <w:r w:rsidRPr="008A7A35">
        <w:t xml:space="preserve">” means gross multiple of invested capital net of taxes and </w:t>
      </w:r>
      <w:r w:rsidR="009D0581" w:rsidRPr="008A7A35">
        <w:t>performance fees</w:t>
      </w:r>
      <w:r w:rsidRPr="008A7A35">
        <w:t xml:space="preserve"> on gross </w:t>
      </w:r>
      <w:proofErr w:type="gramStart"/>
      <w:r w:rsidRPr="008A7A35">
        <w:t>profit;</w:t>
      </w:r>
      <w:proofErr w:type="gramEnd"/>
    </w:p>
    <w:p w14:paraId="385D8FD1" w14:textId="77777777" w:rsidR="00780C20" w:rsidRPr="008A7A35" w:rsidRDefault="00780C20" w:rsidP="00780C20">
      <w:pPr>
        <w:pStyle w:val="Bodytext"/>
        <w:spacing w:after="80"/>
      </w:pPr>
      <w:r w:rsidRPr="008A7A35">
        <w:t>“</w:t>
      </w:r>
      <w:r w:rsidRPr="008A7A35">
        <w:rPr>
          <w:b/>
        </w:rPr>
        <w:t>NYSE</w:t>
      </w:r>
      <w:r w:rsidRPr="008A7A35">
        <w:t xml:space="preserve">” means The New York Stock </w:t>
      </w:r>
      <w:proofErr w:type="gramStart"/>
      <w:r w:rsidRPr="008A7A35">
        <w:t>Exchange;</w:t>
      </w:r>
      <w:proofErr w:type="gramEnd"/>
      <w:r w:rsidRPr="008A7A35">
        <w:t xml:space="preserve"> </w:t>
      </w:r>
    </w:p>
    <w:p w14:paraId="78632308" w14:textId="7EC3BEFE" w:rsidR="00780C20" w:rsidRPr="008A7A35" w:rsidRDefault="00780C20" w:rsidP="00780C20">
      <w:pPr>
        <w:pStyle w:val="Bodytext"/>
        <w:spacing w:after="80"/>
      </w:pPr>
      <w:r w:rsidRPr="008A7A35">
        <w:t>“</w:t>
      </w:r>
      <w:r w:rsidRPr="008A7A35">
        <w:rPr>
          <w:b/>
        </w:rPr>
        <w:t>Official List</w:t>
      </w:r>
      <w:r w:rsidRPr="008A7A35">
        <w:t xml:space="preserve">” is the list maintained by the Financial Conduct Authority (acting in its capacity as the UK Listing Authority) in accordance with Section 74(1) of the Financial Services and Markets Act </w:t>
      </w:r>
      <w:proofErr w:type="gramStart"/>
      <w:r w:rsidRPr="008A7A35">
        <w:t>2000;</w:t>
      </w:r>
      <w:proofErr w:type="gramEnd"/>
    </w:p>
    <w:p w14:paraId="783A0432" w14:textId="6BE23B58" w:rsidR="003378B6" w:rsidRPr="008A7A35" w:rsidRDefault="003378B6" w:rsidP="00780C20">
      <w:pPr>
        <w:pStyle w:val="Bodytext"/>
        <w:spacing w:after="80"/>
      </w:pPr>
      <w:r w:rsidRPr="008A7A35">
        <w:t>“</w:t>
      </w:r>
      <w:r w:rsidRPr="008A7A35">
        <w:rPr>
          <w:b/>
          <w:bCs/>
        </w:rPr>
        <w:t>Our Next Energy</w:t>
      </w:r>
      <w:r w:rsidRPr="008A7A35">
        <w:t xml:space="preserve">” means Our Next Energy, </w:t>
      </w:r>
      <w:proofErr w:type="gramStart"/>
      <w:r w:rsidRPr="008A7A35">
        <w:t>Inc;</w:t>
      </w:r>
      <w:proofErr w:type="gramEnd"/>
    </w:p>
    <w:p w14:paraId="36831C2C" w14:textId="0F6DCC6B" w:rsidR="00AD57E5" w:rsidRPr="008A7A35" w:rsidRDefault="00AD57E5" w:rsidP="00AD57E5">
      <w:pPr>
        <w:pStyle w:val="Bodytext"/>
        <w:spacing w:after="80"/>
      </w:pPr>
      <w:r w:rsidRPr="008A7A35">
        <w:t>“</w:t>
      </w:r>
      <w:r w:rsidRPr="008A7A35">
        <w:rPr>
          <w:b/>
        </w:rPr>
        <w:t>Onyx</w:t>
      </w:r>
      <w:r w:rsidR="00235D1D" w:rsidRPr="008A7A35">
        <w:rPr>
          <w:b/>
        </w:rPr>
        <w:t xml:space="preserve"> Power</w:t>
      </w:r>
      <w:r w:rsidRPr="008A7A35">
        <w:t xml:space="preserve">” means Onyx Strategic Investment Management I </w:t>
      </w:r>
      <w:proofErr w:type="gramStart"/>
      <w:r w:rsidRPr="008A7A35">
        <w:t>BV;</w:t>
      </w:r>
      <w:proofErr w:type="gramEnd"/>
    </w:p>
    <w:p w14:paraId="0E43EF82" w14:textId="77777777" w:rsidR="00780C20" w:rsidRPr="008A7A35" w:rsidRDefault="00780C20" w:rsidP="00780C20">
      <w:pPr>
        <w:pStyle w:val="Bodytext"/>
        <w:spacing w:after="80"/>
      </w:pPr>
      <w:r w:rsidRPr="008A7A35">
        <w:t>“</w:t>
      </w:r>
      <w:r w:rsidRPr="008A7A35">
        <w:rPr>
          <w:b/>
        </w:rPr>
        <w:t>OPEC</w:t>
      </w:r>
      <w:r w:rsidRPr="008A7A35">
        <w:t xml:space="preserve">” means Organisation of the Petroleum Exporting </w:t>
      </w:r>
      <w:proofErr w:type="gramStart"/>
      <w:r w:rsidRPr="008A7A35">
        <w:t>Countries;</w:t>
      </w:r>
      <w:proofErr w:type="gramEnd"/>
    </w:p>
    <w:p w14:paraId="5F47FC9B" w14:textId="77777777" w:rsidR="00780C20" w:rsidRPr="008A7A35" w:rsidRDefault="00780C20" w:rsidP="00780C20">
      <w:pPr>
        <w:pStyle w:val="Bodytext"/>
        <w:spacing w:after="80"/>
      </w:pPr>
      <w:r w:rsidRPr="008A7A35">
        <w:t>“</w:t>
      </w:r>
      <w:r w:rsidRPr="008A7A35">
        <w:rPr>
          <w:b/>
        </w:rPr>
        <w:t>Ordinary Shares</w:t>
      </w:r>
      <w:r w:rsidRPr="008A7A35">
        <w:t xml:space="preserve">” means redeemable ordinary shares of </w:t>
      </w:r>
      <w:proofErr w:type="gramStart"/>
      <w:r w:rsidRPr="008A7A35">
        <w:t>no par</w:t>
      </w:r>
      <w:proofErr w:type="gramEnd"/>
      <w:r w:rsidRPr="008A7A35">
        <w:t xml:space="preserve"> value in the capital of the Company issued and designated as “Ordinary Shares” and having the rights, restrictions and entitlements set out in the </w:t>
      </w:r>
      <w:proofErr w:type="gramStart"/>
      <w:r w:rsidRPr="008A7A35">
        <w:t>Articles;</w:t>
      </w:r>
      <w:proofErr w:type="gramEnd"/>
    </w:p>
    <w:p w14:paraId="67B2B0DB" w14:textId="77777777" w:rsidR="00780C20" w:rsidRDefault="00780C20" w:rsidP="00780C20">
      <w:pPr>
        <w:pStyle w:val="Bodytext"/>
        <w:spacing w:after="80"/>
      </w:pPr>
      <w:r w:rsidRPr="008A7A35">
        <w:t>“</w:t>
      </w:r>
      <w:r w:rsidRPr="008A7A35">
        <w:rPr>
          <w:b/>
        </w:rPr>
        <w:t>Origo</w:t>
      </w:r>
      <w:r w:rsidRPr="008A7A35">
        <w:t xml:space="preserve">” means Origo Exploration Holding </w:t>
      </w:r>
      <w:proofErr w:type="gramStart"/>
      <w:r w:rsidRPr="008A7A35">
        <w:t>AS;</w:t>
      </w:r>
      <w:proofErr w:type="gramEnd"/>
    </w:p>
    <w:p w14:paraId="71E3CBE8" w14:textId="3C18D50E" w:rsidR="005956CB" w:rsidRPr="00830133" w:rsidRDefault="005956CB" w:rsidP="00830133">
      <w:pPr>
        <w:pStyle w:val="Bodytext"/>
        <w:spacing w:after="80"/>
        <w:jc w:val="both"/>
        <w:rPr>
          <w:highlight w:val="yellow"/>
          <w:lang w:val="en-US"/>
        </w:rPr>
      </w:pPr>
      <w:r w:rsidRPr="00C47CB2">
        <w:t>“</w:t>
      </w:r>
      <w:r w:rsidRPr="00C47CB2">
        <w:rPr>
          <w:b/>
        </w:rPr>
        <w:t>Other Riverstone Funds</w:t>
      </w:r>
      <w:r w:rsidRPr="00C47CB2">
        <w:t>”</w:t>
      </w:r>
      <w:r w:rsidR="00CE2592" w:rsidRPr="00C47CB2">
        <w:t xml:space="preserve"> </w:t>
      </w:r>
      <w:r w:rsidR="00CE2592" w:rsidRPr="004B2D80">
        <w:rPr>
          <w:lang w:val="en-US"/>
        </w:rPr>
        <w:t>means</w:t>
      </w:r>
      <w:r w:rsidR="00CE2592" w:rsidRPr="003C5B19">
        <w:rPr>
          <w:lang w:val="en-US"/>
        </w:rPr>
        <w:t xml:space="preserve"> other Riverstone-sponsored, controlled or managed entities, including Fund VI, which are or may in the future be managed or advised by the Investment Manager or one or more of its affiliates, excluding the </w:t>
      </w:r>
      <w:proofErr w:type="gramStart"/>
      <w:r w:rsidR="00CE2592" w:rsidRPr="003C5B19">
        <w:rPr>
          <w:lang w:val="en-US"/>
        </w:rPr>
        <w:t>Partnership</w:t>
      </w:r>
      <w:r w:rsidR="00CE2592" w:rsidRPr="006728F8">
        <w:t>;</w:t>
      </w:r>
      <w:proofErr w:type="gramEnd"/>
    </w:p>
    <w:p w14:paraId="1093E990" w14:textId="77777777" w:rsidR="00780C20" w:rsidRPr="008A7A35" w:rsidRDefault="00780C20" w:rsidP="00780C20">
      <w:pPr>
        <w:pStyle w:val="Bodytext"/>
        <w:spacing w:after="80"/>
      </w:pPr>
      <w:r w:rsidRPr="008A7A35">
        <w:t>“</w:t>
      </w:r>
      <w:r w:rsidRPr="008A7A35">
        <w:rPr>
          <w:b/>
        </w:rPr>
        <w:t>Partnership</w:t>
      </w:r>
      <w:r w:rsidRPr="008A7A35">
        <w:t>” or “</w:t>
      </w:r>
      <w:r w:rsidRPr="008A7A35">
        <w:rPr>
          <w:b/>
        </w:rPr>
        <w:t>RELIP</w:t>
      </w:r>
      <w:r w:rsidRPr="008A7A35">
        <w:t xml:space="preserve">” means Riverstone Energy Investment Partnership, LP, the Investment Undertaking in which the Company is the sole limited </w:t>
      </w:r>
      <w:proofErr w:type="gramStart"/>
      <w:r w:rsidRPr="008A7A35">
        <w:t>partner;</w:t>
      </w:r>
      <w:proofErr w:type="gramEnd"/>
    </w:p>
    <w:p w14:paraId="1573F316" w14:textId="77777777" w:rsidR="00780C20" w:rsidRPr="008A7A35" w:rsidRDefault="00780C20" w:rsidP="00780C20">
      <w:pPr>
        <w:pStyle w:val="Bodytext"/>
        <w:spacing w:after="80"/>
      </w:pPr>
      <w:r w:rsidRPr="008A7A35">
        <w:t>“</w:t>
      </w:r>
      <w:r w:rsidRPr="008A7A35">
        <w:rPr>
          <w:b/>
        </w:rPr>
        <w:t>Partnership Agreement</w:t>
      </w:r>
      <w:r w:rsidRPr="008A7A35">
        <w:t xml:space="preserve">” means the partnership agreement in respect of the Partnership between inter alios the Company as the sole limited partner and the General Partner as the sole general partner dated 23 September </w:t>
      </w:r>
      <w:proofErr w:type="gramStart"/>
      <w:r w:rsidRPr="008A7A35">
        <w:t>2013;</w:t>
      </w:r>
      <w:proofErr w:type="gramEnd"/>
    </w:p>
    <w:p w14:paraId="1C414832" w14:textId="502C6B02" w:rsidR="00780C20" w:rsidRPr="008A7A35" w:rsidRDefault="00780C20" w:rsidP="00780C20">
      <w:pPr>
        <w:pStyle w:val="Bodytext"/>
        <w:spacing w:after="80"/>
      </w:pPr>
      <w:r w:rsidRPr="008A7A35">
        <w:t>“</w:t>
      </w:r>
      <w:r w:rsidRPr="008A7A35">
        <w:rPr>
          <w:b/>
        </w:rPr>
        <w:t>Performance Allocation</w:t>
      </w:r>
      <w:r w:rsidRPr="008A7A35">
        <w:t xml:space="preserve">” means the Performance Allocation to which the General Partner is </w:t>
      </w:r>
      <w:proofErr w:type="gramStart"/>
      <w:r w:rsidRPr="008A7A35">
        <w:t>entitled;</w:t>
      </w:r>
      <w:proofErr w:type="gramEnd"/>
    </w:p>
    <w:p w14:paraId="001FEA8B" w14:textId="30713FAF" w:rsidR="00B3538C" w:rsidRPr="008A7A35" w:rsidRDefault="00B3538C" w:rsidP="00780C20">
      <w:pPr>
        <w:pStyle w:val="Bodytext"/>
        <w:spacing w:after="80"/>
      </w:pPr>
      <w:r w:rsidRPr="008A7A35">
        <w:t>“</w:t>
      </w:r>
      <w:r w:rsidRPr="008A7A35">
        <w:rPr>
          <w:b/>
        </w:rPr>
        <w:t>Permian Resources</w:t>
      </w:r>
      <w:r w:rsidRPr="008A7A35">
        <w:t xml:space="preserve">” means Permian Resources Corporation formerly known as Centennial Resource Development, </w:t>
      </w:r>
      <w:proofErr w:type="gramStart"/>
      <w:r w:rsidRPr="008A7A35">
        <w:t>Inc.;</w:t>
      </w:r>
      <w:proofErr w:type="gramEnd"/>
    </w:p>
    <w:p w14:paraId="531215C0" w14:textId="5CA0C8A6" w:rsidR="00EE5E5B" w:rsidRDefault="00EE5E5B" w:rsidP="000B1BA6">
      <w:pPr>
        <w:pStyle w:val="CommentText"/>
        <w:spacing w:after="80"/>
        <w:rPr>
          <w:rFonts w:ascii="Arial" w:hAnsi="Arial" w:cs="Arial"/>
        </w:rPr>
      </w:pPr>
      <w:r w:rsidRPr="008A7A35">
        <w:t>“</w:t>
      </w:r>
      <w:r w:rsidRPr="008A7A35">
        <w:rPr>
          <w:rFonts w:ascii="Arial" w:hAnsi="Arial" w:cs="Arial"/>
          <w:b/>
          <w:bCs/>
        </w:rPr>
        <w:t>PIPE</w:t>
      </w:r>
      <w:r w:rsidRPr="008A7A35">
        <w:rPr>
          <w:rFonts w:ascii="Arial" w:hAnsi="Arial" w:cs="Arial"/>
        </w:rPr>
        <w:t xml:space="preserve">” means private investment in public </w:t>
      </w:r>
      <w:proofErr w:type="gramStart"/>
      <w:r w:rsidRPr="008A7A35">
        <w:rPr>
          <w:rFonts w:ascii="Arial" w:hAnsi="Arial" w:cs="Arial"/>
        </w:rPr>
        <w:t>entity;</w:t>
      </w:r>
      <w:proofErr w:type="gramEnd"/>
    </w:p>
    <w:p w14:paraId="7F20C0E3" w14:textId="77777777" w:rsidR="00254C85" w:rsidRPr="008A7A35" w:rsidRDefault="00254C85" w:rsidP="00254C85">
      <w:pPr>
        <w:pStyle w:val="Bodytext"/>
        <w:spacing w:after="80"/>
      </w:pPr>
      <w:r w:rsidRPr="008A7A35">
        <w:t>“</w:t>
      </w:r>
      <w:r w:rsidRPr="00830133">
        <w:rPr>
          <w:b/>
          <w:bCs/>
        </w:rPr>
        <w:t>PIPESTONE</w:t>
      </w:r>
      <w:r>
        <w:t>” means Pipestone Energy (formerly known as</w:t>
      </w:r>
      <w:r w:rsidRPr="00C73E4B">
        <w:t xml:space="preserve"> Canadian Non-Operated Resources LP</w:t>
      </w:r>
      <w:proofErr w:type="gramStart"/>
      <w:r>
        <w:t>)</w:t>
      </w:r>
      <w:r w:rsidRPr="00C73E4B">
        <w:t>;</w:t>
      </w:r>
      <w:proofErr w:type="gramEnd"/>
    </w:p>
    <w:p w14:paraId="09F6FC95" w14:textId="5E330FD2" w:rsidR="00780C20" w:rsidRDefault="00780C20" w:rsidP="00780C20">
      <w:pPr>
        <w:pStyle w:val="Bodytext"/>
        <w:spacing w:after="80"/>
      </w:pPr>
      <w:r w:rsidRPr="008A7A35">
        <w:t>“</w:t>
      </w:r>
      <w:r w:rsidRPr="008A7A35">
        <w:rPr>
          <w:b/>
        </w:rPr>
        <w:t>POI Law</w:t>
      </w:r>
      <w:r w:rsidRPr="008A7A35">
        <w:t xml:space="preserve">” means the Protection of Investors (Bailiwick of Guernsey) Law, </w:t>
      </w:r>
      <w:r w:rsidR="006A2DE7" w:rsidRPr="008A7A35">
        <w:t>2020</w:t>
      </w:r>
      <w:r w:rsidR="00BD5F24" w:rsidRPr="008A7A35">
        <w:t xml:space="preserve">, as </w:t>
      </w:r>
      <w:proofErr w:type="gramStart"/>
      <w:r w:rsidR="00BD5F24" w:rsidRPr="008A7A35">
        <w:t>amended</w:t>
      </w:r>
      <w:r w:rsidRPr="008A7A35">
        <w:t>;</w:t>
      </w:r>
      <w:proofErr w:type="gramEnd"/>
    </w:p>
    <w:p w14:paraId="3EDA4D83" w14:textId="198E9972" w:rsidR="00153C48" w:rsidRPr="002101DF" w:rsidRDefault="00153C48" w:rsidP="00780C20">
      <w:pPr>
        <w:pStyle w:val="Bodytext"/>
        <w:spacing w:after="80"/>
      </w:pPr>
      <w:r w:rsidRPr="009B1684">
        <w:t>“</w:t>
      </w:r>
      <w:r w:rsidRPr="009B1684">
        <w:rPr>
          <w:b/>
        </w:rPr>
        <w:t>Private Portfolio</w:t>
      </w:r>
      <w:r w:rsidRPr="009B1684">
        <w:t>”</w:t>
      </w:r>
      <w:r w:rsidRPr="002101DF">
        <w:t xml:space="preserve"> means</w:t>
      </w:r>
      <w:r w:rsidR="00F27EEC" w:rsidRPr="002101DF">
        <w:t xml:space="preserve"> privately held investments in Onyx Power, GoodLeap (formerly Loanpal), Infinitum and </w:t>
      </w:r>
      <w:proofErr w:type="gramStart"/>
      <w:r w:rsidR="00F27EEC" w:rsidRPr="002101DF">
        <w:t>Group14;</w:t>
      </w:r>
      <w:proofErr w:type="gramEnd"/>
    </w:p>
    <w:p w14:paraId="6344909B" w14:textId="77777777" w:rsidR="00780C20" w:rsidRPr="002101DF" w:rsidRDefault="00780C20" w:rsidP="00830133">
      <w:pPr>
        <w:pStyle w:val="Bodytext"/>
        <w:spacing w:after="80"/>
        <w:jc w:val="both"/>
      </w:pPr>
      <w:r w:rsidRPr="002101DF">
        <w:t>“</w:t>
      </w:r>
      <w:r w:rsidRPr="002101DF">
        <w:rPr>
          <w:b/>
        </w:rPr>
        <w:t>Private Riverstone Funds</w:t>
      </w:r>
      <w:r w:rsidRPr="002101DF">
        <w:t>” means Fund V and all other private multi-investor, multi-investment funds that are launched after Admission and are managed or advised by the Investment Manager (or one or more of its affiliates) and excludes Riverstone employee co-investment vehicles and any Riverstone managed or advised private co-investment vehicles that invest alongside either Fund V or any multi-investor multi-investment funds that the Investment Manager (or one or more of its affiliates) launches after Admission;</w:t>
      </w:r>
    </w:p>
    <w:p w14:paraId="67A6EAD9" w14:textId="50DA24AC" w:rsidR="000D18BB" w:rsidRPr="002101DF" w:rsidRDefault="000D18BB" w:rsidP="00C47CB2">
      <w:pPr>
        <w:pStyle w:val="Bodytext"/>
        <w:spacing w:after="80"/>
      </w:pPr>
      <w:r w:rsidRPr="002101DF">
        <w:t>“</w:t>
      </w:r>
      <w:r w:rsidRPr="002101DF">
        <w:rPr>
          <w:b/>
        </w:rPr>
        <w:t>Proposed Amendments</w:t>
      </w:r>
      <w:r w:rsidRPr="002101DF">
        <w:t xml:space="preserve">” means the amendments proposed to be made to the Existing IMA in connection with the </w:t>
      </w:r>
      <w:proofErr w:type="gramStart"/>
      <w:r w:rsidRPr="002101DF">
        <w:t>Proposals;</w:t>
      </w:r>
      <w:proofErr w:type="gramEnd"/>
    </w:p>
    <w:p w14:paraId="7B1A3B55" w14:textId="487867BD" w:rsidR="00235D1D" w:rsidRPr="002101DF" w:rsidRDefault="00235D1D" w:rsidP="00235D1D">
      <w:pPr>
        <w:pStyle w:val="Bodytext"/>
        <w:spacing w:after="80"/>
      </w:pPr>
      <w:r w:rsidRPr="002101DF">
        <w:t>“</w:t>
      </w:r>
      <w:r w:rsidRPr="002101DF">
        <w:rPr>
          <w:b/>
        </w:rPr>
        <w:t>PRT</w:t>
      </w:r>
      <w:r w:rsidRPr="002101DF">
        <w:t xml:space="preserve">” means Riverstone Performance Review </w:t>
      </w:r>
      <w:proofErr w:type="gramStart"/>
      <w:r w:rsidRPr="002101DF">
        <w:t>Team;</w:t>
      </w:r>
      <w:proofErr w:type="gramEnd"/>
    </w:p>
    <w:p w14:paraId="3ADFEACD" w14:textId="2566ABA6" w:rsidR="00153C48" w:rsidRPr="002101DF" w:rsidRDefault="00153C48" w:rsidP="00235D1D">
      <w:pPr>
        <w:pStyle w:val="Bodytext"/>
        <w:spacing w:after="80"/>
      </w:pPr>
      <w:r w:rsidRPr="009B1684">
        <w:t>“</w:t>
      </w:r>
      <w:r w:rsidRPr="009B1684">
        <w:rPr>
          <w:b/>
        </w:rPr>
        <w:t>Public Portfolio</w:t>
      </w:r>
      <w:r w:rsidRPr="009B1684">
        <w:t xml:space="preserve">” </w:t>
      </w:r>
      <w:r w:rsidR="00F27EEC" w:rsidRPr="002101DF">
        <w:t xml:space="preserve">means publicly listed investments in Permian Resources, Whitecap Resources and Solid </w:t>
      </w:r>
      <w:proofErr w:type="gramStart"/>
      <w:r w:rsidR="00F27EEC" w:rsidRPr="002101DF">
        <w:t>Power;</w:t>
      </w:r>
      <w:proofErr w:type="gramEnd"/>
    </w:p>
    <w:p w14:paraId="42A9AD84" w14:textId="77777777" w:rsidR="00780C20" w:rsidRPr="008A7A35" w:rsidRDefault="00780C20" w:rsidP="00830133">
      <w:pPr>
        <w:pStyle w:val="Bodytext"/>
        <w:spacing w:after="80"/>
        <w:jc w:val="both"/>
      </w:pPr>
      <w:r w:rsidRPr="002101DF">
        <w:t>“</w:t>
      </w:r>
      <w:r w:rsidRPr="002101DF">
        <w:rPr>
          <w:b/>
        </w:rPr>
        <w:t>Qualifying Investments</w:t>
      </w:r>
      <w:r w:rsidRPr="008A7A35">
        <w:t>” means all investments in which Private Riverstone Funds participate which are consistent with the Company’s investment objective where the aggregate equity investment in each such investment (including equity committed for future investment) available to the relevant Private Riverstone Fund and the Company (and other co-investees, if any, procured by the Investment Manager or its affiliates) is $100 million or greater, but excluding any investments made by Private Riverstone Funds where both (a) a majority of the Company’s independent directors and (b) the Investment Manager have agreed that the Company should not participate;</w:t>
      </w:r>
    </w:p>
    <w:p w14:paraId="0272867C" w14:textId="77777777" w:rsidR="00780C20" w:rsidRPr="008A7A35" w:rsidRDefault="00780C20" w:rsidP="00780C20">
      <w:pPr>
        <w:pStyle w:val="Bodytext"/>
        <w:spacing w:after="80"/>
      </w:pPr>
      <w:r w:rsidRPr="008A7A35">
        <w:t>“</w:t>
      </w:r>
      <w:r w:rsidRPr="008A7A35">
        <w:rPr>
          <w:b/>
        </w:rPr>
        <w:t>RCO</w:t>
      </w:r>
      <w:r w:rsidRPr="008A7A35">
        <w:t xml:space="preserve">” means Riverstone Credit Opportunities, </w:t>
      </w:r>
      <w:proofErr w:type="gramStart"/>
      <w:r w:rsidRPr="008A7A35">
        <w:t>L.P.;</w:t>
      </w:r>
      <w:proofErr w:type="gramEnd"/>
    </w:p>
    <w:p w14:paraId="594462F5" w14:textId="384AD0FA" w:rsidR="009D7DFD" w:rsidRPr="008A7A35" w:rsidRDefault="009D7DFD" w:rsidP="00780C20">
      <w:pPr>
        <w:pStyle w:val="Bodytext"/>
        <w:spacing w:after="80"/>
      </w:pPr>
      <w:r w:rsidRPr="008A7A35">
        <w:t>“</w:t>
      </w:r>
      <w:r w:rsidRPr="008A7A35">
        <w:rPr>
          <w:b/>
        </w:rPr>
        <w:t>Ridgebury H3</w:t>
      </w:r>
      <w:r w:rsidRPr="008A7A35">
        <w:t xml:space="preserve">” means Ridgebury H3, </w:t>
      </w:r>
      <w:proofErr w:type="gramStart"/>
      <w:r w:rsidRPr="008A7A35">
        <w:t>LLC;</w:t>
      </w:r>
      <w:proofErr w:type="gramEnd"/>
    </w:p>
    <w:p w14:paraId="140A7484" w14:textId="77777777" w:rsidR="007935C6" w:rsidRPr="008A7A35" w:rsidRDefault="007935C6" w:rsidP="007935C6">
      <w:pPr>
        <w:pStyle w:val="Bodytext"/>
        <w:spacing w:after="80"/>
      </w:pPr>
      <w:r w:rsidRPr="008A7A35">
        <w:t>“</w:t>
      </w:r>
      <w:r w:rsidRPr="008A7A35">
        <w:rPr>
          <w:b/>
          <w:bCs/>
        </w:rPr>
        <w:t>RIGL</w:t>
      </w:r>
      <w:r w:rsidRPr="008A7A35">
        <w:t xml:space="preserve">” means RIGL Holdings, </w:t>
      </w:r>
      <w:proofErr w:type="gramStart"/>
      <w:r w:rsidRPr="008A7A35">
        <w:t>LP;</w:t>
      </w:r>
      <w:proofErr w:type="gramEnd"/>
    </w:p>
    <w:p w14:paraId="0DBC5C36" w14:textId="547A977F" w:rsidR="00780C20" w:rsidRPr="008A7A35" w:rsidRDefault="00780C20" w:rsidP="00780C20">
      <w:pPr>
        <w:pStyle w:val="Bodytext"/>
        <w:spacing w:after="80"/>
      </w:pPr>
      <w:r w:rsidRPr="008A7A35">
        <w:t>“</w:t>
      </w:r>
      <w:r w:rsidRPr="008A7A35">
        <w:rPr>
          <w:b/>
        </w:rPr>
        <w:t>RIL</w:t>
      </w:r>
      <w:r w:rsidRPr="008A7A35">
        <w:t xml:space="preserve">” means Riverstone International </w:t>
      </w:r>
      <w:proofErr w:type="gramStart"/>
      <w:r w:rsidRPr="008A7A35">
        <w:t>Limited;</w:t>
      </w:r>
      <w:proofErr w:type="gramEnd"/>
    </w:p>
    <w:p w14:paraId="0E2A3034" w14:textId="7E12C9B6" w:rsidR="00780C20" w:rsidRPr="008A7A35" w:rsidRDefault="00780C20" w:rsidP="00780C20">
      <w:pPr>
        <w:pStyle w:val="Bodytext"/>
        <w:spacing w:after="80"/>
      </w:pPr>
      <w:r w:rsidRPr="008A7A35">
        <w:t>“</w:t>
      </w:r>
      <w:r w:rsidRPr="008A7A35">
        <w:rPr>
          <w:b/>
        </w:rPr>
        <w:t>Riverstone</w:t>
      </w:r>
      <w:r w:rsidRPr="008A7A35">
        <w:t xml:space="preserve">” means Riverstone Holdings LLC and its affiliated entities (other than the Investment Manager and the General Partner), as the context may </w:t>
      </w:r>
      <w:proofErr w:type="gramStart"/>
      <w:r w:rsidRPr="008A7A35">
        <w:t>require;</w:t>
      </w:r>
      <w:proofErr w:type="gramEnd"/>
    </w:p>
    <w:p w14:paraId="50917AAC" w14:textId="77777777" w:rsidR="00153C48" w:rsidRDefault="00780C20" w:rsidP="0042236F">
      <w:pPr>
        <w:pStyle w:val="Bodytext"/>
        <w:spacing w:after="80"/>
      </w:pPr>
      <w:r w:rsidRPr="008A7A35">
        <w:t>“</w:t>
      </w:r>
      <w:r w:rsidRPr="008A7A35">
        <w:rPr>
          <w:b/>
        </w:rPr>
        <w:t>Rock Oil</w:t>
      </w:r>
      <w:r w:rsidRPr="008A7A35">
        <w:t xml:space="preserve">” means Rock Oil Holdings, </w:t>
      </w:r>
      <w:proofErr w:type="gramStart"/>
      <w:r w:rsidRPr="008A7A35">
        <w:t>LLC;</w:t>
      </w:r>
      <w:proofErr w:type="gramEnd"/>
    </w:p>
    <w:p w14:paraId="5C309AB5" w14:textId="4DEA9908" w:rsidR="00A01F2B" w:rsidRPr="002101DF" w:rsidRDefault="00153C48" w:rsidP="0042236F">
      <w:pPr>
        <w:pStyle w:val="Bodytext"/>
        <w:spacing w:after="80"/>
      </w:pPr>
      <w:r w:rsidRPr="009B1684">
        <w:t>“</w:t>
      </w:r>
      <w:r w:rsidRPr="009B1684">
        <w:rPr>
          <w:b/>
        </w:rPr>
        <w:t>SEC</w:t>
      </w:r>
      <w:r w:rsidRPr="009B1684">
        <w:t xml:space="preserve">” </w:t>
      </w:r>
      <w:r w:rsidRPr="002101DF">
        <w:t xml:space="preserve">means Securities and Exchange </w:t>
      </w:r>
      <w:proofErr w:type="gramStart"/>
      <w:r w:rsidRPr="002101DF">
        <w:t>Commission;</w:t>
      </w:r>
      <w:proofErr w:type="gramEnd"/>
      <w:r w:rsidRPr="002101DF">
        <w:t xml:space="preserve">  </w:t>
      </w:r>
      <w:r w:rsidR="0042236F" w:rsidRPr="002101DF" w:rsidDel="0042236F">
        <w:t xml:space="preserve"> </w:t>
      </w:r>
    </w:p>
    <w:p w14:paraId="5EBBBB53" w14:textId="77777777" w:rsidR="00780C20" w:rsidRPr="002101DF" w:rsidRDefault="00780C20" w:rsidP="00780C20">
      <w:pPr>
        <w:pStyle w:val="Bodytext"/>
        <w:spacing w:after="80"/>
      </w:pPr>
      <w:r w:rsidRPr="002101DF">
        <w:lastRenderedPageBreak/>
        <w:t>“</w:t>
      </w:r>
      <w:r w:rsidRPr="002101DF">
        <w:rPr>
          <w:b/>
        </w:rPr>
        <w:t>Sierra</w:t>
      </w:r>
      <w:r w:rsidRPr="002101DF">
        <w:t xml:space="preserve">” means Sierra Oil and Gas Holdings, </w:t>
      </w:r>
      <w:proofErr w:type="gramStart"/>
      <w:r w:rsidRPr="002101DF">
        <w:t>L.P.;</w:t>
      </w:r>
      <w:proofErr w:type="gramEnd"/>
    </w:p>
    <w:p w14:paraId="349BDAAD" w14:textId="5522442A" w:rsidR="00780C20" w:rsidRPr="002101DF" w:rsidRDefault="00780C20" w:rsidP="00235D1D">
      <w:pPr>
        <w:pStyle w:val="Bodytext"/>
        <w:spacing w:after="80"/>
      </w:pPr>
      <w:r w:rsidRPr="002101DF">
        <w:t>“</w:t>
      </w:r>
      <w:r w:rsidRPr="002101DF">
        <w:rPr>
          <w:b/>
        </w:rPr>
        <w:t>Shareholder</w:t>
      </w:r>
      <w:r w:rsidRPr="002101DF">
        <w:t xml:space="preserve">” means the holder of one or more Ordinary </w:t>
      </w:r>
      <w:proofErr w:type="gramStart"/>
      <w:r w:rsidRPr="002101DF">
        <w:t>Shares;</w:t>
      </w:r>
      <w:proofErr w:type="gramEnd"/>
    </w:p>
    <w:p w14:paraId="6731DA1B" w14:textId="77777777" w:rsidR="00EE5E5B" w:rsidRPr="008A7A35" w:rsidRDefault="00EE5E5B" w:rsidP="00EE5E5B">
      <w:pPr>
        <w:pStyle w:val="Pa401"/>
        <w:spacing w:after="100"/>
        <w:rPr>
          <w:rFonts w:ascii="Arial" w:hAnsi="Arial" w:cs="Arial"/>
          <w:sz w:val="20"/>
          <w:szCs w:val="20"/>
        </w:rPr>
      </w:pPr>
      <w:r w:rsidRPr="002101DF">
        <w:rPr>
          <w:rFonts w:ascii="Arial" w:hAnsi="Arial" w:cs="Arial"/>
          <w:b/>
          <w:bCs/>
          <w:sz w:val="20"/>
          <w:szCs w:val="20"/>
        </w:rPr>
        <w:t>“Solid Power</w:t>
      </w:r>
      <w:r w:rsidRPr="008A7A35">
        <w:rPr>
          <w:rFonts w:ascii="Arial" w:hAnsi="Arial" w:cs="Arial"/>
          <w:b/>
          <w:bCs/>
          <w:sz w:val="20"/>
          <w:szCs w:val="20"/>
        </w:rPr>
        <w:t>”</w:t>
      </w:r>
      <w:r w:rsidRPr="008A7A35">
        <w:rPr>
          <w:rFonts w:ascii="Arial" w:hAnsi="Arial" w:cs="Arial"/>
          <w:sz w:val="20"/>
          <w:szCs w:val="20"/>
        </w:rPr>
        <w:t xml:space="preserve"> means Solid Power, </w:t>
      </w:r>
      <w:proofErr w:type="gramStart"/>
      <w:r w:rsidRPr="008A7A35">
        <w:rPr>
          <w:rFonts w:ascii="Arial" w:hAnsi="Arial" w:cs="Arial"/>
          <w:sz w:val="20"/>
          <w:szCs w:val="20"/>
        </w:rPr>
        <w:t>Inc.;</w:t>
      </w:r>
      <w:proofErr w:type="gramEnd"/>
    </w:p>
    <w:p w14:paraId="0455B5F3" w14:textId="7E892BCD" w:rsidR="00EE5E5B" w:rsidRPr="008A7A35" w:rsidRDefault="00EE5E5B" w:rsidP="00EE5E5B">
      <w:pPr>
        <w:pStyle w:val="Bodytext"/>
        <w:spacing w:after="80"/>
        <w:rPr>
          <w:rFonts w:cs="Arial"/>
          <w:szCs w:val="20"/>
        </w:rPr>
      </w:pPr>
      <w:r w:rsidRPr="008A7A35">
        <w:rPr>
          <w:rFonts w:cs="Arial"/>
          <w:b/>
          <w:bCs/>
          <w:szCs w:val="20"/>
        </w:rPr>
        <w:t>“SPAC”</w:t>
      </w:r>
      <w:r w:rsidRPr="008A7A35">
        <w:rPr>
          <w:rFonts w:cs="Arial"/>
          <w:szCs w:val="20"/>
        </w:rPr>
        <w:t xml:space="preserve"> means special purpose acquisition </w:t>
      </w:r>
      <w:proofErr w:type="gramStart"/>
      <w:r w:rsidRPr="008A7A35">
        <w:rPr>
          <w:rFonts w:cs="Arial"/>
          <w:szCs w:val="20"/>
        </w:rPr>
        <w:t>company;</w:t>
      </w:r>
      <w:proofErr w:type="gramEnd"/>
    </w:p>
    <w:p w14:paraId="4560CAB7" w14:textId="1CE31C94" w:rsidR="00780C20" w:rsidRPr="008A7A35" w:rsidRDefault="00780C20" w:rsidP="00235D1D">
      <w:pPr>
        <w:pStyle w:val="Bodytext"/>
        <w:spacing w:after="80"/>
      </w:pPr>
      <w:r w:rsidRPr="008A7A35">
        <w:t>“</w:t>
      </w:r>
      <w:r w:rsidRPr="008A7A35">
        <w:rPr>
          <w:b/>
        </w:rPr>
        <w:t>Three Rivers III</w:t>
      </w:r>
      <w:r w:rsidRPr="008A7A35">
        <w:t xml:space="preserve">” means Three Rivers Natural Resources Holdings III </w:t>
      </w:r>
      <w:proofErr w:type="gramStart"/>
      <w:r w:rsidRPr="008A7A35">
        <w:t>LLC;</w:t>
      </w:r>
      <w:proofErr w:type="gramEnd"/>
    </w:p>
    <w:p w14:paraId="2D4DA8D8" w14:textId="0F4F1D41" w:rsidR="00780C20" w:rsidRPr="008A7A35" w:rsidRDefault="00780C20" w:rsidP="00780C20">
      <w:pPr>
        <w:pStyle w:val="Bodytext"/>
        <w:spacing w:after="80"/>
      </w:pPr>
      <w:r w:rsidRPr="008A7A35">
        <w:t>“</w:t>
      </w:r>
      <w:r w:rsidRPr="008A7A35">
        <w:rPr>
          <w:b/>
        </w:rPr>
        <w:t>Total Return o</w:t>
      </w:r>
      <w:r w:rsidR="008376DE" w:rsidRPr="008A7A35">
        <w:rPr>
          <w:b/>
        </w:rPr>
        <w:t>n</w:t>
      </w:r>
      <w:r w:rsidRPr="008A7A35">
        <w:rPr>
          <w:b/>
        </w:rPr>
        <w:t xml:space="preserve"> the Company’s Net Asset Value</w:t>
      </w:r>
      <w:r w:rsidRPr="008A7A35">
        <w:t xml:space="preserve">” means the capital appreciation of the Company’s Net Asset Value plus the income received from the Company in the form of </w:t>
      </w:r>
      <w:proofErr w:type="gramStart"/>
      <w:r w:rsidRPr="008A7A35">
        <w:t>dividends;</w:t>
      </w:r>
      <w:proofErr w:type="gramEnd"/>
      <w:r w:rsidRPr="008A7A35">
        <w:t xml:space="preserve"> </w:t>
      </w:r>
    </w:p>
    <w:p w14:paraId="6921FF42" w14:textId="5E3EAEAE" w:rsidR="00EE5E5B" w:rsidRPr="008A7A35" w:rsidRDefault="00EE5E5B" w:rsidP="000B1BA6">
      <w:pPr>
        <w:pStyle w:val="CommentText"/>
        <w:spacing w:after="80"/>
        <w:rPr>
          <w:rFonts w:ascii="Arial" w:hAnsi="Arial" w:cs="Arial"/>
        </w:rPr>
      </w:pPr>
      <w:r w:rsidRPr="008A7A35">
        <w:rPr>
          <w:rFonts w:ascii="Arial" w:hAnsi="Arial" w:cs="Arial"/>
          <w:b/>
          <w:bCs/>
        </w:rPr>
        <w:t>“T-REX”</w:t>
      </w:r>
      <w:r w:rsidRPr="008A7A35">
        <w:rPr>
          <w:rFonts w:ascii="Arial" w:hAnsi="Arial" w:cs="Arial"/>
        </w:rPr>
        <w:t xml:space="preserve"> means T-REX Group, </w:t>
      </w:r>
      <w:proofErr w:type="gramStart"/>
      <w:r w:rsidRPr="008A7A35">
        <w:rPr>
          <w:rFonts w:ascii="Arial" w:hAnsi="Arial" w:cs="Arial"/>
        </w:rPr>
        <w:t>Inc.;</w:t>
      </w:r>
      <w:proofErr w:type="gramEnd"/>
    </w:p>
    <w:p w14:paraId="43234452" w14:textId="709D7CDF" w:rsidR="00BD73CE" w:rsidRPr="008A7A35" w:rsidRDefault="00EE5E5B" w:rsidP="00235D1D">
      <w:pPr>
        <w:pStyle w:val="Bodytext"/>
        <w:spacing w:after="80"/>
      </w:pPr>
      <w:r w:rsidRPr="008A7A35">
        <w:rPr>
          <w:b/>
          <w:bCs/>
        </w:rPr>
        <w:t>“Tritium”</w:t>
      </w:r>
      <w:r w:rsidRPr="008A7A35">
        <w:t xml:space="preserve"> means Tritium DCFC </w:t>
      </w:r>
      <w:proofErr w:type="gramStart"/>
      <w:r w:rsidRPr="008A7A35">
        <w:t>Limited;</w:t>
      </w:r>
      <w:proofErr w:type="gramEnd"/>
    </w:p>
    <w:p w14:paraId="702D247D" w14:textId="06AC3FEF" w:rsidR="00780C20" w:rsidRPr="008A7A35" w:rsidRDefault="00122561" w:rsidP="00BD73CE">
      <w:pPr>
        <w:pStyle w:val="Bodytext"/>
        <w:spacing w:after="80"/>
      </w:pPr>
      <w:r w:rsidRPr="008A7A35">
        <w:rPr>
          <w:b/>
          <w:bCs/>
        </w:rPr>
        <w:t>“TSX”</w:t>
      </w:r>
      <w:r w:rsidR="00780C20" w:rsidRPr="008A7A35">
        <w:t xml:space="preserve"> means </w:t>
      </w:r>
      <w:r w:rsidRPr="008A7A35">
        <w:t>T</w:t>
      </w:r>
      <w:r w:rsidR="00C97B40" w:rsidRPr="008A7A35">
        <w:t>he T</w:t>
      </w:r>
      <w:r w:rsidRPr="008A7A35">
        <w:t xml:space="preserve">oronto Stock </w:t>
      </w:r>
      <w:proofErr w:type="gramStart"/>
      <w:r w:rsidRPr="008A7A35">
        <w:t>Exchange</w:t>
      </w:r>
      <w:r w:rsidR="00780C20" w:rsidRPr="008A7A35">
        <w:t>;</w:t>
      </w:r>
      <w:proofErr w:type="gramEnd"/>
    </w:p>
    <w:p w14:paraId="0EDDC6A0" w14:textId="77777777" w:rsidR="00780C20" w:rsidRPr="008A7A35" w:rsidRDefault="00780C20" w:rsidP="00780C20">
      <w:pPr>
        <w:pStyle w:val="Bodytext"/>
        <w:spacing w:after="80"/>
      </w:pPr>
      <w:r w:rsidRPr="008A7A35">
        <w:t>“</w:t>
      </w:r>
      <w:r w:rsidRPr="008A7A35">
        <w:rPr>
          <w:b/>
        </w:rPr>
        <w:t>UK Listing Authority</w:t>
      </w:r>
      <w:r w:rsidRPr="008A7A35">
        <w:t>” or “</w:t>
      </w:r>
      <w:r w:rsidRPr="008A7A35">
        <w:rPr>
          <w:b/>
        </w:rPr>
        <w:t>UKLA</w:t>
      </w:r>
      <w:r w:rsidRPr="008A7A35">
        <w:t xml:space="preserve">” means the Financial Conduct </w:t>
      </w:r>
      <w:proofErr w:type="gramStart"/>
      <w:r w:rsidRPr="008A7A35">
        <w:t>Authority;</w:t>
      </w:r>
      <w:proofErr w:type="gramEnd"/>
    </w:p>
    <w:p w14:paraId="6D199B4C" w14:textId="39B02F41" w:rsidR="00780C20" w:rsidRPr="008A7A35" w:rsidRDefault="00780C20" w:rsidP="00780C20">
      <w:pPr>
        <w:pStyle w:val="Bodytext"/>
        <w:spacing w:after="80"/>
      </w:pPr>
      <w:r w:rsidRPr="008A7A35">
        <w:t>“</w:t>
      </w:r>
      <w:r w:rsidRPr="008A7A35">
        <w:rPr>
          <w:b/>
        </w:rPr>
        <w:t>U.S.</w:t>
      </w:r>
      <w:r w:rsidRPr="008A7A35">
        <w:t>” or “</w:t>
      </w:r>
      <w:r w:rsidRPr="008A7A35">
        <w:rPr>
          <w:b/>
        </w:rPr>
        <w:t>United States</w:t>
      </w:r>
      <w:r w:rsidRPr="008A7A35">
        <w:t xml:space="preserve">” means the United States of America, its territories and possessions, any state of the United States and the District of </w:t>
      </w:r>
      <w:proofErr w:type="gramStart"/>
      <w:r w:rsidRPr="008A7A35">
        <w:t>Columbia;</w:t>
      </w:r>
      <w:proofErr w:type="gramEnd"/>
    </w:p>
    <w:p w14:paraId="447876C4" w14:textId="594981A8" w:rsidR="005116BB" w:rsidRPr="008A7A35" w:rsidRDefault="1EC56E92" w:rsidP="00780C20">
      <w:pPr>
        <w:pStyle w:val="Bodytext"/>
        <w:spacing w:after="80"/>
      </w:pPr>
      <w:r>
        <w:t>“</w:t>
      </w:r>
      <w:r w:rsidR="00E53D6E">
        <w:rPr>
          <w:b/>
          <w:bCs/>
        </w:rPr>
        <w:t>Whitecap Resources</w:t>
      </w:r>
      <w:r>
        <w:t xml:space="preserve">” means </w:t>
      </w:r>
      <w:r w:rsidR="00E53D6E">
        <w:t xml:space="preserve">Whitecap Resources formerly known as </w:t>
      </w:r>
      <w:r>
        <w:t>Veren Inc.</w:t>
      </w:r>
      <w:r w:rsidR="00E53D6E">
        <w:t>/</w:t>
      </w:r>
      <w:r>
        <w:t xml:space="preserve"> Crescent Point</w:t>
      </w:r>
      <w:r w:rsidR="0C0003E1">
        <w:t>/Hammerhead</w:t>
      </w:r>
      <w:r>
        <w:t xml:space="preserve"> </w:t>
      </w:r>
      <w:proofErr w:type="gramStart"/>
      <w:r>
        <w:t>Energy;</w:t>
      </w:r>
      <w:proofErr w:type="gramEnd"/>
    </w:p>
    <w:p w14:paraId="0A67B523" w14:textId="77777777" w:rsidR="00780C20" w:rsidRPr="008A7A35" w:rsidRDefault="00780C20" w:rsidP="00780C20">
      <w:pPr>
        <w:pStyle w:val="Bodytext"/>
        <w:spacing w:after="80"/>
      </w:pPr>
      <w:r w:rsidRPr="008A7A35">
        <w:t>“</w:t>
      </w:r>
      <w:r w:rsidRPr="008A7A35">
        <w:rPr>
          <w:b/>
        </w:rPr>
        <w:t>WTI</w:t>
      </w:r>
      <w:r w:rsidRPr="008A7A35">
        <w:t xml:space="preserve">” means West Texas Intermediate which is a grade of crude oil used as a benchmark in oil </w:t>
      </w:r>
      <w:proofErr w:type="gramStart"/>
      <w:r w:rsidRPr="008A7A35">
        <w:t>pricing;</w:t>
      </w:r>
      <w:proofErr w:type="gramEnd"/>
    </w:p>
    <w:p w14:paraId="479CC33A" w14:textId="77777777" w:rsidR="00780C20" w:rsidRPr="008A7A35" w:rsidRDefault="00780C20" w:rsidP="00780C20">
      <w:pPr>
        <w:pStyle w:val="Bodytext"/>
        <w:spacing w:after="80"/>
      </w:pPr>
      <w:r w:rsidRPr="008A7A35">
        <w:t>“</w:t>
      </w:r>
      <w:r w:rsidRPr="008A7A35">
        <w:rPr>
          <w:b/>
        </w:rPr>
        <w:t>£</w:t>
      </w:r>
      <w:r w:rsidRPr="008A7A35">
        <w:t>” or “</w:t>
      </w:r>
      <w:r w:rsidRPr="008A7A35">
        <w:rPr>
          <w:b/>
        </w:rPr>
        <w:t>Pounds Sterling</w:t>
      </w:r>
      <w:r w:rsidRPr="008A7A35">
        <w:t>” or “</w:t>
      </w:r>
      <w:r w:rsidRPr="008A7A35">
        <w:rPr>
          <w:b/>
        </w:rPr>
        <w:t>Sterling</w:t>
      </w:r>
      <w:r w:rsidRPr="008A7A35">
        <w:t>” means British pound sterling and “</w:t>
      </w:r>
      <w:r w:rsidRPr="008A7A35">
        <w:rPr>
          <w:b/>
        </w:rPr>
        <w:t>pence</w:t>
      </w:r>
      <w:r w:rsidRPr="008A7A35">
        <w:t>” means British pence; and</w:t>
      </w:r>
    </w:p>
    <w:p w14:paraId="7ECFC358" w14:textId="779177AA" w:rsidR="005D62F7" w:rsidRPr="008A7A35" w:rsidRDefault="00780C20" w:rsidP="00213F9C">
      <w:pPr>
        <w:pStyle w:val="Bodytext"/>
        <w:spacing w:after="80"/>
      </w:pPr>
      <w:r w:rsidRPr="008A7A35">
        <w:t>“</w:t>
      </w:r>
      <w:r w:rsidRPr="008A7A35">
        <w:rPr>
          <w:b/>
        </w:rPr>
        <w:t>$</w:t>
      </w:r>
      <w:r w:rsidRPr="008A7A35">
        <w:t>” means United States dollars and “</w:t>
      </w:r>
      <w:r w:rsidRPr="008A7A35">
        <w:rPr>
          <w:b/>
        </w:rPr>
        <w:t>cents</w:t>
      </w:r>
      <w:r w:rsidRPr="008A7A35">
        <w:t>” means United States cents.</w:t>
      </w:r>
    </w:p>
    <w:p w14:paraId="659843F6" w14:textId="77777777" w:rsidR="00683A0F" w:rsidRDefault="00683A0F"/>
    <w:p w14:paraId="1B342A46" w14:textId="77777777" w:rsidR="00DE4E0D" w:rsidRDefault="00DE4E0D"/>
    <w:p w14:paraId="75249DB2" w14:textId="1C7EA9E3" w:rsidR="00E345F2" w:rsidRPr="008A7A35" w:rsidRDefault="00E345F2" w:rsidP="003E2E13">
      <w:pPr>
        <w:pStyle w:val="Heading1"/>
        <w:keepNext w:val="0"/>
        <w:keepLines w:val="0"/>
        <w:widowControl w:val="0"/>
        <w:spacing w:before="0"/>
        <w:contextualSpacing/>
        <w:rPr>
          <w:rFonts w:cs="Arial"/>
        </w:rPr>
      </w:pPr>
      <w:r w:rsidRPr="008A7A35">
        <w:rPr>
          <w:rFonts w:cs="Arial"/>
        </w:rPr>
        <w:t>DIRECTORS AND GENERAL INFORMATION</w:t>
      </w:r>
    </w:p>
    <w:p w14:paraId="18C2A16A" w14:textId="77777777" w:rsidR="00AE5DF1" w:rsidRPr="008A7A35" w:rsidRDefault="00AE5DF1" w:rsidP="00AE5DF1"/>
    <w:p w14:paraId="7DB71A9F" w14:textId="77777777" w:rsidR="00780C20" w:rsidRPr="008A7A35" w:rsidRDefault="00F57A8D" w:rsidP="00780C20">
      <w:pPr>
        <w:pStyle w:val="Bodytext"/>
        <w:rPr>
          <w:rFonts w:cs="Arial"/>
          <w:b/>
          <w:szCs w:val="20"/>
        </w:rPr>
      </w:pPr>
      <w:r w:rsidRPr="008A7A35" w:rsidDel="00AE7384">
        <w:rPr>
          <w:rFonts w:cs="Arial"/>
          <w:b/>
          <w:szCs w:val="20"/>
        </w:rPr>
        <w:t xml:space="preserve"> </w:t>
      </w:r>
    </w:p>
    <w:tbl>
      <w:tblPr>
        <w:tblStyle w:val="TableGrid"/>
        <w:tblW w:w="0" w:type="auto"/>
        <w:tblLook w:val="00A0" w:firstRow="1" w:lastRow="0" w:firstColumn="1" w:lastColumn="0" w:noHBand="0" w:noVBand="0"/>
      </w:tblPr>
      <w:tblGrid>
        <w:gridCol w:w="3964"/>
        <w:gridCol w:w="2694"/>
        <w:gridCol w:w="3085"/>
      </w:tblGrid>
      <w:tr w:rsidR="00780C20" w:rsidRPr="008A7A35" w14:paraId="21674BFF" w14:textId="77777777" w:rsidTr="00C615DD">
        <w:trPr>
          <w:trHeight w:val="70"/>
        </w:trPr>
        <w:tc>
          <w:tcPr>
            <w:tcW w:w="3964" w:type="dxa"/>
          </w:tcPr>
          <w:p w14:paraId="74855206" w14:textId="08822F0E" w:rsidR="00780C20" w:rsidRPr="008A7A35" w:rsidRDefault="00780C20" w:rsidP="00BE4257">
            <w:pPr>
              <w:pStyle w:val="Bodytext"/>
              <w:rPr>
                <w:b/>
                <w:sz w:val="19"/>
                <w:szCs w:val="19"/>
              </w:rPr>
            </w:pPr>
            <w:r w:rsidRPr="008A7A35">
              <w:rPr>
                <w:b/>
                <w:sz w:val="19"/>
                <w:szCs w:val="19"/>
              </w:rPr>
              <w:t>Directors</w:t>
            </w:r>
          </w:p>
          <w:p w14:paraId="6F03C7E8" w14:textId="45E47679" w:rsidR="00146437" w:rsidRPr="008A7A35" w:rsidRDefault="00146437" w:rsidP="00146437">
            <w:pPr>
              <w:rPr>
                <w:rFonts w:ascii="Arial" w:hAnsi="Arial" w:cs="Arial"/>
                <w:sz w:val="19"/>
                <w:szCs w:val="19"/>
              </w:rPr>
            </w:pPr>
            <w:r w:rsidRPr="008A7A35">
              <w:rPr>
                <w:rFonts w:ascii="Arial" w:hAnsi="Arial" w:cs="Arial"/>
                <w:sz w:val="19"/>
                <w:szCs w:val="19"/>
              </w:rPr>
              <w:t>Richard Horlick</w:t>
            </w:r>
            <w:r w:rsidR="00BC1D95" w:rsidRPr="008A7A35">
              <w:rPr>
                <w:rFonts w:ascii="Arial" w:hAnsi="Arial" w:cs="Arial"/>
                <w:sz w:val="19"/>
                <w:szCs w:val="19"/>
              </w:rPr>
              <w:t xml:space="preserve"> </w:t>
            </w:r>
            <w:r w:rsidR="00BC1D95" w:rsidRPr="00C47CB2">
              <w:rPr>
                <w:rFonts w:ascii="Arial" w:hAnsi="Arial" w:cs="Arial"/>
                <w:sz w:val="19"/>
                <w:szCs w:val="19"/>
              </w:rPr>
              <w:t>(Chair</w:t>
            </w:r>
            <w:r w:rsidR="00BB03B1" w:rsidRPr="00C47CB2">
              <w:rPr>
                <w:rFonts w:ascii="Arial" w:hAnsi="Arial" w:cs="Arial"/>
                <w:sz w:val="19"/>
                <w:szCs w:val="19"/>
              </w:rPr>
              <w:t>)</w:t>
            </w:r>
          </w:p>
          <w:p w14:paraId="3E11B914" w14:textId="44A42531" w:rsidR="00B53CFD" w:rsidRPr="008A7A35" w:rsidRDefault="00B53CFD" w:rsidP="00146437">
            <w:pPr>
              <w:rPr>
                <w:rFonts w:ascii="Arial" w:hAnsi="Arial" w:cs="Arial"/>
                <w:sz w:val="19"/>
                <w:szCs w:val="19"/>
              </w:rPr>
            </w:pPr>
            <w:r w:rsidRPr="008A7A35">
              <w:rPr>
                <w:rFonts w:ascii="Arial" w:hAnsi="Arial" w:cs="Arial"/>
                <w:sz w:val="19"/>
                <w:szCs w:val="19"/>
              </w:rPr>
              <w:t xml:space="preserve">Karen McClellan </w:t>
            </w:r>
          </w:p>
          <w:p w14:paraId="78EAD905" w14:textId="1BA57FC6" w:rsidR="00146437" w:rsidRPr="008A7A35" w:rsidRDefault="00146437" w:rsidP="00146437">
            <w:pPr>
              <w:rPr>
                <w:rFonts w:ascii="Arial" w:hAnsi="Arial" w:cs="Arial"/>
                <w:sz w:val="19"/>
                <w:szCs w:val="19"/>
              </w:rPr>
            </w:pPr>
            <w:r w:rsidRPr="008A7A35">
              <w:rPr>
                <w:rFonts w:ascii="Arial" w:hAnsi="Arial" w:cs="Arial"/>
                <w:sz w:val="19"/>
                <w:szCs w:val="19"/>
              </w:rPr>
              <w:t>John Roche</w:t>
            </w:r>
            <w:r w:rsidR="00A92BDA" w:rsidRPr="008A7A35">
              <w:rPr>
                <w:rFonts w:ascii="Arial" w:hAnsi="Arial" w:cs="Arial"/>
                <w:sz w:val="19"/>
                <w:szCs w:val="19"/>
              </w:rPr>
              <w:t xml:space="preserve"> </w:t>
            </w:r>
          </w:p>
          <w:p w14:paraId="64949A90" w14:textId="77777777" w:rsidR="00146437" w:rsidRPr="008A7A35" w:rsidRDefault="00146437" w:rsidP="00146437">
            <w:pPr>
              <w:rPr>
                <w:rFonts w:ascii="Arial" w:hAnsi="Arial" w:cs="Arial"/>
                <w:sz w:val="19"/>
                <w:szCs w:val="19"/>
              </w:rPr>
            </w:pPr>
            <w:r w:rsidRPr="008A7A35">
              <w:rPr>
                <w:rFonts w:ascii="Arial" w:hAnsi="Arial" w:cs="Arial"/>
                <w:sz w:val="19"/>
                <w:szCs w:val="19"/>
              </w:rPr>
              <w:t>Jeremy Thompson</w:t>
            </w:r>
          </w:p>
          <w:p w14:paraId="752DB581" w14:textId="3DF78AA8" w:rsidR="00780C20" w:rsidRPr="008A7A35" w:rsidRDefault="00146437" w:rsidP="00BE4257">
            <w:pPr>
              <w:rPr>
                <w:rFonts w:ascii="Arial" w:hAnsi="Arial" w:cs="Arial"/>
                <w:sz w:val="19"/>
                <w:szCs w:val="19"/>
              </w:rPr>
            </w:pPr>
            <w:r w:rsidRPr="008A7A35">
              <w:rPr>
                <w:rFonts w:ascii="Arial" w:hAnsi="Arial" w:cs="Arial"/>
                <w:sz w:val="19"/>
                <w:szCs w:val="19"/>
              </w:rPr>
              <w:t>Claire Whittet</w:t>
            </w:r>
            <w:r w:rsidR="004A1822" w:rsidRPr="008A7A35">
              <w:rPr>
                <w:rFonts w:ascii="Arial" w:hAnsi="Arial" w:cs="Arial"/>
                <w:sz w:val="19"/>
                <w:szCs w:val="19"/>
              </w:rPr>
              <w:t xml:space="preserve"> (retired 20 May 2025)</w:t>
            </w:r>
          </w:p>
          <w:p w14:paraId="2EEA37DE" w14:textId="77777777" w:rsidR="00146437" w:rsidRPr="008A7A35" w:rsidRDefault="00146437" w:rsidP="00BE4257">
            <w:pPr>
              <w:rPr>
                <w:sz w:val="19"/>
                <w:szCs w:val="19"/>
              </w:rPr>
            </w:pPr>
          </w:p>
          <w:p w14:paraId="0B6F2D41" w14:textId="77777777" w:rsidR="00780C20" w:rsidRPr="008A7A35" w:rsidRDefault="00780C20" w:rsidP="00BE4257">
            <w:pPr>
              <w:pStyle w:val="Bodytext"/>
              <w:rPr>
                <w:b/>
                <w:sz w:val="19"/>
                <w:szCs w:val="19"/>
              </w:rPr>
            </w:pPr>
            <w:r w:rsidRPr="008A7A35">
              <w:rPr>
                <w:b/>
                <w:sz w:val="19"/>
                <w:szCs w:val="19"/>
              </w:rPr>
              <w:t>Audit Committee</w:t>
            </w:r>
          </w:p>
          <w:p w14:paraId="21D23265" w14:textId="68339527" w:rsidR="00146437" w:rsidRPr="008A7A35" w:rsidRDefault="00BB03B1" w:rsidP="00146437">
            <w:pPr>
              <w:rPr>
                <w:rFonts w:ascii="Arial" w:hAnsi="Arial" w:cs="Arial"/>
                <w:sz w:val="19"/>
                <w:szCs w:val="19"/>
              </w:rPr>
            </w:pPr>
            <w:r w:rsidRPr="008A7A35">
              <w:rPr>
                <w:rFonts w:ascii="Arial" w:hAnsi="Arial" w:cs="Arial"/>
                <w:sz w:val="19"/>
                <w:szCs w:val="19"/>
              </w:rPr>
              <w:t xml:space="preserve">John Roche </w:t>
            </w:r>
            <w:r w:rsidR="00146437" w:rsidRPr="008A7A35">
              <w:rPr>
                <w:rFonts w:ascii="Arial" w:hAnsi="Arial" w:cs="Arial"/>
                <w:sz w:val="19"/>
                <w:szCs w:val="19"/>
              </w:rPr>
              <w:t>(Chair)</w:t>
            </w:r>
          </w:p>
          <w:p w14:paraId="68A2FCB8" w14:textId="77777777" w:rsidR="00146437" w:rsidRPr="008A7A35" w:rsidRDefault="00146437" w:rsidP="00146437">
            <w:pPr>
              <w:rPr>
                <w:rFonts w:ascii="Arial" w:hAnsi="Arial" w:cs="Arial"/>
                <w:sz w:val="19"/>
                <w:szCs w:val="19"/>
              </w:rPr>
            </w:pPr>
            <w:r w:rsidRPr="008A7A35">
              <w:rPr>
                <w:rFonts w:ascii="Arial" w:hAnsi="Arial" w:cs="Arial"/>
                <w:sz w:val="19"/>
                <w:szCs w:val="19"/>
              </w:rPr>
              <w:t>Richard Horlick</w:t>
            </w:r>
          </w:p>
          <w:p w14:paraId="2537197D" w14:textId="6CB8779A" w:rsidR="00B53CFD" w:rsidRPr="008A7A35" w:rsidRDefault="00B53CFD" w:rsidP="00146437">
            <w:pPr>
              <w:rPr>
                <w:rFonts w:ascii="Arial" w:hAnsi="Arial" w:cs="Arial"/>
                <w:i/>
                <w:iCs/>
                <w:sz w:val="19"/>
                <w:szCs w:val="19"/>
              </w:rPr>
            </w:pPr>
            <w:r w:rsidRPr="008A7A35">
              <w:rPr>
                <w:rFonts w:ascii="Arial" w:hAnsi="Arial" w:cs="Arial"/>
                <w:sz w:val="19"/>
                <w:szCs w:val="19"/>
              </w:rPr>
              <w:t>Karen McClellan</w:t>
            </w:r>
          </w:p>
          <w:p w14:paraId="7B1B49A3" w14:textId="77777777" w:rsidR="00146437" w:rsidRPr="008A7A35" w:rsidRDefault="00146437" w:rsidP="00146437">
            <w:pPr>
              <w:rPr>
                <w:rFonts w:ascii="Arial" w:hAnsi="Arial" w:cs="Arial"/>
                <w:sz w:val="19"/>
                <w:szCs w:val="19"/>
              </w:rPr>
            </w:pPr>
            <w:r w:rsidRPr="008A7A35">
              <w:rPr>
                <w:rFonts w:ascii="Arial" w:hAnsi="Arial" w:cs="Arial"/>
                <w:sz w:val="19"/>
                <w:szCs w:val="19"/>
              </w:rPr>
              <w:t>Jeremy Thompson</w:t>
            </w:r>
          </w:p>
          <w:p w14:paraId="763E4F4F" w14:textId="77777777" w:rsidR="004A1822" w:rsidRPr="008A7A35" w:rsidRDefault="004A1822" w:rsidP="004A1822">
            <w:pPr>
              <w:rPr>
                <w:rFonts w:ascii="Arial" w:hAnsi="Arial" w:cs="Arial"/>
                <w:sz w:val="19"/>
                <w:szCs w:val="19"/>
              </w:rPr>
            </w:pPr>
            <w:r w:rsidRPr="008A7A35">
              <w:rPr>
                <w:rFonts w:ascii="Arial" w:hAnsi="Arial" w:cs="Arial"/>
                <w:sz w:val="19"/>
                <w:szCs w:val="19"/>
              </w:rPr>
              <w:t>Claire Whittet (retired 20 May 2025)</w:t>
            </w:r>
          </w:p>
          <w:p w14:paraId="6240420F" w14:textId="77777777" w:rsidR="00146437" w:rsidRPr="008A7A35" w:rsidRDefault="00146437" w:rsidP="00BE4257">
            <w:pPr>
              <w:pStyle w:val="Bodytext"/>
              <w:rPr>
                <w:sz w:val="19"/>
                <w:szCs w:val="19"/>
              </w:rPr>
            </w:pPr>
          </w:p>
          <w:p w14:paraId="51A97190" w14:textId="77777777" w:rsidR="00780C20" w:rsidRPr="008A7A35" w:rsidRDefault="00780C20" w:rsidP="00BE4257">
            <w:pPr>
              <w:pStyle w:val="Bodytext"/>
              <w:rPr>
                <w:b/>
                <w:sz w:val="19"/>
                <w:szCs w:val="19"/>
              </w:rPr>
            </w:pPr>
            <w:r w:rsidRPr="008A7A35">
              <w:rPr>
                <w:b/>
                <w:sz w:val="19"/>
                <w:szCs w:val="19"/>
              </w:rPr>
              <w:t>Management Engagement Committee</w:t>
            </w:r>
          </w:p>
          <w:p w14:paraId="57F4B145" w14:textId="610B81CC" w:rsidR="004A1822" w:rsidRPr="008A7A35" w:rsidRDefault="004A1822" w:rsidP="004A1822">
            <w:pPr>
              <w:pStyle w:val="Bodytext"/>
              <w:rPr>
                <w:rFonts w:cs="Arial"/>
                <w:i/>
                <w:iCs/>
                <w:sz w:val="19"/>
                <w:szCs w:val="19"/>
              </w:rPr>
            </w:pPr>
            <w:r w:rsidRPr="008A7A35">
              <w:rPr>
                <w:rFonts w:cs="Arial"/>
                <w:sz w:val="19"/>
                <w:szCs w:val="19"/>
              </w:rPr>
              <w:t>Karen McClellan (Chair</w:t>
            </w:r>
            <w:r w:rsidR="007D69E8" w:rsidRPr="008A7A35">
              <w:rPr>
                <w:rFonts w:cs="Arial"/>
                <w:sz w:val="19"/>
                <w:szCs w:val="19"/>
              </w:rPr>
              <w:t xml:space="preserve"> from 2</w:t>
            </w:r>
            <w:r w:rsidR="00805DA9">
              <w:rPr>
                <w:rFonts w:cs="Arial"/>
                <w:sz w:val="19"/>
                <w:szCs w:val="19"/>
              </w:rPr>
              <w:t>0</w:t>
            </w:r>
            <w:r w:rsidR="007D69E8" w:rsidRPr="008A7A35">
              <w:rPr>
                <w:rFonts w:cs="Arial"/>
                <w:sz w:val="19"/>
                <w:szCs w:val="19"/>
              </w:rPr>
              <w:t xml:space="preserve"> May 2025</w:t>
            </w:r>
            <w:r w:rsidRPr="008A7A35">
              <w:rPr>
                <w:rFonts w:cs="Arial"/>
                <w:sz w:val="19"/>
                <w:szCs w:val="19"/>
              </w:rPr>
              <w:t>)</w:t>
            </w:r>
          </w:p>
          <w:p w14:paraId="0736D5A2" w14:textId="77777777" w:rsidR="00146437" w:rsidRPr="008A7A35" w:rsidRDefault="00146437" w:rsidP="00146437">
            <w:pPr>
              <w:rPr>
                <w:rFonts w:ascii="Arial" w:hAnsi="Arial" w:cs="Arial"/>
                <w:sz w:val="19"/>
                <w:szCs w:val="19"/>
              </w:rPr>
            </w:pPr>
            <w:r w:rsidRPr="008A7A35">
              <w:rPr>
                <w:rFonts w:ascii="Arial" w:hAnsi="Arial" w:cs="Arial"/>
                <w:sz w:val="19"/>
                <w:szCs w:val="19"/>
              </w:rPr>
              <w:t>Richard Horlick</w:t>
            </w:r>
          </w:p>
          <w:p w14:paraId="22B1F3FA" w14:textId="48E5785E" w:rsidR="00146437" w:rsidRPr="008A7A35" w:rsidDel="00146437" w:rsidRDefault="00146437" w:rsidP="00BE4257">
            <w:pPr>
              <w:pStyle w:val="Bodytext"/>
              <w:rPr>
                <w:rFonts w:cs="Arial"/>
                <w:sz w:val="19"/>
                <w:szCs w:val="19"/>
              </w:rPr>
            </w:pPr>
            <w:r w:rsidRPr="008A7A35">
              <w:rPr>
                <w:rFonts w:cs="Arial"/>
                <w:sz w:val="19"/>
                <w:szCs w:val="19"/>
              </w:rPr>
              <w:t>John Roche</w:t>
            </w:r>
          </w:p>
          <w:p w14:paraId="7BB2803A" w14:textId="77777777" w:rsidR="00BB03B1" w:rsidRPr="008A7A35" w:rsidRDefault="00146437" w:rsidP="00BE4257">
            <w:pPr>
              <w:pStyle w:val="Bodytext"/>
              <w:rPr>
                <w:rFonts w:cs="Arial"/>
                <w:sz w:val="19"/>
                <w:szCs w:val="19"/>
              </w:rPr>
            </w:pPr>
            <w:r w:rsidRPr="008A7A35">
              <w:rPr>
                <w:rFonts w:cs="Arial"/>
                <w:sz w:val="19"/>
                <w:szCs w:val="19"/>
              </w:rPr>
              <w:t>Jeremy Thompson</w:t>
            </w:r>
          </w:p>
          <w:p w14:paraId="10BC46B5" w14:textId="5C38731C" w:rsidR="00780C20" w:rsidRPr="008A7A35" w:rsidRDefault="004A1822" w:rsidP="00391CE4">
            <w:pPr>
              <w:rPr>
                <w:rFonts w:cs="Arial"/>
                <w:sz w:val="19"/>
                <w:szCs w:val="19"/>
              </w:rPr>
            </w:pPr>
            <w:r w:rsidRPr="008A7A35">
              <w:rPr>
                <w:rFonts w:ascii="Arial" w:hAnsi="Arial" w:cs="Arial"/>
                <w:sz w:val="19"/>
                <w:szCs w:val="19"/>
              </w:rPr>
              <w:t>Claire Whittet (retired 20 May 2025)</w:t>
            </w:r>
            <w:r w:rsidR="00146437" w:rsidRPr="008A7A35">
              <w:rPr>
                <w:rFonts w:cs="Arial"/>
                <w:sz w:val="19"/>
                <w:szCs w:val="19"/>
              </w:rPr>
              <w:t xml:space="preserve"> </w:t>
            </w:r>
          </w:p>
          <w:p w14:paraId="2F15F3C9" w14:textId="77777777" w:rsidR="00146437" w:rsidRPr="008A7A35" w:rsidRDefault="00146437" w:rsidP="00BE4257">
            <w:pPr>
              <w:pStyle w:val="Bodytext"/>
              <w:rPr>
                <w:sz w:val="19"/>
                <w:szCs w:val="19"/>
              </w:rPr>
            </w:pPr>
          </w:p>
          <w:p w14:paraId="21F14A39" w14:textId="77777777" w:rsidR="00780C20" w:rsidRPr="008A7A35" w:rsidRDefault="00780C20" w:rsidP="00BE4257">
            <w:pPr>
              <w:pStyle w:val="Bodytext"/>
              <w:rPr>
                <w:b/>
                <w:sz w:val="19"/>
                <w:szCs w:val="19"/>
              </w:rPr>
            </w:pPr>
            <w:r w:rsidRPr="008A7A35">
              <w:rPr>
                <w:b/>
                <w:sz w:val="19"/>
                <w:szCs w:val="19"/>
              </w:rPr>
              <w:t>Nomination Committee</w:t>
            </w:r>
          </w:p>
          <w:p w14:paraId="2E8A66A0" w14:textId="77777777" w:rsidR="00146437" w:rsidRPr="008A7A35" w:rsidRDefault="00146437" w:rsidP="00146437">
            <w:pPr>
              <w:rPr>
                <w:rFonts w:ascii="Arial" w:hAnsi="Arial" w:cs="Arial"/>
                <w:sz w:val="19"/>
                <w:szCs w:val="19"/>
              </w:rPr>
            </w:pPr>
            <w:r w:rsidRPr="008A7A35">
              <w:rPr>
                <w:rFonts w:ascii="Arial" w:hAnsi="Arial" w:cs="Arial"/>
                <w:sz w:val="19"/>
                <w:szCs w:val="19"/>
              </w:rPr>
              <w:t>Jeremy Thompson (Chair)</w:t>
            </w:r>
          </w:p>
          <w:p w14:paraId="733CAF3A" w14:textId="77777777" w:rsidR="00146437" w:rsidRPr="008A7A35" w:rsidRDefault="00146437" w:rsidP="00146437">
            <w:pPr>
              <w:rPr>
                <w:rFonts w:ascii="Arial" w:hAnsi="Arial" w:cs="Arial"/>
                <w:sz w:val="19"/>
                <w:szCs w:val="19"/>
              </w:rPr>
            </w:pPr>
            <w:r w:rsidRPr="008A7A35">
              <w:rPr>
                <w:rFonts w:ascii="Arial" w:hAnsi="Arial" w:cs="Arial"/>
                <w:sz w:val="19"/>
                <w:szCs w:val="19"/>
              </w:rPr>
              <w:t>Richard Horlick</w:t>
            </w:r>
          </w:p>
          <w:p w14:paraId="58BCA633" w14:textId="7E949F95" w:rsidR="00D112C5" w:rsidRPr="008A7A35" w:rsidRDefault="00D112C5" w:rsidP="00146437">
            <w:pPr>
              <w:rPr>
                <w:rFonts w:ascii="Arial" w:hAnsi="Arial" w:cs="Arial"/>
                <w:i/>
                <w:iCs/>
                <w:sz w:val="19"/>
                <w:szCs w:val="19"/>
              </w:rPr>
            </w:pPr>
            <w:r w:rsidRPr="008A7A35">
              <w:rPr>
                <w:rFonts w:ascii="Arial" w:hAnsi="Arial" w:cs="Arial"/>
                <w:sz w:val="19"/>
                <w:szCs w:val="19"/>
              </w:rPr>
              <w:t xml:space="preserve">Karen McClellan </w:t>
            </w:r>
          </w:p>
          <w:p w14:paraId="7A1B4684" w14:textId="37A53A5C" w:rsidR="00146437" w:rsidRPr="008A7A35" w:rsidRDefault="00146437" w:rsidP="00146437">
            <w:pPr>
              <w:rPr>
                <w:rFonts w:ascii="Arial" w:hAnsi="Arial" w:cs="Arial"/>
                <w:sz w:val="19"/>
                <w:szCs w:val="19"/>
              </w:rPr>
            </w:pPr>
            <w:r w:rsidRPr="008A7A35">
              <w:rPr>
                <w:rFonts w:ascii="Arial" w:hAnsi="Arial" w:cs="Arial"/>
                <w:sz w:val="19"/>
                <w:szCs w:val="19"/>
              </w:rPr>
              <w:t>John Roche</w:t>
            </w:r>
          </w:p>
          <w:p w14:paraId="212C9B93" w14:textId="77777777" w:rsidR="004A1822" w:rsidRPr="008A7A35" w:rsidRDefault="004A1822" w:rsidP="004A1822">
            <w:pPr>
              <w:rPr>
                <w:rFonts w:ascii="Arial" w:hAnsi="Arial" w:cs="Arial"/>
                <w:sz w:val="19"/>
                <w:szCs w:val="19"/>
              </w:rPr>
            </w:pPr>
            <w:r w:rsidRPr="008A7A35">
              <w:rPr>
                <w:rFonts w:ascii="Arial" w:hAnsi="Arial" w:cs="Arial"/>
                <w:sz w:val="19"/>
                <w:szCs w:val="19"/>
              </w:rPr>
              <w:t>Claire Whittet (retired 20 May 2025)</w:t>
            </w:r>
            <w:r w:rsidRPr="008A7A35">
              <w:rPr>
                <w:rFonts w:cs="Arial"/>
                <w:sz w:val="19"/>
                <w:szCs w:val="19"/>
              </w:rPr>
              <w:t xml:space="preserve"> </w:t>
            </w:r>
          </w:p>
          <w:p w14:paraId="1943F010" w14:textId="77777777" w:rsidR="00146437" w:rsidRPr="008A7A35" w:rsidRDefault="00146437" w:rsidP="00BE4257">
            <w:pPr>
              <w:pStyle w:val="Bodytext"/>
              <w:rPr>
                <w:sz w:val="19"/>
                <w:szCs w:val="19"/>
              </w:rPr>
            </w:pPr>
          </w:p>
          <w:p w14:paraId="55B4CB04" w14:textId="77777777" w:rsidR="00780C20" w:rsidRPr="008A7A35" w:rsidRDefault="00780C20" w:rsidP="00BE4257">
            <w:pPr>
              <w:pStyle w:val="Bodytext"/>
              <w:rPr>
                <w:b/>
                <w:sz w:val="19"/>
                <w:szCs w:val="19"/>
              </w:rPr>
            </w:pPr>
            <w:r w:rsidRPr="008A7A35">
              <w:rPr>
                <w:b/>
                <w:sz w:val="19"/>
                <w:szCs w:val="19"/>
              </w:rPr>
              <w:t>Investment Manager</w:t>
            </w:r>
          </w:p>
          <w:p w14:paraId="13DD4A46" w14:textId="00FDD2DA" w:rsidR="00780C20" w:rsidRPr="008A7A35" w:rsidRDefault="008547A7" w:rsidP="00BE4257">
            <w:pPr>
              <w:pStyle w:val="Bodytext"/>
              <w:rPr>
                <w:sz w:val="19"/>
                <w:szCs w:val="19"/>
              </w:rPr>
            </w:pPr>
            <w:r w:rsidRPr="008A7A35">
              <w:rPr>
                <w:sz w:val="19"/>
                <w:szCs w:val="19"/>
              </w:rPr>
              <w:t>RIGL Holdings, LP</w:t>
            </w:r>
          </w:p>
          <w:p w14:paraId="2B770F89" w14:textId="77777777" w:rsidR="00780C20" w:rsidRPr="008A7A35" w:rsidRDefault="00780C20" w:rsidP="00BE4257">
            <w:pPr>
              <w:pStyle w:val="Bodytext"/>
              <w:rPr>
                <w:sz w:val="19"/>
                <w:szCs w:val="19"/>
              </w:rPr>
            </w:pPr>
            <w:r w:rsidRPr="008A7A35">
              <w:rPr>
                <w:sz w:val="19"/>
                <w:szCs w:val="19"/>
              </w:rPr>
              <w:t>190 Elgin Avenue</w:t>
            </w:r>
          </w:p>
          <w:p w14:paraId="119BC5C7" w14:textId="77777777" w:rsidR="00780C20" w:rsidRPr="008A7A35" w:rsidRDefault="00780C20" w:rsidP="00BE4257">
            <w:pPr>
              <w:pStyle w:val="Bodytext"/>
              <w:rPr>
                <w:sz w:val="19"/>
                <w:szCs w:val="19"/>
              </w:rPr>
            </w:pPr>
            <w:r w:rsidRPr="008A7A35">
              <w:rPr>
                <w:sz w:val="19"/>
                <w:szCs w:val="19"/>
              </w:rPr>
              <w:t>George Town</w:t>
            </w:r>
          </w:p>
          <w:p w14:paraId="1FFF0FF4" w14:textId="77777777" w:rsidR="00780C20" w:rsidRPr="008A7A35" w:rsidRDefault="00780C20" w:rsidP="00BE4257">
            <w:pPr>
              <w:pStyle w:val="Bodytext"/>
              <w:rPr>
                <w:sz w:val="19"/>
                <w:szCs w:val="19"/>
              </w:rPr>
            </w:pPr>
            <w:r w:rsidRPr="008A7A35">
              <w:rPr>
                <w:sz w:val="19"/>
                <w:szCs w:val="19"/>
              </w:rPr>
              <w:t>Grand Cayman</w:t>
            </w:r>
          </w:p>
          <w:p w14:paraId="1713C102" w14:textId="77777777" w:rsidR="00780C20" w:rsidRPr="008A7A35" w:rsidRDefault="00780C20" w:rsidP="00BE4257">
            <w:pPr>
              <w:pStyle w:val="Bodytext"/>
              <w:rPr>
                <w:sz w:val="19"/>
                <w:szCs w:val="19"/>
              </w:rPr>
            </w:pPr>
            <w:r w:rsidRPr="008A7A35">
              <w:rPr>
                <w:sz w:val="19"/>
                <w:szCs w:val="19"/>
              </w:rPr>
              <w:t>KY1-9005</w:t>
            </w:r>
          </w:p>
          <w:p w14:paraId="6BE03A7F" w14:textId="77777777" w:rsidR="00780C20" w:rsidRPr="008A7A35" w:rsidRDefault="00780C20" w:rsidP="00BE4257">
            <w:pPr>
              <w:pStyle w:val="Bodytext"/>
              <w:rPr>
                <w:sz w:val="19"/>
                <w:szCs w:val="19"/>
              </w:rPr>
            </w:pPr>
            <w:r w:rsidRPr="008A7A35">
              <w:rPr>
                <w:sz w:val="19"/>
                <w:szCs w:val="19"/>
              </w:rPr>
              <w:t>Cayman Islands</w:t>
            </w:r>
          </w:p>
          <w:p w14:paraId="14311300" w14:textId="77777777" w:rsidR="00780C20" w:rsidRPr="008A7A35" w:rsidRDefault="00780C20" w:rsidP="00BE4257">
            <w:pPr>
              <w:pStyle w:val="Bodytext"/>
              <w:rPr>
                <w:sz w:val="19"/>
                <w:szCs w:val="19"/>
              </w:rPr>
            </w:pPr>
          </w:p>
          <w:p w14:paraId="28C3B5D5" w14:textId="67ADBBCC" w:rsidR="00984C54" w:rsidRPr="008A7A35" w:rsidRDefault="00A314AD" w:rsidP="00BE4257">
            <w:pPr>
              <w:pStyle w:val="Bodytext"/>
              <w:rPr>
                <w:b/>
                <w:sz w:val="19"/>
                <w:szCs w:val="19"/>
              </w:rPr>
            </w:pPr>
            <w:r w:rsidRPr="008A7A35">
              <w:rPr>
                <w:b/>
                <w:sz w:val="19"/>
                <w:szCs w:val="19"/>
              </w:rPr>
              <w:lastRenderedPageBreak/>
              <w:t xml:space="preserve">Investment Manager’s </w:t>
            </w:r>
            <w:r w:rsidR="00984C54" w:rsidRPr="008A7A35">
              <w:rPr>
                <w:b/>
                <w:sz w:val="19"/>
                <w:szCs w:val="19"/>
              </w:rPr>
              <w:t>Performance Review Team</w:t>
            </w:r>
          </w:p>
          <w:p w14:paraId="7C1B24C8" w14:textId="7E04D699" w:rsidR="00984C54" w:rsidRPr="008A7A35" w:rsidRDefault="00984C54" w:rsidP="00984C54">
            <w:pPr>
              <w:rPr>
                <w:rFonts w:ascii="Arial" w:hAnsi="Arial" w:cs="Arial"/>
                <w:sz w:val="19"/>
                <w:szCs w:val="19"/>
                <w:lang w:val="fr-FR"/>
              </w:rPr>
            </w:pPr>
            <w:r w:rsidRPr="008A7A35">
              <w:rPr>
                <w:rFonts w:ascii="Arial" w:hAnsi="Arial" w:cs="Arial"/>
                <w:sz w:val="19"/>
                <w:szCs w:val="19"/>
                <w:lang w:val="fr-FR"/>
              </w:rPr>
              <w:t>Pierre Lapeyre</w:t>
            </w:r>
          </w:p>
          <w:p w14:paraId="385F158D" w14:textId="77777777" w:rsidR="00984C54" w:rsidRPr="008A7A35" w:rsidRDefault="00984C54" w:rsidP="00984C54">
            <w:pPr>
              <w:rPr>
                <w:rFonts w:ascii="Arial" w:hAnsi="Arial" w:cs="Arial"/>
                <w:sz w:val="19"/>
                <w:szCs w:val="19"/>
                <w:lang w:val="fr-FR"/>
              </w:rPr>
            </w:pPr>
            <w:r w:rsidRPr="008A7A35">
              <w:rPr>
                <w:rFonts w:ascii="Arial" w:hAnsi="Arial" w:cs="Arial"/>
                <w:sz w:val="19"/>
                <w:szCs w:val="19"/>
                <w:lang w:val="fr-FR"/>
              </w:rPr>
              <w:t>David Leuschen</w:t>
            </w:r>
          </w:p>
          <w:p w14:paraId="77237402" w14:textId="519775E0" w:rsidR="00984C54" w:rsidRPr="008A7A35" w:rsidRDefault="00984C54" w:rsidP="00BE4257">
            <w:pPr>
              <w:pStyle w:val="Bodytext"/>
              <w:rPr>
                <w:sz w:val="19"/>
                <w:szCs w:val="19"/>
                <w:lang w:val="fr-FR"/>
              </w:rPr>
            </w:pPr>
            <w:r w:rsidRPr="008A7A35">
              <w:rPr>
                <w:sz w:val="19"/>
                <w:szCs w:val="19"/>
                <w:lang w:val="fr-FR"/>
              </w:rPr>
              <w:t>Baran Tekkora</w:t>
            </w:r>
          </w:p>
          <w:p w14:paraId="761DAEC3" w14:textId="77777777" w:rsidR="00780C20" w:rsidRPr="008A7A35" w:rsidRDefault="00780C20" w:rsidP="00BE4257">
            <w:pPr>
              <w:pStyle w:val="Bodytext"/>
              <w:rPr>
                <w:b/>
                <w:sz w:val="19"/>
                <w:szCs w:val="19"/>
                <w:lang w:val="fr-FR"/>
              </w:rPr>
            </w:pPr>
          </w:p>
          <w:p w14:paraId="70F12EF6" w14:textId="77777777" w:rsidR="00E46EDC" w:rsidRPr="007F5159" w:rsidRDefault="00E46EDC" w:rsidP="00E46EDC">
            <w:pPr>
              <w:pStyle w:val="Bodytext"/>
              <w:rPr>
                <w:sz w:val="19"/>
                <w:szCs w:val="19"/>
              </w:rPr>
            </w:pPr>
            <w:r w:rsidRPr="007F5159">
              <w:rPr>
                <w:b/>
                <w:sz w:val="19"/>
                <w:szCs w:val="19"/>
              </w:rPr>
              <w:t>Website:</w:t>
            </w:r>
            <w:r w:rsidRPr="007F5159">
              <w:rPr>
                <w:sz w:val="19"/>
                <w:szCs w:val="19"/>
              </w:rPr>
              <w:t xml:space="preserve"> www.RiverstoneREL.com</w:t>
            </w:r>
          </w:p>
          <w:p w14:paraId="6FA381BC" w14:textId="77777777" w:rsidR="00E46EDC" w:rsidRPr="007F5159" w:rsidRDefault="00E46EDC" w:rsidP="00E46EDC">
            <w:pPr>
              <w:pStyle w:val="Bodytext"/>
              <w:rPr>
                <w:sz w:val="19"/>
                <w:szCs w:val="19"/>
              </w:rPr>
            </w:pPr>
            <w:r w:rsidRPr="007F5159">
              <w:rPr>
                <w:b/>
                <w:sz w:val="19"/>
                <w:szCs w:val="19"/>
              </w:rPr>
              <w:t>ISIN:</w:t>
            </w:r>
            <w:r w:rsidRPr="007F5159">
              <w:rPr>
                <w:sz w:val="19"/>
                <w:szCs w:val="19"/>
              </w:rPr>
              <w:t xml:space="preserve"> GG00BBHXCL35</w:t>
            </w:r>
          </w:p>
          <w:p w14:paraId="6EB4F890" w14:textId="77777777" w:rsidR="00E46EDC" w:rsidRPr="008A7A35" w:rsidRDefault="00E46EDC" w:rsidP="00E46EDC">
            <w:pPr>
              <w:pStyle w:val="Bodytext"/>
              <w:rPr>
                <w:sz w:val="19"/>
                <w:szCs w:val="19"/>
              </w:rPr>
            </w:pPr>
            <w:r w:rsidRPr="008A7A35">
              <w:rPr>
                <w:b/>
                <w:sz w:val="19"/>
                <w:szCs w:val="19"/>
              </w:rPr>
              <w:t>Ticker:</w:t>
            </w:r>
            <w:r w:rsidRPr="008A7A35">
              <w:rPr>
                <w:sz w:val="19"/>
                <w:szCs w:val="19"/>
              </w:rPr>
              <w:t xml:space="preserve"> RSE</w:t>
            </w:r>
          </w:p>
          <w:p w14:paraId="6BC67615" w14:textId="77777777" w:rsidR="00780C20" w:rsidRPr="008A7A35" w:rsidRDefault="00780C20" w:rsidP="00BE4257">
            <w:pPr>
              <w:rPr>
                <w:sz w:val="19"/>
                <w:szCs w:val="19"/>
              </w:rPr>
            </w:pPr>
          </w:p>
        </w:tc>
        <w:tc>
          <w:tcPr>
            <w:tcW w:w="2694" w:type="dxa"/>
          </w:tcPr>
          <w:p w14:paraId="37ACFE96" w14:textId="2404315C" w:rsidR="00780C20" w:rsidRPr="008A7A35" w:rsidRDefault="00780C20" w:rsidP="000C1063">
            <w:pPr>
              <w:pStyle w:val="Bodytext"/>
              <w:rPr>
                <w:b/>
                <w:sz w:val="19"/>
                <w:szCs w:val="19"/>
              </w:rPr>
            </w:pPr>
            <w:r w:rsidRPr="008A7A35">
              <w:rPr>
                <w:b/>
                <w:sz w:val="19"/>
                <w:szCs w:val="19"/>
              </w:rPr>
              <w:lastRenderedPageBreak/>
              <w:t>Administrator and Company Secretary</w:t>
            </w:r>
          </w:p>
          <w:p w14:paraId="5D82F32F" w14:textId="109B3043" w:rsidR="00235D1D" w:rsidRPr="008A7A35" w:rsidRDefault="00235D1D" w:rsidP="000C1063">
            <w:pPr>
              <w:pStyle w:val="Bodytext"/>
              <w:rPr>
                <w:sz w:val="19"/>
                <w:szCs w:val="19"/>
              </w:rPr>
            </w:pPr>
            <w:r w:rsidRPr="008A7A35">
              <w:t xml:space="preserve">Ocorian Administration </w:t>
            </w:r>
            <w:r w:rsidRPr="008A7A35">
              <w:rPr>
                <w:sz w:val="19"/>
                <w:szCs w:val="19"/>
              </w:rPr>
              <w:t>(Guernsey) Limited</w:t>
            </w:r>
          </w:p>
          <w:p w14:paraId="03B83DD3" w14:textId="77777777" w:rsidR="00235D1D" w:rsidRPr="008A7A35" w:rsidRDefault="00235D1D" w:rsidP="000C1063">
            <w:pPr>
              <w:pStyle w:val="Bodytext"/>
              <w:rPr>
                <w:sz w:val="19"/>
                <w:szCs w:val="19"/>
              </w:rPr>
            </w:pPr>
            <w:r w:rsidRPr="008A7A35">
              <w:rPr>
                <w:sz w:val="19"/>
                <w:szCs w:val="19"/>
              </w:rPr>
              <w:t>PO Box 286</w:t>
            </w:r>
          </w:p>
          <w:p w14:paraId="4E2882C5" w14:textId="77777777" w:rsidR="00235D1D" w:rsidRPr="008A7A35" w:rsidRDefault="00235D1D" w:rsidP="000C1063">
            <w:pPr>
              <w:pStyle w:val="Bodytext"/>
              <w:rPr>
                <w:sz w:val="19"/>
                <w:szCs w:val="19"/>
              </w:rPr>
            </w:pPr>
            <w:r w:rsidRPr="008A7A35">
              <w:rPr>
                <w:sz w:val="19"/>
                <w:szCs w:val="19"/>
              </w:rPr>
              <w:t>Floor 2</w:t>
            </w:r>
          </w:p>
          <w:p w14:paraId="032DA579" w14:textId="2C972876" w:rsidR="00235D1D" w:rsidRPr="008A7A35" w:rsidRDefault="00235D1D" w:rsidP="000C1063">
            <w:pPr>
              <w:pStyle w:val="Bodytext"/>
              <w:rPr>
                <w:sz w:val="19"/>
                <w:szCs w:val="19"/>
              </w:rPr>
            </w:pPr>
            <w:r w:rsidRPr="008A7A35">
              <w:rPr>
                <w:sz w:val="19"/>
                <w:szCs w:val="19"/>
              </w:rPr>
              <w:t>Trafalgar Court</w:t>
            </w:r>
          </w:p>
          <w:p w14:paraId="0931C7A3" w14:textId="77777777" w:rsidR="00235D1D" w:rsidRPr="008A7A35" w:rsidRDefault="00235D1D" w:rsidP="000C1063">
            <w:pPr>
              <w:pStyle w:val="Bodytext"/>
              <w:rPr>
                <w:sz w:val="19"/>
                <w:szCs w:val="19"/>
              </w:rPr>
            </w:pPr>
            <w:r w:rsidRPr="008A7A35">
              <w:rPr>
                <w:sz w:val="19"/>
                <w:szCs w:val="19"/>
              </w:rPr>
              <w:t>Les Banques</w:t>
            </w:r>
          </w:p>
          <w:p w14:paraId="55C45FEE" w14:textId="3DF7F5D8" w:rsidR="00235D1D" w:rsidRPr="008A7A35" w:rsidRDefault="00235D1D" w:rsidP="000C1063">
            <w:pPr>
              <w:pStyle w:val="Bodytext"/>
              <w:rPr>
                <w:sz w:val="19"/>
                <w:szCs w:val="19"/>
              </w:rPr>
            </w:pPr>
            <w:r w:rsidRPr="008A7A35">
              <w:rPr>
                <w:sz w:val="19"/>
                <w:szCs w:val="19"/>
              </w:rPr>
              <w:t>St Peter Port</w:t>
            </w:r>
          </w:p>
          <w:p w14:paraId="69A10245" w14:textId="77777777" w:rsidR="00235D1D" w:rsidRPr="008A7A35" w:rsidRDefault="00235D1D" w:rsidP="000C1063">
            <w:pPr>
              <w:pStyle w:val="Bodytext"/>
              <w:rPr>
                <w:sz w:val="19"/>
                <w:szCs w:val="19"/>
              </w:rPr>
            </w:pPr>
            <w:r w:rsidRPr="008A7A35">
              <w:rPr>
                <w:sz w:val="19"/>
                <w:szCs w:val="19"/>
              </w:rPr>
              <w:t>Guernsey</w:t>
            </w:r>
          </w:p>
          <w:p w14:paraId="60E0F34C" w14:textId="77777777" w:rsidR="00235D1D" w:rsidRPr="008A7A35" w:rsidRDefault="00235D1D" w:rsidP="000C1063">
            <w:pPr>
              <w:pStyle w:val="Bodytext"/>
              <w:rPr>
                <w:sz w:val="19"/>
                <w:szCs w:val="19"/>
              </w:rPr>
            </w:pPr>
            <w:r w:rsidRPr="008A7A35">
              <w:rPr>
                <w:sz w:val="19"/>
                <w:szCs w:val="19"/>
              </w:rPr>
              <w:t>GY1 4LY</w:t>
            </w:r>
          </w:p>
          <w:p w14:paraId="30E28978" w14:textId="77777777" w:rsidR="00235D1D" w:rsidRPr="008A7A35" w:rsidRDefault="00235D1D" w:rsidP="000C1063">
            <w:pPr>
              <w:pStyle w:val="Bodytext"/>
              <w:rPr>
                <w:b/>
                <w:sz w:val="19"/>
                <w:szCs w:val="19"/>
              </w:rPr>
            </w:pPr>
            <w:r w:rsidRPr="008A7A35">
              <w:rPr>
                <w:sz w:val="19"/>
                <w:szCs w:val="19"/>
              </w:rPr>
              <w:t>Channel Islands</w:t>
            </w:r>
          </w:p>
          <w:p w14:paraId="421FC08C" w14:textId="77777777" w:rsidR="00191D57" w:rsidRPr="008A7A35" w:rsidRDefault="00191D57" w:rsidP="000C1063">
            <w:pPr>
              <w:pStyle w:val="Bodytext"/>
              <w:rPr>
                <w:b/>
                <w:sz w:val="19"/>
                <w:szCs w:val="19"/>
              </w:rPr>
            </w:pPr>
          </w:p>
          <w:p w14:paraId="7C68F1A9" w14:textId="77777777" w:rsidR="00780C20" w:rsidRPr="008A7A35" w:rsidRDefault="00780C20" w:rsidP="000C1063">
            <w:pPr>
              <w:pStyle w:val="Bodytext"/>
              <w:rPr>
                <w:b/>
                <w:sz w:val="19"/>
                <w:szCs w:val="19"/>
              </w:rPr>
            </w:pPr>
            <w:r w:rsidRPr="008A7A35">
              <w:rPr>
                <w:b/>
                <w:sz w:val="19"/>
                <w:szCs w:val="19"/>
              </w:rPr>
              <w:t>Registered office</w:t>
            </w:r>
          </w:p>
          <w:p w14:paraId="2757F076" w14:textId="5750C364" w:rsidR="00E46EDC" w:rsidRPr="008A7A35" w:rsidRDefault="00E46EDC" w:rsidP="000C1063">
            <w:pPr>
              <w:pStyle w:val="Bodytext"/>
              <w:rPr>
                <w:sz w:val="19"/>
                <w:szCs w:val="19"/>
              </w:rPr>
            </w:pPr>
            <w:r w:rsidRPr="008A7A35">
              <w:rPr>
                <w:sz w:val="19"/>
                <w:szCs w:val="19"/>
              </w:rPr>
              <w:t>PO Box 286</w:t>
            </w:r>
          </w:p>
          <w:p w14:paraId="5064A586" w14:textId="18DEA0B6" w:rsidR="00E46EDC" w:rsidRPr="008A7A35" w:rsidRDefault="00E46EDC" w:rsidP="000C1063">
            <w:pPr>
              <w:pStyle w:val="Bodytext"/>
              <w:rPr>
                <w:sz w:val="19"/>
                <w:szCs w:val="19"/>
              </w:rPr>
            </w:pPr>
            <w:r w:rsidRPr="008A7A35">
              <w:rPr>
                <w:sz w:val="19"/>
                <w:szCs w:val="19"/>
              </w:rPr>
              <w:t>Floor 2</w:t>
            </w:r>
          </w:p>
          <w:p w14:paraId="320816D0" w14:textId="6C9F3FC9" w:rsidR="00E46EDC" w:rsidRPr="008A7A35" w:rsidRDefault="00E46EDC" w:rsidP="000C1063">
            <w:pPr>
              <w:pStyle w:val="Bodytext"/>
              <w:rPr>
                <w:sz w:val="19"/>
                <w:szCs w:val="19"/>
                <w:lang w:val="fr-FR"/>
              </w:rPr>
            </w:pPr>
            <w:r w:rsidRPr="008A7A35">
              <w:rPr>
                <w:sz w:val="19"/>
                <w:szCs w:val="19"/>
                <w:lang w:val="fr-FR"/>
              </w:rPr>
              <w:t>Trafalgar Court</w:t>
            </w:r>
          </w:p>
          <w:p w14:paraId="6A9E69C5" w14:textId="5D4BFEBA" w:rsidR="003C4FA1" w:rsidRPr="008A7A35" w:rsidRDefault="003C4FA1" w:rsidP="000C1063">
            <w:pPr>
              <w:pStyle w:val="Bodytext"/>
              <w:rPr>
                <w:sz w:val="19"/>
                <w:szCs w:val="19"/>
                <w:lang w:val="fr-FR"/>
              </w:rPr>
            </w:pPr>
            <w:r w:rsidRPr="008A7A35">
              <w:rPr>
                <w:sz w:val="19"/>
                <w:szCs w:val="19"/>
                <w:lang w:val="fr-FR"/>
              </w:rPr>
              <w:t>Les Banques</w:t>
            </w:r>
          </w:p>
          <w:p w14:paraId="2902CB0C" w14:textId="345F0226" w:rsidR="00E46EDC" w:rsidRPr="008A7A35" w:rsidRDefault="00E46EDC" w:rsidP="000C1063">
            <w:pPr>
              <w:pStyle w:val="Bodytext"/>
              <w:rPr>
                <w:sz w:val="19"/>
                <w:szCs w:val="19"/>
                <w:lang w:val="fr-FR"/>
              </w:rPr>
            </w:pPr>
            <w:r w:rsidRPr="008A7A35">
              <w:rPr>
                <w:sz w:val="19"/>
                <w:szCs w:val="19"/>
                <w:lang w:val="fr-FR"/>
              </w:rPr>
              <w:t>St Peter Port</w:t>
            </w:r>
          </w:p>
          <w:p w14:paraId="502754B9" w14:textId="60C51958" w:rsidR="00E46EDC" w:rsidRPr="008A7A35" w:rsidRDefault="00E46EDC" w:rsidP="000C1063">
            <w:pPr>
              <w:pStyle w:val="Bodytext"/>
              <w:rPr>
                <w:sz w:val="19"/>
                <w:szCs w:val="19"/>
              </w:rPr>
            </w:pPr>
            <w:r w:rsidRPr="008A7A35">
              <w:rPr>
                <w:sz w:val="19"/>
                <w:szCs w:val="19"/>
              </w:rPr>
              <w:t>Guernsey</w:t>
            </w:r>
          </w:p>
          <w:p w14:paraId="216385F7" w14:textId="62DEB67E" w:rsidR="00E46EDC" w:rsidRPr="008A7A35" w:rsidRDefault="00E46EDC" w:rsidP="000C1063">
            <w:pPr>
              <w:pStyle w:val="Bodytext"/>
              <w:rPr>
                <w:sz w:val="19"/>
                <w:szCs w:val="19"/>
              </w:rPr>
            </w:pPr>
            <w:r w:rsidRPr="008A7A35">
              <w:rPr>
                <w:sz w:val="19"/>
                <w:szCs w:val="19"/>
              </w:rPr>
              <w:t>GY1 4LY</w:t>
            </w:r>
          </w:p>
          <w:p w14:paraId="4CD5BA8F" w14:textId="3BE236A9" w:rsidR="00E46EDC" w:rsidRPr="008A7A35" w:rsidRDefault="00E46EDC" w:rsidP="000C1063">
            <w:pPr>
              <w:pStyle w:val="Bodytext"/>
              <w:rPr>
                <w:sz w:val="19"/>
                <w:szCs w:val="19"/>
              </w:rPr>
            </w:pPr>
            <w:r w:rsidRPr="008A7A35">
              <w:rPr>
                <w:sz w:val="19"/>
                <w:szCs w:val="19"/>
              </w:rPr>
              <w:t>Channel Islands</w:t>
            </w:r>
          </w:p>
          <w:p w14:paraId="43923583" w14:textId="4F766223" w:rsidR="00E46EDC" w:rsidRPr="008A7A35" w:rsidRDefault="00E46EDC" w:rsidP="000C1063">
            <w:pPr>
              <w:pStyle w:val="Bodytext"/>
              <w:rPr>
                <w:sz w:val="19"/>
                <w:szCs w:val="19"/>
              </w:rPr>
            </w:pPr>
          </w:p>
          <w:p w14:paraId="2B85F22C" w14:textId="77777777" w:rsidR="00780C20" w:rsidRPr="008A7A35" w:rsidRDefault="00780C20" w:rsidP="000C1063">
            <w:pPr>
              <w:pStyle w:val="Bodytext"/>
              <w:rPr>
                <w:b/>
                <w:sz w:val="19"/>
                <w:szCs w:val="19"/>
              </w:rPr>
            </w:pPr>
            <w:r w:rsidRPr="008A7A35">
              <w:rPr>
                <w:b/>
                <w:sz w:val="19"/>
                <w:szCs w:val="19"/>
              </w:rPr>
              <w:t>Registrar</w:t>
            </w:r>
          </w:p>
          <w:p w14:paraId="7A0B47C9" w14:textId="4A5CA1BE" w:rsidR="004A1822" w:rsidRPr="008A7A35" w:rsidRDefault="004A1822" w:rsidP="000C1063">
            <w:pPr>
              <w:pStyle w:val="Bodytext"/>
              <w:rPr>
                <w:sz w:val="19"/>
                <w:szCs w:val="19"/>
              </w:rPr>
            </w:pPr>
            <w:r w:rsidRPr="008A7A35">
              <w:rPr>
                <w:sz w:val="19"/>
                <w:szCs w:val="19"/>
              </w:rPr>
              <w:t xml:space="preserve">MUFG Corporate Markets </w:t>
            </w:r>
          </w:p>
          <w:p w14:paraId="72440275" w14:textId="5EB5D3FB" w:rsidR="00780C20" w:rsidRPr="008A7A35" w:rsidRDefault="00F65FFB" w:rsidP="000C1063">
            <w:pPr>
              <w:pStyle w:val="Bodytext"/>
              <w:rPr>
                <w:sz w:val="19"/>
                <w:szCs w:val="19"/>
              </w:rPr>
            </w:pPr>
            <w:r w:rsidRPr="008A7A35">
              <w:rPr>
                <w:sz w:val="19"/>
                <w:szCs w:val="19"/>
              </w:rPr>
              <w:t>51 Lime Stree</w:t>
            </w:r>
            <w:r w:rsidR="000D10E0" w:rsidRPr="008A7A35">
              <w:rPr>
                <w:sz w:val="19"/>
                <w:szCs w:val="19"/>
              </w:rPr>
              <w:t>t</w:t>
            </w:r>
          </w:p>
          <w:p w14:paraId="361F41E2" w14:textId="77777777" w:rsidR="00780C20" w:rsidRPr="008A7A35" w:rsidRDefault="00780C20" w:rsidP="000C1063">
            <w:pPr>
              <w:pStyle w:val="Bodytext"/>
              <w:rPr>
                <w:sz w:val="19"/>
                <w:szCs w:val="19"/>
              </w:rPr>
            </w:pPr>
            <w:r w:rsidRPr="008A7A35">
              <w:rPr>
                <w:sz w:val="19"/>
                <w:szCs w:val="19"/>
              </w:rPr>
              <w:t>London</w:t>
            </w:r>
          </w:p>
          <w:p w14:paraId="682F4CD9" w14:textId="050EAA62" w:rsidR="00780C20" w:rsidRPr="008A7A35" w:rsidRDefault="00780C20" w:rsidP="000C1063">
            <w:pPr>
              <w:pStyle w:val="Bodytext"/>
              <w:rPr>
                <w:sz w:val="19"/>
                <w:szCs w:val="19"/>
              </w:rPr>
            </w:pPr>
            <w:r w:rsidRPr="008A7A35">
              <w:rPr>
                <w:sz w:val="19"/>
                <w:szCs w:val="19"/>
              </w:rPr>
              <w:t>E</w:t>
            </w:r>
            <w:r w:rsidR="000D10E0" w:rsidRPr="008A7A35">
              <w:rPr>
                <w:sz w:val="19"/>
                <w:szCs w:val="19"/>
              </w:rPr>
              <w:t>C3M</w:t>
            </w:r>
            <w:r w:rsidRPr="008A7A35">
              <w:rPr>
                <w:sz w:val="19"/>
                <w:szCs w:val="19"/>
              </w:rPr>
              <w:t xml:space="preserve"> 7</w:t>
            </w:r>
            <w:r w:rsidR="000D10E0" w:rsidRPr="008A7A35">
              <w:rPr>
                <w:sz w:val="19"/>
                <w:szCs w:val="19"/>
              </w:rPr>
              <w:t>D</w:t>
            </w:r>
            <w:r w:rsidRPr="008A7A35">
              <w:rPr>
                <w:sz w:val="19"/>
                <w:szCs w:val="19"/>
              </w:rPr>
              <w:t>Q</w:t>
            </w:r>
          </w:p>
          <w:p w14:paraId="79A40130" w14:textId="77777777" w:rsidR="00780C20" w:rsidRPr="008A7A35" w:rsidRDefault="00780C20" w:rsidP="000C1063">
            <w:pPr>
              <w:pStyle w:val="Bodytext"/>
              <w:rPr>
                <w:sz w:val="19"/>
                <w:szCs w:val="19"/>
              </w:rPr>
            </w:pPr>
            <w:r w:rsidRPr="008A7A35">
              <w:rPr>
                <w:sz w:val="19"/>
                <w:szCs w:val="19"/>
              </w:rPr>
              <w:t>United Kingdom</w:t>
            </w:r>
          </w:p>
          <w:p w14:paraId="23CE7EE8" w14:textId="77777777" w:rsidR="00780C20" w:rsidRPr="008A7A35" w:rsidRDefault="00780C20" w:rsidP="000C1063">
            <w:pPr>
              <w:pStyle w:val="Bodytext"/>
              <w:rPr>
                <w:sz w:val="19"/>
                <w:szCs w:val="19"/>
              </w:rPr>
            </w:pPr>
          </w:p>
          <w:p w14:paraId="0F9DE9CA" w14:textId="28B12F80" w:rsidR="00235D1D" w:rsidRPr="008A7A35" w:rsidRDefault="00235D1D" w:rsidP="000C1063">
            <w:pPr>
              <w:pStyle w:val="Bodytext"/>
              <w:rPr>
                <w:b/>
                <w:sz w:val="19"/>
                <w:szCs w:val="19"/>
              </w:rPr>
            </w:pPr>
            <w:r w:rsidRPr="008A7A35">
              <w:rPr>
                <w:b/>
                <w:sz w:val="19"/>
                <w:szCs w:val="19"/>
              </w:rPr>
              <w:t>Principal banker and custodian</w:t>
            </w:r>
          </w:p>
          <w:p w14:paraId="381E9C23" w14:textId="5761D758" w:rsidR="00235D1D" w:rsidRPr="008A7A35" w:rsidRDefault="00235D1D" w:rsidP="000C1063">
            <w:pPr>
              <w:pStyle w:val="Bodytext"/>
              <w:rPr>
                <w:sz w:val="19"/>
                <w:szCs w:val="19"/>
              </w:rPr>
            </w:pPr>
            <w:r w:rsidRPr="008A7A35">
              <w:rPr>
                <w:sz w:val="19"/>
                <w:szCs w:val="19"/>
              </w:rPr>
              <w:t>Barclays Bank PLC</w:t>
            </w:r>
          </w:p>
          <w:p w14:paraId="0958B592" w14:textId="77777777" w:rsidR="00235D1D" w:rsidRPr="008A7A35" w:rsidRDefault="00235D1D" w:rsidP="000C1063">
            <w:pPr>
              <w:pStyle w:val="Bodytext"/>
              <w:rPr>
                <w:sz w:val="19"/>
                <w:szCs w:val="19"/>
              </w:rPr>
            </w:pPr>
            <w:r w:rsidRPr="008A7A35">
              <w:rPr>
                <w:sz w:val="19"/>
                <w:szCs w:val="19"/>
              </w:rPr>
              <w:t>PO Box 41</w:t>
            </w:r>
            <w:r w:rsidRPr="008A7A35">
              <w:rPr>
                <w:sz w:val="19"/>
                <w:szCs w:val="19"/>
              </w:rPr>
              <w:br/>
              <w:t>Le Marchant House</w:t>
            </w:r>
          </w:p>
          <w:p w14:paraId="2B3A6720" w14:textId="77777777" w:rsidR="00235D1D" w:rsidRPr="008A7A35" w:rsidRDefault="00235D1D" w:rsidP="000C1063">
            <w:pPr>
              <w:pStyle w:val="Bodytext"/>
              <w:rPr>
                <w:sz w:val="19"/>
                <w:szCs w:val="19"/>
              </w:rPr>
            </w:pPr>
            <w:r w:rsidRPr="008A7A35">
              <w:rPr>
                <w:sz w:val="19"/>
                <w:szCs w:val="19"/>
              </w:rPr>
              <w:t>Le Truchot</w:t>
            </w:r>
            <w:r w:rsidRPr="008A7A35">
              <w:rPr>
                <w:sz w:val="19"/>
                <w:szCs w:val="19"/>
              </w:rPr>
              <w:br/>
              <w:t>St Peter Port</w:t>
            </w:r>
            <w:r w:rsidRPr="008A7A35">
              <w:rPr>
                <w:sz w:val="19"/>
                <w:szCs w:val="19"/>
              </w:rPr>
              <w:br/>
            </w:r>
            <w:r w:rsidRPr="008A7A35">
              <w:rPr>
                <w:sz w:val="19"/>
                <w:szCs w:val="19"/>
              </w:rPr>
              <w:lastRenderedPageBreak/>
              <w:t>Guernsey</w:t>
            </w:r>
            <w:r w:rsidRPr="008A7A35">
              <w:rPr>
                <w:sz w:val="19"/>
                <w:szCs w:val="19"/>
              </w:rPr>
              <w:br/>
              <w:t>GY1 3BE</w:t>
            </w:r>
          </w:p>
          <w:p w14:paraId="7A92FC3B" w14:textId="77777777" w:rsidR="00235D1D" w:rsidRPr="008A7A35" w:rsidRDefault="00235D1D" w:rsidP="000C1063">
            <w:pPr>
              <w:pStyle w:val="Bodytext"/>
              <w:rPr>
                <w:sz w:val="19"/>
                <w:szCs w:val="19"/>
              </w:rPr>
            </w:pPr>
            <w:r w:rsidRPr="008A7A35">
              <w:rPr>
                <w:sz w:val="19"/>
                <w:szCs w:val="19"/>
              </w:rPr>
              <w:t>Channel Islands</w:t>
            </w:r>
          </w:p>
          <w:p w14:paraId="3D760DF5" w14:textId="6256A58F" w:rsidR="00CF7496" w:rsidRPr="008A7A35" w:rsidRDefault="00CF7496" w:rsidP="000C1063">
            <w:pPr>
              <w:rPr>
                <w:rFonts w:ascii="Verdana" w:hAnsi="Verdana"/>
                <w:sz w:val="19"/>
                <w:szCs w:val="19"/>
              </w:rPr>
            </w:pPr>
          </w:p>
          <w:p w14:paraId="3787FE54" w14:textId="5F8F2B8D" w:rsidR="00780C20" w:rsidRPr="008A7A35" w:rsidRDefault="00780C20" w:rsidP="00C615DD">
            <w:pPr>
              <w:jc w:val="right"/>
              <w:rPr>
                <w:sz w:val="19"/>
                <w:szCs w:val="19"/>
              </w:rPr>
            </w:pPr>
          </w:p>
        </w:tc>
        <w:tc>
          <w:tcPr>
            <w:tcW w:w="3085" w:type="dxa"/>
          </w:tcPr>
          <w:p w14:paraId="639C5494" w14:textId="6C7252B0" w:rsidR="00191D57" w:rsidRPr="008A7A35" w:rsidRDefault="00191D57" w:rsidP="00191D57">
            <w:pPr>
              <w:pStyle w:val="Bodytext"/>
              <w:rPr>
                <w:b/>
                <w:sz w:val="19"/>
                <w:szCs w:val="19"/>
              </w:rPr>
            </w:pPr>
            <w:r w:rsidRPr="008A7A35">
              <w:rPr>
                <w:b/>
                <w:sz w:val="19"/>
                <w:szCs w:val="19"/>
              </w:rPr>
              <w:lastRenderedPageBreak/>
              <w:t>English solicitors to the Company</w:t>
            </w:r>
          </w:p>
          <w:p w14:paraId="7F659305" w14:textId="77777777" w:rsidR="00191D57" w:rsidRPr="008A7A35" w:rsidRDefault="00191D57" w:rsidP="00191D57">
            <w:pPr>
              <w:rPr>
                <w:rFonts w:ascii="Arial" w:hAnsi="Arial" w:cs="Arial"/>
                <w:sz w:val="19"/>
                <w:szCs w:val="19"/>
              </w:rPr>
            </w:pPr>
            <w:r w:rsidRPr="008A7A35">
              <w:rPr>
                <w:rFonts w:ascii="Arial" w:hAnsi="Arial" w:cs="Arial"/>
                <w:sz w:val="19"/>
                <w:szCs w:val="19"/>
              </w:rPr>
              <w:t>Hogan Lovells International LLP</w:t>
            </w:r>
            <w:r w:rsidRPr="008A7A35">
              <w:rPr>
                <w:rFonts w:ascii="Arial" w:hAnsi="Arial" w:cs="Arial"/>
                <w:sz w:val="19"/>
                <w:szCs w:val="19"/>
              </w:rPr>
              <w:br/>
              <w:t>Atlantic House</w:t>
            </w:r>
            <w:r w:rsidRPr="008A7A35">
              <w:rPr>
                <w:rFonts w:ascii="Arial" w:hAnsi="Arial" w:cs="Arial"/>
                <w:sz w:val="19"/>
                <w:szCs w:val="19"/>
              </w:rPr>
              <w:br/>
              <w:t>Holborn Viaduct</w:t>
            </w:r>
            <w:r w:rsidRPr="008A7A35">
              <w:rPr>
                <w:rFonts w:ascii="Arial" w:hAnsi="Arial" w:cs="Arial"/>
                <w:sz w:val="19"/>
                <w:szCs w:val="19"/>
              </w:rPr>
              <w:br/>
              <w:t xml:space="preserve">London </w:t>
            </w:r>
          </w:p>
          <w:p w14:paraId="76C61E2D" w14:textId="77777777" w:rsidR="00191D57" w:rsidRPr="008A7A35" w:rsidRDefault="00191D57" w:rsidP="00191D57">
            <w:pPr>
              <w:rPr>
                <w:rFonts w:ascii="Arial" w:hAnsi="Arial" w:cs="Arial"/>
                <w:sz w:val="19"/>
                <w:szCs w:val="19"/>
              </w:rPr>
            </w:pPr>
            <w:r w:rsidRPr="008A7A35">
              <w:rPr>
                <w:rFonts w:ascii="Arial" w:hAnsi="Arial" w:cs="Arial"/>
                <w:sz w:val="19"/>
                <w:szCs w:val="19"/>
              </w:rPr>
              <w:t>EC1A 2FG</w:t>
            </w:r>
          </w:p>
          <w:p w14:paraId="14A0E37D" w14:textId="72198FA2" w:rsidR="00191D57" w:rsidRPr="008A7A35" w:rsidRDefault="00191D57" w:rsidP="00BE4257">
            <w:pPr>
              <w:pStyle w:val="Bodytext"/>
              <w:rPr>
                <w:b/>
                <w:sz w:val="19"/>
                <w:szCs w:val="19"/>
              </w:rPr>
            </w:pPr>
            <w:r w:rsidRPr="008A7A35">
              <w:rPr>
                <w:rFonts w:cs="Arial"/>
                <w:sz w:val="19"/>
                <w:szCs w:val="19"/>
              </w:rPr>
              <w:t>United Kingdom</w:t>
            </w:r>
          </w:p>
          <w:p w14:paraId="778C1EFC" w14:textId="77777777" w:rsidR="00191D57" w:rsidRPr="008A7A35" w:rsidRDefault="00191D57" w:rsidP="00BE4257">
            <w:pPr>
              <w:pStyle w:val="Bodytext"/>
              <w:rPr>
                <w:b/>
                <w:sz w:val="19"/>
                <w:szCs w:val="19"/>
              </w:rPr>
            </w:pPr>
          </w:p>
          <w:p w14:paraId="7734BC1F" w14:textId="7B43EA9A" w:rsidR="00780C20" w:rsidRPr="008A7A35" w:rsidRDefault="00780C20" w:rsidP="00BE4257">
            <w:pPr>
              <w:pStyle w:val="Bodytext"/>
              <w:rPr>
                <w:b/>
                <w:sz w:val="19"/>
                <w:szCs w:val="19"/>
              </w:rPr>
            </w:pPr>
            <w:r w:rsidRPr="008A7A35">
              <w:rPr>
                <w:b/>
                <w:sz w:val="19"/>
                <w:szCs w:val="19"/>
              </w:rPr>
              <w:t>Guernsey advocates to the Company</w:t>
            </w:r>
          </w:p>
          <w:p w14:paraId="3D21E8C6" w14:textId="132B4AD2" w:rsidR="00780C20" w:rsidRPr="008A7A35" w:rsidRDefault="00780C20" w:rsidP="00BE4257">
            <w:pPr>
              <w:pStyle w:val="Bodytext"/>
              <w:rPr>
                <w:sz w:val="19"/>
                <w:szCs w:val="19"/>
              </w:rPr>
            </w:pPr>
            <w:r w:rsidRPr="008A7A35">
              <w:rPr>
                <w:sz w:val="19"/>
                <w:szCs w:val="19"/>
              </w:rPr>
              <w:t>Carey Olsen</w:t>
            </w:r>
            <w:r w:rsidR="005B41C9" w:rsidRPr="008A7A35">
              <w:rPr>
                <w:sz w:val="19"/>
                <w:szCs w:val="19"/>
              </w:rPr>
              <w:t xml:space="preserve"> (Guernsey) LLP</w:t>
            </w:r>
          </w:p>
          <w:p w14:paraId="58EBC2FA" w14:textId="77777777" w:rsidR="00780C20" w:rsidRPr="008A7A35" w:rsidRDefault="00780C20" w:rsidP="00BE4257">
            <w:pPr>
              <w:pStyle w:val="Bodytext"/>
              <w:rPr>
                <w:sz w:val="19"/>
                <w:szCs w:val="19"/>
              </w:rPr>
            </w:pPr>
            <w:r w:rsidRPr="008A7A35">
              <w:rPr>
                <w:sz w:val="19"/>
                <w:szCs w:val="19"/>
              </w:rPr>
              <w:t>Carey House</w:t>
            </w:r>
          </w:p>
          <w:p w14:paraId="67A3E2DC" w14:textId="77777777" w:rsidR="00780C20" w:rsidRPr="008A7A35" w:rsidRDefault="00780C20" w:rsidP="00BE4257">
            <w:pPr>
              <w:pStyle w:val="Bodytext"/>
              <w:rPr>
                <w:sz w:val="19"/>
                <w:szCs w:val="19"/>
                <w:lang w:val="fr-FR"/>
              </w:rPr>
            </w:pPr>
            <w:r w:rsidRPr="008A7A35">
              <w:rPr>
                <w:sz w:val="19"/>
                <w:szCs w:val="19"/>
                <w:lang w:val="fr-FR"/>
              </w:rPr>
              <w:t>PO Box 98</w:t>
            </w:r>
          </w:p>
          <w:p w14:paraId="1542FD4C" w14:textId="77777777" w:rsidR="00780C20" w:rsidRPr="008A7A35" w:rsidRDefault="00780C20" w:rsidP="00BE4257">
            <w:pPr>
              <w:pStyle w:val="Bodytext"/>
              <w:rPr>
                <w:sz w:val="19"/>
                <w:szCs w:val="19"/>
                <w:lang w:val="fr-FR"/>
              </w:rPr>
            </w:pPr>
            <w:r w:rsidRPr="008A7A35">
              <w:rPr>
                <w:sz w:val="19"/>
                <w:szCs w:val="19"/>
                <w:lang w:val="fr-FR"/>
              </w:rPr>
              <w:t>Les Banques</w:t>
            </w:r>
          </w:p>
          <w:p w14:paraId="45FC0B40" w14:textId="77777777" w:rsidR="00780C20" w:rsidRPr="008A7A35" w:rsidRDefault="00780C20" w:rsidP="00BE4257">
            <w:pPr>
              <w:pStyle w:val="Bodytext"/>
              <w:rPr>
                <w:sz w:val="19"/>
                <w:szCs w:val="19"/>
                <w:lang w:val="fr-FR"/>
              </w:rPr>
            </w:pPr>
            <w:r w:rsidRPr="008A7A35">
              <w:rPr>
                <w:sz w:val="19"/>
                <w:szCs w:val="19"/>
                <w:lang w:val="fr-FR"/>
              </w:rPr>
              <w:t>St Peter Port</w:t>
            </w:r>
          </w:p>
          <w:p w14:paraId="71486A64" w14:textId="77777777" w:rsidR="00780C20" w:rsidRPr="008A7A35" w:rsidRDefault="00780C20" w:rsidP="00BE4257">
            <w:pPr>
              <w:pStyle w:val="Bodytext"/>
              <w:rPr>
                <w:sz w:val="19"/>
                <w:szCs w:val="19"/>
              </w:rPr>
            </w:pPr>
            <w:r w:rsidRPr="008A7A35">
              <w:rPr>
                <w:sz w:val="19"/>
                <w:szCs w:val="19"/>
              </w:rPr>
              <w:t xml:space="preserve">Guernsey </w:t>
            </w:r>
          </w:p>
          <w:p w14:paraId="02267DDC" w14:textId="77777777" w:rsidR="00780C20" w:rsidRPr="008A7A35" w:rsidRDefault="00780C20" w:rsidP="00BE4257">
            <w:pPr>
              <w:pStyle w:val="Bodytext"/>
              <w:rPr>
                <w:sz w:val="19"/>
                <w:szCs w:val="19"/>
              </w:rPr>
            </w:pPr>
            <w:r w:rsidRPr="008A7A35">
              <w:rPr>
                <w:sz w:val="19"/>
                <w:szCs w:val="19"/>
              </w:rPr>
              <w:t>GY1 4BZ</w:t>
            </w:r>
          </w:p>
          <w:p w14:paraId="19B71A3F" w14:textId="77777777" w:rsidR="00780C20" w:rsidRPr="008A7A35" w:rsidRDefault="00780C20" w:rsidP="00BE4257">
            <w:pPr>
              <w:pStyle w:val="Bodytext"/>
              <w:rPr>
                <w:b/>
                <w:sz w:val="19"/>
                <w:szCs w:val="19"/>
              </w:rPr>
            </w:pPr>
            <w:r w:rsidRPr="008A7A35">
              <w:rPr>
                <w:sz w:val="19"/>
                <w:szCs w:val="19"/>
              </w:rPr>
              <w:t>Channel Islands</w:t>
            </w:r>
          </w:p>
          <w:p w14:paraId="207694A5" w14:textId="77777777" w:rsidR="00780C20" w:rsidRPr="008A7A35" w:rsidRDefault="00780C20" w:rsidP="00BE4257">
            <w:pPr>
              <w:pStyle w:val="Bodytext"/>
              <w:rPr>
                <w:b/>
                <w:sz w:val="19"/>
                <w:szCs w:val="19"/>
              </w:rPr>
            </w:pPr>
          </w:p>
          <w:p w14:paraId="00313970" w14:textId="77777777" w:rsidR="00780C20" w:rsidRPr="008A7A35" w:rsidRDefault="00780C20" w:rsidP="00BE4257">
            <w:pPr>
              <w:pStyle w:val="Bodytext"/>
              <w:rPr>
                <w:b/>
                <w:sz w:val="19"/>
                <w:szCs w:val="19"/>
              </w:rPr>
            </w:pPr>
            <w:r w:rsidRPr="008A7A35">
              <w:rPr>
                <w:b/>
                <w:sz w:val="19"/>
                <w:szCs w:val="19"/>
              </w:rPr>
              <w:t>U.S. legal advisors to the Company</w:t>
            </w:r>
          </w:p>
          <w:p w14:paraId="7B7539B4" w14:textId="77777777" w:rsidR="00780C20" w:rsidRPr="008A7A35" w:rsidRDefault="00780C20" w:rsidP="00BE4257">
            <w:pPr>
              <w:pStyle w:val="Bodytext"/>
              <w:rPr>
                <w:sz w:val="19"/>
                <w:szCs w:val="19"/>
              </w:rPr>
            </w:pPr>
            <w:r w:rsidRPr="008A7A35">
              <w:rPr>
                <w:sz w:val="19"/>
                <w:szCs w:val="19"/>
              </w:rPr>
              <w:t>Vinson &amp; Elkins LLP</w:t>
            </w:r>
          </w:p>
          <w:p w14:paraId="5B339B30" w14:textId="77777777" w:rsidR="00780C20" w:rsidRPr="008A7A35" w:rsidRDefault="00780C20" w:rsidP="00BE4257">
            <w:pPr>
              <w:pStyle w:val="Bodytext"/>
              <w:rPr>
                <w:sz w:val="19"/>
                <w:szCs w:val="19"/>
              </w:rPr>
            </w:pPr>
            <w:r w:rsidRPr="008A7A35">
              <w:rPr>
                <w:sz w:val="19"/>
                <w:szCs w:val="19"/>
              </w:rPr>
              <w:t>1001 Fannin Street</w:t>
            </w:r>
          </w:p>
          <w:p w14:paraId="65D55EC5" w14:textId="77777777" w:rsidR="00780C20" w:rsidRPr="008A7A35" w:rsidRDefault="00780C20" w:rsidP="00BE4257">
            <w:pPr>
              <w:pStyle w:val="Bodytext"/>
              <w:rPr>
                <w:sz w:val="19"/>
                <w:szCs w:val="19"/>
              </w:rPr>
            </w:pPr>
            <w:r w:rsidRPr="008A7A35">
              <w:rPr>
                <w:sz w:val="19"/>
                <w:szCs w:val="19"/>
              </w:rPr>
              <w:t>Suite 2500</w:t>
            </w:r>
          </w:p>
          <w:p w14:paraId="45A19FB5" w14:textId="77777777" w:rsidR="00780C20" w:rsidRPr="008A7A35" w:rsidRDefault="00780C20" w:rsidP="00BE4257">
            <w:pPr>
              <w:pStyle w:val="Bodytext"/>
              <w:rPr>
                <w:sz w:val="19"/>
                <w:szCs w:val="19"/>
              </w:rPr>
            </w:pPr>
            <w:r w:rsidRPr="008A7A35">
              <w:rPr>
                <w:sz w:val="19"/>
                <w:szCs w:val="19"/>
              </w:rPr>
              <w:t>Houston, Texas</w:t>
            </w:r>
          </w:p>
          <w:p w14:paraId="6478AB0F" w14:textId="77777777" w:rsidR="00780C20" w:rsidRPr="008A7A35" w:rsidRDefault="00780C20" w:rsidP="00BE4257">
            <w:pPr>
              <w:pStyle w:val="Bodytext"/>
              <w:rPr>
                <w:sz w:val="19"/>
                <w:szCs w:val="19"/>
              </w:rPr>
            </w:pPr>
            <w:r w:rsidRPr="008A7A35">
              <w:rPr>
                <w:sz w:val="19"/>
                <w:szCs w:val="19"/>
              </w:rPr>
              <w:t>TX 77002</w:t>
            </w:r>
          </w:p>
          <w:p w14:paraId="04474328" w14:textId="77777777" w:rsidR="00780C20" w:rsidRPr="008A7A35" w:rsidRDefault="00780C20" w:rsidP="00BE4257">
            <w:pPr>
              <w:pStyle w:val="Bodytext"/>
              <w:rPr>
                <w:sz w:val="19"/>
                <w:szCs w:val="19"/>
              </w:rPr>
            </w:pPr>
            <w:r w:rsidRPr="008A7A35">
              <w:rPr>
                <w:sz w:val="19"/>
                <w:szCs w:val="19"/>
              </w:rPr>
              <w:t>United States of America</w:t>
            </w:r>
          </w:p>
          <w:p w14:paraId="3CE80DCE" w14:textId="77777777" w:rsidR="00780C20" w:rsidRPr="008A7A35" w:rsidRDefault="00780C20" w:rsidP="00BE4257">
            <w:pPr>
              <w:pStyle w:val="Bodytext"/>
              <w:rPr>
                <w:sz w:val="19"/>
                <w:szCs w:val="19"/>
              </w:rPr>
            </w:pPr>
          </w:p>
          <w:p w14:paraId="2D665B1F" w14:textId="77777777" w:rsidR="00780C20" w:rsidRPr="008A7A35" w:rsidRDefault="00780C20" w:rsidP="00BE4257">
            <w:pPr>
              <w:pStyle w:val="Bodytext"/>
              <w:rPr>
                <w:b/>
                <w:sz w:val="19"/>
                <w:szCs w:val="19"/>
              </w:rPr>
            </w:pPr>
            <w:r w:rsidRPr="008A7A35">
              <w:rPr>
                <w:b/>
                <w:sz w:val="19"/>
                <w:szCs w:val="19"/>
              </w:rPr>
              <w:t>Independent auditor</w:t>
            </w:r>
          </w:p>
          <w:p w14:paraId="4AC29272" w14:textId="77777777" w:rsidR="00780C20" w:rsidRPr="008A7A35" w:rsidRDefault="00780C20" w:rsidP="00BE4257">
            <w:pPr>
              <w:pStyle w:val="Bodytext"/>
              <w:rPr>
                <w:sz w:val="19"/>
                <w:szCs w:val="19"/>
              </w:rPr>
            </w:pPr>
            <w:r w:rsidRPr="008A7A35">
              <w:rPr>
                <w:sz w:val="19"/>
                <w:szCs w:val="19"/>
              </w:rPr>
              <w:t>Ernst &amp; Young LLP</w:t>
            </w:r>
          </w:p>
          <w:p w14:paraId="2579059E" w14:textId="77777777" w:rsidR="00780C20" w:rsidRPr="008A7A35" w:rsidRDefault="00780C20" w:rsidP="00BE4257">
            <w:pPr>
              <w:pStyle w:val="Bodytext"/>
              <w:rPr>
                <w:sz w:val="19"/>
                <w:szCs w:val="19"/>
              </w:rPr>
            </w:pPr>
            <w:r w:rsidRPr="008A7A35">
              <w:rPr>
                <w:sz w:val="19"/>
                <w:szCs w:val="19"/>
              </w:rPr>
              <w:t>PO Box 9, Royal Chambers</w:t>
            </w:r>
          </w:p>
          <w:p w14:paraId="2ED94EF3" w14:textId="77777777" w:rsidR="00780C20" w:rsidRPr="008A7A35" w:rsidRDefault="00780C20" w:rsidP="00BE4257">
            <w:pPr>
              <w:pStyle w:val="Bodytext"/>
              <w:rPr>
                <w:sz w:val="19"/>
                <w:szCs w:val="19"/>
              </w:rPr>
            </w:pPr>
            <w:r w:rsidRPr="008A7A35">
              <w:rPr>
                <w:sz w:val="19"/>
                <w:szCs w:val="19"/>
              </w:rPr>
              <w:t>St Julian’s Avenue</w:t>
            </w:r>
          </w:p>
          <w:p w14:paraId="61B67DDE" w14:textId="77777777" w:rsidR="00780C20" w:rsidRPr="008A7A35" w:rsidRDefault="00780C20" w:rsidP="00BE4257">
            <w:pPr>
              <w:pStyle w:val="Bodytext"/>
              <w:rPr>
                <w:sz w:val="19"/>
                <w:szCs w:val="19"/>
              </w:rPr>
            </w:pPr>
            <w:r w:rsidRPr="008A7A35">
              <w:rPr>
                <w:sz w:val="19"/>
                <w:szCs w:val="19"/>
              </w:rPr>
              <w:t>St Peter Port</w:t>
            </w:r>
          </w:p>
          <w:p w14:paraId="31079354" w14:textId="77777777" w:rsidR="00780C20" w:rsidRPr="008A7A35" w:rsidRDefault="00780C20" w:rsidP="00BE4257">
            <w:pPr>
              <w:pStyle w:val="Bodytext"/>
              <w:rPr>
                <w:sz w:val="19"/>
                <w:szCs w:val="19"/>
              </w:rPr>
            </w:pPr>
            <w:r w:rsidRPr="008A7A35">
              <w:rPr>
                <w:sz w:val="19"/>
                <w:szCs w:val="19"/>
              </w:rPr>
              <w:t>Guernsey</w:t>
            </w:r>
          </w:p>
          <w:p w14:paraId="0AABC3A7" w14:textId="77777777" w:rsidR="00780C20" w:rsidRPr="008A7A35" w:rsidRDefault="00780C20" w:rsidP="00BE4257">
            <w:pPr>
              <w:pStyle w:val="Bodytext"/>
              <w:rPr>
                <w:sz w:val="19"/>
                <w:szCs w:val="19"/>
              </w:rPr>
            </w:pPr>
            <w:r w:rsidRPr="008A7A35">
              <w:rPr>
                <w:sz w:val="19"/>
                <w:szCs w:val="19"/>
              </w:rPr>
              <w:t>GY1 4AF</w:t>
            </w:r>
          </w:p>
          <w:p w14:paraId="7A7D91BD" w14:textId="77777777" w:rsidR="00780C20" w:rsidRPr="008A7A35" w:rsidRDefault="00780C20" w:rsidP="00BE4257">
            <w:pPr>
              <w:pStyle w:val="Bodytext"/>
              <w:rPr>
                <w:sz w:val="19"/>
                <w:szCs w:val="19"/>
              </w:rPr>
            </w:pPr>
            <w:r w:rsidRPr="008A7A35">
              <w:rPr>
                <w:sz w:val="19"/>
                <w:szCs w:val="19"/>
              </w:rPr>
              <w:t>Channel Islands</w:t>
            </w:r>
          </w:p>
          <w:p w14:paraId="7FD18F9E" w14:textId="77777777" w:rsidR="00780C20" w:rsidRPr="008A7A35" w:rsidRDefault="00780C20" w:rsidP="00BE4257">
            <w:pPr>
              <w:pStyle w:val="Bodytext"/>
              <w:rPr>
                <w:sz w:val="19"/>
                <w:szCs w:val="19"/>
              </w:rPr>
            </w:pPr>
          </w:p>
          <w:p w14:paraId="31D11216" w14:textId="117F5F6E" w:rsidR="00780C20" w:rsidRPr="008A7A35" w:rsidRDefault="00780C20" w:rsidP="00BE4257">
            <w:pPr>
              <w:pStyle w:val="Bodytext"/>
              <w:rPr>
                <w:sz w:val="19"/>
                <w:szCs w:val="19"/>
              </w:rPr>
            </w:pPr>
            <w:r w:rsidRPr="008A7A35">
              <w:rPr>
                <w:b/>
                <w:sz w:val="19"/>
                <w:szCs w:val="19"/>
              </w:rPr>
              <w:t>Corporate Broker</w:t>
            </w:r>
          </w:p>
          <w:p w14:paraId="25DFCE9F" w14:textId="6A678169" w:rsidR="00191D57" w:rsidRPr="008A7A35" w:rsidRDefault="00785A7F" w:rsidP="00191D57">
            <w:pPr>
              <w:autoSpaceDE w:val="0"/>
              <w:autoSpaceDN w:val="0"/>
              <w:adjustRightInd w:val="0"/>
              <w:rPr>
                <w:rFonts w:ascii="Arial" w:hAnsi="Arial"/>
                <w:sz w:val="19"/>
                <w:szCs w:val="19"/>
              </w:rPr>
            </w:pPr>
            <w:r w:rsidRPr="008A7A35">
              <w:rPr>
                <w:rFonts w:ascii="Arial" w:hAnsi="Arial" w:cs="Arial"/>
                <w:sz w:val="20"/>
                <w:szCs w:val="20"/>
                <w:lang w:val="en-US"/>
              </w:rPr>
              <w:t xml:space="preserve">Deutsche </w:t>
            </w:r>
            <w:r w:rsidR="00191D57" w:rsidRPr="008A7A35">
              <w:rPr>
                <w:rFonts w:ascii="Arial" w:hAnsi="Arial"/>
                <w:sz w:val="19"/>
                <w:szCs w:val="19"/>
              </w:rPr>
              <w:t>Numis Securities Limited</w:t>
            </w:r>
          </w:p>
          <w:p w14:paraId="12BCDF14" w14:textId="6554B40B" w:rsidR="00191D57" w:rsidRPr="008A7A35" w:rsidRDefault="00136C8D" w:rsidP="00191D57">
            <w:pPr>
              <w:autoSpaceDE w:val="0"/>
              <w:autoSpaceDN w:val="0"/>
              <w:adjustRightInd w:val="0"/>
              <w:rPr>
                <w:rFonts w:ascii="Arial" w:hAnsi="Arial"/>
                <w:sz w:val="19"/>
                <w:szCs w:val="19"/>
              </w:rPr>
            </w:pPr>
            <w:r w:rsidRPr="008A7A35">
              <w:rPr>
                <w:rFonts w:ascii="Arial" w:hAnsi="Arial"/>
                <w:sz w:val="19"/>
                <w:szCs w:val="19"/>
              </w:rPr>
              <w:t>45 Gresham St</w:t>
            </w:r>
          </w:p>
          <w:p w14:paraId="72C6B6DD" w14:textId="77777777" w:rsidR="00191D57" w:rsidRPr="008A7A35" w:rsidRDefault="00191D57" w:rsidP="00191D57">
            <w:pPr>
              <w:autoSpaceDE w:val="0"/>
              <w:autoSpaceDN w:val="0"/>
              <w:adjustRightInd w:val="0"/>
              <w:rPr>
                <w:rFonts w:ascii="Arial" w:hAnsi="Arial"/>
                <w:sz w:val="19"/>
                <w:szCs w:val="19"/>
              </w:rPr>
            </w:pPr>
            <w:r w:rsidRPr="008A7A35">
              <w:rPr>
                <w:rFonts w:ascii="Arial" w:hAnsi="Arial"/>
                <w:sz w:val="19"/>
                <w:szCs w:val="19"/>
              </w:rPr>
              <w:t>London</w:t>
            </w:r>
          </w:p>
          <w:p w14:paraId="4C6229C1" w14:textId="7B5712E9" w:rsidR="00191D57" w:rsidRPr="008A7A35" w:rsidRDefault="00191D57" w:rsidP="00191D57">
            <w:pPr>
              <w:autoSpaceDE w:val="0"/>
              <w:autoSpaceDN w:val="0"/>
              <w:adjustRightInd w:val="0"/>
              <w:rPr>
                <w:rFonts w:ascii="Arial" w:hAnsi="Arial"/>
                <w:sz w:val="19"/>
                <w:szCs w:val="19"/>
              </w:rPr>
            </w:pPr>
            <w:r w:rsidRPr="008A7A35">
              <w:rPr>
                <w:rFonts w:ascii="Arial" w:hAnsi="Arial"/>
                <w:sz w:val="19"/>
                <w:szCs w:val="19"/>
              </w:rPr>
              <w:t>E</w:t>
            </w:r>
            <w:r w:rsidR="00136C8D" w:rsidRPr="008A7A35">
              <w:rPr>
                <w:rFonts w:ascii="Arial" w:hAnsi="Arial"/>
                <w:sz w:val="19"/>
                <w:szCs w:val="19"/>
              </w:rPr>
              <w:t>C2V</w:t>
            </w:r>
            <w:r w:rsidRPr="008A7A35">
              <w:rPr>
                <w:rFonts w:ascii="Arial" w:hAnsi="Arial"/>
                <w:sz w:val="19"/>
                <w:szCs w:val="19"/>
              </w:rPr>
              <w:t xml:space="preserve"> 7</w:t>
            </w:r>
            <w:r w:rsidR="00136C8D" w:rsidRPr="008A7A35">
              <w:rPr>
                <w:rFonts w:ascii="Arial" w:hAnsi="Arial"/>
                <w:sz w:val="19"/>
                <w:szCs w:val="19"/>
              </w:rPr>
              <w:t>B</w:t>
            </w:r>
            <w:r w:rsidR="00B5601E" w:rsidRPr="008A7A35">
              <w:rPr>
                <w:rFonts w:ascii="Arial" w:hAnsi="Arial"/>
                <w:sz w:val="19"/>
                <w:szCs w:val="19"/>
              </w:rPr>
              <w:t>F</w:t>
            </w:r>
          </w:p>
          <w:p w14:paraId="6CE8B97C" w14:textId="77777777" w:rsidR="00191D57" w:rsidRPr="008A7A35" w:rsidRDefault="00191D57" w:rsidP="00191D57">
            <w:pPr>
              <w:autoSpaceDE w:val="0"/>
              <w:autoSpaceDN w:val="0"/>
              <w:adjustRightInd w:val="0"/>
              <w:rPr>
                <w:rFonts w:ascii="Arial" w:hAnsi="Arial"/>
                <w:sz w:val="19"/>
                <w:szCs w:val="19"/>
              </w:rPr>
            </w:pPr>
            <w:r w:rsidRPr="008A7A35">
              <w:rPr>
                <w:rFonts w:ascii="Arial" w:hAnsi="Arial"/>
                <w:sz w:val="19"/>
                <w:szCs w:val="19"/>
              </w:rPr>
              <w:t>United Kingdom</w:t>
            </w:r>
          </w:p>
          <w:p w14:paraId="5B81E627" w14:textId="77777777" w:rsidR="00780C20" w:rsidRPr="008A7A35" w:rsidRDefault="00780C20" w:rsidP="00191D57">
            <w:pPr>
              <w:pStyle w:val="Bodytext"/>
              <w:rPr>
                <w:sz w:val="19"/>
                <w:szCs w:val="19"/>
              </w:rPr>
            </w:pPr>
          </w:p>
        </w:tc>
      </w:tr>
    </w:tbl>
    <w:p w14:paraId="02F356B0" w14:textId="77777777" w:rsidR="007D69E8" w:rsidRPr="008A7A35" w:rsidRDefault="007D69E8" w:rsidP="00E50642">
      <w:pPr>
        <w:pStyle w:val="Body"/>
        <w:suppressAutoHyphens/>
        <w:spacing w:after="0" w:line="360" w:lineRule="auto"/>
        <w:jc w:val="left"/>
        <w:rPr>
          <w:rFonts w:ascii="Arial" w:eastAsia="Times New Roman" w:hAnsi="Arial"/>
          <w:b/>
          <w:sz w:val="20"/>
          <w:lang w:val="en-GB"/>
        </w:rPr>
      </w:pPr>
    </w:p>
    <w:p w14:paraId="3E079ECB" w14:textId="15ACB6EF" w:rsidR="00E50642" w:rsidRPr="008A7A35" w:rsidRDefault="00E50642" w:rsidP="00E50642">
      <w:pPr>
        <w:pStyle w:val="Body"/>
        <w:suppressAutoHyphens/>
        <w:spacing w:after="0" w:line="360" w:lineRule="auto"/>
        <w:jc w:val="left"/>
        <w:rPr>
          <w:rFonts w:ascii="Arial" w:eastAsia="Times New Roman" w:hAnsi="Arial"/>
          <w:b/>
          <w:sz w:val="20"/>
          <w:lang w:val="en-GB"/>
        </w:rPr>
      </w:pPr>
      <w:r w:rsidRPr="008A7A35">
        <w:rPr>
          <w:rFonts w:ascii="Arial" w:eastAsia="Times New Roman" w:hAnsi="Arial"/>
          <w:b/>
          <w:sz w:val="20"/>
          <w:lang w:val="en-GB"/>
        </w:rPr>
        <w:t>SWISS SUPPLEMENT</w:t>
      </w:r>
    </w:p>
    <w:p w14:paraId="4563B92F" w14:textId="77777777" w:rsidR="00E50642" w:rsidRPr="008A7A35" w:rsidRDefault="00E50642" w:rsidP="00E50642">
      <w:pPr>
        <w:pStyle w:val="Body"/>
        <w:suppressAutoHyphens/>
        <w:spacing w:after="0" w:line="360" w:lineRule="auto"/>
        <w:jc w:val="left"/>
        <w:rPr>
          <w:rFonts w:ascii="Arial" w:eastAsia="Times New Roman" w:hAnsi="Arial"/>
          <w:b/>
          <w:sz w:val="20"/>
          <w:lang w:val="en-GB"/>
        </w:rPr>
      </w:pPr>
      <w:r w:rsidRPr="008A7A35">
        <w:rPr>
          <w:rFonts w:ascii="Arial" w:eastAsia="Times New Roman" w:hAnsi="Arial"/>
          <w:b/>
          <w:sz w:val="20"/>
          <w:lang w:val="en-GB"/>
        </w:rPr>
        <w:t>ADDITIONAL INFORMATION FOR INVESTORS IN SWITZERLAND</w:t>
      </w:r>
    </w:p>
    <w:p w14:paraId="1DC423BB" w14:textId="77777777" w:rsidR="00E50642" w:rsidRPr="008A7A35" w:rsidRDefault="00E50642" w:rsidP="00E50642">
      <w:pPr>
        <w:pStyle w:val="Body"/>
        <w:suppressAutoHyphens/>
        <w:spacing w:after="0" w:line="360" w:lineRule="auto"/>
        <w:rPr>
          <w:sz w:val="22"/>
          <w:szCs w:val="22"/>
        </w:rPr>
      </w:pPr>
    </w:p>
    <w:p w14:paraId="089B86BE" w14:textId="1EAB2E12" w:rsidR="00E50642" w:rsidRPr="008A7A35" w:rsidRDefault="00E50642" w:rsidP="00E50642">
      <w:pPr>
        <w:pStyle w:val="Bodytext"/>
        <w:rPr>
          <w:b/>
        </w:rPr>
      </w:pPr>
      <w:r w:rsidRPr="008A7A35">
        <w:rPr>
          <w:b/>
        </w:rPr>
        <w:t xml:space="preserve">This Swiss Supplement is supplemental to, forms part of and should be read in conjunction with the Interim Report and Unaudited Interim Condensed Financial Statements ended 30 June </w:t>
      </w:r>
      <w:r w:rsidR="00075FC3" w:rsidRPr="008A7A35">
        <w:rPr>
          <w:b/>
        </w:rPr>
        <w:t>202</w:t>
      </w:r>
      <w:r w:rsidR="007D69E8" w:rsidRPr="008A7A35">
        <w:rPr>
          <w:b/>
        </w:rPr>
        <w:t>5</w:t>
      </w:r>
      <w:r w:rsidR="00075FC3" w:rsidRPr="008A7A35">
        <w:rPr>
          <w:b/>
        </w:rPr>
        <w:t xml:space="preserve"> </w:t>
      </w:r>
      <w:r w:rsidRPr="008A7A35">
        <w:rPr>
          <w:b/>
        </w:rPr>
        <w:t>for RIVERSTONE ENERGY LIMITED (the “</w:t>
      </w:r>
      <w:r w:rsidR="006C635F" w:rsidRPr="008A7A35">
        <w:rPr>
          <w:b/>
        </w:rPr>
        <w:t>Company</w:t>
      </w:r>
      <w:r w:rsidRPr="008A7A35">
        <w:rPr>
          <w:b/>
        </w:rPr>
        <w:t>”).</w:t>
      </w:r>
    </w:p>
    <w:p w14:paraId="265D5E4A" w14:textId="66F6F168" w:rsidR="006C1562" w:rsidRPr="008A7A35" w:rsidRDefault="006C1562" w:rsidP="00E50642">
      <w:pPr>
        <w:pStyle w:val="Bodytext"/>
        <w:rPr>
          <w:b/>
        </w:rPr>
      </w:pPr>
    </w:p>
    <w:p w14:paraId="518CD747" w14:textId="77777777" w:rsidR="00E50642" w:rsidRPr="008A7A35" w:rsidRDefault="00E50642" w:rsidP="00E50642">
      <w:pPr>
        <w:pStyle w:val="Bodytext"/>
      </w:pPr>
    </w:p>
    <w:p w14:paraId="04522526" w14:textId="513E26A4" w:rsidR="00934B3C" w:rsidRPr="00C654A3" w:rsidRDefault="00E50642" w:rsidP="00C654A3">
      <w:pPr>
        <w:pStyle w:val="Bodytext"/>
        <w:jc w:val="both"/>
      </w:pPr>
      <w:r w:rsidRPr="008A7A35">
        <w:t xml:space="preserve">Effective from 20th July 2015, the </w:t>
      </w:r>
      <w:r w:rsidR="006C635F" w:rsidRPr="008A7A35">
        <w:t>Company</w:t>
      </w:r>
      <w:r w:rsidRPr="008A7A35">
        <w:t xml:space="preserve"> had appointed Société Générale as Swiss Representative and Paying Agent. The current Prospectus, the Memorandum and Articles of Association and the annual report of the </w:t>
      </w:r>
      <w:r w:rsidR="006C635F" w:rsidRPr="008A7A35">
        <w:t>Company</w:t>
      </w:r>
      <w:r w:rsidRPr="008A7A35">
        <w:t xml:space="preserve"> can be obtained free of charge from the representative in Switzerland, Société Générale, Paris, Zurich Branch, </w:t>
      </w:r>
      <w:proofErr w:type="spellStart"/>
      <w:r w:rsidRPr="008A7A35">
        <w:t>Talacker</w:t>
      </w:r>
      <w:proofErr w:type="spellEnd"/>
      <w:r w:rsidRPr="008A7A35">
        <w:t xml:space="preserve"> 50, P.O. Box 5070, CH-8021 Zurich. The paying agent of the </w:t>
      </w:r>
      <w:r w:rsidR="006C635F" w:rsidRPr="008A7A35">
        <w:t>Company</w:t>
      </w:r>
      <w:r w:rsidRPr="008A7A35">
        <w:t xml:space="preserve"> in Switzerland is Société Générale, Paris, Zurich Branch, </w:t>
      </w:r>
      <w:proofErr w:type="spellStart"/>
      <w:r w:rsidRPr="008A7A35">
        <w:t>Talacker</w:t>
      </w:r>
      <w:proofErr w:type="spellEnd"/>
      <w:r w:rsidRPr="008A7A35">
        <w:t xml:space="preserve"> 50, P.O. Box 5070, CH-8021 Zurich. The Company may offer Shares only to qualified investors in Switzerland. In respect of the Shares distributed in and from Switzerland, the place of performance and jurisdiction is the registered office of the Swiss Representative.</w:t>
      </w:r>
    </w:p>
    <w:p w14:paraId="32C18D6A" w14:textId="77777777" w:rsidR="003611D7" w:rsidRPr="008A7A35" w:rsidRDefault="003611D7" w:rsidP="00D52D40">
      <w:pPr>
        <w:pStyle w:val="Bodytext"/>
        <w:rPr>
          <w:b/>
        </w:rPr>
      </w:pPr>
    </w:p>
    <w:p w14:paraId="502F0D6B" w14:textId="77777777" w:rsidR="00D52D40" w:rsidRPr="008A7A35" w:rsidRDefault="00D52D40" w:rsidP="00D52D40">
      <w:pPr>
        <w:pStyle w:val="Bodytext"/>
        <w:rPr>
          <w:b/>
        </w:rPr>
      </w:pPr>
      <w:r w:rsidRPr="008A7A35">
        <w:rPr>
          <w:b/>
        </w:rPr>
        <w:t>Cautionary Statement</w:t>
      </w:r>
    </w:p>
    <w:p w14:paraId="571440D0" w14:textId="16C97F4E" w:rsidR="00D13FD7" w:rsidRPr="008A7A35" w:rsidRDefault="00D13FD7" w:rsidP="00D13FD7">
      <w:pPr>
        <w:pStyle w:val="Bodytext"/>
        <w:contextualSpacing/>
        <w:jc w:val="both"/>
      </w:pPr>
      <w:r w:rsidRPr="008A7A35">
        <w:t xml:space="preserve">The </w:t>
      </w:r>
      <w:r w:rsidR="00AA1294" w:rsidRPr="008A7A35">
        <w:t>Chair</w:t>
      </w:r>
      <w:r w:rsidRPr="008A7A35">
        <w:t>’s Statement, the Investment Manager’s Report and the Report of the</w:t>
      </w:r>
      <w:r w:rsidR="00B472AF" w:rsidRPr="008A7A35">
        <w:t xml:space="preserve"> Board of</w:t>
      </w:r>
      <w:r w:rsidRPr="008A7A35">
        <w:t xml:space="preserve"> Directors have been prepared solely to provide additional information for </w:t>
      </w:r>
      <w:r w:rsidR="00ED24DD">
        <w:t>S</w:t>
      </w:r>
      <w:r w:rsidRPr="008A7A35">
        <w:t>hareholders to assess the Company’s strategies and the potential for those strategies to succeed. These should not be relied on by any other party or for any other purpose.</w:t>
      </w:r>
    </w:p>
    <w:p w14:paraId="3F0749D3" w14:textId="77777777" w:rsidR="00D13FD7" w:rsidRPr="008A7A35" w:rsidRDefault="00D13FD7" w:rsidP="00D13FD7">
      <w:pPr>
        <w:pStyle w:val="Bodytext"/>
        <w:contextualSpacing/>
        <w:jc w:val="both"/>
      </w:pPr>
    </w:p>
    <w:p w14:paraId="15A7EA76" w14:textId="725581DE" w:rsidR="00D13FD7" w:rsidRPr="008A7A35" w:rsidRDefault="00D13FD7" w:rsidP="00D13FD7">
      <w:pPr>
        <w:pStyle w:val="Bodytext"/>
        <w:contextualSpacing/>
        <w:jc w:val="both"/>
      </w:pPr>
      <w:r w:rsidRPr="008A7A35">
        <w:t xml:space="preserve">The </w:t>
      </w:r>
      <w:r w:rsidR="00AA1294" w:rsidRPr="008A7A35">
        <w:t>Chair</w:t>
      </w:r>
      <w:r w:rsidRPr="008A7A35">
        <w:t>’s Statement, Investment Manager’s Report and the Report of the</w:t>
      </w:r>
      <w:r w:rsidR="00B472AF" w:rsidRPr="008A7A35">
        <w:t xml:space="preserve"> Board of</w:t>
      </w:r>
      <w:r w:rsidRPr="008A7A35">
        <w:t xml:space="preserve"> Directors may include statements that are, or may be deemed to be, “forward-looking statements”. These forward-looking statements can be identified </w:t>
      </w:r>
      <w:proofErr w:type="gramStart"/>
      <w:r w:rsidRPr="008A7A35">
        <w:t>by the use of</w:t>
      </w:r>
      <w:proofErr w:type="gramEnd"/>
      <w:r w:rsidRPr="008A7A35">
        <w:t xml:space="preserve"> forward-looking terminology, including the terms “believes”, “estimates”, “anticipates”, “expects”, “intends”, “may”, “will” or “should” or, in each case, their negative or other variations or comparable terminology.</w:t>
      </w:r>
    </w:p>
    <w:p w14:paraId="65DA7D4B" w14:textId="77777777" w:rsidR="00D13FD7" w:rsidRPr="008A7A35" w:rsidRDefault="00D13FD7" w:rsidP="00D13FD7">
      <w:pPr>
        <w:pStyle w:val="Bodytext"/>
        <w:contextualSpacing/>
        <w:jc w:val="both"/>
      </w:pPr>
    </w:p>
    <w:p w14:paraId="0A058A94" w14:textId="77777777" w:rsidR="00D13FD7" w:rsidRPr="008A7A35" w:rsidRDefault="00D13FD7" w:rsidP="00D13FD7">
      <w:pPr>
        <w:pStyle w:val="Bodytext"/>
        <w:contextualSpacing/>
        <w:jc w:val="both"/>
      </w:pPr>
      <w:r w:rsidRPr="008A7A35">
        <w:t>These forward-looking statements include all matters that are not historical facts. They appear in a number of places throughout this document and include statements regarding the intentions, beliefs or current expectations of the Directors and the Investment Adviser, concerning, amongst other things, the investment objectives and investment policy, financing strategies, investment performance, results of operations, financial condition, liquidity, prospects, and distribution policy of the Company and the markets in which it invests.</w:t>
      </w:r>
    </w:p>
    <w:p w14:paraId="11A20B90" w14:textId="77777777" w:rsidR="00D13FD7" w:rsidRPr="008A7A35" w:rsidRDefault="00D13FD7" w:rsidP="00D13FD7">
      <w:pPr>
        <w:pStyle w:val="Bodytext"/>
        <w:contextualSpacing/>
        <w:jc w:val="both"/>
      </w:pPr>
    </w:p>
    <w:p w14:paraId="10A244D8" w14:textId="77777777" w:rsidR="00D13FD7" w:rsidRPr="008A7A35" w:rsidRDefault="00D13FD7" w:rsidP="00D13FD7">
      <w:pPr>
        <w:pStyle w:val="Bodytext"/>
        <w:contextualSpacing/>
        <w:jc w:val="both"/>
      </w:pPr>
      <w:r w:rsidRPr="008A7A35">
        <w:t>By their nature, forward-looking statements involve risks and uncertainties because they relate to events and depend on circumstances that may or may not occur in the future. Forward-looking statements are not guarantees of future performance.</w:t>
      </w:r>
    </w:p>
    <w:p w14:paraId="3C37C86B" w14:textId="77777777" w:rsidR="00D13FD7" w:rsidRPr="008A7A35" w:rsidRDefault="00D13FD7" w:rsidP="00D13FD7">
      <w:pPr>
        <w:pStyle w:val="Bodytext"/>
        <w:contextualSpacing/>
        <w:jc w:val="both"/>
      </w:pPr>
    </w:p>
    <w:p w14:paraId="43108251" w14:textId="77777777" w:rsidR="00D13FD7" w:rsidRPr="008A7A35" w:rsidRDefault="00D13FD7" w:rsidP="00D13FD7">
      <w:pPr>
        <w:pStyle w:val="Bodytext"/>
        <w:contextualSpacing/>
        <w:jc w:val="both"/>
      </w:pPr>
      <w:r w:rsidRPr="008A7A35">
        <w:t>The Company’s actual investment performance, results of operations, financial condition, liquidity, distribution policy and the development of its financing strategies may differ materially from the impression created by the forward-looking statements contained in this document.</w:t>
      </w:r>
    </w:p>
    <w:p w14:paraId="6B644845" w14:textId="77777777" w:rsidR="00D13FD7" w:rsidRPr="008A7A35" w:rsidRDefault="00D13FD7" w:rsidP="00D13FD7">
      <w:pPr>
        <w:pStyle w:val="Bodytext"/>
        <w:contextualSpacing/>
        <w:jc w:val="both"/>
      </w:pPr>
    </w:p>
    <w:p w14:paraId="26599E22" w14:textId="7659E607" w:rsidR="00D13FD7" w:rsidRPr="008A7A35" w:rsidRDefault="00D13FD7" w:rsidP="00C654A3">
      <w:pPr>
        <w:pStyle w:val="Bodytext"/>
        <w:contextualSpacing/>
        <w:jc w:val="both"/>
      </w:pPr>
      <w:r w:rsidRPr="008A7A35">
        <w:t>Subject to their legal and regulatory obligations, the Directors and the Investment Manager expressly disclaim any obligations to update or revise any forward-looking statement contained herein to reflect any change in expectations with regard thereto or any change in events, conditions or circumstances on which any statement is based.</w:t>
      </w:r>
    </w:p>
    <w:p w14:paraId="4CE804A8" w14:textId="77777777" w:rsidR="00D52D40" w:rsidRPr="008A7A35" w:rsidRDefault="00D52D40" w:rsidP="00D52D40">
      <w:pPr>
        <w:pStyle w:val="Bodytext"/>
      </w:pPr>
    </w:p>
    <w:p w14:paraId="7C07904C" w14:textId="77777777" w:rsidR="00D52D40" w:rsidRPr="008A7A35" w:rsidRDefault="00D52D40" w:rsidP="00D52D40">
      <w:pPr>
        <w:pStyle w:val="Bodytext"/>
        <w:rPr>
          <w:b/>
        </w:rPr>
      </w:pPr>
      <w:r w:rsidRPr="008A7A35">
        <w:rPr>
          <w:b/>
        </w:rPr>
        <w:t>Riverstone Energy Limited</w:t>
      </w:r>
    </w:p>
    <w:p w14:paraId="11E25CF6" w14:textId="77777777" w:rsidR="00E46EDC" w:rsidRPr="008A7A35" w:rsidRDefault="00E46EDC" w:rsidP="00D52D40">
      <w:pPr>
        <w:pStyle w:val="Bodytext"/>
        <w:rPr>
          <w:rFonts w:cs="Arial"/>
          <w:szCs w:val="20"/>
        </w:rPr>
      </w:pPr>
      <w:r w:rsidRPr="008A7A35">
        <w:rPr>
          <w:rFonts w:cs="Arial"/>
          <w:szCs w:val="20"/>
        </w:rPr>
        <w:t xml:space="preserve">PO Box 286, Floor 2, </w:t>
      </w:r>
    </w:p>
    <w:p w14:paraId="3E97A22E" w14:textId="6ACED44C" w:rsidR="00E46EDC" w:rsidRPr="008A7A35" w:rsidRDefault="00E46EDC" w:rsidP="00E46EDC">
      <w:pPr>
        <w:pStyle w:val="Bodytext"/>
      </w:pPr>
      <w:r w:rsidRPr="008A7A35">
        <w:rPr>
          <w:rFonts w:cs="Arial"/>
          <w:szCs w:val="20"/>
        </w:rPr>
        <w:t xml:space="preserve">Trafalgar Court, Les Banques, St Peter Port, Guernsey, GY1 4LY, Channel Islands. </w:t>
      </w:r>
    </w:p>
    <w:p w14:paraId="035F73F3" w14:textId="77777777" w:rsidR="00413DF2" w:rsidRPr="008A7A35" w:rsidRDefault="00413DF2" w:rsidP="00413DF2">
      <w:pPr>
        <w:pStyle w:val="Bodytext"/>
      </w:pPr>
      <w:r w:rsidRPr="008A7A35">
        <w:t>T 44 (0) 1481 742742</w:t>
      </w:r>
    </w:p>
    <w:p w14:paraId="7FEFF349" w14:textId="5EB96F33" w:rsidR="00413DF2" w:rsidRPr="008A7A35" w:rsidRDefault="00413DF2" w:rsidP="00413DF2">
      <w:pPr>
        <w:pStyle w:val="Bodytext"/>
      </w:pPr>
      <w:r w:rsidRPr="008A7A35">
        <w:t xml:space="preserve">F 44 (0) 1481 </w:t>
      </w:r>
      <w:r w:rsidR="00BD5F24" w:rsidRPr="008A7A35">
        <w:t>742698</w:t>
      </w:r>
    </w:p>
    <w:p w14:paraId="577B42B5" w14:textId="77777777" w:rsidR="00D52D40" w:rsidRPr="008A7A35" w:rsidRDefault="00D52D40" w:rsidP="00D52D40">
      <w:pPr>
        <w:pStyle w:val="Bodytext"/>
      </w:pPr>
    </w:p>
    <w:p w14:paraId="2EBAECDA" w14:textId="77777777" w:rsidR="00D52D40" w:rsidRPr="008A7A35" w:rsidRDefault="00D52D40" w:rsidP="00D52D40">
      <w:pPr>
        <w:pStyle w:val="Bodytext"/>
      </w:pPr>
      <w:r w:rsidRPr="008A7A35">
        <w:t>Further information available online:</w:t>
      </w:r>
    </w:p>
    <w:p w14:paraId="541D2B87" w14:textId="6CDC4260" w:rsidR="00D52D40" w:rsidRPr="008A7A35" w:rsidRDefault="009C0294" w:rsidP="00D52D40">
      <w:pPr>
        <w:pStyle w:val="Bodytext"/>
      </w:pPr>
      <w:hyperlink r:id="rId12" w:history="1">
        <w:r w:rsidRPr="008A7A35">
          <w:rPr>
            <w:rStyle w:val="Hyperlink"/>
            <w:color w:val="auto"/>
          </w:rPr>
          <w:t>www.RiverstoneREL.com</w:t>
        </w:r>
      </w:hyperlink>
    </w:p>
    <w:p w14:paraId="7E1BCD0E" w14:textId="77777777" w:rsidR="004A13D3" w:rsidRPr="007B0BCD" w:rsidRDefault="004A13D3">
      <w:pPr>
        <w:tabs>
          <w:tab w:val="left" w:pos="6903"/>
        </w:tabs>
        <w:rPr>
          <w:rFonts w:ascii="Arial" w:hAnsi="Arial" w:cs="Arial"/>
        </w:rPr>
      </w:pPr>
    </w:p>
    <w:sectPr w:rsidR="004A13D3" w:rsidRPr="007B0BCD" w:rsidSect="00683A0F">
      <w:headerReference w:type="default" r:id="rId13"/>
      <w:footerReference w:type="default" r:id="rId14"/>
      <w:type w:val="continuous"/>
      <w:pgSz w:w="11900" w:h="16840"/>
      <w:pgMar w:top="851" w:right="985"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141E" w14:textId="77777777" w:rsidR="00AD6272" w:rsidRDefault="00AD6272" w:rsidP="00D63CA0">
      <w:r>
        <w:separator/>
      </w:r>
    </w:p>
  </w:endnote>
  <w:endnote w:type="continuationSeparator" w:id="0">
    <w:p w14:paraId="045C9F8A" w14:textId="77777777" w:rsidR="00AD6272" w:rsidRDefault="00AD6272" w:rsidP="00D63CA0">
      <w:r>
        <w:continuationSeparator/>
      </w:r>
    </w:p>
  </w:endnote>
  <w:endnote w:type="continuationNotice" w:id="1">
    <w:p w14:paraId="5AEB7927" w14:textId="77777777" w:rsidR="00AD6272" w:rsidRDefault="00AD6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EYInterstate Light">
    <w:altName w:val="Calibri"/>
    <w:charset w:val="00"/>
    <w:family w:val="auto"/>
    <w:pitch w:val="variable"/>
    <w:sig w:usb0="A00002AF" w:usb1="5000206A" w:usb2="00000000" w:usb3="00000000" w:csb0="0000009F" w:csb1="00000000"/>
  </w:font>
  <w:font w:name="BT Fon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IN CLS Regular">
    <w:altName w:val="Calibri"/>
    <w:panose1 w:val="00000000000000000000"/>
    <w:charset w:val="00"/>
    <w:family w:val="swiss"/>
    <w:notTrueType/>
    <w:pitch w:val="default"/>
    <w:sig w:usb0="00000003" w:usb1="00000000" w:usb2="00000000" w:usb3="00000000" w:csb0="00000001" w:csb1="00000000"/>
  </w:font>
  <w:font w:name="DIN CLS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IN CLS Medium">
    <w:altName w:val="DIN CLS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68DB" w14:textId="77777777" w:rsidR="00B72202" w:rsidRDefault="00B7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1E3B" w14:textId="77777777" w:rsidR="00AD6272" w:rsidRDefault="00AD6272" w:rsidP="00D63CA0">
      <w:r>
        <w:separator/>
      </w:r>
    </w:p>
  </w:footnote>
  <w:footnote w:type="continuationSeparator" w:id="0">
    <w:p w14:paraId="08B979F1" w14:textId="77777777" w:rsidR="00AD6272" w:rsidRDefault="00AD6272" w:rsidP="00D63CA0">
      <w:r>
        <w:continuationSeparator/>
      </w:r>
    </w:p>
  </w:footnote>
  <w:footnote w:type="continuationNotice" w:id="1">
    <w:p w14:paraId="473E0950" w14:textId="77777777" w:rsidR="00AD6272" w:rsidRDefault="00AD6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FB23" w14:textId="77777777" w:rsidR="00B72202" w:rsidRDefault="00B72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A51"/>
    <w:multiLevelType w:val="hybridMultilevel"/>
    <w:tmpl w:val="98FEED6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9BA3A35"/>
    <w:multiLevelType w:val="multilevel"/>
    <w:tmpl w:val="5F36F220"/>
    <w:styleLink w:val="ERMBulletList"/>
    <w:lvl w:ilvl="0">
      <w:start w:val="1"/>
      <w:numFmt w:val="bullet"/>
      <w:pStyle w:val="ListBullet"/>
      <w:lvlText w:val=""/>
      <w:lvlJc w:val="left"/>
      <w:pPr>
        <w:ind w:left="397" w:hanging="397"/>
      </w:pPr>
      <w:rPr>
        <w:rFonts w:ascii="Wingdings" w:hAnsi="Wingdings" w:cs="Times New Roman" w:hint="default"/>
        <w:color w:val="1F497D" w:themeColor="text2"/>
        <w:sz w:val="16"/>
        <w:szCs w:val="16"/>
      </w:rPr>
    </w:lvl>
    <w:lvl w:ilvl="1">
      <w:start w:val="1"/>
      <w:numFmt w:val="bullet"/>
      <w:pStyle w:val="ListBullet2"/>
      <w:lvlText w:val="-"/>
      <w:lvlJc w:val="left"/>
      <w:pPr>
        <w:ind w:left="397" w:firstLine="0"/>
      </w:pPr>
      <w:rPr>
        <w:rFonts w:ascii="Arial" w:hAnsi="Arial" w:cs="Arial" w:hint="default"/>
      </w:rPr>
    </w:lvl>
    <w:lvl w:ilvl="2">
      <w:start w:val="1"/>
      <w:numFmt w:val="bullet"/>
      <w:pStyle w:val="ListBullet3"/>
      <w:lvlText w:val=""/>
      <w:lvlJc w:val="left"/>
      <w:pPr>
        <w:ind w:left="1191" w:hanging="397"/>
      </w:pPr>
      <w:rPr>
        <w:rFonts w:ascii="Wingdings" w:hAnsi="Wingdings" w:cs="Times New Roman" w:hint="default"/>
      </w:rPr>
    </w:lvl>
    <w:lvl w:ilvl="3">
      <w:start w:val="1"/>
      <w:numFmt w:val="bullet"/>
      <w:pStyle w:val="ListBullet4"/>
      <w:lvlText w:val="○"/>
      <w:lvlJc w:val="left"/>
      <w:pPr>
        <w:ind w:left="1588" w:hanging="397"/>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 w15:restartNumberingAfterBreak="0">
    <w:nsid w:val="1C1D44A8"/>
    <w:multiLevelType w:val="hybridMultilevel"/>
    <w:tmpl w:val="B6847214"/>
    <w:lvl w:ilvl="0" w:tplc="06006D46">
      <w:start w:val="1"/>
      <w:numFmt w:val="low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285EDC"/>
    <w:multiLevelType w:val="multilevel"/>
    <w:tmpl w:val="5F36F220"/>
    <w:numStyleLink w:val="ERMBulletList"/>
  </w:abstractNum>
  <w:abstractNum w:abstractNumId="4" w15:restartNumberingAfterBreak="0">
    <w:nsid w:val="2F6D1EF5"/>
    <w:multiLevelType w:val="hybridMultilevel"/>
    <w:tmpl w:val="DBDE621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31484825"/>
    <w:multiLevelType w:val="hybridMultilevel"/>
    <w:tmpl w:val="E24C42B2"/>
    <w:lvl w:ilvl="0" w:tplc="08090003">
      <w:start w:val="1"/>
      <w:numFmt w:val="bullet"/>
      <w:lvlText w:val="o"/>
      <w:lvlJc w:val="left"/>
      <w:pPr>
        <w:ind w:left="2367" w:hanging="360"/>
      </w:pPr>
      <w:rPr>
        <w:rFonts w:ascii="Courier New" w:hAnsi="Courier New" w:cs="Courier New"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6" w15:restartNumberingAfterBreak="0">
    <w:nsid w:val="3CAD7C82"/>
    <w:multiLevelType w:val="multilevel"/>
    <w:tmpl w:val="B1D27864"/>
    <w:lvl w:ilvl="0">
      <w:start w:val="1"/>
      <w:numFmt w:val="bullet"/>
      <w:pStyle w:val="EYBulletedtext1"/>
      <w:lvlText w:val=""/>
      <w:lvlJc w:val="left"/>
      <w:pPr>
        <w:tabs>
          <w:tab w:val="num" w:pos="425"/>
        </w:tabs>
        <w:ind w:left="425" w:hanging="425"/>
      </w:pPr>
      <w:rPr>
        <w:rFonts w:ascii="Wingdings 3" w:hAnsi="Wingdings 3" w:hint="default"/>
        <w:color w:val="auto"/>
        <w:szCs w:val="24"/>
      </w:rPr>
    </w:lvl>
    <w:lvl w:ilvl="1">
      <w:start w:val="1"/>
      <w:numFmt w:val="bullet"/>
      <w:pStyle w:val="EYBulletedtext2"/>
      <w:lvlText w:val=""/>
      <w:lvlJc w:val="left"/>
      <w:pPr>
        <w:tabs>
          <w:tab w:val="num" w:pos="851"/>
        </w:tabs>
        <w:ind w:left="851" w:hanging="426"/>
      </w:pPr>
      <w:rPr>
        <w:rFonts w:ascii="Wingdings 3" w:hAnsi="Wingdings 3" w:hint="default"/>
        <w:color w:val="auto"/>
        <w:szCs w:val="24"/>
      </w:rPr>
    </w:lvl>
    <w:lvl w:ilvl="2">
      <w:start w:val="1"/>
      <w:numFmt w:val="bullet"/>
      <w:pStyle w:val="EYBulletedtext3"/>
      <w:lvlText w:val="►"/>
      <w:lvlJc w:val="left"/>
      <w:pPr>
        <w:tabs>
          <w:tab w:val="num" w:pos="1276"/>
        </w:tabs>
        <w:ind w:left="1276" w:hanging="425"/>
      </w:pPr>
      <w:rPr>
        <w:rFonts w:ascii="Arial" w:hAnsi="Arial" w:hint="default"/>
        <w:color w:val="auto"/>
        <w:sz w:val="16"/>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7" w15:restartNumberingAfterBreak="0">
    <w:nsid w:val="42B97950"/>
    <w:multiLevelType w:val="hybridMultilevel"/>
    <w:tmpl w:val="7210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E56E9"/>
    <w:multiLevelType w:val="hybridMultilevel"/>
    <w:tmpl w:val="F87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A3D3F"/>
    <w:multiLevelType w:val="hybridMultilevel"/>
    <w:tmpl w:val="CDB65ACC"/>
    <w:lvl w:ilvl="0" w:tplc="2654E0FE">
      <w:start w:val="1"/>
      <w:numFmt w:val="lowerRoman"/>
      <w:lvlText w:val="(%1)"/>
      <w:lvlJc w:val="left"/>
      <w:pPr>
        <w:ind w:left="720" w:hanging="720"/>
      </w:pPr>
      <w:rPr>
        <w:rFonts w:hint="default"/>
      </w:rPr>
    </w:lvl>
    <w:lvl w:ilvl="1" w:tplc="06006D46">
      <w:start w:val="1"/>
      <w:numFmt w:val="lowerRoman"/>
      <w:lvlText w:val="(%2)"/>
      <w:lvlJc w:val="left"/>
      <w:pPr>
        <w:ind w:left="720" w:hanging="360"/>
      </w:pPr>
      <w:rPr>
        <w:rFonts w:ascii="Arial" w:hAnsi="Arial" w:cs="Arial"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6D37C5"/>
    <w:multiLevelType w:val="hybridMultilevel"/>
    <w:tmpl w:val="849E27EC"/>
    <w:lvl w:ilvl="0" w:tplc="042C6AE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83D8C"/>
    <w:multiLevelType w:val="hybridMultilevel"/>
    <w:tmpl w:val="51348746"/>
    <w:lvl w:ilvl="0" w:tplc="7BD64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B11342"/>
    <w:multiLevelType w:val="multilevel"/>
    <w:tmpl w:val="329293D6"/>
    <w:lvl w:ilvl="0">
      <w:start w:val="1"/>
      <w:numFmt w:val="bullet"/>
      <w:pStyle w:val="EYBulletedText10"/>
      <w:lvlText w:val="►"/>
      <w:lvlJc w:val="left"/>
      <w:pPr>
        <w:tabs>
          <w:tab w:val="num" w:pos="425"/>
        </w:tabs>
        <w:ind w:left="425" w:hanging="425"/>
      </w:pPr>
      <w:rPr>
        <w:rFonts w:ascii="Arial" w:hAnsi="Arial" w:cs="Times New Roman" w:hint="default"/>
        <w:color w:val="auto"/>
        <w:sz w:val="17"/>
        <w:szCs w:val="24"/>
      </w:rPr>
    </w:lvl>
    <w:lvl w:ilvl="1">
      <w:start w:val="1"/>
      <w:numFmt w:val="bullet"/>
      <w:pStyle w:val="EYBulletedText20"/>
      <w:lvlText w:val="►"/>
      <w:lvlJc w:val="left"/>
      <w:pPr>
        <w:tabs>
          <w:tab w:val="num" w:pos="851"/>
        </w:tabs>
        <w:ind w:left="851" w:hanging="426"/>
      </w:pPr>
      <w:rPr>
        <w:rFonts w:ascii="Arial" w:hAnsi="Arial" w:cs="Times New Roman" w:hint="default"/>
        <w:color w:val="auto"/>
        <w:sz w:val="16"/>
        <w:szCs w:val="16"/>
      </w:rPr>
    </w:lvl>
    <w:lvl w:ilvl="2">
      <w:start w:val="1"/>
      <w:numFmt w:val="bullet"/>
      <w:pStyle w:val="EYBulletedText30"/>
      <w:lvlText w:val="►"/>
      <w:lvlJc w:val="left"/>
      <w:pPr>
        <w:tabs>
          <w:tab w:val="num" w:pos="1276"/>
        </w:tabs>
        <w:ind w:left="1276" w:hanging="425"/>
      </w:pPr>
      <w:rPr>
        <w:rFonts w:ascii="Arial" w:hAnsi="Arial" w:cs="Times New Roman" w:hint="default"/>
        <w:color w:val="auto"/>
        <w:sz w:val="16"/>
        <w:szCs w:val="24"/>
      </w:rPr>
    </w:lvl>
    <w:lvl w:ilvl="3">
      <w:start w:val="1"/>
      <w:numFmt w:val="none"/>
      <w:suff w:val="nothing"/>
      <w:lvlText w:val=""/>
      <w:lvlJc w:val="left"/>
      <w:pPr>
        <w:ind w:left="1440" w:firstLine="0"/>
      </w:pPr>
    </w:lvl>
    <w:lvl w:ilvl="4">
      <w:start w:val="1"/>
      <w:numFmt w:val="none"/>
      <w:suff w:val="nothing"/>
      <w:lvlText w:val=""/>
      <w:lvlJc w:val="left"/>
      <w:pPr>
        <w:ind w:left="1440" w:firstLine="0"/>
      </w:pPr>
    </w:lvl>
    <w:lvl w:ilvl="5">
      <w:start w:val="1"/>
      <w:numFmt w:val="none"/>
      <w:suff w:val="nothing"/>
      <w:lvlText w:val=""/>
      <w:lvlJc w:val="left"/>
      <w:pPr>
        <w:ind w:left="1440" w:firstLine="0"/>
      </w:pPr>
    </w:lvl>
    <w:lvl w:ilvl="6">
      <w:start w:val="1"/>
      <w:numFmt w:val="none"/>
      <w:suff w:val="nothing"/>
      <w:lvlText w:val=""/>
      <w:lvlJc w:val="left"/>
      <w:pPr>
        <w:ind w:left="4320" w:firstLine="0"/>
      </w:pPr>
    </w:lvl>
    <w:lvl w:ilvl="7">
      <w:start w:val="1"/>
      <w:numFmt w:val="none"/>
      <w:suff w:val="nothing"/>
      <w:lvlText w:val=""/>
      <w:lvlJc w:val="left"/>
      <w:pPr>
        <w:ind w:left="4320" w:firstLine="0"/>
      </w:pPr>
    </w:lvl>
    <w:lvl w:ilvl="8">
      <w:start w:val="1"/>
      <w:numFmt w:val="none"/>
      <w:suff w:val="nothing"/>
      <w:lvlText w:val=""/>
      <w:lvlJc w:val="left"/>
      <w:pPr>
        <w:ind w:left="4320" w:firstLine="0"/>
      </w:pPr>
    </w:lvl>
  </w:abstractNum>
  <w:abstractNum w:abstractNumId="13" w15:restartNumberingAfterBreak="0">
    <w:nsid w:val="73A37718"/>
    <w:multiLevelType w:val="multilevel"/>
    <w:tmpl w:val="B12A2EF4"/>
    <w:lvl w:ilvl="0">
      <w:start w:val="1"/>
      <w:numFmt w:val="bullet"/>
      <w:pStyle w:val="EYTablebullet1"/>
      <w:lvlText w:val="►"/>
      <w:lvlJc w:val="left"/>
      <w:pPr>
        <w:tabs>
          <w:tab w:val="num" w:pos="284"/>
        </w:tabs>
        <w:ind w:left="284" w:hanging="284"/>
      </w:pPr>
      <w:rPr>
        <w:rFonts w:ascii="Arial" w:hAnsi="Arial" w:cs="Times New Roman" w:hint="default"/>
        <w:b w:val="0"/>
        <w:bCs/>
        <w:i w:val="0"/>
        <w:color w:val="auto"/>
        <w:sz w:val="12"/>
        <w:szCs w:val="24"/>
      </w:rPr>
    </w:lvl>
    <w:lvl w:ilvl="1">
      <w:start w:val="1"/>
      <w:numFmt w:val="bullet"/>
      <w:pStyle w:val="EYTablebullet2"/>
      <w:lvlText w:val="►"/>
      <w:lvlJc w:val="left"/>
      <w:pPr>
        <w:tabs>
          <w:tab w:val="num" w:pos="567"/>
        </w:tabs>
        <w:ind w:left="567" w:hanging="283"/>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15:restartNumberingAfterBreak="0">
    <w:nsid w:val="744D7EA0"/>
    <w:multiLevelType w:val="hybridMultilevel"/>
    <w:tmpl w:val="F6F0EE28"/>
    <w:lvl w:ilvl="0" w:tplc="8940FB36">
      <w:start w:val="1"/>
      <w:numFmt w:val="bullet"/>
      <w:pStyle w:val="Bulletsdash"/>
      <w:lvlText w:val="–"/>
      <w:lvlJc w:val="left"/>
      <w:pPr>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A5336"/>
    <w:multiLevelType w:val="hybridMultilevel"/>
    <w:tmpl w:val="42A8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697225">
    <w:abstractNumId w:val="14"/>
  </w:num>
  <w:num w:numId="2" w16cid:durableId="517429707">
    <w:abstractNumId w:val="10"/>
  </w:num>
  <w:num w:numId="3" w16cid:durableId="2014644917">
    <w:abstractNumId w:val="2"/>
  </w:num>
  <w:num w:numId="4" w16cid:durableId="186937367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420163">
    <w:abstractNumId w:val="6"/>
  </w:num>
  <w:num w:numId="6" w16cid:durableId="1752963656">
    <w:abstractNumId w:val="13"/>
  </w:num>
  <w:num w:numId="7" w16cid:durableId="1990284258">
    <w:abstractNumId w:val="1"/>
  </w:num>
  <w:num w:numId="8" w16cid:durableId="342167450">
    <w:abstractNumId w:val="3"/>
  </w:num>
  <w:num w:numId="9" w16cid:durableId="830176329">
    <w:abstractNumId w:val="9"/>
  </w:num>
  <w:num w:numId="10" w16cid:durableId="471093599">
    <w:abstractNumId w:val="15"/>
  </w:num>
  <w:num w:numId="11" w16cid:durableId="743918250">
    <w:abstractNumId w:val="4"/>
  </w:num>
  <w:num w:numId="12" w16cid:durableId="685444596">
    <w:abstractNumId w:val="0"/>
  </w:num>
  <w:num w:numId="13" w16cid:durableId="859052188">
    <w:abstractNumId w:val="11"/>
  </w:num>
  <w:num w:numId="14" w16cid:durableId="878125218">
    <w:abstractNumId w:val="5"/>
  </w:num>
  <w:num w:numId="15" w16cid:durableId="165946171">
    <w:abstractNumId w:val="7"/>
  </w:num>
  <w:num w:numId="16" w16cid:durableId="175532387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A5082"/>
    <w:rsid w:val="000016CC"/>
    <w:rsid w:val="0000198B"/>
    <w:rsid w:val="00001C98"/>
    <w:rsid w:val="000021C5"/>
    <w:rsid w:val="0000281B"/>
    <w:rsid w:val="0000285A"/>
    <w:rsid w:val="00003941"/>
    <w:rsid w:val="00004BAF"/>
    <w:rsid w:val="00004C17"/>
    <w:rsid w:val="00004F35"/>
    <w:rsid w:val="00005172"/>
    <w:rsid w:val="00006171"/>
    <w:rsid w:val="0000645D"/>
    <w:rsid w:val="00007404"/>
    <w:rsid w:val="000074CA"/>
    <w:rsid w:val="0001050D"/>
    <w:rsid w:val="00010989"/>
    <w:rsid w:val="00010C5D"/>
    <w:rsid w:val="00011E1D"/>
    <w:rsid w:val="000128C8"/>
    <w:rsid w:val="00012D1D"/>
    <w:rsid w:val="000132D8"/>
    <w:rsid w:val="00013CA6"/>
    <w:rsid w:val="000140C0"/>
    <w:rsid w:val="000143B3"/>
    <w:rsid w:val="00015267"/>
    <w:rsid w:val="0001571C"/>
    <w:rsid w:val="000157F5"/>
    <w:rsid w:val="00015A94"/>
    <w:rsid w:val="00015E09"/>
    <w:rsid w:val="000164E0"/>
    <w:rsid w:val="00016504"/>
    <w:rsid w:val="000167E3"/>
    <w:rsid w:val="00016818"/>
    <w:rsid w:val="00016D3A"/>
    <w:rsid w:val="000208A0"/>
    <w:rsid w:val="00020A89"/>
    <w:rsid w:val="00020C66"/>
    <w:rsid w:val="00020E19"/>
    <w:rsid w:val="00021D9B"/>
    <w:rsid w:val="0002210C"/>
    <w:rsid w:val="000222C9"/>
    <w:rsid w:val="00022403"/>
    <w:rsid w:val="00023414"/>
    <w:rsid w:val="000235A8"/>
    <w:rsid w:val="00023704"/>
    <w:rsid w:val="000237E7"/>
    <w:rsid w:val="00023A84"/>
    <w:rsid w:val="000244AB"/>
    <w:rsid w:val="00024527"/>
    <w:rsid w:val="00024AC7"/>
    <w:rsid w:val="00024B5D"/>
    <w:rsid w:val="00024FC8"/>
    <w:rsid w:val="000250B8"/>
    <w:rsid w:val="00025D69"/>
    <w:rsid w:val="00025DA7"/>
    <w:rsid w:val="00025DD6"/>
    <w:rsid w:val="000265E8"/>
    <w:rsid w:val="0003032E"/>
    <w:rsid w:val="000303C6"/>
    <w:rsid w:val="00030971"/>
    <w:rsid w:val="000309C3"/>
    <w:rsid w:val="00030C7B"/>
    <w:rsid w:val="00031887"/>
    <w:rsid w:val="000319D9"/>
    <w:rsid w:val="00031CD9"/>
    <w:rsid w:val="000322BE"/>
    <w:rsid w:val="000323AB"/>
    <w:rsid w:val="00032439"/>
    <w:rsid w:val="00032B99"/>
    <w:rsid w:val="00033351"/>
    <w:rsid w:val="000337CF"/>
    <w:rsid w:val="00033857"/>
    <w:rsid w:val="00033908"/>
    <w:rsid w:val="00033A70"/>
    <w:rsid w:val="0003429F"/>
    <w:rsid w:val="00034707"/>
    <w:rsid w:val="00034C86"/>
    <w:rsid w:val="00034C99"/>
    <w:rsid w:val="00034DDC"/>
    <w:rsid w:val="00035261"/>
    <w:rsid w:val="000357EC"/>
    <w:rsid w:val="0003597B"/>
    <w:rsid w:val="00035C04"/>
    <w:rsid w:val="000363C2"/>
    <w:rsid w:val="0003712D"/>
    <w:rsid w:val="00037391"/>
    <w:rsid w:val="00040615"/>
    <w:rsid w:val="00040B8B"/>
    <w:rsid w:val="00040EB0"/>
    <w:rsid w:val="00040F55"/>
    <w:rsid w:val="0004136F"/>
    <w:rsid w:val="00041504"/>
    <w:rsid w:val="00041994"/>
    <w:rsid w:val="00041A95"/>
    <w:rsid w:val="00041B6D"/>
    <w:rsid w:val="00041B82"/>
    <w:rsid w:val="00041EED"/>
    <w:rsid w:val="00042429"/>
    <w:rsid w:val="00042B4C"/>
    <w:rsid w:val="00043EEC"/>
    <w:rsid w:val="00044175"/>
    <w:rsid w:val="00044246"/>
    <w:rsid w:val="00044535"/>
    <w:rsid w:val="00044654"/>
    <w:rsid w:val="000452F7"/>
    <w:rsid w:val="00045B8C"/>
    <w:rsid w:val="00045D56"/>
    <w:rsid w:val="0004635F"/>
    <w:rsid w:val="00046419"/>
    <w:rsid w:val="00046B7F"/>
    <w:rsid w:val="00046F5D"/>
    <w:rsid w:val="00047AFA"/>
    <w:rsid w:val="00050822"/>
    <w:rsid w:val="0005090E"/>
    <w:rsid w:val="00050B37"/>
    <w:rsid w:val="00050DAC"/>
    <w:rsid w:val="00051034"/>
    <w:rsid w:val="00051188"/>
    <w:rsid w:val="000512A3"/>
    <w:rsid w:val="000513C4"/>
    <w:rsid w:val="00052F7C"/>
    <w:rsid w:val="00053477"/>
    <w:rsid w:val="00053788"/>
    <w:rsid w:val="000541F9"/>
    <w:rsid w:val="00054EF3"/>
    <w:rsid w:val="00055035"/>
    <w:rsid w:val="000554A1"/>
    <w:rsid w:val="000554CB"/>
    <w:rsid w:val="00056458"/>
    <w:rsid w:val="0005694D"/>
    <w:rsid w:val="00056ED1"/>
    <w:rsid w:val="000573BD"/>
    <w:rsid w:val="0005745D"/>
    <w:rsid w:val="00057FF9"/>
    <w:rsid w:val="00060582"/>
    <w:rsid w:val="000605C6"/>
    <w:rsid w:val="0006073A"/>
    <w:rsid w:val="000607B2"/>
    <w:rsid w:val="00060878"/>
    <w:rsid w:val="00060B42"/>
    <w:rsid w:val="00060E04"/>
    <w:rsid w:val="0006342F"/>
    <w:rsid w:val="00063624"/>
    <w:rsid w:val="0006394A"/>
    <w:rsid w:val="00063966"/>
    <w:rsid w:val="00063B48"/>
    <w:rsid w:val="000643F4"/>
    <w:rsid w:val="00064C19"/>
    <w:rsid w:val="00064D66"/>
    <w:rsid w:val="00064E4A"/>
    <w:rsid w:val="00064F9E"/>
    <w:rsid w:val="0006501F"/>
    <w:rsid w:val="000652C9"/>
    <w:rsid w:val="00066B86"/>
    <w:rsid w:val="00066FCC"/>
    <w:rsid w:val="0006768A"/>
    <w:rsid w:val="0007060A"/>
    <w:rsid w:val="0007090C"/>
    <w:rsid w:val="00070DE9"/>
    <w:rsid w:val="00071080"/>
    <w:rsid w:val="0007148D"/>
    <w:rsid w:val="0007180C"/>
    <w:rsid w:val="000718BD"/>
    <w:rsid w:val="00071E12"/>
    <w:rsid w:val="0007290A"/>
    <w:rsid w:val="000737D0"/>
    <w:rsid w:val="00074116"/>
    <w:rsid w:val="0007473D"/>
    <w:rsid w:val="00074AE2"/>
    <w:rsid w:val="00074BAB"/>
    <w:rsid w:val="0007558A"/>
    <w:rsid w:val="000758D5"/>
    <w:rsid w:val="00075DD0"/>
    <w:rsid w:val="00075FC3"/>
    <w:rsid w:val="00077933"/>
    <w:rsid w:val="00077983"/>
    <w:rsid w:val="000779F3"/>
    <w:rsid w:val="00077FE4"/>
    <w:rsid w:val="000801EC"/>
    <w:rsid w:val="000802C7"/>
    <w:rsid w:val="00080719"/>
    <w:rsid w:val="0008084A"/>
    <w:rsid w:val="0008154E"/>
    <w:rsid w:val="00081B5F"/>
    <w:rsid w:val="000824CA"/>
    <w:rsid w:val="0008285E"/>
    <w:rsid w:val="000832B8"/>
    <w:rsid w:val="00085B4B"/>
    <w:rsid w:val="000861E7"/>
    <w:rsid w:val="00086B1F"/>
    <w:rsid w:val="00086DA7"/>
    <w:rsid w:val="000877CD"/>
    <w:rsid w:val="000900FB"/>
    <w:rsid w:val="0009067F"/>
    <w:rsid w:val="0009152E"/>
    <w:rsid w:val="00093057"/>
    <w:rsid w:val="00093AB3"/>
    <w:rsid w:val="00093B58"/>
    <w:rsid w:val="00095694"/>
    <w:rsid w:val="000962F4"/>
    <w:rsid w:val="00096448"/>
    <w:rsid w:val="00096663"/>
    <w:rsid w:val="00096B45"/>
    <w:rsid w:val="00096E41"/>
    <w:rsid w:val="0009723D"/>
    <w:rsid w:val="000972AB"/>
    <w:rsid w:val="00097732"/>
    <w:rsid w:val="000978D3"/>
    <w:rsid w:val="000A0D41"/>
    <w:rsid w:val="000A11C3"/>
    <w:rsid w:val="000A13B2"/>
    <w:rsid w:val="000A14D6"/>
    <w:rsid w:val="000A1BBA"/>
    <w:rsid w:val="000A28FE"/>
    <w:rsid w:val="000A2A6E"/>
    <w:rsid w:val="000A33A0"/>
    <w:rsid w:val="000A4B69"/>
    <w:rsid w:val="000A5506"/>
    <w:rsid w:val="000A610E"/>
    <w:rsid w:val="000A6A9F"/>
    <w:rsid w:val="000A6D08"/>
    <w:rsid w:val="000A7E82"/>
    <w:rsid w:val="000B0FB0"/>
    <w:rsid w:val="000B1BA6"/>
    <w:rsid w:val="000B1C3D"/>
    <w:rsid w:val="000B1FE3"/>
    <w:rsid w:val="000B2239"/>
    <w:rsid w:val="000B2B4B"/>
    <w:rsid w:val="000B35BC"/>
    <w:rsid w:val="000B382F"/>
    <w:rsid w:val="000B3CB3"/>
    <w:rsid w:val="000B3D56"/>
    <w:rsid w:val="000B4410"/>
    <w:rsid w:val="000B47BD"/>
    <w:rsid w:val="000B539A"/>
    <w:rsid w:val="000B53CE"/>
    <w:rsid w:val="000B559E"/>
    <w:rsid w:val="000B590A"/>
    <w:rsid w:val="000B5EB3"/>
    <w:rsid w:val="000B6172"/>
    <w:rsid w:val="000B62E4"/>
    <w:rsid w:val="000B6589"/>
    <w:rsid w:val="000B65B6"/>
    <w:rsid w:val="000B696A"/>
    <w:rsid w:val="000B6EA1"/>
    <w:rsid w:val="000B716F"/>
    <w:rsid w:val="000C0552"/>
    <w:rsid w:val="000C0849"/>
    <w:rsid w:val="000C0CDE"/>
    <w:rsid w:val="000C1063"/>
    <w:rsid w:val="000C1789"/>
    <w:rsid w:val="000C17A2"/>
    <w:rsid w:val="000C1B4C"/>
    <w:rsid w:val="000C1C89"/>
    <w:rsid w:val="000C1CEA"/>
    <w:rsid w:val="000C2F2A"/>
    <w:rsid w:val="000C3553"/>
    <w:rsid w:val="000C37E7"/>
    <w:rsid w:val="000C3CDC"/>
    <w:rsid w:val="000C3FE6"/>
    <w:rsid w:val="000C417B"/>
    <w:rsid w:val="000C4206"/>
    <w:rsid w:val="000C5AB0"/>
    <w:rsid w:val="000C60E0"/>
    <w:rsid w:val="000C63C1"/>
    <w:rsid w:val="000C67EA"/>
    <w:rsid w:val="000C6B7F"/>
    <w:rsid w:val="000C717B"/>
    <w:rsid w:val="000C7C77"/>
    <w:rsid w:val="000D0941"/>
    <w:rsid w:val="000D0D5B"/>
    <w:rsid w:val="000D10E0"/>
    <w:rsid w:val="000D173B"/>
    <w:rsid w:val="000D18BB"/>
    <w:rsid w:val="000D19C2"/>
    <w:rsid w:val="000D1E74"/>
    <w:rsid w:val="000D255E"/>
    <w:rsid w:val="000D2882"/>
    <w:rsid w:val="000D2AEA"/>
    <w:rsid w:val="000D336C"/>
    <w:rsid w:val="000D354A"/>
    <w:rsid w:val="000D3AEC"/>
    <w:rsid w:val="000D467E"/>
    <w:rsid w:val="000D7644"/>
    <w:rsid w:val="000D77D4"/>
    <w:rsid w:val="000D7CCE"/>
    <w:rsid w:val="000E070F"/>
    <w:rsid w:val="000E0926"/>
    <w:rsid w:val="000E0968"/>
    <w:rsid w:val="000E1839"/>
    <w:rsid w:val="000E1CCD"/>
    <w:rsid w:val="000E1DB1"/>
    <w:rsid w:val="000E34CE"/>
    <w:rsid w:val="000E396A"/>
    <w:rsid w:val="000E3E20"/>
    <w:rsid w:val="000E43D4"/>
    <w:rsid w:val="000E4C5E"/>
    <w:rsid w:val="000E53B6"/>
    <w:rsid w:val="000E5534"/>
    <w:rsid w:val="000E61B0"/>
    <w:rsid w:val="000E6C46"/>
    <w:rsid w:val="000E6CB2"/>
    <w:rsid w:val="000E6FD2"/>
    <w:rsid w:val="000E7554"/>
    <w:rsid w:val="000F07C7"/>
    <w:rsid w:val="000F0873"/>
    <w:rsid w:val="000F0E3B"/>
    <w:rsid w:val="000F0E73"/>
    <w:rsid w:val="000F17CF"/>
    <w:rsid w:val="000F1930"/>
    <w:rsid w:val="000F2666"/>
    <w:rsid w:val="000F2795"/>
    <w:rsid w:val="000F29BB"/>
    <w:rsid w:val="000F321E"/>
    <w:rsid w:val="000F3578"/>
    <w:rsid w:val="000F38B7"/>
    <w:rsid w:val="000F3A8D"/>
    <w:rsid w:val="000F3E73"/>
    <w:rsid w:val="000F4707"/>
    <w:rsid w:val="000F51F4"/>
    <w:rsid w:val="000F523F"/>
    <w:rsid w:val="000F6051"/>
    <w:rsid w:val="000F617B"/>
    <w:rsid w:val="000F61D8"/>
    <w:rsid w:val="000F732D"/>
    <w:rsid w:val="000F75DC"/>
    <w:rsid w:val="000F78F2"/>
    <w:rsid w:val="000F7B07"/>
    <w:rsid w:val="000F7B14"/>
    <w:rsid w:val="000F7B8C"/>
    <w:rsid w:val="000F7C6B"/>
    <w:rsid w:val="00100187"/>
    <w:rsid w:val="001001F3"/>
    <w:rsid w:val="0010088F"/>
    <w:rsid w:val="00101F3C"/>
    <w:rsid w:val="00102036"/>
    <w:rsid w:val="00102B51"/>
    <w:rsid w:val="00103722"/>
    <w:rsid w:val="00104176"/>
    <w:rsid w:val="001055CB"/>
    <w:rsid w:val="00105A49"/>
    <w:rsid w:val="00105DB2"/>
    <w:rsid w:val="00106203"/>
    <w:rsid w:val="001066E1"/>
    <w:rsid w:val="001069D7"/>
    <w:rsid w:val="0010745B"/>
    <w:rsid w:val="00107D48"/>
    <w:rsid w:val="001100E2"/>
    <w:rsid w:val="00110B17"/>
    <w:rsid w:val="00111277"/>
    <w:rsid w:val="0011148C"/>
    <w:rsid w:val="00111C8C"/>
    <w:rsid w:val="0011201E"/>
    <w:rsid w:val="0011242D"/>
    <w:rsid w:val="00112A9D"/>
    <w:rsid w:val="00112E8C"/>
    <w:rsid w:val="00113687"/>
    <w:rsid w:val="0011378B"/>
    <w:rsid w:val="00114685"/>
    <w:rsid w:val="00114A6A"/>
    <w:rsid w:val="00115136"/>
    <w:rsid w:val="00115935"/>
    <w:rsid w:val="001167C4"/>
    <w:rsid w:val="00116B3A"/>
    <w:rsid w:val="00116EE2"/>
    <w:rsid w:val="001207FE"/>
    <w:rsid w:val="00120B85"/>
    <w:rsid w:val="001215D4"/>
    <w:rsid w:val="00121789"/>
    <w:rsid w:val="001217DE"/>
    <w:rsid w:val="00121A58"/>
    <w:rsid w:val="00121D49"/>
    <w:rsid w:val="00122036"/>
    <w:rsid w:val="001221BD"/>
    <w:rsid w:val="00122561"/>
    <w:rsid w:val="001230DC"/>
    <w:rsid w:val="001231C4"/>
    <w:rsid w:val="00124515"/>
    <w:rsid w:val="0012459F"/>
    <w:rsid w:val="0012501D"/>
    <w:rsid w:val="0012714E"/>
    <w:rsid w:val="001278B9"/>
    <w:rsid w:val="00127D70"/>
    <w:rsid w:val="00127E03"/>
    <w:rsid w:val="00127E80"/>
    <w:rsid w:val="0013006E"/>
    <w:rsid w:val="00131A96"/>
    <w:rsid w:val="00131BC3"/>
    <w:rsid w:val="00131DE0"/>
    <w:rsid w:val="00132986"/>
    <w:rsid w:val="00132A29"/>
    <w:rsid w:val="00132AC0"/>
    <w:rsid w:val="00132F27"/>
    <w:rsid w:val="001331D1"/>
    <w:rsid w:val="001332AB"/>
    <w:rsid w:val="00133EC3"/>
    <w:rsid w:val="00133F06"/>
    <w:rsid w:val="00135530"/>
    <w:rsid w:val="001357EC"/>
    <w:rsid w:val="00135C84"/>
    <w:rsid w:val="0013685B"/>
    <w:rsid w:val="00136C8D"/>
    <w:rsid w:val="00136CAE"/>
    <w:rsid w:val="0014004E"/>
    <w:rsid w:val="0014026B"/>
    <w:rsid w:val="001404AB"/>
    <w:rsid w:val="001405F8"/>
    <w:rsid w:val="00140701"/>
    <w:rsid w:val="00140860"/>
    <w:rsid w:val="00140C31"/>
    <w:rsid w:val="00140CEC"/>
    <w:rsid w:val="001423A9"/>
    <w:rsid w:val="001423F1"/>
    <w:rsid w:val="001424ED"/>
    <w:rsid w:val="001429A8"/>
    <w:rsid w:val="00143A96"/>
    <w:rsid w:val="001440FE"/>
    <w:rsid w:val="00144128"/>
    <w:rsid w:val="00144242"/>
    <w:rsid w:val="0014469B"/>
    <w:rsid w:val="001449AE"/>
    <w:rsid w:val="00144D58"/>
    <w:rsid w:val="00146437"/>
    <w:rsid w:val="00146BC1"/>
    <w:rsid w:val="00146E9C"/>
    <w:rsid w:val="00147A22"/>
    <w:rsid w:val="001502C5"/>
    <w:rsid w:val="001507A0"/>
    <w:rsid w:val="00151E91"/>
    <w:rsid w:val="0015209A"/>
    <w:rsid w:val="00152BA0"/>
    <w:rsid w:val="00152D8C"/>
    <w:rsid w:val="00152D91"/>
    <w:rsid w:val="0015311A"/>
    <w:rsid w:val="001536E8"/>
    <w:rsid w:val="00153824"/>
    <w:rsid w:val="00153988"/>
    <w:rsid w:val="00153C48"/>
    <w:rsid w:val="001540A4"/>
    <w:rsid w:val="001543BC"/>
    <w:rsid w:val="001545C2"/>
    <w:rsid w:val="00154831"/>
    <w:rsid w:val="00155078"/>
    <w:rsid w:val="001552E6"/>
    <w:rsid w:val="00155586"/>
    <w:rsid w:val="00155652"/>
    <w:rsid w:val="00155A2D"/>
    <w:rsid w:val="00156032"/>
    <w:rsid w:val="001562A9"/>
    <w:rsid w:val="00156455"/>
    <w:rsid w:val="001565D4"/>
    <w:rsid w:val="00156D22"/>
    <w:rsid w:val="0015760D"/>
    <w:rsid w:val="0015788B"/>
    <w:rsid w:val="00157FA8"/>
    <w:rsid w:val="0016027C"/>
    <w:rsid w:val="001609C2"/>
    <w:rsid w:val="0016168B"/>
    <w:rsid w:val="0016207A"/>
    <w:rsid w:val="00162240"/>
    <w:rsid w:val="00162290"/>
    <w:rsid w:val="00163C55"/>
    <w:rsid w:val="00164AF6"/>
    <w:rsid w:val="0016502D"/>
    <w:rsid w:val="0016505A"/>
    <w:rsid w:val="00165227"/>
    <w:rsid w:val="0016567A"/>
    <w:rsid w:val="00165FBA"/>
    <w:rsid w:val="00165FF3"/>
    <w:rsid w:val="00166076"/>
    <w:rsid w:val="00166227"/>
    <w:rsid w:val="001668A3"/>
    <w:rsid w:val="00166A73"/>
    <w:rsid w:val="00167135"/>
    <w:rsid w:val="00167899"/>
    <w:rsid w:val="001710AF"/>
    <w:rsid w:val="00171C4B"/>
    <w:rsid w:val="00171CD1"/>
    <w:rsid w:val="00171ED8"/>
    <w:rsid w:val="0017280D"/>
    <w:rsid w:val="001729FB"/>
    <w:rsid w:val="00172BD8"/>
    <w:rsid w:val="00173A2C"/>
    <w:rsid w:val="00173B6F"/>
    <w:rsid w:val="00173E33"/>
    <w:rsid w:val="0017410D"/>
    <w:rsid w:val="0017535B"/>
    <w:rsid w:val="00175824"/>
    <w:rsid w:val="001758FC"/>
    <w:rsid w:val="00175998"/>
    <w:rsid w:val="00175C77"/>
    <w:rsid w:val="00175FC1"/>
    <w:rsid w:val="0017698A"/>
    <w:rsid w:val="00176A3C"/>
    <w:rsid w:val="00177130"/>
    <w:rsid w:val="00177AA9"/>
    <w:rsid w:val="00177CE3"/>
    <w:rsid w:val="00180218"/>
    <w:rsid w:val="001809F9"/>
    <w:rsid w:val="00180A3C"/>
    <w:rsid w:val="001813DF"/>
    <w:rsid w:val="001816AC"/>
    <w:rsid w:val="00181DCA"/>
    <w:rsid w:val="00182BAD"/>
    <w:rsid w:val="00182CD3"/>
    <w:rsid w:val="00183332"/>
    <w:rsid w:val="0018353F"/>
    <w:rsid w:val="001835C1"/>
    <w:rsid w:val="0018389C"/>
    <w:rsid w:val="00184957"/>
    <w:rsid w:val="00184A75"/>
    <w:rsid w:val="00184CE9"/>
    <w:rsid w:val="001855F3"/>
    <w:rsid w:val="00185C05"/>
    <w:rsid w:val="00185F14"/>
    <w:rsid w:val="00186793"/>
    <w:rsid w:val="00186E3C"/>
    <w:rsid w:val="00186F28"/>
    <w:rsid w:val="00187381"/>
    <w:rsid w:val="001900B4"/>
    <w:rsid w:val="00190BC8"/>
    <w:rsid w:val="00191D57"/>
    <w:rsid w:val="00192271"/>
    <w:rsid w:val="001934A3"/>
    <w:rsid w:val="001935C9"/>
    <w:rsid w:val="001935D5"/>
    <w:rsid w:val="00193AEE"/>
    <w:rsid w:val="001941E2"/>
    <w:rsid w:val="00194779"/>
    <w:rsid w:val="00194EB9"/>
    <w:rsid w:val="00196994"/>
    <w:rsid w:val="00196B6D"/>
    <w:rsid w:val="00196E2E"/>
    <w:rsid w:val="00196E67"/>
    <w:rsid w:val="001971F8"/>
    <w:rsid w:val="00197CA7"/>
    <w:rsid w:val="00197E33"/>
    <w:rsid w:val="001A00E2"/>
    <w:rsid w:val="001A058E"/>
    <w:rsid w:val="001A0698"/>
    <w:rsid w:val="001A08DC"/>
    <w:rsid w:val="001A0901"/>
    <w:rsid w:val="001A0CFB"/>
    <w:rsid w:val="001A20FF"/>
    <w:rsid w:val="001A24F1"/>
    <w:rsid w:val="001A2957"/>
    <w:rsid w:val="001A2A96"/>
    <w:rsid w:val="001A2C64"/>
    <w:rsid w:val="001A3637"/>
    <w:rsid w:val="001A453A"/>
    <w:rsid w:val="001A5221"/>
    <w:rsid w:val="001A54BE"/>
    <w:rsid w:val="001A5FED"/>
    <w:rsid w:val="001A61B5"/>
    <w:rsid w:val="001A68F6"/>
    <w:rsid w:val="001A70CF"/>
    <w:rsid w:val="001A7230"/>
    <w:rsid w:val="001A7508"/>
    <w:rsid w:val="001A7904"/>
    <w:rsid w:val="001B008E"/>
    <w:rsid w:val="001B011A"/>
    <w:rsid w:val="001B0FD3"/>
    <w:rsid w:val="001B0FFF"/>
    <w:rsid w:val="001B10D2"/>
    <w:rsid w:val="001B171A"/>
    <w:rsid w:val="001B1E3A"/>
    <w:rsid w:val="001B2331"/>
    <w:rsid w:val="001B292E"/>
    <w:rsid w:val="001B3661"/>
    <w:rsid w:val="001B3813"/>
    <w:rsid w:val="001B3B87"/>
    <w:rsid w:val="001B4759"/>
    <w:rsid w:val="001B4938"/>
    <w:rsid w:val="001B4C1B"/>
    <w:rsid w:val="001B4EFE"/>
    <w:rsid w:val="001B547B"/>
    <w:rsid w:val="001B54EE"/>
    <w:rsid w:val="001B5867"/>
    <w:rsid w:val="001B6488"/>
    <w:rsid w:val="001B6EBB"/>
    <w:rsid w:val="001B7171"/>
    <w:rsid w:val="001B7BDE"/>
    <w:rsid w:val="001B7C78"/>
    <w:rsid w:val="001B7CD8"/>
    <w:rsid w:val="001B7CF6"/>
    <w:rsid w:val="001C0083"/>
    <w:rsid w:val="001C042A"/>
    <w:rsid w:val="001C04F6"/>
    <w:rsid w:val="001C0896"/>
    <w:rsid w:val="001C14D7"/>
    <w:rsid w:val="001C1E48"/>
    <w:rsid w:val="001C1E55"/>
    <w:rsid w:val="001C1F46"/>
    <w:rsid w:val="001C219E"/>
    <w:rsid w:val="001C2798"/>
    <w:rsid w:val="001C31A5"/>
    <w:rsid w:val="001C3FCC"/>
    <w:rsid w:val="001C4BC9"/>
    <w:rsid w:val="001C52B2"/>
    <w:rsid w:val="001C537B"/>
    <w:rsid w:val="001C66E0"/>
    <w:rsid w:val="001C67EC"/>
    <w:rsid w:val="001C7E7E"/>
    <w:rsid w:val="001C7EF9"/>
    <w:rsid w:val="001D0EB8"/>
    <w:rsid w:val="001D1547"/>
    <w:rsid w:val="001D18C5"/>
    <w:rsid w:val="001D1A33"/>
    <w:rsid w:val="001D1D66"/>
    <w:rsid w:val="001D237A"/>
    <w:rsid w:val="001D2844"/>
    <w:rsid w:val="001D339C"/>
    <w:rsid w:val="001D378C"/>
    <w:rsid w:val="001D3C8B"/>
    <w:rsid w:val="001D3FCE"/>
    <w:rsid w:val="001D4205"/>
    <w:rsid w:val="001D42F9"/>
    <w:rsid w:val="001D447F"/>
    <w:rsid w:val="001D4481"/>
    <w:rsid w:val="001D54E3"/>
    <w:rsid w:val="001D5586"/>
    <w:rsid w:val="001D5FF3"/>
    <w:rsid w:val="001D634C"/>
    <w:rsid w:val="001D636F"/>
    <w:rsid w:val="001D661D"/>
    <w:rsid w:val="001D6EA7"/>
    <w:rsid w:val="001D7687"/>
    <w:rsid w:val="001D7CD4"/>
    <w:rsid w:val="001E03DE"/>
    <w:rsid w:val="001E0803"/>
    <w:rsid w:val="001E084B"/>
    <w:rsid w:val="001E098D"/>
    <w:rsid w:val="001E1206"/>
    <w:rsid w:val="001E130E"/>
    <w:rsid w:val="001E1531"/>
    <w:rsid w:val="001E1D69"/>
    <w:rsid w:val="001E2106"/>
    <w:rsid w:val="001E212F"/>
    <w:rsid w:val="001E2B72"/>
    <w:rsid w:val="001E2BA6"/>
    <w:rsid w:val="001E2C26"/>
    <w:rsid w:val="001E3F04"/>
    <w:rsid w:val="001E4528"/>
    <w:rsid w:val="001E4E0B"/>
    <w:rsid w:val="001E62A5"/>
    <w:rsid w:val="001E6828"/>
    <w:rsid w:val="001E68C1"/>
    <w:rsid w:val="001E71D2"/>
    <w:rsid w:val="001E71D4"/>
    <w:rsid w:val="001E737D"/>
    <w:rsid w:val="001E751E"/>
    <w:rsid w:val="001E7ED5"/>
    <w:rsid w:val="001F021F"/>
    <w:rsid w:val="001F0384"/>
    <w:rsid w:val="001F03EB"/>
    <w:rsid w:val="001F0448"/>
    <w:rsid w:val="001F09EB"/>
    <w:rsid w:val="001F119F"/>
    <w:rsid w:val="001F122E"/>
    <w:rsid w:val="001F1AB4"/>
    <w:rsid w:val="001F39C3"/>
    <w:rsid w:val="001F3EC8"/>
    <w:rsid w:val="001F3F06"/>
    <w:rsid w:val="001F4DD2"/>
    <w:rsid w:val="001F4F46"/>
    <w:rsid w:val="001F56C5"/>
    <w:rsid w:val="001F5CFD"/>
    <w:rsid w:val="001F6211"/>
    <w:rsid w:val="001F71A7"/>
    <w:rsid w:val="001F76BD"/>
    <w:rsid w:val="001F7749"/>
    <w:rsid w:val="00200297"/>
    <w:rsid w:val="002003A9"/>
    <w:rsid w:val="002003C4"/>
    <w:rsid w:val="0020218F"/>
    <w:rsid w:val="00202C59"/>
    <w:rsid w:val="00202E83"/>
    <w:rsid w:val="00203EF7"/>
    <w:rsid w:val="00204893"/>
    <w:rsid w:val="00204B77"/>
    <w:rsid w:val="0020549A"/>
    <w:rsid w:val="00206530"/>
    <w:rsid w:val="00206590"/>
    <w:rsid w:val="00206721"/>
    <w:rsid w:val="00206EC3"/>
    <w:rsid w:val="002101DF"/>
    <w:rsid w:val="00210A68"/>
    <w:rsid w:val="00210FEC"/>
    <w:rsid w:val="002115E9"/>
    <w:rsid w:val="002116F5"/>
    <w:rsid w:val="00211DE8"/>
    <w:rsid w:val="002124A9"/>
    <w:rsid w:val="00213846"/>
    <w:rsid w:val="00213C6C"/>
    <w:rsid w:val="00213D8C"/>
    <w:rsid w:val="00213F9C"/>
    <w:rsid w:val="00214354"/>
    <w:rsid w:val="0021435D"/>
    <w:rsid w:val="00214B91"/>
    <w:rsid w:val="002151DB"/>
    <w:rsid w:val="00215839"/>
    <w:rsid w:val="00215EB8"/>
    <w:rsid w:val="00216010"/>
    <w:rsid w:val="002164DA"/>
    <w:rsid w:val="0021730D"/>
    <w:rsid w:val="00217724"/>
    <w:rsid w:val="00217C61"/>
    <w:rsid w:val="00220903"/>
    <w:rsid w:val="00220B40"/>
    <w:rsid w:val="00220B88"/>
    <w:rsid w:val="00220CA0"/>
    <w:rsid w:val="00220E9F"/>
    <w:rsid w:val="00221A10"/>
    <w:rsid w:val="0022205F"/>
    <w:rsid w:val="00222136"/>
    <w:rsid w:val="00222438"/>
    <w:rsid w:val="0022281B"/>
    <w:rsid w:val="00222FDC"/>
    <w:rsid w:val="002236E6"/>
    <w:rsid w:val="00223868"/>
    <w:rsid w:val="00223C1B"/>
    <w:rsid w:val="00224B43"/>
    <w:rsid w:val="0022520B"/>
    <w:rsid w:val="00225A2D"/>
    <w:rsid w:val="00226D71"/>
    <w:rsid w:val="00227B0E"/>
    <w:rsid w:val="00227D93"/>
    <w:rsid w:val="00230CE1"/>
    <w:rsid w:val="00230D3F"/>
    <w:rsid w:val="00230F10"/>
    <w:rsid w:val="00231658"/>
    <w:rsid w:val="0023203F"/>
    <w:rsid w:val="00232537"/>
    <w:rsid w:val="00232D74"/>
    <w:rsid w:val="002330EF"/>
    <w:rsid w:val="00233789"/>
    <w:rsid w:val="00234224"/>
    <w:rsid w:val="002344B3"/>
    <w:rsid w:val="00234C4E"/>
    <w:rsid w:val="00234DF1"/>
    <w:rsid w:val="00235923"/>
    <w:rsid w:val="00235BE2"/>
    <w:rsid w:val="00235D1D"/>
    <w:rsid w:val="00236058"/>
    <w:rsid w:val="00236399"/>
    <w:rsid w:val="00236638"/>
    <w:rsid w:val="00236AB6"/>
    <w:rsid w:val="00236B89"/>
    <w:rsid w:val="0023772E"/>
    <w:rsid w:val="00237E72"/>
    <w:rsid w:val="00240A18"/>
    <w:rsid w:val="00240B8C"/>
    <w:rsid w:val="00241A8D"/>
    <w:rsid w:val="00241C2E"/>
    <w:rsid w:val="00241F8F"/>
    <w:rsid w:val="002423C8"/>
    <w:rsid w:val="002425A7"/>
    <w:rsid w:val="002427EE"/>
    <w:rsid w:val="00243632"/>
    <w:rsid w:val="002437DE"/>
    <w:rsid w:val="00243B3E"/>
    <w:rsid w:val="00243C5E"/>
    <w:rsid w:val="002440CA"/>
    <w:rsid w:val="00244A18"/>
    <w:rsid w:val="00244F65"/>
    <w:rsid w:val="00245056"/>
    <w:rsid w:val="0024587F"/>
    <w:rsid w:val="0024639D"/>
    <w:rsid w:val="00246AA3"/>
    <w:rsid w:val="00246C8B"/>
    <w:rsid w:val="00247359"/>
    <w:rsid w:val="00247736"/>
    <w:rsid w:val="00247A2D"/>
    <w:rsid w:val="00247AB5"/>
    <w:rsid w:val="00247DD5"/>
    <w:rsid w:val="002508E4"/>
    <w:rsid w:val="00250DB8"/>
    <w:rsid w:val="002512F0"/>
    <w:rsid w:val="00251496"/>
    <w:rsid w:val="0025157C"/>
    <w:rsid w:val="00251762"/>
    <w:rsid w:val="00252035"/>
    <w:rsid w:val="002529A3"/>
    <w:rsid w:val="00253154"/>
    <w:rsid w:val="00253324"/>
    <w:rsid w:val="00253425"/>
    <w:rsid w:val="002535C1"/>
    <w:rsid w:val="00253695"/>
    <w:rsid w:val="002546F9"/>
    <w:rsid w:val="00254BE6"/>
    <w:rsid w:val="00254C85"/>
    <w:rsid w:val="00254CE2"/>
    <w:rsid w:val="0025576F"/>
    <w:rsid w:val="002566BF"/>
    <w:rsid w:val="00256B67"/>
    <w:rsid w:val="002570B8"/>
    <w:rsid w:val="00257AA3"/>
    <w:rsid w:val="00260668"/>
    <w:rsid w:val="00260D02"/>
    <w:rsid w:val="002614AD"/>
    <w:rsid w:val="002614C3"/>
    <w:rsid w:val="00261867"/>
    <w:rsid w:val="00262911"/>
    <w:rsid w:val="00262C24"/>
    <w:rsid w:val="00263934"/>
    <w:rsid w:val="00263A6B"/>
    <w:rsid w:val="00263B68"/>
    <w:rsid w:val="00263BDB"/>
    <w:rsid w:val="00263CFF"/>
    <w:rsid w:val="00263DD5"/>
    <w:rsid w:val="00264209"/>
    <w:rsid w:val="0026450B"/>
    <w:rsid w:val="00264D5E"/>
    <w:rsid w:val="00265122"/>
    <w:rsid w:val="0026544A"/>
    <w:rsid w:val="0026560F"/>
    <w:rsid w:val="00265729"/>
    <w:rsid w:val="00266276"/>
    <w:rsid w:val="00266519"/>
    <w:rsid w:val="00266E26"/>
    <w:rsid w:val="00266E35"/>
    <w:rsid w:val="002672EF"/>
    <w:rsid w:val="002707D4"/>
    <w:rsid w:val="00270844"/>
    <w:rsid w:val="00270BD3"/>
    <w:rsid w:val="00271236"/>
    <w:rsid w:val="0027277B"/>
    <w:rsid w:val="00272975"/>
    <w:rsid w:val="00272C73"/>
    <w:rsid w:val="002730F5"/>
    <w:rsid w:val="002737EA"/>
    <w:rsid w:val="00273816"/>
    <w:rsid w:val="00273B8A"/>
    <w:rsid w:val="00273D71"/>
    <w:rsid w:val="002746C1"/>
    <w:rsid w:val="00274F01"/>
    <w:rsid w:val="002761B1"/>
    <w:rsid w:val="0027720E"/>
    <w:rsid w:val="00277771"/>
    <w:rsid w:val="002816E2"/>
    <w:rsid w:val="00281783"/>
    <w:rsid w:val="0028193F"/>
    <w:rsid w:val="00281B03"/>
    <w:rsid w:val="0028215F"/>
    <w:rsid w:val="00282286"/>
    <w:rsid w:val="00282FAA"/>
    <w:rsid w:val="00283A16"/>
    <w:rsid w:val="002840E6"/>
    <w:rsid w:val="00284790"/>
    <w:rsid w:val="00284AD9"/>
    <w:rsid w:val="00286079"/>
    <w:rsid w:val="00286320"/>
    <w:rsid w:val="002863B9"/>
    <w:rsid w:val="002864E1"/>
    <w:rsid w:val="00286DCA"/>
    <w:rsid w:val="002875A5"/>
    <w:rsid w:val="00287A46"/>
    <w:rsid w:val="002904AB"/>
    <w:rsid w:val="002906EA"/>
    <w:rsid w:val="002914B6"/>
    <w:rsid w:val="0029172A"/>
    <w:rsid w:val="00291CB7"/>
    <w:rsid w:val="00291D26"/>
    <w:rsid w:val="00292492"/>
    <w:rsid w:val="00292EDF"/>
    <w:rsid w:val="00293002"/>
    <w:rsid w:val="00293017"/>
    <w:rsid w:val="002945B6"/>
    <w:rsid w:val="00294642"/>
    <w:rsid w:val="00294DEE"/>
    <w:rsid w:val="002961CA"/>
    <w:rsid w:val="00296A9A"/>
    <w:rsid w:val="00296E67"/>
    <w:rsid w:val="002971CB"/>
    <w:rsid w:val="002976B0"/>
    <w:rsid w:val="002978C2"/>
    <w:rsid w:val="00297C3F"/>
    <w:rsid w:val="00297FF5"/>
    <w:rsid w:val="002A011B"/>
    <w:rsid w:val="002A0ECF"/>
    <w:rsid w:val="002A0F42"/>
    <w:rsid w:val="002A1021"/>
    <w:rsid w:val="002A113E"/>
    <w:rsid w:val="002A13D7"/>
    <w:rsid w:val="002A1644"/>
    <w:rsid w:val="002A17DB"/>
    <w:rsid w:val="002A189C"/>
    <w:rsid w:val="002A226E"/>
    <w:rsid w:val="002A2679"/>
    <w:rsid w:val="002A2803"/>
    <w:rsid w:val="002A32D2"/>
    <w:rsid w:val="002A365C"/>
    <w:rsid w:val="002A3F4A"/>
    <w:rsid w:val="002A48B7"/>
    <w:rsid w:val="002A4946"/>
    <w:rsid w:val="002A4AC4"/>
    <w:rsid w:val="002A4DD9"/>
    <w:rsid w:val="002A5244"/>
    <w:rsid w:val="002A5374"/>
    <w:rsid w:val="002A5378"/>
    <w:rsid w:val="002A560D"/>
    <w:rsid w:val="002A5E55"/>
    <w:rsid w:val="002A5FA5"/>
    <w:rsid w:val="002A6544"/>
    <w:rsid w:val="002A6C2E"/>
    <w:rsid w:val="002A766D"/>
    <w:rsid w:val="002A7E53"/>
    <w:rsid w:val="002A7F45"/>
    <w:rsid w:val="002B04E5"/>
    <w:rsid w:val="002B0C6E"/>
    <w:rsid w:val="002B0C7B"/>
    <w:rsid w:val="002B10F3"/>
    <w:rsid w:val="002B1C37"/>
    <w:rsid w:val="002B1C42"/>
    <w:rsid w:val="002B1FC5"/>
    <w:rsid w:val="002B1FF1"/>
    <w:rsid w:val="002B2251"/>
    <w:rsid w:val="002B24F9"/>
    <w:rsid w:val="002B2BF8"/>
    <w:rsid w:val="002B2C68"/>
    <w:rsid w:val="002B2C9F"/>
    <w:rsid w:val="002B3574"/>
    <w:rsid w:val="002B3C68"/>
    <w:rsid w:val="002B3CD6"/>
    <w:rsid w:val="002B42AE"/>
    <w:rsid w:val="002B43EE"/>
    <w:rsid w:val="002B4B6A"/>
    <w:rsid w:val="002B5312"/>
    <w:rsid w:val="002B5FD8"/>
    <w:rsid w:val="002B66EB"/>
    <w:rsid w:val="002B75DD"/>
    <w:rsid w:val="002B7C97"/>
    <w:rsid w:val="002C01B0"/>
    <w:rsid w:val="002C026D"/>
    <w:rsid w:val="002C05F0"/>
    <w:rsid w:val="002C139D"/>
    <w:rsid w:val="002C1D3E"/>
    <w:rsid w:val="002C22A7"/>
    <w:rsid w:val="002C2862"/>
    <w:rsid w:val="002C2A43"/>
    <w:rsid w:val="002C2B2C"/>
    <w:rsid w:val="002C2DF9"/>
    <w:rsid w:val="002C31EE"/>
    <w:rsid w:val="002C3456"/>
    <w:rsid w:val="002C3916"/>
    <w:rsid w:val="002C3F2E"/>
    <w:rsid w:val="002C3F4A"/>
    <w:rsid w:val="002C4CD6"/>
    <w:rsid w:val="002C4E82"/>
    <w:rsid w:val="002C4FAF"/>
    <w:rsid w:val="002C580A"/>
    <w:rsid w:val="002C5812"/>
    <w:rsid w:val="002C5D4C"/>
    <w:rsid w:val="002C5F0C"/>
    <w:rsid w:val="002C622E"/>
    <w:rsid w:val="002C6424"/>
    <w:rsid w:val="002C6C34"/>
    <w:rsid w:val="002C7773"/>
    <w:rsid w:val="002C7B22"/>
    <w:rsid w:val="002D07DB"/>
    <w:rsid w:val="002D15AD"/>
    <w:rsid w:val="002D1A2F"/>
    <w:rsid w:val="002D1F2C"/>
    <w:rsid w:val="002D211F"/>
    <w:rsid w:val="002D26D3"/>
    <w:rsid w:val="002D2912"/>
    <w:rsid w:val="002D2DB4"/>
    <w:rsid w:val="002D2E31"/>
    <w:rsid w:val="002D2F32"/>
    <w:rsid w:val="002D33ED"/>
    <w:rsid w:val="002D3E65"/>
    <w:rsid w:val="002D4CE9"/>
    <w:rsid w:val="002D61AF"/>
    <w:rsid w:val="002D6D9B"/>
    <w:rsid w:val="002D718A"/>
    <w:rsid w:val="002D7CDF"/>
    <w:rsid w:val="002E0CF1"/>
    <w:rsid w:val="002E10B4"/>
    <w:rsid w:val="002E12E9"/>
    <w:rsid w:val="002E14AE"/>
    <w:rsid w:val="002E2289"/>
    <w:rsid w:val="002E2385"/>
    <w:rsid w:val="002E3397"/>
    <w:rsid w:val="002E46F0"/>
    <w:rsid w:val="002E4766"/>
    <w:rsid w:val="002E502D"/>
    <w:rsid w:val="002E5E27"/>
    <w:rsid w:val="002E5E97"/>
    <w:rsid w:val="002E605E"/>
    <w:rsid w:val="002E60D6"/>
    <w:rsid w:val="002E692B"/>
    <w:rsid w:val="002E6C12"/>
    <w:rsid w:val="002E7393"/>
    <w:rsid w:val="002E797C"/>
    <w:rsid w:val="002E7F47"/>
    <w:rsid w:val="002E7FA9"/>
    <w:rsid w:val="002F0285"/>
    <w:rsid w:val="002F06F7"/>
    <w:rsid w:val="002F099F"/>
    <w:rsid w:val="002F0A52"/>
    <w:rsid w:val="002F0B01"/>
    <w:rsid w:val="002F0D1E"/>
    <w:rsid w:val="002F13A5"/>
    <w:rsid w:val="002F161A"/>
    <w:rsid w:val="002F21C3"/>
    <w:rsid w:val="002F40B3"/>
    <w:rsid w:val="002F42DD"/>
    <w:rsid w:val="002F4373"/>
    <w:rsid w:val="002F494D"/>
    <w:rsid w:val="002F4F66"/>
    <w:rsid w:val="002F53F6"/>
    <w:rsid w:val="002F5C32"/>
    <w:rsid w:val="002F5D82"/>
    <w:rsid w:val="002F5EEA"/>
    <w:rsid w:val="002F60D0"/>
    <w:rsid w:val="002F6593"/>
    <w:rsid w:val="002F65D1"/>
    <w:rsid w:val="002F6AC0"/>
    <w:rsid w:val="002F744D"/>
    <w:rsid w:val="002F7774"/>
    <w:rsid w:val="002F784C"/>
    <w:rsid w:val="002F796D"/>
    <w:rsid w:val="00300B4C"/>
    <w:rsid w:val="00301C5A"/>
    <w:rsid w:val="00301DF4"/>
    <w:rsid w:val="00302D95"/>
    <w:rsid w:val="0030337F"/>
    <w:rsid w:val="0030341D"/>
    <w:rsid w:val="00303914"/>
    <w:rsid w:val="00303A3E"/>
    <w:rsid w:val="00304D82"/>
    <w:rsid w:val="00305983"/>
    <w:rsid w:val="00305CE1"/>
    <w:rsid w:val="00305E5C"/>
    <w:rsid w:val="00305FCD"/>
    <w:rsid w:val="00306224"/>
    <w:rsid w:val="003064F6"/>
    <w:rsid w:val="003066B4"/>
    <w:rsid w:val="00306A51"/>
    <w:rsid w:val="00307069"/>
    <w:rsid w:val="0030726E"/>
    <w:rsid w:val="00307745"/>
    <w:rsid w:val="00307CB7"/>
    <w:rsid w:val="00307E17"/>
    <w:rsid w:val="0031011B"/>
    <w:rsid w:val="00310BEA"/>
    <w:rsid w:val="0031104F"/>
    <w:rsid w:val="00311180"/>
    <w:rsid w:val="00311188"/>
    <w:rsid w:val="00311197"/>
    <w:rsid w:val="00311E1E"/>
    <w:rsid w:val="003126AE"/>
    <w:rsid w:val="00314DDB"/>
    <w:rsid w:val="003151F3"/>
    <w:rsid w:val="0031589D"/>
    <w:rsid w:val="00315BF9"/>
    <w:rsid w:val="00315F4E"/>
    <w:rsid w:val="00315F64"/>
    <w:rsid w:val="003169EF"/>
    <w:rsid w:val="00316D84"/>
    <w:rsid w:val="00317108"/>
    <w:rsid w:val="003172A9"/>
    <w:rsid w:val="003172C0"/>
    <w:rsid w:val="00317456"/>
    <w:rsid w:val="0032018A"/>
    <w:rsid w:val="00320283"/>
    <w:rsid w:val="0032045B"/>
    <w:rsid w:val="0032049D"/>
    <w:rsid w:val="003210B2"/>
    <w:rsid w:val="00321580"/>
    <w:rsid w:val="00321764"/>
    <w:rsid w:val="003217C8"/>
    <w:rsid w:val="003218B1"/>
    <w:rsid w:val="00321E46"/>
    <w:rsid w:val="003225C1"/>
    <w:rsid w:val="00322878"/>
    <w:rsid w:val="0032287E"/>
    <w:rsid w:val="00322A6F"/>
    <w:rsid w:val="0032348E"/>
    <w:rsid w:val="00323501"/>
    <w:rsid w:val="00323E7A"/>
    <w:rsid w:val="003245A9"/>
    <w:rsid w:val="00324DD1"/>
    <w:rsid w:val="0032526A"/>
    <w:rsid w:val="003268C6"/>
    <w:rsid w:val="00326B73"/>
    <w:rsid w:val="00326DD4"/>
    <w:rsid w:val="00326F38"/>
    <w:rsid w:val="00327272"/>
    <w:rsid w:val="00327544"/>
    <w:rsid w:val="00327892"/>
    <w:rsid w:val="00330082"/>
    <w:rsid w:val="00330218"/>
    <w:rsid w:val="00330A60"/>
    <w:rsid w:val="00330EF2"/>
    <w:rsid w:val="0033167A"/>
    <w:rsid w:val="00331A7E"/>
    <w:rsid w:val="00331C35"/>
    <w:rsid w:val="00332A69"/>
    <w:rsid w:val="0033333C"/>
    <w:rsid w:val="00333493"/>
    <w:rsid w:val="00333B02"/>
    <w:rsid w:val="003341EE"/>
    <w:rsid w:val="00335F46"/>
    <w:rsid w:val="00336806"/>
    <w:rsid w:val="003368F5"/>
    <w:rsid w:val="003375C6"/>
    <w:rsid w:val="003378B6"/>
    <w:rsid w:val="00340153"/>
    <w:rsid w:val="0034104A"/>
    <w:rsid w:val="0034108C"/>
    <w:rsid w:val="003410A5"/>
    <w:rsid w:val="003411F5"/>
    <w:rsid w:val="00341590"/>
    <w:rsid w:val="00341A1E"/>
    <w:rsid w:val="0034201F"/>
    <w:rsid w:val="0034237B"/>
    <w:rsid w:val="003424A7"/>
    <w:rsid w:val="00342592"/>
    <w:rsid w:val="00342AE2"/>
    <w:rsid w:val="00343583"/>
    <w:rsid w:val="00343B77"/>
    <w:rsid w:val="00343F3B"/>
    <w:rsid w:val="003455F6"/>
    <w:rsid w:val="00345C86"/>
    <w:rsid w:val="0034687A"/>
    <w:rsid w:val="003469E4"/>
    <w:rsid w:val="00347203"/>
    <w:rsid w:val="0034798C"/>
    <w:rsid w:val="00347A54"/>
    <w:rsid w:val="003500FB"/>
    <w:rsid w:val="00350457"/>
    <w:rsid w:val="003504F5"/>
    <w:rsid w:val="003504F8"/>
    <w:rsid w:val="00350DC8"/>
    <w:rsid w:val="00351BC1"/>
    <w:rsid w:val="00351C30"/>
    <w:rsid w:val="003520AC"/>
    <w:rsid w:val="0035245E"/>
    <w:rsid w:val="00352693"/>
    <w:rsid w:val="00352699"/>
    <w:rsid w:val="00352AEF"/>
    <w:rsid w:val="00352B8C"/>
    <w:rsid w:val="003538F6"/>
    <w:rsid w:val="00355620"/>
    <w:rsid w:val="00355C35"/>
    <w:rsid w:val="00356E49"/>
    <w:rsid w:val="00357314"/>
    <w:rsid w:val="00357705"/>
    <w:rsid w:val="00357C4C"/>
    <w:rsid w:val="00357F40"/>
    <w:rsid w:val="003604F0"/>
    <w:rsid w:val="0036090B"/>
    <w:rsid w:val="003611D7"/>
    <w:rsid w:val="003612BF"/>
    <w:rsid w:val="00361AC7"/>
    <w:rsid w:val="00364D9E"/>
    <w:rsid w:val="003657F0"/>
    <w:rsid w:val="00365C3F"/>
    <w:rsid w:val="00365DBA"/>
    <w:rsid w:val="00365E18"/>
    <w:rsid w:val="00367595"/>
    <w:rsid w:val="00367FD7"/>
    <w:rsid w:val="00370E7E"/>
    <w:rsid w:val="003711D2"/>
    <w:rsid w:val="00371A3B"/>
    <w:rsid w:val="003720D5"/>
    <w:rsid w:val="00372153"/>
    <w:rsid w:val="003724DE"/>
    <w:rsid w:val="00372C06"/>
    <w:rsid w:val="00373032"/>
    <w:rsid w:val="0037366F"/>
    <w:rsid w:val="00373774"/>
    <w:rsid w:val="0037422E"/>
    <w:rsid w:val="0037442B"/>
    <w:rsid w:val="003747BF"/>
    <w:rsid w:val="00375999"/>
    <w:rsid w:val="00376379"/>
    <w:rsid w:val="0037669F"/>
    <w:rsid w:val="00376767"/>
    <w:rsid w:val="00376B32"/>
    <w:rsid w:val="00376DC1"/>
    <w:rsid w:val="0037775D"/>
    <w:rsid w:val="00377C0F"/>
    <w:rsid w:val="00377E56"/>
    <w:rsid w:val="00380531"/>
    <w:rsid w:val="00380D1A"/>
    <w:rsid w:val="003816C3"/>
    <w:rsid w:val="003819CB"/>
    <w:rsid w:val="00381DB6"/>
    <w:rsid w:val="00382244"/>
    <w:rsid w:val="0038265E"/>
    <w:rsid w:val="00382790"/>
    <w:rsid w:val="00383253"/>
    <w:rsid w:val="0038339F"/>
    <w:rsid w:val="00383EB6"/>
    <w:rsid w:val="00384001"/>
    <w:rsid w:val="0038441B"/>
    <w:rsid w:val="00384BC8"/>
    <w:rsid w:val="00385F48"/>
    <w:rsid w:val="00386D28"/>
    <w:rsid w:val="00387265"/>
    <w:rsid w:val="003877D3"/>
    <w:rsid w:val="0038799E"/>
    <w:rsid w:val="00387AC3"/>
    <w:rsid w:val="00390540"/>
    <w:rsid w:val="00390A0B"/>
    <w:rsid w:val="00391CCF"/>
    <w:rsid w:val="00391CE4"/>
    <w:rsid w:val="00392351"/>
    <w:rsid w:val="00392681"/>
    <w:rsid w:val="00392A3D"/>
    <w:rsid w:val="00392A3E"/>
    <w:rsid w:val="00392F31"/>
    <w:rsid w:val="00392F48"/>
    <w:rsid w:val="00392FF2"/>
    <w:rsid w:val="00394005"/>
    <w:rsid w:val="003949EC"/>
    <w:rsid w:val="00395149"/>
    <w:rsid w:val="003953BC"/>
    <w:rsid w:val="00395428"/>
    <w:rsid w:val="00395634"/>
    <w:rsid w:val="003958D2"/>
    <w:rsid w:val="003962D5"/>
    <w:rsid w:val="0039634D"/>
    <w:rsid w:val="00396F8C"/>
    <w:rsid w:val="00396FF8"/>
    <w:rsid w:val="003977CF"/>
    <w:rsid w:val="003A08B9"/>
    <w:rsid w:val="003A1A23"/>
    <w:rsid w:val="003A1A73"/>
    <w:rsid w:val="003A1FB5"/>
    <w:rsid w:val="003A25D4"/>
    <w:rsid w:val="003A26D5"/>
    <w:rsid w:val="003A2C6C"/>
    <w:rsid w:val="003A3B2E"/>
    <w:rsid w:val="003A3B75"/>
    <w:rsid w:val="003A3F6E"/>
    <w:rsid w:val="003A409C"/>
    <w:rsid w:val="003A4B36"/>
    <w:rsid w:val="003A5342"/>
    <w:rsid w:val="003A585D"/>
    <w:rsid w:val="003A6966"/>
    <w:rsid w:val="003A6ACB"/>
    <w:rsid w:val="003A71A7"/>
    <w:rsid w:val="003A78E1"/>
    <w:rsid w:val="003B03AA"/>
    <w:rsid w:val="003B0E4C"/>
    <w:rsid w:val="003B144B"/>
    <w:rsid w:val="003B1B31"/>
    <w:rsid w:val="003B2017"/>
    <w:rsid w:val="003B2577"/>
    <w:rsid w:val="003B2661"/>
    <w:rsid w:val="003B34A1"/>
    <w:rsid w:val="003B35F4"/>
    <w:rsid w:val="003B3FDC"/>
    <w:rsid w:val="003B402C"/>
    <w:rsid w:val="003B450C"/>
    <w:rsid w:val="003B4576"/>
    <w:rsid w:val="003B47AA"/>
    <w:rsid w:val="003B534E"/>
    <w:rsid w:val="003B5906"/>
    <w:rsid w:val="003B5B22"/>
    <w:rsid w:val="003B5D42"/>
    <w:rsid w:val="003B654E"/>
    <w:rsid w:val="003B6A03"/>
    <w:rsid w:val="003B6C16"/>
    <w:rsid w:val="003B7365"/>
    <w:rsid w:val="003B7D61"/>
    <w:rsid w:val="003B7D88"/>
    <w:rsid w:val="003C05BA"/>
    <w:rsid w:val="003C0CD4"/>
    <w:rsid w:val="003C0FBB"/>
    <w:rsid w:val="003C13C0"/>
    <w:rsid w:val="003C1661"/>
    <w:rsid w:val="003C2C8B"/>
    <w:rsid w:val="003C34C0"/>
    <w:rsid w:val="003C35F4"/>
    <w:rsid w:val="003C423C"/>
    <w:rsid w:val="003C4886"/>
    <w:rsid w:val="003C4D82"/>
    <w:rsid w:val="003C4DEE"/>
    <w:rsid w:val="003C4FA1"/>
    <w:rsid w:val="003C565F"/>
    <w:rsid w:val="003C6159"/>
    <w:rsid w:val="003C65CF"/>
    <w:rsid w:val="003C67B6"/>
    <w:rsid w:val="003D01AA"/>
    <w:rsid w:val="003D068A"/>
    <w:rsid w:val="003D08C0"/>
    <w:rsid w:val="003D21F6"/>
    <w:rsid w:val="003D354D"/>
    <w:rsid w:val="003D3C52"/>
    <w:rsid w:val="003D3D23"/>
    <w:rsid w:val="003D4616"/>
    <w:rsid w:val="003D5157"/>
    <w:rsid w:val="003D5532"/>
    <w:rsid w:val="003D5563"/>
    <w:rsid w:val="003D624C"/>
    <w:rsid w:val="003D6281"/>
    <w:rsid w:val="003D6D04"/>
    <w:rsid w:val="003D6F02"/>
    <w:rsid w:val="003D70DA"/>
    <w:rsid w:val="003D7DD7"/>
    <w:rsid w:val="003E0994"/>
    <w:rsid w:val="003E1675"/>
    <w:rsid w:val="003E1B08"/>
    <w:rsid w:val="003E1B97"/>
    <w:rsid w:val="003E1BEB"/>
    <w:rsid w:val="003E1E59"/>
    <w:rsid w:val="003E202D"/>
    <w:rsid w:val="003E2463"/>
    <w:rsid w:val="003E2E13"/>
    <w:rsid w:val="003E2E93"/>
    <w:rsid w:val="003E464D"/>
    <w:rsid w:val="003E4ABF"/>
    <w:rsid w:val="003E4CB9"/>
    <w:rsid w:val="003E6884"/>
    <w:rsid w:val="003E6C03"/>
    <w:rsid w:val="003E6CEE"/>
    <w:rsid w:val="003E730A"/>
    <w:rsid w:val="003E7532"/>
    <w:rsid w:val="003E7E7B"/>
    <w:rsid w:val="003E7F50"/>
    <w:rsid w:val="003F03A7"/>
    <w:rsid w:val="003F05E3"/>
    <w:rsid w:val="003F0886"/>
    <w:rsid w:val="003F09EB"/>
    <w:rsid w:val="003F0D32"/>
    <w:rsid w:val="003F0F40"/>
    <w:rsid w:val="003F163F"/>
    <w:rsid w:val="003F19D9"/>
    <w:rsid w:val="003F2231"/>
    <w:rsid w:val="003F2723"/>
    <w:rsid w:val="003F3185"/>
    <w:rsid w:val="003F332A"/>
    <w:rsid w:val="003F3CC3"/>
    <w:rsid w:val="003F3E62"/>
    <w:rsid w:val="003F5173"/>
    <w:rsid w:val="003F5256"/>
    <w:rsid w:val="003F578D"/>
    <w:rsid w:val="003F643C"/>
    <w:rsid w:val="003F72FB"/>
    <w:rsid w:val="003F7309"/>
    <w:rsid w:val="003F7338"/>
    <w:rsid w:val="003F743F"/>
    <w:rsid w:val="003F7D93"/>
    <w:rsid w:val="00400513"/>
    <w:rsid w:val="00400558"/>
    <w:rsid w:val="00400BE4"/>
    <w:rsid w:val="00400F40"/>
    <w:rsid w:val="00401ACF"/>
    <w:rsid w:val="00401B00"/>
    <w:rsid w:val="00401EA4"/>
    <w:rsid w:val="00401F67"/>
    <w:rsid w:val="0040223F"/>
    <w:rsid w:val="00402A71"/>
    <w:rsid w:val="00402D35"/>
    <w:rsid w:val="004039C9"/>
    <w:rsid w:val="00403AF2"/>
    <w:rsid w:val="004051FA"/>
    <w:rsid w:val="00407096"/>
    <w:rsid w:val="004070D6"/>
    <w:rsid w:val="0041033D"/>
    <w:rsid w:val="00411756"/>
    <w:rsid w:val="00411D2E"/>
    <w:rsid w:val="00412210"/>
    <w:rsid w:val="00412574"/>
    <w:rsid w:val="0041286A"/>
    <w:rsid w:val="00413DF2"/>
    <w:rsid w:val="00413F43"/>
    <w:rsid w:val="00414104"/>
    <w:rsid w:val="00415778"/>
    <w:rsid w:val="00415E3E"/>
    <w:rsid w:val="00416276"/>
    <w:rsid w:val="00416D92"/>
    <w:rsid w:val="004170A5"/>
    <w:rsid w:val="00417251"/>
    <w:rsid w:val="004173B6"/>
    <w:rsid w:val="00417502"/>
    <w:rsid w:val="0042068A"/>
    <w:rsid w:val="00420ABE"/>
    <w:rsid w:val="00420D55"/>
    <w:rsid w:val="004212F0"/>
    <w:rsid w:val="00421306"/>
    <w:rsid w:val="0042236F"/>
    <w:rsid w:val="0042260B"/>
    <w:rsid w:val="004228FB"/>
    <w:rsid w:val="00422C28"/>
    <w:rsid w:val="00423143"/>
    <w:rsid w:val="004239C7"/>
    <w:rsid w:val="00423D91"/>
    <w:rsid w:val="00423F63"/>
    <w:rsid w:val="00424584"/>
    <w:rsid w:val="004253F3"/>
    <w:rsid w:val="0042568F"/>
    <w:rsid w:val="00425E81"/>
    <w:rsid w:val="004262FF"/>
    <w:rsid w:val="00427744"/>
    <w:rsid w:val="00430333"/>
    <w:rsid w:val="0043087C"/>
    <w:rsid w:val="00430CFC"/>
    <w:rsid w:val="00430EF5"/>
    <w:rsid w:val="00430FE1"/>
    <w:rsid w:val="00430FE9"/>
    <w:rsid w:val="00431435"/>
    <w:rsid w:val="00431BF2"/>
    <w:rsid w:val="00431CB2"/>
    <w:rsid w:val="00431CB6"/>
    <w:rsid w:val="00432945"/>
    <w:rsid w:val="004329B4"/>
    <w:rsid w:val="00432D89"/>
    <w:rsid w:val="00433C6E"/>
    <w:rsid w:val="00434751"/>
    <w:rsid w:val="00434FA6"/>
    <w:rsid w:val="004350C4"/>
    <w:rsid w:val="00435692"/>
    <w:rsid w:val="00435BD0"/>
    <w:rsid w:val="0043673D"/>
    <w:rsid w:val="0044025A"/>
    <w:rsid w:val="00440A3E"/>
    <w:rsid w:val="00440E8C"/>
    <w:rsid w:val="0044114B"/>
    <w:rsid w:val="00441CA8"/>
    <w:rsid w:val="00441E4F"/>
    <w:rsid w:val="00441F4E"/>
    <w:rsid w:val="00442345"/>
    <w:rsid w:val="00442454"/>
    <w:rsid w:val="004429FD"/>
    <w:rsid w:val="004431CA"/>
    <w:rsid w:val="00443250"/>
    <w:rsid w:val="004434AD"/>
    <w:rsid w:val="004444C0"/>
    <w:rsid w:val="00446502"/>
    <w:rsid w:val="00446BC5"/>
    <w:rsid w:val="00447446"/>
    <w:rsid w:val="0044769F"/>
    <w:rsid w:val="00447ED8"/>
    <w:rsid w:val="00447F10"/>
    <w:rsid w:val="004506B8"/>
    <w:rsid w:val="004506DE"/>
    <w:rsid w:val="00450DF1"/>
    <w:rsid w:val="00451B43"/>
    <w:rsid w:val="00451C6E"/>
    <w:rsid w:val="0045229B"/>
    <w:rsid w:val="004522CB"/>
    <w:rsid w:val="00452A59"/>
    <w:rsid w:val="00453093"/>
    <w:rsid w:val="004533D4"/>
    <w:rsid w:val="0045344A"/>
    <w:rsid w:val="0045381B"/>
    <w:rsid w:val="0045422B"/>
    <w:rsid w:val="00454483"/>
    <w:rsid w:val="004544B5"/>
    <w:rsid w:val="0045487D"/>
    <w:rsid w:val="0045516A"/>
    <w:rsid w:val="00455243"/>
    <w:rsid w:val="004553BB"/>
    <w:rsid w:val="00455AE9"/>
    <w:rsid w:val="00455D84"/>
    <w:rsid w:val="00455F2B"/>
    <w:rsid w:val="004578D7"/>
    <w:rsid w:val="004600CB"/>
    <w:rsid w:val="004600E1"/>
    <w:rsid w:val="00460698"/>
    <w:rsid w:val="00460CBF"/>
    <w:rsid w:val="00461CF6"/>
    <w:rsid w:val="00461F19"/>
    <w:rsid w:val="00462185"/>
    <w:rsid w:val="004629FE"/>
    <w:rsid w:val="00462A47"/>
    <w:rsid w:val="00462EF0"/>
    <w:rsid w:val="00463192"/>
    <w:rsid w:val="00463BF6"/>
    <w:rsid w:val="00464052"/>
    <w:rsid w:val="004643ED"/>
    <w:rsid w:val="00465414"/>
    <w:rsid w:val="0046625A"/>
    <w:rsid w:val="00466C95"/>
    <w:rsid w:val="004672F8"/>
    <w:rsid w:val="00467B39"/>
    <w:rsid w:val="00467E7D"/>
    <w:rsid w:val="004705FD"/>
    <w:rsid w:val="00470A0F"/>
    <w:rsid w:val="00471088"/>
    <w:rsid w:val="004718CD"/>
    <w:rsid w:val="004719BE"/>
    <w:rsid w:val="004719C0"/>
    <w:rsid w:val="004719EA"/>
    <w:rsid w:val="00471FF8"/>
    <w:rsid w:val="004724EA"/>
    <w:rsid w:val="004726B9"/>
    <w:rsid w:val="00472B5B"/>
    <w:rsid w:val="004732BE"/>
    <w:rsid w:val="004738B5"/>
    <w:rsid w:val="004745C1"/>
    <w:rsid w:val="00474B0E"/>
    <w:rsid w:val="00475214"/>
    <w:rsid w:val="0047683B"/>
    <w:rsid w:val="004769C5"/>
    <w:rsid w:val="004773CD"/>
    <w:rsid w:val="00477731"/>
    <w:rsid w:val="0048007B"/>
    <w:rsid w:val="004806C4"/>
    <w:rsid w:val="00480E49"/>
    <w:rsid w:val="00480E8F"/>
    <w:rsid w:val="00481129"/>
    <w:rsid w:val="00481EC4"/>
    <w:rsid w:val="0048266C"/>
    <w:rsid w:val="00482FA3"/>
    <w:rsid w:val="004835D3"/>
    <w:rsid w:val="0048384B"/>
    <w:rsid w:val="00483C5A"/>
    <w:rsid w:val="00483E22"/>
    <w:rsid w:val="00483F6B"/>
    <w:rsid w:val="00484E82"/>
    <w:rsid w:val="00485482"/>
    <w:rsid w:val="00487E72"/>
    <w:rsid w:val="00487FB4"/>
    <w:rsid w:val="00490B71"/>
    <w:rsid w:val="00490BA8"/>
    <w:rsid w:val="004910A8"/>
    <w:rsid w:val="00492410"/>
    <w:rsid w:val="00493EDA"/>
    <w:rsid w:val="00493F07"/>
    <w:rsid w:val="00494306"/>
    <w:rsid w:val="00494BEA"/>
    <w:rsid w:val="00495714"/>
    <w:rsid w:val="00496014"/>
    <w:rsid w:val="00496B0A"/>
    <w:rsid w:val="00497068"/>
    <w:rsid w:val="0049755F"/>
    <w:rsid w:val="00497F21"/>
    <w:rsid w:val="004A09CB"/>
    <w:rsid w:val="004A11D4"/>
    <w:rsid w:val="004A13D3"/>
    <w:rsid w:val="004A1822"/>
    <w:rsid w:val="004A1B58"/>
    <w:rsid w:val="004A1E6F"/>
    <w:rsid w:val="004A22F4"/>
    <w:rsid w:val="004A2C91"/>
    <w:rsid w:val="004A2D35"/>
    <w:rsid w:val="004A31A3"/>
    <w:rsid w:val="004A42C2"/>
    <w:rsid w:val="004A6547"/>
    <w:rsid w:val="004A7423"/>
    <w:rsid w:val="004A7E3D"/>
    <w:rsid w:val="004A7EEF"/>
    <w:rsid w:val="004A7F65"/>
    <w:rsid w:val="004B0025"/>
    <w:rsid w:val="004B09AD"/>
    <w:rsid w:val="004B0B4B"/>
    <w:rsid w:val="004B10FE"/>
    <w:rsid w:val="004B1208"/>
    <w:rsid w:val="004B1495"/>
    <w:rsid w:val="004B1DBB"/>
    <w:rsid w:val="004B209C"/>
    <w:rsid w:val="004B24E9"/>
    <w:rsid w:val="004B24ED"/>
    <w:rsid w:val="004B2668"/>
    <w:rsid w:val="004B2D3A"/>
    <w:rsid w:val="004B2D80"/>
    <w:rsid w:val="004B3283"/>
    <w:rsid w:val="004B363B"/>
    <w:rsid w:val="004B3740"/>
    <w:rsid w:val="004B388D"/>
    <w:rsid w:val="004B3F26"/>
    <w:rsid w:val="004B4589"/>
    <w:rsid w:val="004B51C2"/>
    <w:rsid w:val="004B5A90"/>
    <w:rsid w:val="004B5BB7"/>
    <w:rsid w:val="004B649B"/>
    <w:rsid w:val="004B661B"/>
    <w:rsid w:val="004B6E65"/>
    <w:rsid w:val="004B7C97"/>
    <w:rsid w:val="004C00BA"/>
    <w:rsid w:val="004C06F4"/>
    <w:rsid w:val="004C19E0"/>
    <w:rsid w:val="004C1A1C"/>
    <w:rsid w:val="004C1A2A"/>
    <w:rsid w:val="004C2086"/>
    <w:rsid w:val="004C20A9"/>
    <w:rsid w:val="004C2931"/>
    <w:rsid w:val="004C2A67"/>
    <w:rsid w:val="004C3CBA"/>
    <w:rsid w:val="004C4116"/>
    <w:rsid w:val="004C496A"/>
    <w:rsid w:val="004C4A89"/>
    <w:rsid w:val="004C4FB0"/>
    <w:rsid w:val="004C5316"/>
    <w:rsid w:val="004C6120"/>
    <w:rsid w:val="004C79B5"/>
    <w:rsid w:val="004C7D00"/>
    <w:rsid w:val="004D0B23"/>
    <w:rsid w:val="004D0E1B"/>
    <w:rsid w:val="004D103A"/>
    <w:rsid w:val="004D16C0"/>
    <w:rsid w:val="004D1893"/>
    <w:rsid w:val="004D2190"/>
    <w:rsid w:val="004D23BA"/>
    <w:rsid w:val="004D2AFE"/>
    <w:rsid w:val="004D2C2D"/>
    <w:rsid w:val="004D301E"/>
    <w:rsid w:val="004D3364"/>
    <w:rsid w:val="004D3C49"/>
    <w:rsid w:val="004D3D1B"/>
    <w:rsid w:val="004D44DB"/>
    <w:rsid w:val="004D48F4"/>
    <w:rsid w:val="004D4D54"/>
    <w:rsid w:val="004D5038"/>
    <w:rsid w:val="004D50AD"/>
    <w:rsid w:val="004D5A3F"/>
    <w:rsid w:val="004D6335"/>
    <w:rsid w:val="004D6759"/>
    <w:rsid w:val="004D6FAB"/>
    <w:rsid w:val="004D7144"/>
    <w:rsid w:val="004E0035"/>
    <w:rsid w:val="004E01CE"/>
    <w:rsid w:val="004E028B"/>
    <w:rsid w:val="004E130F"/>
    <w:rsid w:val="004E1563"/>
    <w:rsid w:val="004E2760"/>
    <w:rsid w:val="004E39F0"/>
    <w:rsid w:val="004E405C"/>
    <w:rsid w:val="004E440C"/>
    <w:rsid w:val="004E44A6"/>
    <w:rsid w:val="004E4684"/>
    <w:rsid w:val="004E4C9E"/>
    <w:rsid w:val="004E4D31"/>
    <w:rsid w:val="004E5251"/>
    <w:rsid w:val="004E612E"/>
    <w:rsid w:val="004E671B"/>
    <w:rsid w:val="004E6B64"/>
    <w:rsid w:val="004E6D95"/>
    <w:rsid w:val="004E6FD5"/>
    <w:rsid w:val="004E72FA"/>
    <w:rsid w:val="004E76D3"/>
    <w:rsid w:val="004E76FA"/>
    <w:rsid w:val="004E7D5E"/>
    <w:rsid w:val="004F0219"/>
    <w:rsid w:val="004F09C5"/>
    <w:rsid w:val="004F0C72"/>
    <w:rsid w:val="004F0E8B"/>
    <w:rsid w:val="004F100E"/>
    <w:rsid w:val="004F16D9"/>
    <w:rsid w:val="004F1F42"/>
    <w:rsid w:val="004F4474"/>
    <w:rsid w:val="004F4D0D"/>
    <w:rsid w:val="004F4D7B"/>
    <w:rsid w:val="004F4EC4"/>
    <w:rsid w:val="004F625E"/>
    <w:rsid w:val="004F6357"/>
    <w:rsid w:val="004F685F"/>
    <w:rsid w:val="004F6DDF"/>
    <w:rsid w:val="004F7CB9"/>
    <w:rsid w:val="00500531"/>
    <w:rsid w:val="00500892"/>
    <w:rsid w:val="00500BF4"/>
    <w:rsid w:val="005018B0"/>
    <w:rsid w:val="0050262E"/>
    <w:rsid w:val="00502B74"/>
    <w:rsid w:val="00502C72"/>
    <w:rsid w:val="00502E77"/>
    <w:rsid w:val="005033C2"/>
    <w:rsid w:val="0050356F"/>
    <w:rsid w:val="00503594"/>
    <w:rsid w:val="005035F2"/>
    <w:rsid w:val="005038A6"/>
    <w:rsid w:val="005039AC"/>
    <w:rsid w:val="005040DD"/>
    <w:rsid w:val="0050431C"/>
    <w:rsid w:val="00504C9F"/>
    <w:rsid w:val="00505043"/>
    <w:rsid w:val="00505561"/>
    <w:rsid w:val="0050592B"/>
    <w:rsid w:val="00506B4C"/>
    <w:rsid w:val="00506C4A"/>
    <w:rsid w:val="005071A9"/>
    <w:rsid w:val="0051076D"/>
    <w:rsid w:val="00510B2E"/>
    <w:rsid w:val="00510B81"/>
    <w:rsid w:val="0051160C"/>
    <w:rsid w:val="00511690"/>
    <w:rsid w:val="005116BB"/>
    <w:rsid w:val="00511814"/>
    <w:rsid w:val="00511CF7"/>
    <w:rsid w:val="00512763"/>
    <w:rsid w:val="00512A9E"/>
    <w:rsid w:val="00512D58"/>
    <w:rsid w:val="005138EB"/>
    <w:rsid w:val="005139BA"/>
    <w:rsid w:val="0051402C"/>
    <w:rsid w:val="00514161"/>
    <w:rsid w:val="00515C7E"/>
    <w:rsid w:val="0051779F"/>
    <w:rsid w:val="00517C03"/>
    <w:rsid w:val="00520965"/>
    <w:rsid w:val="005209B8"/>
    <w:rsid w:val="00520DFA"/>
    <w:rsid w:val="0052199A"/>
    <w:rsid w:val="00521F6A"/>
    <w:rsid w:val="00522CDC"/>
    <w:rsid w:val="00523003"/>
    <w:rsid w:val="00523C6F"/>
    <w:rsid w:val="00523ECC"/>
    <w:rsid w:val="00524346"/>
    <w:rsid w:val="00524E51"/>
    <w:rsid w:val="00525263"/>
    <w:rsid w:val="0052548C"/>
    <w:rsid w:val="005255CA"/>
    <w:rsid w:val="00526582"/>
    <w:rsid w:val="00527311"/>
    <w:rsid w:val="0052778A"/>
    <w:rsid w:val="00527B7C"/>
    <w:rsid w:val="00530287"/>
    <w:rsid w:val="0053080A"/>
    <w:rsid w:val="00531915"/>
    <w:rsid w:val="005321AC"/>
    <w:rsid w:val="005326A9"/>
    <w:rsid w:val="00532EAA"/>
    <w:rsid w:val="0053380D"/>
    <w:rsid w:val="005343BE"/>
    <w:rsid w:val="005344A6"/>
    <w:rsid w:val="00534A36"/>
    <w:rsid w:val="00535AD1"/>
    <w:rsid w:val="00536DCE"/>
    <w:rsid w:val="00536F13"/>
    <w:rsid w:val="00537378"/>
    <w:rsid w:val="00537569"/>
    <w:rsid w:val="005376B6"/>
    <w:rsid w:val="00537E04"/>
    <w:rsid w:val="00537FB2"/>
    <w:rsid w:val="00541E92"/>
    <w:rsid w:val="005420B6"/>
    <w:rsid w:val="005430D7"/>
    <w:rsid w:val="00544FB2"/>
    <w:rsid w:val="0054522C"/>
    <w:rsid w:val="005453F2"/>
    <w:rsid w:val="00545920"/>
    <w:rsid w:val="00545C95"/>
    <w:rsid w:val="005464B7"/>
    <w:rsid w:val="00546835"/>
    <w:rsid w:val="00546CDF"/>
    <w:rsid w:val="00547A3C"/>
    <w:rsid w:val="0055040B"/>
    <w:rsid w:val="00550488"/>
    <w:rsid w:val="00551064"/>
    <w:rsid w:val="005522B0"/>
    <w:rsid w:val="005527BD"/>
    <w:rsid w:val="00552CA0"/>
    <w:rsid w:val="0055316C"/>
    <w:rsid w:val="00553913"/>
    <w:rsid w:val="00553B86"/>
    <w:rsid w:val="00553EFD"/>
    <w:rsid w:val="00554C89"/>
    <w:rsid w:val="00554D45"/>
    <w:rsid w:val="00555353"/>
    <w:rsid w:val="00555DF5"/>
    <w:rsid w:val="00556375"/>
    <w:rsid w:val="00557BF1"/>
    <w:rsid w:val="0056035A"/>
    <w:rsid w:val="00560483"/>
    <w:rsid w:val="00560CA7"/>
    <w:rsid w:val="00561794"/>
    <w:rsid w:val="00561D5B"/>
    <w:rsid w:val="00562A14"/>
    <w:rsid w:val="0056318A"/>
    <w:rsid w:val="0056343F"/>
    <w:rsid w:val="005636C2"/>
    <w:rsid w:val="005637CA"/>
    <w:rsid w:val="00563A04"/>
    <w:rsid w:val="00563C51"/>
    <w:rsid w:val="00563E1E"/>
    <w:rsid w:val="00564F3D"/>
    <w:rsid w:val="00567C29"/>
    <w:rsid w:val="005701A3"/>
    <w:rsid w:val="00570801"/>
    <w:rsid w:val="00570E77"/>
    <w:rsid w:val="005715AA"/>
    <w:rsid w:val="00571E3A"/>
    <w:rsid w:val="0057218B"/>
    <w:rsid w:val="00572F17"/>
    <w:rsid w:val="005740CB"/>
    <w:rsid w:val="00574214"/>
    <w:rsid w:val="0057428F"/>
    <w:rsid w:val="0057436D"/>
    <w:rsid w:val="00576093"/>
    <w:rsid w:val="00577C7D"/>
    <w:rsid w:val="00577C89"/>
    <w:rsid w:val="005801A4"/>
    <w:rsid w:val="00580600"/>
    <w:rsid w:val="005818FC"/>
    <w:rsid w:val="0058285B"/>
    <w:rsid w:val="0058290F"/>
    <w:rsid w:val="00582910"/>
    <w:rsid w:val="005833A0"/>
    <w:rsid w:val="00583B9C"/>
    <w:rsid w:val="00584016"/>
    <w:rsid w:val="00584642"/>
    <w:rsid w:val="00584EC6"/>
    <w:rsid w:val="0058522D"/>
    <w:rsid w:val="005852FC"/>
    <w:rsid w:val="00585360"/>
    <w:rsid w:val="0058589D"/>
    <w:rsid w:val="00585F9E"/>
    <w:rsid w:val="0058610E"/>
    <w:rsid w:val="005862A7"/>
    <w:rsid w:val="005863D1"/>
    <w:rsid w:val="00586D0D"/>
    <w:rsid w:val="00586ECF"/>
    <w:rsid w:val="005870A5"/>
    <w:rsid w:val="00587702"/>
    <w:rsid w:val="0059014B"/>
    <w:rsid w:val="00590232"/>
    <w:rsid w:val="005917DD"/>
    <w:rsid w:val="00591F24"/>
    <w:rsid w:val="005920FA"/>
    <w:rsid w:val="005926E8"/>
    <w:rsid w:val="00593A87"/>
    <w:rsid w:val="0059411E"/>
    <w:rsid w:val="005943AA"/>
    <w:rsid w:val="0059455C"/>
    <w:rsid w:val="00594591"/>
    <w:rsid w:val="0059529B"/>
    <w:rsid w:val="00595303"/>
    <w:rsid w:val="005956CB"/>
    <w:rsid w:val="00595CF9"/>
    <w:rsid w:val="00595E6B"/>
    <w:rsid w:val="00596063"/>
    <w:rsid w:val="005963A1"/>
    <w:rsid w:val="005964A3"/>
    <w:rsid w:val="0059668A"/>
    <w:rsid w:val="00596D6C"/>
    <w:rsid w:val="00596FBB"/>
    <w:rsid w:val="00597142"/>
    <w:rsid w:val="00597350"/>
    <w:rsid w:val="00597BC5"/>
    <w:rsid w:val="005A0CBA"/>
    <w:rsid w:val="005A10E4"/>
    <w:rsid w:val="005A186C"/>
    <w:rsid w:val="005A19CC"/>
    <w:rsid w:val="005A1EEB"/>
    <w:rsid w:val="005A1F81"/>
    <w:rsid w:val="005A2CE9"/>
    <w:rsid w:val="005A42DC"/>
    <w:rsid w:val="005A4852"/>
    <w:rsid w:val="005A5511"/>
    <w:rsid w:val="005A5A8F"/>
    <w:rsid w:val="005A727F"/>
    <w:rsid w:val="005A74BC"/>
    <w:rsid w:val="005A7D35"/>
    <w:rsid w:val="005A7DC1"/>
    <w:rsid w:val="005B0176"/>
    <w:rsid w:val="005B06E5"/>
    <w:rsid w:val="005B06E9"/>
    <w:rsid w:val="005B0820"/>
    <w:rsid w:val="005B08E7"/>
    <w:rsid w:val="005B09BF"/>
    <w:rsid w:val="005B0D58"/>
    <w:rsid w:val="005B1317"/>
    <w:rsid w:val="005B1B0C"/>
    <w:rsid w:val="005B2285"/>
    <w:rsid w:val="005B256A"/>
    <w:rsid w:val="005B2A19"/>
    <w:rsid w:val="005B33C8"/>
    <w:rsid w:val="005B3495"/>
    <w:rsid w:val="005B3528"/>
    <w:rsid w:val="005B4151"/>
    <w:rsid w:val="005B41C9"/>
    <w:rsid w:val="005B4735"/>
    <w:rsid w:val="005B49DE"/>
    <w:rsid w:val="005B4CFA"/>
    <w:rsid w:val="005B54F7"/>
    <w:rsid w:val="005B6173"/>
    <w:rsid w:val="005B6B27"/>
    <w:rsid w:val="005B6BD9"/>
    <w:rsid w:val="005B7054"/>
    <w:rsid w:val="005B773E"/>
    <w:rsid w:val="005B778A"/>
    <w:rsid w:val="005B799A"/>
    <w:rsid w:val="005B7C2D"/>
    <w:rsid w:val="005B7C71"/>
    <w:rsid w:val="005C0819"/>
    <w:rsid w:val="005C0A86"/>
    <w:rsid w:val="005C1247"/>
    <w:rsid w:val="005C20CE"/>
    <w:rsid w:val="005C2414"/>
    <w:rsid w:val="005C250B"/>
    <w:rsid w:val="005C274B"/>
    <w:rsid w:val="005C2EC4"/>
    <w:rsid w:val="005C3251"/>
    <w:rsid w:val="005C33DB"/>
    <w:rsid w:val="005C369F"/>
    <w:rsid w:val="005C3889"/>
    <w:rsid w:val="005C38B7"/>
    <w:rsid w:val="005C4718"/>
    <w:rsid w:val="005C487E"/>
    <w:rsid w:val="005C4ADD"/>
    <w:rsid w:val="005C587D"/>
    <w:rsid w:val="005C689F"/>
    <w:rsid w:val="005C6C59"/>
    <w:rsid w:val="005C6EBC"/>
    <w:rsid w:val="005C725E"/>
    <w:rsid w:val="005C7C92"/>
    <w:rsid w:val="005C7D12"/>
    <w:rsid w:val="005C7E74"/>
    <w:rsid w:val="005D07ED"/>
    <w:rsid w:val="005D0921"/>
    <w:rsid w:val="005D0EA3"/>
    <w:rsid w:val="005D4821"/>
    <w:rsid w:val="005D4AA3"/>
    <w:rsid w:val="005D4DE2"/>
    <w:rsid w:val="005D56D0"/>
    <w:rsid w:val="005D5995"/>
    <w:rsid w:val="005D5CD4"/>
    <w:rsid w:val="005D62F7"/>
    <w:rsid w:val="005D6848"/>
    <w:rsid w:val="005D77C2"/>
    <w:rsid w:val="005E0D95"/>
    <w:rsid w:val="005E1446"/>
    <w:rsid w:val="005E1FD7"/>
    <w:rsid w:val="005E20A7"/>
    <w:rsid w:val="005E226A"/>
    <w:rsid w:val="005E31F6"/>
    <w:rsid w:val="005E452D"/>
    <w:rsid w:val="005E50EA"/>
    <w:rsid w:val="005E515E"/>
    <w:rsid w:val="005E5510"/>
    <w:rsid w:val="005E57C4"/>
    <w:rsid w:val="005E57FE"/>
    <w:rsid w:val="005E586D"/>
    <w:rsid w:val="005E5A5D"/>
    <w:rsid w:val="005E5C83"/>
    <w:rsid w:val="005E5CDF"/>
    <w:rsid w:val="005E5D6F"/>
    <w:rsid w:val="005E5F4A"/>
    <w:rsid w:val="005E76C9"/>
    <w:rsid w:val="005E7B90"/>
    <w:rsid w:val="005F09D8"/>
    <w:rsid w:val="005F0BD2"/>
    <w:rsid w:val="005F11E4"/>
    <w:rsid w:val="005F1240"/>
    <w:rsid w:val="005F12C0"/>
    <w:rsid w:val="005F1436"/>
    <w:rsid w:val="005F14EA"/>
    <w:rsid w:val="005F18EF"/>
    <w:rsid w:val="005F2757"/>
    <w:rsid w:val="005F2E82"/>
    <w:rsid w:val="005F3015"/>
    <w:rsid w:val="005F3447"/>
    <w:rsid w:val="005F3816"/>
    <w:rsid w:val="005F3A8F"/>
    <w:rsid w:val="005F3DC2"/>
    <w:rsid w:val="005F4495"/>
    <w:rsid w:val="005F4500"/>
    <w:rsid w:val="005F4DD6"/>
    <w:rsid w:val="005F5057"/>
    <w:rsid w:val="005F50D4"/>
    <w:rsid w:val="005F66FD"/>
    <w:rsid w:val="005F717A"/>
    <w:rsid w:val="005F72DA"/>
    <w:rsid w:val="005F744D"/>
    <w:rsid w:val="005F7983"/>
    <w:rsid w:val="005F7C7A"/>
    <w:rsid w:val="005F7FBE"/>
    <w:rsid w:val="006000C2"/>
    <w:rsid w:val="006004A7"/>
    <w:rsid w:val="00600847"/>
    <w:rsid w:val="0060115D"/>
    <w:rsid w:val="00601731"/>
    <w:rsid w:val="006017A4"/>
    <w:rsid w:val="006023F7"/>
    <w:rsid w:val="006025C1"/>
    <w:rsid w:val="00602842"/>
    <w:rsid w:val="00602858"/>
    <w:rsid w:val="00602AE3"/>
    <w:rsid w:val="00602B4D"/>
    <w:rsid w:val="00602B6E"/>
    <w:rsid w:val="00603625"/>
    <w:rsid w:val="00603FBC"/>
    <w:rsid w:val="006040C4"/>
    <w:rsid w:val="00606051"/>
    <w:rsid w:val="006061C6"/>
    <w:rsid w:val="00607167"/>
    <w:rsid w:val="00607338"/>
    <w:rsid w:val="006075DA"/>
    <w:rsid w:val="006077ED"/>
    <w:rsid w:val="00607D30"/>
    <w:rsid w:val="00607E5D"/>
    <w:rsid w:val="00610281"/>
    <w:rsid w:val="00610617"/>
    <w:rsid w:val="006128E2"/>
    <w:rsid w:val="006129B0"/>
    <w:rsid w:val="00612A32"/>
    <w:rsid w:val="00612DA5"/>
    <w:rsid w:val="0061312D"/>
    <w:rsid w:val="006137F2"/>
    <w:rsid w:val="00613DBE"/>
    <w:rsid w:val="0061411F"/>
    <w:rsid w:val="0061447A"/>
    <w:rsid w:val="0061484A"/>
    <w:rsid w:val="0061484F"/>
    <w:rsid w:val="00614EA7"/>
    <w:rsid w:val="0061500C"/>
    <w:rsid w:val="0061534D"/>
    <w:rsid w:val="00617489"/>
    <w:rsid w:val="00617B16"/>
    <w:rsid w:val="00617DF4"/>
    <w:rsid w:val="0062059A"/>
    <w:rsid w:val="0062079D"/>
    <w:rsid w:val="0062187A"/>
    <w:rsid w:val="00621B4B"/>
    <w:rsid w:val="00621E26"/>
    <w:rsid w:val="00621EBD"/>
    <w:rsid w:val="0062217E"/>
    <w:rsid w:val="006229A0"/>
    <w:rsid w:val="00622DEF"/>
    <w:rsid w:val="00623CF5"/>
    <w:rsid w:val="00624408"/>
    <w:rsid w:val="006246BA"/>
    <w:rsid w:val="00624711"/>
    <w:rsid w:val="00624EF3"/>
    <w:rsid w:val="006256A7"/>
    <w:rsid w:val="006259AE"/>
    <w:rsid w:val="00625ECB"/>
    <w:rsid w:val="00626822"/>
    <w:rsid w:val="00627A0C"/>
    <w:rsid w:val="00627B18"/>
    <w:rsid w:val="00627CFA"/>
    <w:rsid w:val="006300F7"/>
    <w:rsid w:val="00630995"/>
    <w:rsid w:val="00630D44"/>
    <w:rsid w:val="00632558"/>
    <w:rsid w:val="00632645"/>
    <w:rsid w:val="00632D51"/>
    <w:rsid w:val="0063391D"/>
    <w:rsid w:val="00633A11"/>
    <w:rsid w:val="00633A6B"/>
    <w:rsid w:val="00634259"/>
    <w:rsid w:val="00634326"/>
    <w:rsid w:val="006347DC"/>
    <w:rsid w:val="006347DF"/>
    <w:rsid w:val="00637195"/>
    <w:rsid w:val="0063742E"/>
    <w:rsid w:val="00637CA9"/>
    <w:rsid w:val="00640A5E"/>
    <w:rsid w:val="0064104C"/>
    <w:rsid w:val="00641225"/>
    <w:rsid w:val="00642C4C"/>
    <w:rsid w:val="00642CDC"/>
    <w:rsid w:val="0064305A"/>
    <w:rsid w:val="006432AB"/>
    <w:rsid w:val="00644056"/>
    <w:rsid w:val="00644A55"/>
    <w:rsid w:val="00644AC8"/>
    <w:rsid w:val="00645156"/>
    <w:rsid w:val="006451B0"/>
    <w:rsid w:val="00645BBD"/>
    <w:rsid w:val="00646F1E"/>
    <w:rsid w:val="006476A0"/>
    <w:rsid w:val="00647B1F"/>
    <w:rsid w:val="00647DED"/>
    <w:rsid w:val="006500A7"/>
    <w:rsid w:val="006518BA"/>
    <w:rsid w:val="00651CDB"/>
    <w:rsid w:val="00651D41"/>
    <w:rsid w:val="006527D7"/>
    <w:rsid w:val="00652924"/>
    <w:rsid w:val="00652B11"/>
    <w:rsid w:val="006531F0"/>
    <w:rsid w:val="0065368C"/>
    <w:rsid w:val="00653B22"/>
    <w:rsid w:val="00654123"/>
    <w:rsid w:val="00654151"/>
    <w:rsid w:val="0065415E"/>
    <w:rsid w:val="006544C5"/>
    <w:rsid w:val="006547D1"/>
    <w:rsid w:val="00654A98"/>
    <w:rsid w:val="006551F1"/>
    <w:rsid w:val="006562DD"/>
    <w:rsid w:val="006564C0"/>
    <w:rsid w:val="00656CE9"/>
    <w:rsid w:val="00657511"/>
    <w:rsid w:val="00657CEA"/>
    <w:rsid w:val="006600A8"/>
    <w:rsid w:val="00660677"/>
    <w:rsid w:val="00660DE3"/>
    <w:rsid w:val="00660E2A"/>
    <w:rsid w:val="00660FB2"/>
    <w:rsid w:val="00660FD2"/>
    <w:rsid w:val="00661402"/>
    <w:rsid w:val="006620DF"/>
    <w:rsid w:val="00662222"/>
    <w:rsid w:val="00662242"/>
    <w:rsid w:val="006623D1"/>
    <w:rsid w:val="00662B07"/>
    <w:rsid w:val="00662D25"/>
    <w:rsid w:val="00663D01"/>
    <w:rsid w:val="00663D3B"/>
    <w:rsid w:val="00664585"/>
    <w:rsid w:val="00664937"/>
    <w:rsid w:val="00664977"/>
    <w:rsid w:val="0066509F"/>
    <w:rsid w:val="00665259"/>
    <w:rsid w:val="00665932"/>
    <w:rsid w:val="00665AE5"/>
    <w:rsid w:val="00665C27"/>
    <w:rsid w:val="00665C53"/>
    <w:rsid w:val="0066637F"/>
    <w:rsid w:val="00666C9A"/>
    <w:rsid w:val="0066768A"/>
    <w:rsid w:val="0066778E"/>
    <w:rsid w:val="00667C4E"/>
    <w:rsid w:val="00670356"/>
    <w:rsid w:val="00670B21"/>
    <w:rsid w:val="00670FA2"/>
    <w:rsid w:val="006711F8"/>
    <w:rsid w:val="00671C58"/>
    <w:rsid w:val="00671E15"/>
    <w:rsid w:val="00672066"/>
    <w:rsid w:val="006721D5"/>
    <w:rsid w:val="00672953"/>
    <w:rsid w:val="006729B3"/>
    <w:rsid w:val="00673507"/>
    <w:rsid w:val="00673E95"/>
    <w:rsid w:val="00674927"/>
    <w:rsid w:val="00675DDE"/>
    <w:rsid w:val="00676136"/>
    <w:rsid w:val="0067642F"/>
    <w:rsid w:val="00676638"/>
    <w:rsid w:val="006769BB"/>
    <w:rsid w:val="00676E42"/>
    <w:rsid w:val="0067709E"/>
    <w:rsid w:val="006779FC"/>
    <w:rsid w:val="0068059B"/>
    <w:rsid w:val="00680BEB"/>
    <w:rsid w:val="00680D78"/>
    <w:rsid w:val="0068132A"/>
    <w:rsid w:val="00681EF9"/>
    <w:rsid w:val="00682F88"/>
    <w:rsid w:val="006834B7"/>
    <w:rsid w:val="006837AE"/>
    <w:rsid w:val="00683957"/>
    <w:rsid w:val="00683A0F"/>
    <w:rsid w:val="00683A8A"/>
    <w:rsid w:val="00683B43"/>
    <w:rsid w:val="00683C73"/>
    <w:rsid w:val="0068484B"/>
    <w:rsid w:val="006848A2"/>
    <w:rsid w:val="00684AEA"/>
    <w:rsid w:val="0068508C"/>
    <w:rsid w:val="006853D4"/>
    <w:rsid w:val="006853D6"/>
    <w:rsid w:val="0068561B"/>
    <w:rsid w:val="00685848"/>
    <w:rsid w:val="00685C75"/>
    <w:rsid w:val="00686C52"/>
    <w:rsid w:val="00686DD3"/>
    <w:rsid w:val="00687788"/>
    <w:rsid w:val="0069040D"/>
    <w:rsid w:val="0069061B"/>
    <w:rsid w:val="0069070A"/>
    <w:rsid w:val="00690784"/>
    <w:rsid w:val="00691543"/>
    <w:rsid w:val="00693177"/>
    <w:rsid w:val="0069376C"/>
    <w:rsid w:val="00693887"/>
    <w:rsid w:val="00695E2C"/>
    <w:rsid w:val="00696A04"/>
    <w:rsid w:val="00696BF0"/>
    <w:rsid w:val="00696D05"/>
    <w:rsid w:val="00696F5B"/>
    <w:rsid w:val="006971E7"/>
    <w:rsid w:val="00697CDD"/>
    <w:rsid w:val="006A09DA"/>
    <w:rsid w:val="006A0EE0"/>
    <w:rsid w:val="006A1A19"/>
    <w:rsid w:val="006A2DE7"/>
    <w:rsid w:val="006A2EF9"/>
    <w:rsid w:val="006A3599"/>
    <w:rsid w:val="006A3779"/>
    <w:rsid w:val="006A4103"/>
    <w:rsid w:val="006A4CA2"/>
    <w:rsid w:val="006A546E"/>
    <w:rsid w:val="006A5CAA"/>
    <w:rsid w:val="006A6C28"/>
    <w:rsid w:val="006A7CBA"/>
    <w:rsid w:val="006B0C93"/>
    <w:rsid w:val="006B0DFA"/>
    <w:rsid w:val="006B0F7F"/>
    <w:rsid w:val="006B116E"/>
    <w:rsid w:val="006B1CE4"/>
    <w:rsid w:val="006B2231"/>
    <w:rsid w:val="006B25E9"/>
    <w:rsid w:val="006B331A"/>
    <w:rsid w:val="006B3BDD"/>
    <w:rsid w:val="006B4488"/>
    <w:rsid w:val="006B5F4A"/>
    <w:rsid w:val="006B62A5"/>
    <w:rsid w:val="006B6CE2"/>
    <w:rsid w:val="006B7218"/>
    <w:rsid w:val="006B7772"/>
    <w:rsid w:val="006B7C79"/>
    <w:rsid w:val="006C0035"/>
    <w:rsid w:val="006C07C5"/>
    <w:rsid w:val="006C0838"/>
    <w:rsid w:val="006C1562"/>
    <w:rsid w:val="006C1F95"/>
    <w:rsid w:val="006C2D6D"/>
    <w:rsid w:val="006C2FE1"/>
    <w:rsid w:val="006C40E0"/>
    <w:rsid w:val="006C45E4"/>
    <w:rsid w:val="006C5101"/>
    <w:rsid w:val="006C5B06"/>
    <w:rsid w:val="006C635F"/>
    <w:rsid w:val="006C645C"/>
    <w:rsid w:val="006C6733"/>
    <w:rsid w:val="006C6777"/>
    <w:rsid w:val="006C743D"/>
    <w:rsid w:val="006C79E1"/>
    <w:rsid w:val="006C7A29"/>
    <w:rsid w:val="006C7E2D"/>
    <w:rsid w:val="006D0690"/>
    <w:rsid w:val="006D128C"/>
    <w:rsid w:val="006D17F7"/>
    <w:rsid w:val="006D1EB0"/>
    <w:rsid w:val="006D2286"/>
    <w:rsid w:val="006D263E"/>
    <w:rsid w:val="006D29DE"/>
    <w:rsid w:val="006D2F85"/>
    <w:rsid w:val="006D37D1"/>
    <w:rsid w:val="006D3ED9"/>
    <w:rsid w:val="006D4905"/>
    <w:rsid w:val="006D5E64"/>
    <w:rsid w:val="006D6210"/>
    <w:rsid w:val="006D64FE"/>
    <w:rsid w:val="006D65E1"/>
    <w:rsid w:val="006D69EB"/>
    <w:rsid w:val="006D6AE6"/>
    <w:rsid w:val="006D6D7E"/>
    <w:rsid w:val="006D71A7"/>
    <w:rsid w:val="006D72B9"/>
    <w:rsid w:val="006D7BA8"/>
    <w:rsid w:val="006D7C11"/>
    <w:rsid w:val="006D7F65"/>
    <w:rsid w:val="006E0473"/>
    <w:rsid w:val="006E08F7"/>
    <w:rsid w:val="006E09E9"/>
    <w:rsid w:val="006E11C5"/>
    <w:rsid w:val="006E1298"/>
    <w:rsid w:val="006E1D24"/>
    <w:rsid w:val="006E1F5B"/>
    <w:rsid w:val="006E2623"/>
    <w:rsid w:val="006E26F9"/>
    <w:rsid w:val="006E2851"/>
    <w:rsid w:val="006E2BEC"/>
    <w:rsid w:val="006E2F71"/>
    <w:rsid w:val="006E39A7"/>
    <w:rsid w:val="006E3C98"/>
    <w:rsid w:val="006E4D24"/>
    <w:rsid w:val="006E54DA"/>
    <w:rsid w:val="006E55CE"/>
    <w:rsid w:val="006E5AF6"/>
    <w:rsid w:val="006E5B84"/>
    <w:rsid w:val="006E5F0D"/>
    <w:rsid w:val="006E6224"/>
    <w:rsid w:val="006E727F"/>
    <w:rsid w:val="006F02E9"/>
    <w:rsid w:val="006F06D3"/>
    <w:rsid w:val="006F1C57"/>
    <w:rsid w:val="006F1E88"/>
    <w:rsid w:val="006F2657"/>
    <w:rsid w:val="006F2696"/>
    <w:rsid w:val="006F37E1"/>
    <w:rsid w:val="006F42B4"/>
    <w:rsid w:val="006F438D"/>
    <w:rsid w:val="006F4390"/>
    <w:rsid w:val="006F4529"/>
    <w:rsid w:val="006F5CC2"/>
    <w:rsid w:val="006F6532"/>
    <w:rsid w:val="006F68BF"/>
    <w:rsid w:val="006F6BA1"/>
    <w:rsid w:val="006F6D26"/>
    <w:rsid w:val="006F7265"/>
    <w:rsid w:val="006F7C62"/>
    <w:rsid w:val="00700281"/>
    <w:rsid w:val="00700A7A"/>
    <w:rsid w:val="00700B08"/>
    <w:rsid w:val="00700BB0"/>
    <w:rsid w:val="00700E98"/>
    <w:rsid w:val="007015E6"/>
    <w:rsid w:val="00701FDD"/>
    <w:rsid w:val="007032DD"/>
    <w:rsid w:val="007033C8"/>
    <w:rsid w:val="0070380B"/>
    <w:rsid w:val="00703DF4"/>
    <w:rsid w:val="0070468C"/>
    <w:rsid w:val="00705454"/>
    <w:rsid w:val="00705E32"/>
    <w:rsid w:val="0070680E"/>
    <w:rsid w:val="007069AE"/>
    <w:rsid w:val="007077BD"/>
    <w:rsid w:val="00707B03"/>
    <w:rsid w:val="00707E38"/>
    <w:rsid w:val="0071038A"/>
    <w:rsid w:val="00710436"/>
    <w:rsid w:val="00710726"/>
    <w:rsid w:val="007108B0"/>
    <w:rsid w:val="0071093B"/>
    <w:rsid w:val="0071103F"/>
    <w:rsid w:val="00711885"/>
    <w:rsid w:val="007126BF"/>
    <w:rsid w:val="007126EF"/>
    <w:rsid w:val="00712872"/>
    <w:rsid w:val="007137C4"/>
    <w:rsid w:val="00713C76"/>
    <w:rsid w:val="00714361"/>
    <w:rsid w:val="00715242"/>
    <w:rsid w:val="007152E8"/>
    <w:rsid w:val="00715DF1"/>
    <w:rsid w:val="00716F64"/>
    <w:rsid w:val="00717C2D"/>
    <w:rsid w:val="007207DA"/>
    <w:rsid w:val="00720C0D"/>
    <w:rsid w:val="0072118C"/>
    <w:rsid w:val="00721532"/>
    <w:rsid w:val="00721706"/>
    <w:rsid w:val="007218BE"/>
    <w:rsid w:val="00721A83"/>
    <w:rsid w:val="007223D4"/>
    <w:rsid w:val="007223DD"/>
    <w:rsid w:val="00722B4E"/>
    <w:rsid w:val="007231F3"/>
    <w:rsid w:val="00723868"/>
    <w:rsid w:val="0072394F"/>
    <w:rsid w:val="00723ECC"/>
    <w:rsid w:val="00723F5A"/>
    <w:rsid w:val="00724FE7"/>
    <w:rsid w:val="007252DB"/>
    <w:rsid w:val="00725537"/>
    <w:rsid w:val="007257B9"/>
    <w:rsid w:val="0072633D"/>
    <w:rsid w:val="00726678"/>
    <w:rsid w:val="00726831"/>
    <w:rsid w:val="007268EF"/>
    <w:rsid w:val="007276AB"/>
    <w:rsid w:val="00727C1F"/>
    <w:rsid w:val="00730C45"/>
    <w:rsid w:val="00730FD8"/>
    <w:rsid w:val="007311F5"/>
    <w:rsid w:val="0073173E"/>
    <w:rsid w:val="007319A1"/>
    <w:rsid w:val="00733D69"/>
    <w:rsid w:val="00734264"/>
    <w:rsid w:val="00734A3B"/>
    <w:rsid w:val="00734C52"/>
    <w:rsid w:val="00734CE5"/>
    <w:rsid w:val="0073541F"/>
    <w:rsid w:val="00735476"/>
    <w:rsid w:val="00735C82"/>
    <w:rsid w:val="00736911"/>
    <w:rsid w:val="00736AE5"/>
    <w:rsid w:val="00736B11"/>
    <w:rsid w:val="00737389"/>
    <w:rsid w:val="0073766B"/>
    <w:rsid w:val="007378E6"/>
    <w:rsid w:val="00737CCC"/>
    <w:rsid w:val="00740AA0"/>
    <w:rsid w:val="00740DEB"/>
    <w:rsid w:val="00742097"/>
    <w:rsid w:val="00742B72"/>
    <w:rsid w:val="00742DDB"/>
    <w:rsid w:val="007438B3"/>
    <w:rsid w:val="00743DF1"/>
    <w:rsid w:val="00745296"/>
    <w:rsid w:val="00745617"/>
    <w:rsid w:val="007456CC"/>
    <w:rsid w:val="00745974"/>
    <w:rsid w:val="00745A57"/>
    <w:rsid w:val="00745FF3"/>
    <w:rsid w:val="007461E3"/>
    <w:rsid w:val="007471F5"/>
    <w:rsid w:val="00747418"/>
    <w:rsid w:val="007506DC"/>
    <w:rsid w:val="007511B1"/>
    <w:rsid w:val="0075197F"/>
    <w:rsid w:val="00751D80"/>
    <w:rsid w:val="00751EC7"/>
    <w:rsid w:val="00752457"/>
    <w:rsid w:val="0075347B"/>
    <w:rsid w:val="007548CC"/>
    <w:rsid w:val="00754F59"/>
    <w:rsid w:val="0075581D"/>
    <w:rsid w:val="0075667B"/>
    <w:rsid w:val="00757402"/>
    <w:rsid w:val="00757581"/>
    <w:rsid w:val="00757665"/>
    <w:rsid w:val="00760681"/>
    <w:rsid w:val="00760F05"/>
    <w:rsid w:val="007611AC"/>
    <w:rsid w:val="00761D2E"/>
    <w:rsid w:val="0076258A"/>
    <w:rsid w:val="0076327F"/>
    <w:rsid w:val="007634D6"/>
    <w:rsid w:val="007636A9"/>
    <w:rsid w:val="0076372D"/>
    <w:rsid w:val="00763938"/>
    <w:rsid w:val="00763A6E"/>
    <w:rsid w:val="00763ACA"/>
    <w:rsid w:val="00763C23"/>
    <w:rsid w:val="00763F41"/>
    <w:rsid w:val="0076483A"/>
    <w:rsid w:val="00765846"/>
    <w:rsid w:val="0076639B"/>
    <w:rsid w:val="007664F1"/>
    <w:rsid w:val="00766E35"/>
    <w:rsid w:val="00767006"/>
    <w:rsid w:val="00767901"/>
    <w:rsid w:val="00767CBD"/>
    <w:rsid w:val="007702A4"/>
    <w:rsid w:val="00770498"/>
    <w:rsid w:val="00770662"/>
    <w:rsid w:val="007712F8"/>
    <w:rsid w:val="0077263B"/>
    <w:rsid w:val="00772C44"/>
    <w:rsid w:val="00773023"/>
    <w:rsid w:val="007738CB"/>
    <w:rsid w:val="00773A54"/>
    <w:rsid w:val="007743A1"/>
    <w:rsid w:val="0077466C"/>
    <w:rsid w:val="0077516F"/>
    <w:rsid w:val="00775511"/>
    <w:rsid w:val="00775E2E"/>
    <w:rsid w:val="00776061"/>
    <w:rsid w:val="00776244"/>
    <w:rsid w:val="0077659A"/>
    <w:rsid w:val="00776851"/>
    <w:rsid w:val="00776AD5"/>
    <w:rsid w:val="00776B00"/>
    <w:rsid w:val="00776BD1"/>
    <w:rsid w:val="007776B5"/>
    <w:rsid w:val="007776CC"/>
    <w:rsid w:val="00777718"/>
    <w:rsid w:val="00780840"/>
    <w:rsid w:val="00780C20"/>
    <w:rsid w:val="00780FA6"/>
    <w:rsid w:val="00782415"/>
    <w:rsid w:val="00782502"/>
    <w:rsid w:val="007833F9"/>
    <w:rsid w:val="00783721"/>
    <w:rsid w:val="00783B2A"/>
    <w:rsid w:val="00785A7F"/>
    <w:rsid w:val="00785D4F"/>
    <w:rsid w:val="0078642A"/>
    <w:rsid w:val="00787A2F"/>
    <w:rsid w:val="00787AB3"/>
    <w:rsid w:val="00790350"/>
    <w:rsid w:val="007905BF"/>
    <w:rsid w:val="00790863"/>
    <w:rsid w:val="00790C52"/>
    <w:rsid w:val="00790E82"/>
    <w:rsid w:val="00790EDA"/>
    <w:rsid w:val="00790F4C"/>
    <w:rsid w:val="00791887"/>
    <w:rsid w:val="00791EB8"/>
    <w:rsid w:val="0079337C"/>
    <w:rsid w:val="007935C6"/>
    <w:rsid w:val="007938C0"/>
    <w:rsid w:val="00794339"/>
    <w:rsid w:val="0079462E"/>
    <w:rsid w:val="007949EB"/>
    <w:rsid w:val="00797224"/>
    <w:rsid w:val="0079799F"/>
    <w:rsid w:val="007A0074"/>
    <w:rsid w:val="007A06C5"/>
    <w:rsid w:val="007A08A0"/>
    <w:rsid w:val="007A11BC"/>
    <w:rsid w:val="007A1A5E"/>
    <w:rsid w:val="007A2208"/>
    <w:rsid w:val="007A23D5"/>
    <w:rsid w:val="007A285D"/>
    <w:rsid w:val="007A2F5C"/>
    <w:rsid w:val="007A483F"/>
    <w:rsid w:val="007A4A90"/>
    <w:rsid w:val="007A4ACA"/>
    <w:rsid w:val="007A4CEB"/>
    <w:rsid w:val="007A61FD"/>
    <w:rsid w:val="007A6DBB"/>
    <w:rsid w:val="007A724D"/>
    <w:rsid w:val="007A79DC"/>
    <w:rsid w:val="007A7A31"/>
    <w:rsid w:val="007A7BCC"/>
    <w:rsid w:val="007A7D65"/>
    <w:rsid w:val="007B06B8"/>
    <w:rsid w:val="007B0BCD"/>
    <w:rsid w:val="007B18A7"/>
    <w:rsid w:val="007B1A27"/>
    <w:rsid w:val="007B1D5C"/>
    <w:rsid w:val="007B2633"/>
    <w:rsid w:val="007B3872"/>
    <w:rsid w:val="007B3BC1"/>
    <w:rsid w:val="007B441A"/>
    <w:rsid w:val="007B4790"/>
    <w:rsid w:val="007B4CD5"/>
    <w:rsid w:val="007B4D24"/>
    <w:rsid w:val="007B57DB"/>
    <w:rsid w:val="007B6455"/>
    <w:rsid w:val="007B67C6"/>
    <w:rsid w:val="007B698C"/>
    <w:rsid w:val="007B6A6B"/>
    <w:rsid w:val="007B72E1"/>
    <w:rsid w:val="007B75E9"/>
    <w:rsid w:val="007B7CCD"/>
    <w:rsid w:val="007C0A26"/>
    <w:rsid w:val="007C0C7B"/>
    <w:rsid w:val="007C0DED"/>
    <w:rsid w:val="007C0E0E"/>
    <w:rsid w:val="007C113F"/>
    <w:rsid w:val="007C11C4"/>
    <w:rsid w:val="007C17CA"/>
    <w:rsid w:val="007C18FD"/>
    <w:rsid w:val="007C1B2E"/>
    <w:rsid w:val="007C2182"/>
    <w:rsid w:val="007C2368"/>
    <w:rsid w:val="007C2461"/>
    <w:rsid w:val="007C32A9"/>
    <w:rsid w:val="007C3B0B"/>
    <w:rsid w:val="007C4A11"/>
    <w:rsid w:val="007C4C92"/>
    <w:rsid w:val="007C5C8D"/>
    <w:rsid w:val="007C5EF1"/>
    <w:rsid w:val="007C6306"/>
    <w:rsid w:val="007C6327"/>
    <w:rsid w:val="007C7025"/>
    <w:rsid w:val="007C7415"/>
    <w:rsid w:val="007C7530"/>
    <w:rsid w:val="007C7EAF"/>
    <w:rsid w:val="007D0674"/>
    <w:rsid w:val="007D12AA"/>
    <w:rsid w:val="007D12B8"/>
    <w:rsid w:val="007D27B8"/>
    <w:rsid w:val="007D2D70"/>
    <w:rsid w:val="007D32C2"/>
    <w:rsid w:val="007D356F"/>
    <w:rsid w:val="007D366E"/>
    <w:rsid w:val="007D3F62"/>
    <w:rsid w:val="007D41A4"/>
    <w:rsid w:val="007D4672"/>
    <w:rsid w:val="007D46E3"/>
    <w:rsid w:val="007D5ED4"/>
    <w:rsid w:val="007D6111"/>
    <w:rsid w:val="007D64C6"/>
    <w:rsid w:val="007D67F7"/>
    <w:rsid w:val="007D6952"/>
    <w:rsid w:val="007D69E8"/>
    <w:rsid w:val="007D6DE1"/>
    <w:rsid w:val="007D7A5B"/>
    <w:rsid w:val="007E017F"/>
    <w:rsid w:val="007E0972"/>
    <w:rsid w:val="007E0A63"/>
    <w:rsid w:val="007E0C2B"/>
    <w:rsid w:val="007E1A94"/>
    <w:rsid w:val="007E1E45"/>
    <w:rsid w:val="007E2873"/>
    <w:rsid w:val="007E2A6A"/>
    <w:rsid w:val="007E2B30"/>
    <w:rsid w:val="007E2D7B"/>
    <w:rsid w:val="007E38AD"/>
    <w:rsid w:val="007E403F"/>
    <w:rsid w:val="007E4772"/>
    <w:rsid w:val="007E4ACD"/>
    <w:rsid w:val="007E5276"/>
    <w:rsid w:val="007E54EE"/>
    <w:rsid w:val="007E5B95"/>
    <w:rsid w:val="007E603E"/>
    <w:rsid w:val="007E6842"/>
    <w:rsid w:val="007E6AB1"/>
    <w:rsid w:val="007E6CC1"/>
    <w:rsid w:val="007E719B"/>
    <w:rsid w:val="007F0616"/>
    <w:rsid w:val="007F0A29"/>
    <w:rsid w:val="007F1BBD"/>
    <w:rsid w:val="007F2163"/>
    <w:rsid w:val="007F2443"/>
    <w:rsid w:val="007F245A"/>
    <w:rsid w:val="007F3349"/>
    <w:rsid w:val="007F3AC5"/>
    <w:rsid w:val="007F3C9B"/>
    <w:rsid w:val="007F3D87"/>
    <w:rsid w:val="007F3FA9"/>
    <w:rsid w:val="007F4685"/>
    <w:rsid w:val="007F4E63"/>
    <w:rsid w:val="007F4FA3"/>
    <w:rsid w:val="007F5159"/>
    <w:rsid w:val="007F5375"/>
    <w:rsid w:val="007F5D13"/>
    <w:rsid w:val="007F641A"/>
    <w:rsid w:val="007F6471"/>
    <w:rsid w:val="007F7C63"/>
    <w:rsid w:val="008003DC"/>
    <w:rsid w:val="00800AA3"/>
    <w:rsid w:val="00800E42"/>
    <w:rsid w:val="0080127D"/>
    <w:rsid w:val="00801526"/>
    <w:rsid w:val="00801D09"/>
    <w:rsid w:val="0080225E"/>
    <w:rsid w:val="008034AD"/>
    <w:rsid w:val="0080355B"/>
    <w:rsid w:val="00803D61"/>
    <w:rsid w:val="0080599A"/>
    <w:rsid w:val="00805BE1"/>
    <w:rsid w:val="00805CC6"/>
    <w:rsid w:val="00805D3D"/>
    <w:rsid w:val="00805DA9"/>
    <w:rsid w:val="00810123"/>
    <w:rsid w:val="00811069"/>
    <w:rsid w:val="008115C1"/>
    <w:rsid w:val="008116A7"/>
    <w:rsid w:val="00811BA1"/>
    <w:rsid w:val="00811C62"/>
    <w:rsid w:val="00812053"/>
    <w:rsid w:val="008138DC"/>
    <w:rsid w:val="00813940"/>
    <w:rsid w:val="00813DC2"/>
    <w:rsid w:val="008150D0"/>
    <w:rsid w:val="008153BC"/>
    <w:rsid w:val="00815571"/>
    <w:rsid w:val="00815D87"/>
    <w:rsid w:val="00816D28"/>
    <w:rsid w:val="00816F03"/>
    <w:rsid w:val="008202A1"/>
    <w:rsid w:val="00821026"/>
    <w:rsid w:val="0082151C"/>
    <w:rsid w:val="008217A8"/>
    <w:rsid w:val="00821961"/>
    <w:rsid w:val="008219A6"/>
    <w:rsid w:val="00822836"/>
    <w:rsid w:val="00822FC6"/>
    <w:rsid w:val="008232C7"/>
    <w:rsid w:val="008233B0"/>
    <w:rsid w:val="008236EF"/>
    <w:rsid w:val="00823C4F"/>
    <w:rsid w:val="00823FAA"/>
    <w:rsid w:val="00824487"/>
    <w:rsid w:val="00824499"/>
    <w:rsid w:val="00824FE9"/>
    <w:rsid w:val="00825AE5"/>
    <w:rsid w:val="0082604B"/>
    <w:rsid w:val="00827BA9"/>
    <w:rsid w:val="00830133"/>
    <w:rsid w:val="0083027F"/>
    <w:rsid w:val="008305D4"/>
    <w:rsid w:val="00830B55"/>
    <w:rsid w:val="00830E3D"/>
    <w:rsid w:val="0083243B"/>
    <w:rsid w:val="00832E89"/>
    <w:rsid w:val="00832F5A"/>
    <w:rsid w:val="0083312B"/>
    <w:rsid w:val="008333B1"/>
    <w:rsid w:val="0083419E"/>
    <w:rsid w:val="00834227"/>
    <w:rsid w:val="0083493B"/>
    <w:rsid w:val="00835160"/>
    <w:rsid w:val="00835278"/>
    <w:rsid w:val="00835718"/>
    <w:rsid w:val="008358A6"/>
    <w:rsid w:val="00835F17"/>
    <w:rsid w:val="008360F9"/>
    <w:rsid w:val="008361EE"/>
    <w:rsid w:val="00836680"/>
    <w:rsid w:val="00837052"/>
    <w:rsid w:val="008376DE"/>
    <w:rsid w:val="00837A66"/>
    <w:rsid w:val="00837B9D"/>
    <w:rsid w:val="00837F93"/>
    <w:rsid w:val="00840349"/>
    <w:rsid w:val="00840A78"/>
    <w:rsid w:val="00840E18"/>
    <w:rsid w:val="00841E5F"/>
    <w:rsid w:val="00842161"/>
    <w:rsid w:val="008430EC"/>
    <w:rsid w:val="00843B64"/>
    <w:rsid w:val="0084500C"/>
    <w:rsid w:val="00845785"/>
    <w:rsid w:val="008458A1"/>
    <w:rsid w:val="00845D0A"/>
    <w:rsid w:val="0084738E"/>
    <w:rsid w:val="00847BE1"/>
    <w:rsid w:val="00847C15"/>
    <w:rsid w:val="00847D34"/>
    <w:rsid w:val="0085003B"/>
    <w:rsid w:val="00850DA3"/>
    <w:rsid w:val="00851217"/>
    <w:rsid w:val="00852293"/>
    <w:rsid w:val="00852458"/>
    <w:rsid w:val="00852870"/>
    <w:rsid w:val="008532E7"/>
    <w:rsid w:val="00853BC1"/>
    <w:rsid w:val="00854205"/>
    <w:rsid w:val="008545E1"/>
    <w:rsid w:val="008547A7"/>
    <w:rsid w:val="00854CD4"/>
    <w:rsid w:val="00855228"/>
    <w:rsid w:val="00855DCB"/>
    <w:rsid w:val="008567DD"/>
    <w:rsid w:val="00857105"/>
    <w:rsid w:val="00857434"/>
    <w:rsid w:val="00857741"/>
    <w:rsid w:val="008600B4"/>
    <w:rsid w:val="008606B6"/>
    <w:rsid w:val="00860DB3"/>
    <w:rsid w:val="008612B0"/>
    <w:rsid w:val="008616D0"/>
    <w:rsid w:val="00861DF7"/>
    <w:rsid w:val="00861FE7"/>
    <w:rsid w:val="00862159"/>
    <w:rsid w:val="00862641"/>
    <w:rsid w:val="00862F41"/>
    <w:rsid w:val="00863835"/>
    <w:rsid w:val="00863CDF"/>
    <w:rsid w:val="008643FF"/>
    <w:rsid w:val="00864E7E"/>
    <w:rsid w:val="00865E1D"/>
    <w:rsid w:val="00865EF6"/>
    <w:rsid w:val="008662F1"/>
    <w:rsid w:val="00866393"/>
    <w:rsid w:val="00866588"/>
    <w:rsid w:val="008667E8"/>
    <w:rsid w:val="00867590"/>
    <w:rsid w:val="0086789D"/>
    <w:rsid w:val="008701FF"/>
    <w:rsid w:val="0087070D"/>
    <w:rsid w:val="00870B13"/>
    <w:rsid w:val="00870DFC"/>
    <w:rsid w:val="00870ECC"/>
    <w:rsid w:val="00871442"/>
    <w:rsid w:val="008715B3"/>
    <w:rsid w:val="00871FEC"/>
    <w:rsid w:val="00872130"/>
    <w:rsid w:val="00872497"/>
    <w:rsid w:val="008724A5"/>
    <w:rsid w:val="00872E7F"/>
    <w:rsid w:val="00873042"/>
    <w:rsid w:val="0087324E"/>
    <w:rsid w:val="0087346D"/>
    <w:rsid w:val="008735E2"/>
    <w:rsid w:val="00873618"/>
    <w:rsid w:val="008737D5"/>
    <w:rsid w:val="008748A6"/>
    <w:rsid w:val="00874EE4"/>
    <w:rsid w:val="00875439"/>
    <w:rsid w:val="00875DE1"/>
    <w:rsid w:val="008760F1"/>
    <w:rsid w:val="0087616F"/>
    <w:rsid w:val="008769B7"/>
    <w:rsid w:val="00876B4F"/>
    <w:rsid w:val="00877254"/>
    <w:rsid w:val="008776C0"/>
    <w:rsid w:val="008778DB"/>
    <w:rsid w:val="00877ED5"/>
    <w:rsid w:val="00880250"/>
    <w:rsid w:val="00880594"/>
    <w:rsid w:val="0088097D"/>
    <w:rsid w:val="00880A95"/>
    <w:rsid w:val="00880B55"/>
    <w:rsid w:val="00881978"/>
    <w:rsid w:val="00881C13"/>
    <w:rsid w:val="008823B2"/>
    <w:rsid w:val="00882D43"/>
    <w:rsid w:val="00882DA4"/>
    <w:rsid w:val="008834E4"/>
    <w:rsid w:val="00883B85"/>
    <w:rsid w:val="00883EA4"/>
    <w:rsid w:val="0088521A"/>
    <w:rsid w:val="0088536A"/>
    <w:rsid w:val="008867CC"/>
    <w:rsid w:val="00886836"/>
    <w:rsid w:val="0088685B"/>
    <w:rsid w:val="00886F9E"/>
    <w:rsid w:val="00887227"/>
    <w:rsid w:val="00887429"/>
    <w:rsid w:val="00887476"/>
    <w:rsid w:val="00887612"/>
    <w:rsid w:val="008878F8"/>
    <w:rsid w:val="00890F52"/>
    <w:rsid w:val="008911F9"/>
    <w:rsid w:val="0089147D"/>
    <w:rsid w:val="00891C3A"/>
    <w:rsid w:val="008923EC"/>
    <w:rsid w:val="008923FC"/>
    <w:rsid w:val="008925DF"/>
    <w:rsid w:val="00892AB2"/>
    <w:rsid w:val="0089328C"/>
    <w:rsid w:val="00894C8D"/>
    <w:rsid w:val="0089504D"/>
    <w:rsid w:val="00895923"/>
    <w:rsid w:val="00895CBE"/>
    <w:rsid w:val="00895E5F"/>
    <w:rsid w:val="00896274"/>
    <w:rsid w:val="008964C6"/>
    <w:rsid w:val="008965AD"/>
    <w:rsid w:val="0089693F"/>
    <w:rsid w:val="00896E71"/>
    <w:rsid w:val="00896F52"/>
    <w:rsid w:val="00897E63"/>
    <w:rsid w:val="008A01E9"/>
    <w:rsid w:val="008A02D1"/>
    <w:rsid w:val="008A0E78"/>
    <w:rsid w:val="008A149E"/>
    <w:rsid w:val="008A153F"/>
    <w:rsid w:val="008A2C1F"/>
    <w:rsid w:val="008A2E6E"/>
    <w:rsid w:val="008A5082"/>
    <w:rsid w:val="008A60C1"/>
    <w:rsid w:val="008A60F5"/>
    <w:rsid w:val="008A68BB"/>
    <w:rsid w:val="008A7783"/>
    <w:rsid w:val="008A7A35"/>
    <w:rsid w:val="008B0079"/>
    <w:rsid w:val="008B03DE"/>
    <w:rsid w:val="008B1329"/>
    <w:rsid w:val="008B1866"/>
    <w:rsid w:val="008B2376"/>
    <w:rsid w:val="008B2EA5"/>
    <w:rsid w:val="008B2EBD"/>
    <w:rsid w:val="008B31A8"/>
    <w:rsid w:val="008B3672"/>
    <w:rsid w:val="008B3D80"/>
    <w:rsid w:val="008B3F14"/>
    <w:rsid w:val="008B459E"/>
    <w:rsid w:val="008B469F"/>
    <w:rsid w:val="008B57FF"/>
    <w:rsid w:val="008B5DCE"/>
    <w:rsid w:val="008B6201"/>
    <w:rsid w:val="008B6679"/>
    <w:rsid w:val="008B66E2"/>
    <w:rsid w:val="008B698A"/>
    <w:rsid w:val="008B6E7E"/>
    <w:rsid w:val="008B7E1C"/>
    <w:rsid w:val="008C06EA"/>
    <w:rsid w:val="008C15B3"/>
    <w:rsid w:val="008C17A1"/>
    <w:rsid w:val="008C1D70"/>
    <w:rsid w:val="008C1EDB"/>
    <w:rsid w:val="008C28AA"/>
    <w:rsid w:val="008C2925"/>
    <w:rsid w:val="008C2A67"/>
    <w:rsid w:val="008C42E4"/>
    <w:rsid w:val="008C43E9"/>
    <w:rsid w:val="008C46FE"/>
    <w:rsid w:val="008C4969"/>
    <w:rsid w:val="008C4C81"/>
    <w:rsid w:val="008C4D3B"/>
    <w:rsid w:val="008C567C"/>
    <w:rsid w:val="008C5E51"/>
    <w:rsid w:val="008C6175"/>
    <w:rsid w:val="008C6323"/>
    <w:rsid w:val="008C6458"/>
    <w:rsid w:val="008C749D"/>
    <w:rsid w:val="008C75B2"/>
    <w:rsid w:val="008C75BA"/>
    <w:rsid w:val="008D0063"/>
    <w:rsid w:val="008D0379"/>
    <w:rsid w:val="008D1D04"/>
    <w:rsid w:val="008D211A"/>
    <w:rsid w:val="008D2B7B"/>
    <w:rsid w:val="008D2CB4"/>
    <w:rsid w:val="008D3535"/>
    <w:rsid w:val="008D4307"/>
    <w:rsid w:val="008D4734"/>
    <w:rsid w:val="008D498F"/>
    <w:rsid w:val="008D4D0E"/>
    <w:rsid w:val="008D52B9"/>
    <w:rsid w:val="008D600C"/>
    <w:rsid w:val="008D60EA"/>
    <w:rsid w:val="008D6905"/>
    <w:rsid w:val="008D6CD4"/>
    <w:rsid w:val="008D7DFB"/>
    <w:rsid w:val="008E072E"/>
    <w:rsid w:val="008E0A18"/>
    <w:rsid w:val="008E0C4D"/>
    <w:rsid w:val="008E1ABB"/>
    <w:rsid w:val="008E1D4D"/>
    <w:rsid w:val="008E3091"/>
    <w:rsid w:val="008E3291"/>
    <w:rsid w:val="008E41A7"/>
    <w:rsid w:val="008E4612"/>
    <w:rsid w:val="008E498B"/>
    <w:rsid w:val="008E4C03"/>
    <w:rsid w:val="008E50D4"/>
    <w:rsid w:val="008E5550"/>
    <w:rsid w:val="008E5A4A"/>
    <w:rsid w:val="008E6B6C"/>
    <w:rsid w:val="008E6FF7"/>
    <w:rsid w:val="008E72BB"/>
    <w:rsid w:val="008E7644"/>
    <w:rsid w:val="008F01A6"/>
    <w:rsid w:val="008F0348"/>
    <w:rsid w:val="008F052E"/>
    <w:rsid w:val="008F131E"/>
    <w:rsid w:val="008F1CE5"/>
    <w:rsid w:val="008F2885"/>
    <w:rsid w:val="008F3169"/>
    <w:rsid w:val="008F3955"/>
    <w:rsid w:val="008F3CA6"/>
    <w:rsid w:val="008F47BC"/>
    <w:rsid w:val="008F48FD"/>
    <w:rsid w:val="008F569F"/>
    <w:rsid w:val="008F595B"/>
    <w:rsid w:val="008F61A9"/>
    <w:rsid w:val="008F6D08"/>
    <w:rsid w:val="008F6DB0"/>
    <w:rsid w:val="008F757F"/>
    <w:rsid w:val="008F76D7"/>
    <w:rsid w:val="008F7D94"/>
    <w:rsid w:val="008F7F71"/>
    <w:rsid w:val="0090045E"/>
    <w:rsid w:val="00900B2E"/>
    <w:rsid w:val="00900CF5"/>
    <w:rsid w:val="00900F18"/>
    <w:rsid w:val="009016B6"/>
    <w:rsid w:val="009024A1"/>
    <w:rsid w:val="0090252F"/>
    <w:rsid w:val="009027B8"/>
    <w:rsid w:val="009027D0"/>
    <w:rsid w:val="00902BC9"/>
    <w:rsid w:val="00902BFC"/>
    <w:rsid w:val="00902D34"/>
    <w:rsid w:val="0090385E"/>
    <w:rsid w:val="0090421B"/>
    <w:rsid w:val="00904A6B"/>
    <w:rsid w:val="00905A08"/>
    <w:rsid w:val="00905BED"/>
    <w:rsid w:val="00905D8A"/>
    <w:rsid w:val="00906D87"/>
    <w:rsid w:val="00907077"/>
    <w:rsid w:val="00907AAD"/>
    <w:rsid w:val="00911BD6"/>
    <w:rsid w:val="00912E49"/>
    <w:rsid w:val="00913F27"/>
    <w:rsid w:val="00914136"/>
    <w:rsid w:val="009145B0"/>
    <w:rsid w:val="00914787"/>
    <w:rsid w:val="00914D24"/>
    <w:rsid w:val="00914DD3"/>
    <w:rsid w:val="00915143"/>
    <w:rsid w:val="009161E0"/>
    <w:rsid w:val="00916987"/>
    <w:rsid w:val="00916A53"/>
    <w:rsid w:val="00916D87"/>
    <w:rsid w:val="00916FAB"/>
    <w:rsid w:val="009171A5"/>
    <w:rsid w:val="00920AEB"/>
    <w:rsid w:val="00921C04"/>
    <w:rsid w:val="00921CC6"/>
    <w:rsid w:val="00922E46"/>
    <w:rsid w:val="009238B1"/>
    <w:rsid w:val="00924704"/>
    <w:rsid w:val="00924B0C"/>
    <w:rsid w:val="00924E57"/>
    <w:rsid w:val="00924F99"/>
    <w:rsid w:val="00925320"/>
    <w:rsid w:val="0092554C"/>
    <w:rsid w:val="00925FAF"/>
    <w:rsid w:val="00925FC1"/>
    <w:rsid w:val="009269DC"/>
    <w:rsid w:val="00927557"/>
    <w:rsid w:val="0093030D"/>
    <w:rsid w:val="009306A2"/>
    <w:rsid w:val="009309CB"/>
    <w:rsid w:val="00931FA2"/>
    <w:rsid w:val="00932F70"/>
    <w:rsid w:val="00933436"/>
    <w:rsid w:val="00933C3A"/>
    <w:rsid w:val="00934904"/>
    <w:rsid w:val="00934B3C"/>
    <w:rsid w:val="00934D8F"/>
    <w:rsid w:val="009357D9"/>
    <w:rsid w:val="00935C2B"/>
    <w:rsid w:val="00935DC1"/>
    <w:rsid w:val="00935F31"/>
    <w:rsid w:val="0093611B"/>
    <w:rsid w:val="009367B3"/>
    <w:rsid w:val="00936C27"/>
    <w:rsid w:val="009372B6"/>
    <w:rsid w:val="00937A82"/>
    <w:rsid w:val="00937F0A"/>
    <w:rsid w:val="009400DE"/>
    <w:rsid w:val="009404F3"/>
    <w:rsid w:val="00940B5B"/>
    <w:rsid w:val="00941729"/>
    <w:rsid w:val="00941D5F"/>
    <w:rsid w:val="00941DBB"/>
    <w:rsid w:val="00942235"/>
    <w:rsid w:val="00942C01"/>
    <w:rsid w:val="00942CE7"/>
    <w:rsid w:val="00943207"/>
    <w:rsid w:val="009442EA"/>
    <w:rsid w:val="00944771"/>
    <w:rsid w:val="00944F15"/>
    <w:rsid w:val="00945DC5"/>
    <w:rsid w:val="00946536"/>
    <w:rsid w:val="009465A7"/>
    <w:rsid w:val="00946CAF"/>
    <w:rsid w:val="009476D9"/>
    <w:rsid w:val="009502BA"/>
    <w:rsid w:val="00950B58"/>
    <w:rsid w:val="00950C7E"/>
    <w:rsid w:val="009512BA"/>
    <w:rsid w:val="00951332"/>
    <w:rsid w:val="009521B7"/>
    <w:rsid w:val="00952580"/>
    <w:rsid w:val="0095274C"/>
    <w:rsid w:val="00952D60"/>
    <w:rsid w:val="00952E14"/>
    <w:rsid w:val="00954278"/>
    <w:rsid w:val="00954421"/>
    <w:rsid w:val="00955045"/>
    <w:rsid w:val="00955678"/>
    <w:rsid w:val="0095592D"/>
    <w:rsid w:val="00955CF9"/>
    <w:rsid w:val="00955FCB"/>
    <w:rsid w:val="00956247"/>
    <w:rsid w:val="00956856"/>
    <w:rsid w:val="00957093"/>
    <w:rsid w:val="009570AD"/>
    <w:rsid w:val="00957B5A"/>
    <w:rsid w:val="00960007"/>
    <w:rsid w:val="00960141"/>
    <w:rsid w:val="00961547"/>
    <w:rsid w:val="00961C08"/>
    <w:rsid w:val="00961F22"/>
    <w:rsid w:val="00962287"/>
    <w:rsid w:val="0096250E"/>
    <w:rsid w:val="00962528"/>
    <w:rsid w:val="00962B86"/>
    <w:rsid w:val="00962F26"/>
    <w:rsid w:val="00962FA7"/>
    <w:rsid w:val="0096362F"/>
    <w:rsid w:val="00963BF0"/>
    <w:rsid w:val="009643A9"/>
    <w:rsid w:val="00964478"/>
    <w:rsid w:val="00964849"/>
    <w:rsid w:val="00965DDE"/>
    <w:rsid w:val="009660DF"/>
    <w:rsid w:val="00966F01"/>
    <w:rsid w:val="00967870"/>
    <w:rsid w:val="00971812"/>
    <w:rsid w:val="00971D23"/>
    <w:rsid w:val="00972644"/>
    <w:rsid w:val="0097462C"/>
    <w:rsid w:val="00974AF2"/>
    <w:rsid w:val="00975571"/>
    <w:rsid w:val="0097558B"/>
    <w:rsid w:val="009757A0"/>
    <w:rsid w:val="0097582F"/>
    <w:rsid w:val="00976057"/>
    <w:rsid w:val="00976568"/>
    <w:rsid w:val="00976ECA"/>
    <w:rsid w:val="00977360"/>
    <w:rsid w:val="00977E45"/>
    <w:rsid w:val="00980093"/>
    <w:rsid w:val="0098020C"/>
    <w:rsid w:val="00980319"/>
    <w:rsid w:val="0098097B"/>
    <w:rsid w:val="00980FF1"/>
    <w:rsid w:val="0098190F"/>
    <w:rsid w:val="00981FCC"/>
    <w:rsid w:val="009824DB"/>
    <w:rsid w:val="0098278D"/>
    <w:rsid w:val="00982A33"/>
    <w:rsid w:val="009832A1"/>
    <w:rsid w:val="009835CE"/>
    <w:rsid w:val="00983A15"/>
    <w:rsid w:val="009846F1"/>
    <w:rsid w:val="00984C54"/>
    <w:rsid w:val="00985470"/>
    <w:rsid w:val="009855F1"/>
    <w:rsid w:val="00985671"/>
    <w:rsid w:val="00985A81"/>
    <w:rsid w:val="009867C0"/>
    <w:rsid w:val="00987259"/>
    <w:rsid w:val="00987570"/>
    <w:rsid w:val="00987A59"/>
    <w:rsid w:val="00987E28"/>
    <w:rsid w:val="009902AB"/>
    <w:rsid w:val="00990F85"/>
    <w:rsid w:val="00991176"/>
    <w:rsid w:val="00991449"/>
    <w:rsid w:val="00991D2E"/>
    <w:rsid w:val="00991DD3"/>
    <w:rsid w:val="009920C0"/>
    <w:rsid w:val="00992506"/>
    <w:rsid w:val="00992859"/>
    <w:rsid w:val="00992A27"/>
    <w:rsid w:val="00993004"/>
    <w:rsid w:val="00993765"/>
    <w:rsid w:val="00993B77"/>
    <w:rsid w:val="00993C1E"/>
    <w:rsid w:val="00994E85"/>
    <w:rsid w:val="00994F9F"/>
    <w:rsid w:val="00994FCC"/>
    <w:rsid w:val="00995252"/>
    <w:rsid w:val="00995720"/>
    <w:rsid w:val="0099589B"/>
    <w:rsid w:val="00995AFC"/>
    <w:rsid w:val="009967E7"/>
    <w:rsid w:val="00996C39"/>
    <w:rsid w:val="0099736A"/>
    <w:rsid w:val="00997D8E"/>
    <w:rsid w:val="009A02A5"/>
    <w:rsid w:val="009A03F0"/>
    <w:rsid w:val="009A086D"/>
    <w:rsid w:val="009A0B2D"/>
    <w:rsid w:val="009A0FF8"/>
    <w:rsid w:val="009A2811"/>
    <w:rsid w:val="009A37C0"/>
    <w:rsid w:val="009A3814"/>
    <w:rsid w:val="009A38C5"/>
    <w:rsid w:val="009A39B1"/>
    <w:rsid w:val="009A4029"/>
    <w:rsid w:val="009A4490"/>
    <w:rsid w:val="009A44C4"/>
    <w:rsid w:val="009A466F"/>
    <w:rsid w:val="009A4ADC"/>
    <w:rsid w:val="009A4EB9"/>
    <w:rsid w:val="009A50C6"/>
    <w:rsid w:val="009A51ED"/>
    <w:rsid w:val="009A526B"/>
    <w:rsid w:val="009A55C2"/>
    <w:rsid w:val="009A6137"/>
    <w:rsid w:val="009A61D9"/>
    <w:rsid w:val="009A6BA4"/>
    <w:rsid w:val="009A775D"/>
    <w:rsid w:val="009A7DB0"/>
    <w:rsid w:val="009A7FFD"/>
    <w:rsid w:val="009B0338"/>
    <w:rsid w:val="009B04AE"/>
    <w:rsid w:val="009B0902"/>
    <w:rsid w:val="009B1684"/>
    <w:rsid w:val="009B17A3"/>
    <w:rsid w:val="009B1C08"/>
    <w:rsid w:val="009B1EFE"/>
    <w:rsid w:val="009B2B2A"/>
    <w:rsid w:val="009B2B9E"/>
    <w:rsid w:val="009B3012"/>
    <w:rsid w:val="009B3225"/>
    <w:rsid w:val="009B32C4"/>
    <w:rsid w:val="009B32FF"/>
    <w:rsid w:val="009B351C"/>
    <w:rsid w:val="009B432D"/>
    <w:rsid w:val="009B4594"/>
    <w:rsid w:val="009B47F2"/>
    <w:rsid w:val="009B4CD7"/>
    <w:rsid w:val="009B4D54"/>
    <w:rsid w:val="009B5110"/>
    <w:rsid w:val="009B5364"/>
    <w:rsid w:val="009B5C0C"/>
    <w:rsid w:val="009B5CE8"/>
    <w:rsid w:val="009B6647"/>
    <w:rsid w:val="009B6829"/>
    <w:rsid w:val="009B7AF0"/>
    <w:rsid w:val="009B7D5D"/>
    <w:rsid w:val="009B7F3B"/>
    <w:rsid w:val="009C007A"/>
    <w:rsid w:val="009C0294"/>
    <w:rsid w:val="009C0367"/>
    <w:rsid w:val="009C053A"/>
    <w:rsid w:val="009C0907"/>
    <w:rsid w:val="009C0AB4"/>
    <w:rsid w:val="009C0C17"/>
    <w:rsid w:val="009C16F7"/>
    <w:rsid w:val="009C1BFE"/>
    <w:rsid w:val="009C2210"/>
    <w:rsid w:val="009C229D"/>
    <w:rsid w:val="009C2618"/>
    <w:rsid w:val="009C272B"/>
    <w:rsid w:val="009C2B2B"/>
    <w:rsid w:val="009C2CA5"/>
    <w:rsid w:val="009C2DAF"/>
    <w:rsid w:val="009C3A11"/>
    <w:rsid w:val="009C3C65"/>
    <w:rsid w:val="009C3CE9"/>
    <w:rsid w:val="009C3FF9"/>
    <w:rsid w:val="009C4573"/>
    <w:rsid w:val="009C46BC"/>
    <w:rsid w:val="009C485B"/>
    <w:rsid w:val="009C4993"/>
    <w:rsid w:val="009C4C0D"/>
    <w:rsid w:val="009C5BB0"/>
    <w:rsid w:val="009C5C4A"/>
    <w:rsid w:val="009C6E13"/>
    <w:rsid w:val="009C7255"/>
    <w:rsid w:val="009C7A01"/>
    <w:rsid w:val="009C7F98"/>
    <w:rsid w:val="009D0581"/>
    <w:rsid w:val="009D11B7"/>
    <w:rsid w:val="009D1659"/>
    <w:rsid w:val="009D1885"/>
    <w:rsid w:val="009D1DAA"/>
    <w:rsid w:val="009D4BA1"/>
    <w:rsid w:val="009D64E2"/>
    <w:rsid w:val="009D661C"/>
    <w:rsid w:val="009D675C"/>
    <w:rsid w:val="009D6C03"/>
    <w:rsid w:val="009D6C82"/>
    <w:rsid w:val="009D6FE4"/>
    <w:rsid w:val="009D71AB"/>
    <w:rsid w:val="009D751F"/>
    <w:rsid w:val="009D7A07"/>
    <w:rsid w:val="009D7D41"/>
    <w:rsid w:val="009D7DFD"/>
    <w:rsid w:val="009E1B55"/>
    <w:rsid w:val="009E1D81"/>
    <w:rsid w:val="009E1E24"/>
    <w:rsid w:val="009E2DD5"/>
    <w:rsid w:val="009E2EB3"/>
    <w:rsid w:val="009E2EF4"/>
    <w:rsid w:val="009E2F0E"/>
    <w:rsid w:val="009E3986"/>
    <w:rsid w:val="009E3A80"/>
    <w:rsid w:val="009E43E6"/>
    <w:rsid w:val="009E453C"/>
    <w:rsid w:val="009E52D5"/>
    <w:rsid w:val="009E549A"/>
    <w:rsid w:val="009E5725"/>
    <w:rsid w:val="009E596F"/>
    <w:rsid w:val="009E5CE2"/>
    <w:rsid w:val="009E608B"/>
    <w:rsid w:val="009E61D7"/>
    <w:rsid w:val="009E671A"/>
    <w:rsid w:val="009E6E6A"/>
    <w:rsid w:val="009E7154"/>
    <w:rsid w:val="009E76FB"/>
    <w:rsid w:val="009E7D1A"/>
    <w:rsid w:val="009E7D77"/>
    <w:rsid w:val="009F0096"/>
    <w:rsid w:val="009F05EC"/>
    <w:rsid w:val="009F0D73"/>
    <w:rsid w:val="009F1011"/>
    <w:rsid w:val="009F188C"/>
    <w:rsid w:val="009F1FCD"/>
    <w:rsid w:val="009F2240"/>
    <w:rsid w:val="009F24AB"/>
    <w:rsid w:val="009F2C37"/>
    <w:rsid w:val="009F2EFA"/>
    <w:rsid w:val="009F4404"/>
    <w:rsid w:val="009F5226"/>
    <w:rsid w:val="009F54A6"/>
    <w:rsid w:val="009F5733"/>
    <w:rsid w:val="009F57CE"/>
    <w:rsid w:val="009F5909"/>
    <w:rsid w:val="009F6066"/>
    <w:rsid w:val="009F66CD"/>
    <w:rsid w:val="009F799A"/>
    <w:rsid w:val="009F7E71"/>
    <w:rsid w:val="00A00F3A"/>
    <w:rsid w:val="00A0110A"/>
    <w:rsid w:val="00A013EC"/>
    <w:rsid w:val="00A01502"/>
    <w:rsid w:val="00A01514"/>
    <w:rsid w:val="00A01515"/>
    <w:rsid w:val="00A01583"/>
    <w:rsid w:val="00A01714"/>
    <w:rsid w:val="00A01919"/>
    <w:rsid w:val="00A01B61"/>
    <w:rsid w:val="00A01F2B"/>
    <w:rsid w:val="00A03A0E"/>
    <w:rsid w:val="00A03AD9"/>
    <w:rsid w:val="00A03AFC"/>
    <w:rsid w:val="00A03C5B"/>
    <w:rsid w:val="00A047A4"/>
    <w:rsid w:val="00A04A67"/>
    <w:rsid w:val="00A04C95"/>
    <w:rsid w:val="00A057FF"/>
    <w:rsid w:val="00A05C85"/>
    <w:rsid w:val="00A05DCB"/>
    <w:rsid w:val="00A05EDA"/>
    <w:rsid w:val="00A067A8"/>
    <w:rsid w:val="00A06BE6"/>
    <w:rsid w:val="00A06D5C"/>
    <w:rsid w:val="00A073D9"/>
    <w:rsid w:val="00A07444"/>
    <w:rsid w:val="00A07655"/>
    <w:rsid w:val="00A07958"/>
    <w:rsid w:val="00A07B2E"/>
    <w:rsid w:val="00A07D50"/>
    <w:rsid w:val="00A10B3F"/>
    <w:rsid w:val="00A10F39"/>
    <w:rsid w:val="00A11451"/>
    <w:rsid w:val="00A11B21"/>
    <w:rsid w:val="00A12224"/>
    <w:rsid w:val="00A12CFB"/>
    <w:rsid w:val="00A137D8"/>
    <w:rsid w:val="00A14077"/>
    <w:rsid w:val="00A148DB"/>
    <w:rsid w:val="00A14B03"/>
    <w:rsid w:val="00A15059"/>
    <w:rsid w:val="00A15064"/>
    <w:rsid w:val="00A15994"/>
    <w:rsid w:val="00A16878"/>
    <w:rsid w:val="00A16BA6"/>
    <w:rsid w:val="00A17399"/>
    <w:rsid w:val="00A17644"/>
    <w:rsid w:val="00A2067E"/>
    <w:rsid w:val="00A21EAB"/>
    <w:rsid w:val="00A2224A"/>
    <w:rsid w:val="00A22882"/>
    <w:rsid w:val="00A2343A"/>
    <w:rsid w:val="00A23CA4"/>
    <w:rsid w:val="00A23D2B"/>
    <w:rsid w:val="00A23D5F"/>
    <w:rsid w:val="00A242A0"/>
    <w:rsid w:val="00A24454"/>
    <w:rsid w:val="00A24510"/>
    <w:rsid w:val="00A24680"/>
    <w:rsid w:val="00A25779"/>
    <w:rsid w:val="00A25F8D"/>
    <w:rsid w:val="00A26919"/>
    <w:rsid w:val="00A26B94"/>
    <w:rsid w:val="00A27017"/>
    <w:rsid w:val="00A31189"/>
    <w:rsid w:val="00A311A4"/>
    <w:rsid w:val="00A314AD"/>
    <w:rsid w:val="00A3183B"/>
    <w:rsid w:val="00A31ABE"/>
    <w:rsid w:val="00A31F2C"/>
    <w:rsid w:val="00A32094"/>
    <w:rsid w:val="00A324FC"/>
    <w:rsid w:val="00A33999"/>
    <w:rsid w:val="00A33C0C"/>
    <w:rsid w:val="00A33DED"/>
    <w:rsid w:val="00A34004"/>
    <w:rsid w:val="00A34BDF"/>
    <w:rsid w:val="00A35435"/>
    <w:rsid w:val="00A357D4"/>
    <w:rsid w:val="00A35E8E"/>
    <w:rsid w:val="00A35EA5"/>
    <w:rsid w:val="00A3601F"/>
    <w:rsid w:val="00A360D0"/>
    <w:rsid w:val="00A36448"/>
    <w:rsid w:val="00A365F9"/>
    <w:rsid w:val="00A367F2"/>
    <w:rsid w:val="00A368DC"/>
    <w:rsid w:val="00A378D2"/>
    <w:rsid w:val="00A379FA"/>
    <w:rsid w:val="00A37FE0"/>
    <w:rsid w:val="00A40283"/>
    <w:rsid w:val="00A405E6"/>
    <w:rsid w:val="00A41AC1"/>
    <w:rsid w:val="00A421B2"/>
    <w:rsid w:val="00A4256D"/>
    <w:rsid w:val="00A42849"/>
    <w:rsid w:val="00A42F44"/>
    <w:rsid w:val="00A43BCB"/>
    <w:rsid w:val="00A44669"/>
    <w:rsid w:val="00A451BF"/>
    <w:rsid w:val="00A454E5"/>
    <w:rsid w:val="00A45867"/>
    <w:rsid w:val="00A46C60"/>
    <w:rsid w:val="00A47083"/>
    <w:rsid w:val="00A47710"/>
    <w:rsid w:val="00A47A8B"/>
    <w:rsid w:val="00A47FC5"/>
    <w:rsid w:val="00A50F9C"/>
    <w:rsid w:val="00A51100"/>
    <w:rsid w:val="00A51134"/>
    <w:rsid w:val="00A512D4"/>
    <w:rsid w:val="00A52EB8"/>
    <w:rsid w:val="00A5391A"/>
    <w:rsid w:val="00A53C26"/>
    <w:rsid w:val="00A54234"/>
    <w:rsid w:val="00A542CA"/>
    <w:rsid w:val="00A54A26"/>
    <w:rsid w:val="00A54B1A"/>
    <w:rsid w:val="00A54C49"/>
    <w:rsid w:val="00A55582"/>
    <w:rsid w:val="00A55A14"/>
    <w:rsid w:val="00A55DDF"/>
    <w:rsid w:val="00A56544"/>
    <w:rsid w:val="00A566F7"/>
    <w:rsid w:val="00A56960"/>
    <w:rsid w:val="00A5710B"/>
    <w:rsid w:val="00A57E2F"/>
    <w:rsid w:val="00A57F7D"/>
    <w:rsid w:val="00A60B2F"/>
    <w:rsid w:val="00A60F99"/>
    <w:rsid w:val="00A61EFC"/>
    <w:rsid w:val="00A62382"/>
    <w:rsid w:val="00A62C4D"/>
    <w:rsid w:val="00A62CD2"/>
    <w:rsid w:val="00A62E17"/>
    <w:rsid w:val="00A63845"/>
    <w:rsid w:val="00A63BDC"/>
    <w:rsid w:val="00A64160"/>
    <w:rsid w:val="00A64220"/>
    <w:rsid w:val="00A64255"/>
    <w:rsid w:val="00A64368"/>
    <w:rsid w:val="00A64A0C"/>
    <w:rsid w:val="00A65250"/>
    <w:rsid w:val="00A6622A"/>
    <w:rsid w:val="00A674F0"/>
    <w:rsid w:val="00A6775F"/>
    <w:rsid w:val="00A67A25"/>
    <w:rsid w:val="00A67A98"/>
    <w:rsid w:val="00A67C59"/>
    <w:rsid w:val="00A7011F"/>
    <w:rsid w:val="00A7026E"/>
    <w:rsid w:val="00A70484"/>
    <w:rsid w:val="00A706FA"/>
    <w:rsid w:val="00A707E9"/>
    <w:rsid w:val="00A70853"/>
    <w:rsid w:val="00A7283B"/>
    <w:rsid w:val="00A729E8"/>
    <w:rsid w:val="00A72F92"/>
    <w:rsid w:val="00A730C1"/>
    <w:rsid w:val="00A737FD"/>
    <w:rsid w:val="00A73D63"/>
    <w:rsid w:val="00A73D91"/>
    <w:rsid w:val="00A742C3"/>
    <w:rsid w:val="00A7443F"/>
    <w:rsid w:val="00A75463"/>
    <w:rsid w:val="00A75867"/>
    <w:rsid w:val="00A75AC4"/>
    <w:rsid w:val="00A75F30"/>
    <w:rsid w:val="00A760A6"/>
    <w:rsid w:val="00A77261"/>
    <w:rsid w:val="00A775B3"/>
    <w:rsid w:val="00A80215"/>
    <w:rsid w:val="00A80359"/>
    <w:rsid w:val="00A80CBF"/>
    <w:rsid w:val="00A80FD2"/>
    <w:rsid w:val="00A81373"/>
    <w:rsid w:val="00A8199F"/>
    <w:rsid w:val="00A81E85"/>
    <w:rsid w:val="00A8270D"/>
    <w:rsid w:val="00A827E1"/>
    <w:rsid w:val="00A82C99"/>
    <w:rsid w:val="00A83440"/>
    <w:rsid w:val="00A8366B"/>
    <w:rsid w:val="00A840B1"/>
    <w:rsid w:val="00A857DB"/>
    <w:rsid w:val="00A862E7"/>
    <w:rsid w:val="00A863F3"/>
    <w:rsid w:val="00A865FB"/>
    <w:rsid w:val="00A873A9"/>
    <w:rsid w:val="00A87530"/>
    <w:rsid w:val="00A87E15"/>
    <w:rsid w:val="00A903C0"/>
    <w:rsid w:val="00A90A3D"/>
    <w:rsid w:val="00A90CDF"/>
    <w:rsid w:val="00A90DBA"/>
    <w:rsid w:val="00A90F41"/>
    <w:rsid w:val="00A911D4"/>
    <w:rsid w:val="00A91A15"/>
    <w:rsid w:val="00A91BE0"/>
    <w:rsid w:val="00A92261"/>
    <w:rsid w:val="00A92BDA"/>
    <w:rsid w:val="00A932EC"/>
    <w:rsid w:val="00A93DF5"/>
    <w:rsid w:val="00A943C5"/>
    <w:rsid w:val="00A94486"/>
    <w:rsid w:val="00A94833"/>
    <w:rsid w:val="00A94A8D"/>
    <w:rsid w:val="00A9511C"/>
    <w:rsid w:val="00A95DE1"/>
    <w:rsid w:val="00A96033"/>
    <w:rsid w:val="00A9617D"/>
    <w:rsid w:val="00A96DFA"/>
    <w:rsid w:val="00A96F0E"/>
    <w:rsid w:val="00A97162"/>
    <w:rsid w:val="00A9723B"/>
    <w:rsid w:val="00A97751"/>
    <w:rsid w:val="00AA00A8"/>
    <w:rsid w:val="00AA0D49"/>
    <w:rsid w:val="00AA0DBC"/>
    <w:rsid w:val="00AA1294"/>
    <w:rsid w:val="00AA2453"/>
    <w:rsid w:val="00AA2AA7"/>
    <w:rsid w:val="00AA2D98"/>
    <w:rsid w:val="00AA366A"/>
    <w:rsid w:val="00AA4AD5"/>
    <w:rsid w:val="00AA4D99"/>
    <w:rsid w:val="00AA4E99"/>
    <w:rsid w:val="00AA55B0"/>
    <w:rsid w:val="00AA7849"/>
    <w:rsid w:val="00AA7C79"/>
    <w:rsid w:val="00AB02E6"/>
    <w:rsid w:val="00AB0A8C"/>
    <w:rsid w:val="00AB0B91"/>
    <w:rsid w:val="00AB0BE5"/>
    <w:rsid w:val="00AB11B6"/>
    <w:rsid w:val="00AB1AD3"/>
    <w:rsid w:val="00AB1D92"/>
    <w:rsid w:val="00AB22D2"/>
    <w:rsid w:val="00AB304A"/>
    <w:rsid w:val="00AB317E"/>
    <w:rsid w:val="00AB3B18"/>
    <w:rsid w:val="00AB3B3C"/>
    <w:rsid w:val="00AB3C36"/>
    <w:rsid w:val="00AB3D9E"/>
    <w:rsid w:val="00AB47BF"/>
    <w:rsid w:val="00AB4A6F"/>
    <w:rsid w:val="00AB53E7"/>
    <w:rsid w:val="00AB541E"/>
    <w:rsid w:val="00AB571B"/>
    <w:rsid w:val="00AB5B76"/>
    <w:rsid w:val="00AB5CA3"/>
    <w:rsid w:val="00AB77EC"/>
    <w:rsid w:val="00AB7924"/>
    <w:rsid w:val="00AB7C43"/>
    <w:rsid w:val="00AB7C64"/>
    <w:rsid w:val="00AC0484"/>
    <w:rsid w:val="00AC148B"/>
    <w:rsid w:val="00AC1F2F"/>
    <w:rsid w:val="00AC2ADA"/>
    <w:rsid w:val="00AC2CF7"/>
    <w:rsid w:val="00AC36A4"/>
    <w:rsid w:val="00AC3804"/>
    <w:rsid w:val="00AC4179"/>
    <w:rsid w:val="00AC41E1"/>
    <w:rsid w:val="00AC45D0"/>
    <w:rsid w:val="00AC51C1"/>
    <w:rsid w:val="00AC5883"/>
    <w:rsid w:val="00AC5983"/>
    <w:rsid w:val="00AC5D46"/>
    <w:rsid w:val="00AC7B82"/>
    <w:rsid w:val="00AC7F5A"/>
    <w:rsid w:val="00AC7FCF"/>
    <w:rsid w:val="00AD029B"/>
    <w:rsid w:val="00AD19DC"/>
    <w:rsid w:val="00AD1A5D"/>
    <w:rsid w:val="00AD2000"/>
    <w:rsid w:val="00AD20C3"/>
    <w:rsid w:val="00AD250F"/>
    <w:rsid w:val="00AD266D"/>
    <w:rsid w:val="00AD2C08"/>
    <w:rsid w:val="00AD3761"/>
    <w:rsid w:val="00AD3FDA"/>
    <w:rsid w:val="00AD4154"/>
    <w:rsid w:val="00AD44E4"/>
    <w:rsid w:val="00AD57E5"/>
    <w:rsid w:val="00AD5A10"/>
    <w:rsid w:val="00AD5D1A"/>
    <w:rsid w:val="00AD6272"/>
    <w:rsid w:val="00AD6498"/>
    <w:rsid w:val="00AD6A30"/>
    <w:rsid w:val="00AD7786"/>
    <w:rsid w:val="00AE0001"/>
    <w:rsid w:val="00AE11AE"/>
    <w:rsid w:val="00AE1FA2"/>
    <w:rsid w:val="00AE1FB6"/>
    <w:rsid w:val="00AE2CB1"/>
    <w:rsid w:val="00AE35D9"/>
    <w:rsid w:val="00AE3809"/>
    <w:rsid w:val="00AE3C65"/>
    <w:rsid w:val="00AE4E80"/>
    <w:rsid w:val="00AE59E9"/>
    <w:rsid w:val="00AE5DF1"/>
    <w:rsid w:val="00AE5EB0"/>
    <w:rsid w:val="00AE5ECA"/>
    <w:rsid w:val="00AE64C9"/>
    <w:rsid w:val="00AE67FA"/>
    <w:rsid w:val="00AE7374"/>
    <w:rsid w:val="00AE7384"/>
    <w:rsid w:val="00AE74A9"/>
    <w:rsid w:val="00AE7818"/>
    <w:rsid w:val="00AE7D79"/>
    <w:rsid w:val="00AE7DBC"/>
    <w:rsid w:val="00AF0EC8"/>
    <w:rsid w:val="00AF0F0D"/>
    <w:rsid w:val="00AF243C"/>
    <w:rsid w:val="00AF2645"/>
    <w:rsid w:val="00AF2753"/>
    <w:rsid w:val="00AF3111"/>
    <w:rsid w:val="00AF3213"/>
    <w:rsid w:val="00AF3A1E"/>
    <w:rsid w:val="00AF3B59"/>
    <w:rsid w:val="00AF4203"/>
    <w:rsid w:val="00AF5892"/>
    <w:rsid w:val="00AF5C07"/>
    <w:rsid w:val="00AF65A3"/>
    <w:rsid w:val="00AF6C16"/>
    <w:rsid w:val="00AF6C8E"/>
    <w:rsid w:val="00AF70AD"/>
    <w:rsid w:val="00AF70BB"/>
    <w:rsid w:val="00AF731D"/>
    <w:rsid w:val="00AF7452"/>
    <w:rsid w:val="00AF757C"/>
    <w:rsid w:val="00AF7B6F"/>
    <w:rsid w:val="00B0006D"/>
    <w:rsid w:val="00B001A0"/>
    <w:rsid w:val="00B001AC"/>
    <w:rsid w:val="00B001EF"/>
    <w:rsid w:val="00B00306"/>
    <w:rsid w:val="00B008CC"/>
    <w:rsid w:val="00B00B0C"/>
    <w:rsid w:val="00B00CED"/>
    <w:rsid w:val="00B0106C"/>
    <w:rsid w:val="00B011EE"/>
    <w:rsid w:val="00B012BC"/>
    <w:rsid w:val="00B0143F"/>
    <w:rsid w:val="00B01A28"/>
    <w:rsid w:val="00B01E4E"/>
    <w:rsid w:val="00B0233B"/>
    <w:rsid w:val="00B04478"/>
    <w:rsid w:val="00B04DD3"/>
    <w:rsid w:val="00B055DD"/>
    <w:rsid w:val="00B05CAD"/>
    <w:rsid w:val="00B06018"/>
    <w:rsid w:val="00B06A1A"/>
    <w:rsid w:val="00B06CCB"/>
    <w:rsid w:val="00B070D8"/>
    <w:rsid w:val="00B0774E"/>
    <w:rsid w:val="00B10266"/>
    <w:rsid w:val="00B10C69"/>
    <w:rsid w:val="00B10C8A"/>
    <w:rsid w:val="00B112C1"/>
    <w:rsid w:val="00B1202D"/>
    <w:rsid w:val="00B12284"/>
    <w:rsid w:val="00B122BF"/>
    <w:rsid w:val="00B124C1"/>
    <w:rsid w:val="00B12509"/>
    <w:rsid w:val="00B125CC"/>
    <w:rsid w:val="00B1270E"/>
    <w:rsid w:val="00B134F2"/>
    <w:rsid w:val="00B13853"/>
    <w:rsid w:val="00B13908"/>
    <w:rsid w:val="00B13996"/>
    <w:rsid w:val="00B14EE9"/>
    <w:rsid w:val="00B14F7B"/>
    <w:rsid w:val="00B15284"/>
    <w:rsid w:val="00B159D2"/>
    <w:rsid w:val="00B161F3"/>
    <w:rsid w:val="00B174BE"/>
    <w:rsid w:val="00B17616"/>
    <w:rsid w:val="00B17C6C"/>
    <w:rsid w:val="00B17FA8"/>
    <w:rsid w:val="00B20048"/>
    <w:rsid w:val="00B20332"/>
    <w:rsid w:val="00B211B8"/>
    <w:rsid w:val="00B2247D"/>
    <w:rsid w:val="00B2283A"/>
    <w:rsid w:val="00B23701"/>
    <w:rsid w:val="00B23728"/>
    <w:rsid w:val="00B242F0"/>
    <w:rsid w:val="00B2461F"/>
    <w:rsid w:val="00B2492C"/>
    <w:rsid w:val="00B25134"/>
    <w:rsid w:val="00B254F4"/>
    <w:rsid w:val="00B25FD3"/>
    <w:rsid w:val="00B25FEF"/>
    <w:rsid w:val="00B266E7"/>
    <w:rsid w:val="00B26787"/>
    <w:rsid w:val="00B273F3"/>
    <w:rsid w:val="00B300DC"/>
    <w:rsid w:val="00B3136C"/>
    <w:rsid w:val="00B314E0"/>
    <w:rsid w:val="00B31552"/>
    <w:rsid w:val="00B31E62"/>
    <w:rsid w:val="00B32430"/>
    <w:rsid w:val="00B334E1"/>
    <w:rsid w:val="00B335A6"/>
    <w:rsid w:val="00B339A9"/>
    <w:rsid w:val="00B33B5D"/>
    <w:rsid w:val="00B33F82"/>
    <w:rsid w:val="00B34170"/>
    <w:rsid w:val="00B3475B"/>
    <w:rsid w:val="00B3538C"/>
    <w:rsid w:val="00B353E4"/>
    <w:rsid w:val="00B356BE"/>
    <w:rsid w:val="00B35798"/>
    <w:rsid w:val="00B35815"/>
    <w:rsid w:val="00B35C97"/>
    <w:rsid w:val="00B361B7"/>
    <w:rsid w:val="00B367F3"/>
    <w:rsid w:val="00B37386"/>
    <w:rsid w:val="00B3757F"/>
    <w:rsid w:val="00B37624"/>
    <w:rsid w:val="00B400FC"/>
    <w:rsid w:val="00B4026E"/>
    <w:rsid w:val="00B40A39"/>
    <w:rsid w:val="00B41153"/>
    <w:rsid w:val="00B41DA1"/>
    <w:rsid w:val="00B41DAB"/>
    <w:rsid w:val="00B42E4A"/>
    <w:rsid w:val="00B43393"/>
    <w:rsid w:val="00B43C17"/>
    <w:rsid w:val="00B43D30"/>
    <w:rsid w:val="00B454D3"/>
    <w:rsid w:val="00B472AF"/>
    <w:rsid w:val="00B475A8"/>
    <w:rsid w:val="00B47653"/>
    <w:rsid w:val="00B47695"/>
    <w:rsid w:val="00B47AD9"/>
    <w:rsid w:val="00B5026E"/>
    <w:rsid w:val="00B5265D"/>
    <w:rsid w:val="00B52697"/>
    <w:rsid w:val="00B529DA"/>
    <w:rsid w:val="00B52CCF"/>
    <w:rsid w:val="00B52D46"/>
    <w:rsid w:val="00B53633"/>
    <w:rsid w:val="00B5370C"/>
    <w:rsid w:val="00B53885"/>
    <w:rsid w:val="00B53CFD"/>
    <w:rsid w:val="00B5429C"/>
    <w:rsid w:val="00B5429F"/>
    <w:rsid w:val="00B545E0"/>
    <w:rsid w:val="00B549A5"/>
    <w:rsid w:val="00B55095"/>
    <w:rsid w:val="00B5601E"/>
    <w:rsid w:val="00B566BB"/>
    <w:rsid w:val="00B56865"/>
    <w:rsid w:val="00B56BFB"/>
    <w:rsid w:val="00B57082"/>
    <w:rsid w:val="00B60373"/>
    <w:rsid w:val="00B60FE6"/>
    <w:rsid w:val="00B61000"/>
    <w:rsid w:val="00B6143B"/>
    <w:rsid w:val="00B624E3"/>
    <w:rsid w:val="00B62E8C"/>
    <w:rsid w:val="00B62EF4"/>
    <w:rsid w:val="00B6309A"/>
    <w:rsid w:val="00B63926"/>
    <w:rsid w:val="00B63E39"/>
    <w:rsid w:val="00B64478"/>
    <w:rsid w:val="00B64B6E"/>
    <w:rsid w:val="00B65919"/>
    <w:rsid w:val="00B66101"/>
    <w:rsid w:val="00B665DC"/>
    <w:rsid w:val="00B6713D"/>
    <w:rsid w:val="00B678CD"/>
    <w:rsid w:val="00B67A0F"/>
    <w:rsid w:val="00B67CB1"/>
    <w:rsid w:val="00B67EFE"/>
    <w:rsid w:val="00B7008A"/>
    <w:rsid w:val="00B70747"/>
    <w:rsid w:val="00B70D9F"/>
    <w:rsid w:val="00B70E0D"/>
    <w:rsid w:val="00B71171"/>
    <w:rsid w:val="00B71237"/>
    <w:rsid w:val="00B7172F"/>
    <w:rsid w:val="00B72202"/>
    <w:rsid w:val="00B72938"/>
    <w:rsid w:val="00B72D05"/>
    <w:rsid w:val="00B72E62"/>
    <w:rsid w:val="00B73437"/>
    <w:rsid w:val="00B73A5D"/>
    <w:rsid w:val="00B73E05"/>
    <w:rsid w:val="00B7463B"/>
    <w:rsid w:val="00B7571C"/>
    <w:rsid w:val="00B75A06"/>
    <w:rsid w:val="00B75D1C"/>
    <w:rsid w:val="00B75D28"/>
    <w:rsid w:val="00B76220"/>
    <w:rsid w:val="00B764CD"/>
    <w:rsid w:val="00B775A1"/>
    <w:rsid w:val="00B77CD5"/>
    <w:rsid w:val="00B77D59"/>
    <w:rsid w:val="00B80746"/>
    <w:rsid w:val="00B80A12"/>
    <w:rsid w:val="00B82C41"/>
    <w:rsid w:val="00B82F19"/>
    <w:rsid w:val="00B841B1"/>
    <w:rsid w:val="00B84416"/>
    <w:rsid w:val="00B84D93"/>
    <w:rsid w:val="00B85324"/>
    <w:rsid w:val="00B867BD"/>
    <w:rsid w:val="00B86960"/>
    <w:rsid w:val="00B86A08"/>
    <w:rsid w:val="00B86E17"/>
    <w:rsid w:val="00B8709A"/>
    <w:rsid w:val="00B9013D"/>
    <w:rsid w:val="00B90885"/>
    <w:rsid w:val="00B913F9"/>
    <w:rsid w:val="00B9222E"/>
    <w:rsid w:val="00B9229E"/>
    <w:rsid w:val="00B924BC"/>
    <w:rsid w:val="00B92EBA"/>
    <w:rsid w:val="00B931D7"/>
    <w:rsid w:val="00B931DE"/>
    <w:rsid w:val="00B933EB"/>
    <w:rsid w:val="00B93CF3"/>
    <w:rsid w:val="00B93D5E"/>
    <w:rsid w:val="00B9494D"/>
    <w:rsid w:val="00B94A12"/>
    <w:rsid w:val="00B95168"/>
    <w:rsid w:val="00B951D1"/>
    <w:rsid w:val="00B96C2C"/>
    <w:rsid w:val="00B97693"/>
    <w:rsid w:val="00B976BC"/>
    <w:rsid w:val="00B977B5"/>
    <w:rsid w:val="00B97906"/>
    <w:rsid w:val="00B97EDE"/>
    <w:rsid w:val="00BA09E9"/>
    <w:rsid w:val="00BA0E6D"/>
    <w:rsid w:val="00BA27CA"/>
    <w:rsid w:val="00BA29B1"/>
    <w:rsid w:val="00BA2FCD"/>
    <w:rsid w:val="00BA3B82"/>
    <w:rsid w:val="00BA4421"/>
    <w:rsid w:val="00BA4EAB"/>
    <w:rsid w:val="00BA4EB9"/>
    <w:rsid w:val="00BA5BFF"/>
    <w:rsid w:val="00BA6AA5"/>
    <w:rsid w:val="00BA6B7A"/>
    <w:rsid w:val="00BA7527"/>
    <w:rsid w:val="00BA7B8E"/>
    <w:rsid w:val="00BA7FC5"/>
    <w:rsid w:val="00BB03B1"/>
    <w:rsid w:val="00BB084E"/>
    <w:rsid w:val="00BB0A2A"/>
    <w:rsid w:val="00BB149F"/>
    <w:rsid w:val="00BB14D3"/>
    <w:rsid w:val="00BB1529"/>
    <w:rsid w:val="00BB1AFE"/>
    <w:rsid w:val="00BB294D"/>
    <w:rsid w:val="00BB31EA"/>
    <w:rsid w:val="00BB33DA"/>
    <w:rsid w:val="00BB40B3"/>
    <w:rsid w:val="00BB413D"/>
    <w:rsid w:val="00BB4918"/>
    <w:rsid w:val="00BB55EC"/>
    <w:rsid w:val="00BB5D6A"/>
    <w:rsid w:val="00BB64B9"/>
    <w:rsid w:val="00BB6948"/>
    <w:rsid w:val="00BB7287"/>
    <w:rsid w:val="00BB76D5"/>
    <w:rsid w:val="00BB7FB9"/>
    <w:rsid w:val="00BC0046"/>
    <w:rsid w:val="00BC03D9"/>
    <w:rsid w:val="00BC05A5"/>
    <w:rsid w:val="00BC06FA"/>
    <w:rsid w:val="00BC1CC4"/>
    <w:rsid w:val="00BC1D95"/>
    <w:rsid w:val="00BC274E"/>
    <w:rsid w:val="00BC2E84"/>
    <w:rsid w:val="00BC393E"/>
    <w:rsid w:val="00BC3B1B"/>
    <w:rsid w:val="00BC3F2F"/>
    <w:rsid w:val="00BC4179"/>
    <w:rsid w:val="00BC4454"/>
    <w:rsid w:val="00BC4EEF"/>
    <w:rsid w:val="00BC4F38"/>
    <w:rsid w:val="00BC4F45"/>
    <w:rsid w:val="00BC51A7"/>
    <w:rsid w:val="00BC63D5"/>
    <w:rsid w:val="00BC6676"/>
    <w:rsid w:val="00BC678F"/>
    <w:rsid w:val="00BC6C5E"/>
    <w:rsid w:val="00BC72FE"/>
    <w:rsid w:val="00BC7A9E"/>
    <w:rsid w:val="00BD0A24"/>
    <w:rsid w:val="00BD0D05"/>
    <w:rsid w:val="00BD1F7B"/>
    <w:rsid w:val="00BD250A"/>
    <w:rsid w:val="00BD264A"/>
    <w:rsid w:val="00BD2884"/>
    <w:rsid w:val="00BD329B"/>
    <w:rsid w:val="00BD3934"/>
    <w:rsid w:val="00BD3C18"/>
    <w:rsid w:val="00BD3E72"/>
    <w:rsid w:val="00BD4AE3"/>
    <w:rsid w:val="00BD4E87"/>
    <w:rsid w:val="00BD5594"/>
    <w:rsid w:val="00BD5F24"/>
    <w:rsid w:val="00BD5FF4"/>
    <w:rsid w:val="00BD6113"/>
    <w:rsid w:val="00BD6196"/>
    <w:rsid w:val="00BD648C"/>
    <w:rsid w:val="00BD6539"/>
    <w:rsid w:val="00BD690E"/>
    <w:rsid w:val="00BD6EBA"/>
    <w:rsid w:val="00BD73CE"/>
    <w:rsid w:val="00BD79F1"/>
    <w:rsid w:val="00BD7C66"/>
    <w:rsid w:val="00BD7EF9"/>
    <w:rsid w:val="00BE0416"/>
    <w:rsid w:val="00BE04E5"/>
    <w:rsid w:val="00BE069A"/>
    <w:rsid w:val="00BE0CB6"/>
    <w:rsid w:val="00BE1838"/>
    <w:rsid w:val="00BE19BE"/>
    <w:rsid w:val="00BE1CA3"/>
    <w:rsid w:val="00BE2D46"/>
    <w:rsid w:val="00BE38F5"/>
    <w:rsid w:val="00BE40F1"/>
    <w:rsid w:val="00BE4257"/>
    <w:rsid w:val="00BE4945"/>
    <w:rsid w:val="00BE56B1"/>
    <w:rsid w:val="00BE5A58"/>
    <w:rsid w:val="00BE5E0F"/>
    <w:rsid w:val="00BE656E"/>
    <w:rsid w:val="00BE7243"/>
    <w:rsid w:val="00BE7851"/>
    <w:rsid w:val="00BE7E08"/>
    <w:rsid w:val="00BF01AD"/>
    <w:rsid w:val="00BF0AF7"/>
    <w:rsid w:val="00BF0C19"/>
    <w:rsid w:val="00BF0EB8"/>
    <w:rsid w:val="00BF16D3"/>
    <w:rsid w:val="00BF171A"/>
    <w:rsid w:val="00BF1CEE"/>
    <w:rsid w:val="00BF1F49"/>
    <w:rsid w:val="00BF2436"/>
    <w:rsid w:val="00BF2B40"/>
    <w:rsid w:val="00BF2D8C"/>
    <w:rsid w:val="00BF383A"/>
    <w:rsid w:val="00BF3C6A"/>
    <w:rsid w:val="00BF40A0"/>
    <w:rsid w:val="00BF5295"/>
    <w:rsid w:val="00BF57DB"/>
    <w:rsid w:val="00BF59F4"/>
    <w:rsid w:val="00BF5A55"/>
    <w:rsid w:val="00BF6204"/>
    <w:rsid w:val="00BF7AA3"/>
    <w:rsid w:val="00BF7AC3"/>
    <w:rsid w:val="00BF7F7C"/>
    <w:rsid w:val="00C002E5"/>
    <w:rsid w:val="00C002EF"/>
    <w:rsid w:val="00C00894"/>
    <w:rsid w:val="00C01759"/>
    <w:rsid w:val="00C0306D"/>
    <w:rsid w:val="00C030FB"/>
    <w:rsid w:val="00C031F8"/>
    <w:rsid w:val="00C034EE"/>
    <w:rsid w:val="00C03AC6"/>
    <w:rsid w:val="00C047C8"/>
    <w:rsid w:val="00C053D0"/>
    <w:rsid w:val="00C05DDE"/>
    <w:rsid w:val="00C063A1"/>
    <w:rsid w:val="00C0689D"/>
    <w:rsid w:val="00C06B85"/>
    <w:rsid w:val="00C07232"/>
    <w:rsid w:val="00C07A23"/>
    <w:rsid w:val="00C07F6F"/>
    <w:rsid w:val="00C109E9"/>
    <w:rsid w:val="00C112DA"/>
    <w:rsid w:val="00C11920"/>
    <w:rsid w:val="00C11A1F"/>
    <w:rsid w:val="00C126FE"/>
    <w:rsid w:val="00C128C4"/>
    <w:rsid w:val="00C12F44"/>
    <w:rsid w:val="00C14368"/>
    <w:rsid w:val="00C14AAA"/>
    <w:rsid w:val="00C15796"/>
    <w:rsid w:val="00C15814"/>
    <w:rsid w:val="00C15904"/>
    <w:rsid w:val="00C165F8"/>
    <w:rsid w:val="00C166D3"/>
    <w:rsid w:val="00C1765C"/>
    <w:rsid w:val="00C17EC8"/>
    <w:rsid w:val="00C20591"/>
    <w:rsid w:val="00C210DD"/>
    <w:rsid w:val="00C216C4"/>
    <w:rsid w:val="00C21D84"/>
    <w:rsid w:val="00C21DC6"/>
    <w:rsid w:val="00C22F43"/>
    <w:rsid w:val="00C23639"/>
    <w:rsid w:val="00C23AEB"/>
    <w:rsid w:val="00C23BA9"/>
    <w:rsid w:val="00C23D6F"/>
    <w:rsid w:val="00C24728"/>
    <w:rsid w:val="00C2507A"/>
    <w:rsid w:val="00C252E8"/>
    <w:rsid w:val="00C25A30"/>
    <w:rsid w:val="00C25AFD"/>
    <w:rsid w:val="00C25DD4"/>
    <w:rsid w:val="00C25F75"/>
    <w:rsid w:val="00C27693"/>
    <w:rsid w:val="00C27B3B"/>
    <w:rsid w:val="00C27DFA"/>
    <w:rsid w:val="00C30C71"/>
    <w:rsid w:val="00C30C74"/>
    <w:rsid w:val="00C30CD9"/>
    <w:rsid w:val="00C30E0A"/>
    <w:rsid w:val="00C310AB"/>
    <w:rsid w:val="00C314B5"/>
    <w:rsid w:val="00C31B27"/>
    <w:rsid w:val="00C32093"/>
    <w:rsid w:val="00C32427"/>
    <w:rsid w:val="00C32AE5"/>
    <w:rsid w:val="00C35042"/>
    <w:rsid w:val="00C35079"/>
    <w:rsid w:val="00C3579F"/>
    <w:rsid w:val="00C36E88"/>
    <w:rsid w:val="00C370DB"/>
    <w:rsid w:val="00C37212"/>
    <w:rsid w:val="00C375AF"/>
    <w:rsid w:val="00C37C84"/>
    <w:rsid w:val="00C37E2C"/>
    <w:rsid w:val="00C40013"/>
    <w:rsid w:val="00C404FB"/>
    <w:rsid w:val="00C40500"/>
    <w:rsid w:val="00C40902"/>
    <w:rsid w:val="00C41262"/>
    <w:rsid w:val="00C412FB"/>
    <w:rsid w:val="00C414EF"/>
    <w:rsid w:val="00C415D6"/>
    <w:rsid w:val="00C4295B"/>
    <w:rsid w:val="00C4304D"/>
    <w:rsid w:val="00C439BA"/>
    <w:rsid w:val="00C44894"/>
    <w:rsid w:val="00C44E18"/>
    <w:rsid w:val="00C44F3E"/>
    <w:rsid w:val="00C450C0"/>
    <w:rsid w:val="00C45DA3"/>
    <w:rsid w:val="00C45F20"/>
    <w:rsid w:val="00C4619E"/>
    <w:rsid w:val="00C46448"/>
    <w:rsid w:val="00C46596"/>
    <w:rsid w:val="00C4690A"/>
    <w:rsid w:val="00C46B29"/>
    <w:rsid w:val="00C46D7D"/>
    <w:rsid w:val="00C47188"/>
    <w:rsid w:val="00C47CB2"/>
    <w:rsid w:val="00C47F01"/>
    <w:rsid w:val="00C50222"/>
    <w:rsid w:val="00C504FC"/>
    <w:rsid w:val="00C50886"/>
    <w:rsid w:val="00C50AB9"/>
    <w:rsid w:val="00C512AB"/>
    <w:rsid w:val="00C513FE"/>
    <w:rsid w:val="00C51C89"/>
    <w:rsid w:val="00C5357F"/>
    <w:rsid w:val="00C5381B"/>
    <w:rsid w:val="00C543B2"/>
    <w:rsid w:val="00C54BD5"/>
    <w:rsid w:val="00C54F24"/>
    <w:rsid w:val="00C56338"/>
    <w:rsid w:val="00C56C8C"/>
    <w:rsid w:val="00C56E1B"/>
    <w:rsid w:val="00C57DE1"/>
    <w:rsid w:val="00C57F2C"/>
    <w:rsid w:val="00C57F3F"/>
    <w:rsid w:val="00C6019A"/>
    <w:rsid w:val="00C60334"/>
    <w:rsid w:val="00C6044E"/>
    <w:rsid w:val="00C60535"/>
    <w:rsid w:val="00C608CE"/>
    <w:rsid w:val="00C609C0"/>
    <w:rsid w:val="00C60FFF"/>
    <w:rsid w:val="00C61143"/>
    <w:rsid w:val="00C6116F"/>
    <w:rsid w:val="00C615DD"/>
    <w:rsid w:val="00C61A8E"/>
    <w:rsid w:val="00C61C7F"/>
    <w:rsid w:val="00C61C9F"/>
    <w:rsid w:val="00C62569"/>
    <w:rsid w:val="00C62DC3"/>
    <w:rsid w:val="00C631CF"/>
    <w:rsid w:val="00C632C6"/>
    <w:rsid w:val="00C63B1F"/>
    <w:rsid w:val="00C63C73"/>
    <w:rsid w:val="00C64109"/>
    <w:rsid w:val="00C64134"/>
    <w:rsid w:val="00C642FF"/>
    <w:rsid w:val="00C65066"/>
    <w:rsid w:val="00C654A3"/>
    <w:rsid w:val="00C65AFF"/>
    <w:rsid w:val="00C65C0E"/>
    <w:rsid w:val="00C65F5E"/>
    <w:rsid w:val="00C66058"/>
    <w:rsid w:val="00C660C1"/>
    <w:rsid w:val="00C6619D"/>
    <w:rsid w:val="00C66BE3"/>
    <w:rsid w:val="00C66D2A"/>
    <w:rsid w:val="00C706B3"/>
    <w:rsid w:val="00C70834"/>
    <w:rsid w:val="00C70912"/>
    <w:rsid w:val="00C709D1"/>
    <w:rsid w:val="00C70A72"/>
    <w:rsid w:val="00C70FFA"/>
    <w:rsid w:val="00C71049"/>
    <w:rsid w:val="00C712EE"/>
    <w:rsid w:val="00C71364"/>
    <w:rsid w:val="00C7206C"/>
    <w:rsid w:val="00C73661"/>
    <w:rsid w:val="00C73C01"/>
    <w:rsid w:val="00C73E4B"/>
    <w:rsid w:val="00C73FFA"/>
    <w:rsid w:val="00C74AAB"/>
    <w:rsid w:val="00C75250"/>
    <w:rsid w:val="00C75564"/>
    <w:rsid w:val="00C758EE"/>
    <w:rsid w:val="00C7611E"/>
    <w:rsid w:val="00C766DC"/>
    <w:rsid w:val="00C81392"/>
    <w:rsid w:val="00C8192F"/>
    <w:rsid w:val="00C81C07"/>
    <w:rsid w:val="00C81F8D"/>
    <w:rsid w:val="00C8242D"/>
    <w:rsid w:val="00C828F2"/>
    <w:rsid w:val="00C82A17"/>
    <w:rsid w:val="00C82D77"/>
    <w:rsid w:val="00C82FDB"/>
    <w:rsid w:val="00C831B5"/>
    <w:rsid w:val="00C83470"/>
    <w:rsid w:val="00C83F6F"/>
    <w:rsid w:val="00C845C8"/>
    <w:rsid w:val="00C85E1E"/>
    <w:rsid w:val="00C86A53"/>
    <w:rsid w:val="00C86C4B"/>
    <w:rsid w:val="00C86FA0"/>
    <w:rsid w:val="00C8701D"/>
    <w:rsid w:val="00C870CB"/>
    <w:rsid w:val="00C90375"/>
    <w:rsid w:val="00C91018"/>
    <w:rsid w:val="00C91914"/>
    <w:rsid w:val="00C91961"/>
    <w:rsid w:val="00C91DE7"/>
    <w:rsid w:val="00C924E3"/>
    <w:rsid w:val="00C92996"/>
    <w:rsid w:val="00C932BD"/>
    <w:rsid w:val="00C9364D"/>
    <w:rsid w:val="00C93F8F"/>
    <w:rsid w:val="00C94C65"/>
    <w:rsid w:val="00C94F6C"/>
    <w:rsid w:val="00C95534"/>
    <w:rsid w:val="00C95DEE"/>
    <w:rsid w:val="00C9692D"/>
    <w:rsid w:val="00C9723D"/>
    <w:rsid w:val="00C97B40"/>
    <w:rsid w:val="00C97F47"/>
    <w:rsid w:val="00CA0244"/>
    <w:rsid w:val="00CA044A"/>
    <w:rsid w:val="00CA12EA"/>
    <w:rsid w:val="00CA1497"/>
    <w:rsid w:val="00CA175A"/>
    <w:rsid w:val="00CA1C34"/>
    <w:rsid w:val="00CA2468"/>
    <w:rsid w:val="00CA3325"/>
    <w:rsid w:val="00CA3663"/>
    <w:rsid w:val="00CA3CAC"/>
    <w:rsid w:val="00CA45D1"/>
    <w:rsid w:val="00CA5E11"/>
    <w:rsid w:val="00CA5E27"/>
    <w:rsid w:val="00CA666A"/>
    <w:rsid w:val="00CA6823"/>
    <w:rsid w:val="00CA69E1"/>
    <w:rsid w:val="00CA6CC1"/>
    <w:rsid w:val="00CA6DDD"/>
    <w:rsid w:val="00CA7A23"/>
    <w:rsid w:val="00CA7D13"/>
    <w:rsid w:val="00CB0436"/>
    <w:rsid w:val="00CB044E"/>
    <w:rsid w:val="00CB0B9C"/>
    <w:rsid w:val="00CB10B4"/>
    <w:rsid w:val="00CB10E8"/>
    <w:rsid w:val="00CB138A"/>
    <w:rsid w:val="00CB1C51"/>
    <w:rsid w:val="00CB1F0F"/>
    <w:rsid w:val="00CB2AE8"/>
    <w:rsid w:val="00CB3DE2"/>
    <w:rsid w:val="00CB3F99"/>
    <w:rsid w:val="00CB421E"/>
    <w:rsid w:val="00CB534D"/>
    <w:rsid w:val="00CB595E"/>
    <w:rsid w:val="00CB5F07"/>
    <w:rsid w:val="00CB63F0"/>
    <w:rsid w:val="00CB650C"/>
    <w:rsid w:val="00CB68DC"/>
    <w:rsid w:val="00CB6CC3"/>
    <w:rsid w:val="00CB79EA"/>
    <w:rsid w:val="00CB7E67"/>
    <w:rsid w:val="00CC05C3"/>
    <w:rsid w:val="00CC1974"/>
    <w:rsid w:val="00CC1E1A"/>
    <w:rsid w:val="00CC1FB0"/>
    <w:rsid w:val="00CC22B7"/>
    <w:rsid w:val="00CC27BE"/>
    <w:rsid w:val="00CC2A1C"/>
    <w:rsid w:val="00CC2D68"/>
    <w:rsid w:val="00CC2DA5"/>
    <w:rsid w:val="00CC30BF"/>
    <w:rsid w:val="00CC3539"/>
    <w:rsid w:val="00CC401A"/>
    <w:rsid w:val="00CC4388"/>
    <w:rsid w:val="00CC47FB"/>
    <w:rsid w:val="00CC498C"/>
    <w:rsid w:val="00CC4D22"/>
    <w:rsid w:val="00CC5129"/>
    <w:rsid w:val="00CC530D"/>
    <w:rsid w:val="00CC5384"/>
    <w:rsid w:val="00CC53EB"/>
    <w:rsid w:val="00CC54A2"/>
    <w:rsid w:val="00CC5706"/>
    <w:rsid w:val="00CC6044"/>
    <w:rsid w:val="00CC6050"/>
    <w:rsid w:val="00CC6124"/>
    <w:rsid w:val="00CC6603"/>
    <w:rsid w:val="00CC6A25"/>
    <w:rsid w:val="00CC6AAC"/>
    <w:rsid w:val="00CD04C6"/>
    <w:rsid w:val="00CD052A"/>
    <w:rsid w:val="00CD07DC"/>
    <w:rsid w:val="00CD0C90"/>
    <w:rsid w:val="00CD1171"/>
    <w:rsid w:val="00CD1CC8"/>
    <w:rsid w:val="00CD24EC"/>
    <w:rsid w:val="00CD32A0"/>
    <w:rsid w:val="00CD4216"/>
    <w:rsid w:val="00CD4254"/>
    <w:rsid w:val="00CD481C"/>
    <w:rsid w:val="00CD4A5F"/>
    <w:rsid w:val="00CD5231"/>
    <w:rsid w:val="00CD5413"/>
    <w:rsid w:val="00CD5AB7"/>
    <w:rsid w:val="00CD668D"/>
    <w:rsid w:val="00CD6AB8"/>
    <w:rsid w:val="00CD7D82"/>
    <w:rsid w:val="00CD7FBA"/>
    <w:rsid w:val="00CE034A"/>
    <w:rsid w:val="00CE0769"/>
    <w:rsid w:val="00CE0A17"/>
    <w:rsid w:val="00CE1423"/>
    <w:rsid w:val="00CE2592"/>
    <w:rsid w:val="00CE25C4"/>
    <w:rsid w:val="00CE299D"/>
    <w:rsid w:val="00CE2FDB"/>
    <w:rsid w:val="00CE3133"/>
    <w:rsid w:val="00CE32BB"/>
    <w:rsid w:val="00CE3385"/>
    <w:rsid w:val="00CE3678"/>
    <w:rsid w:val="00CE3BD4"/>
    <w:rsid w:val="00CE4C2F"/>
    <w:rsid w:val="00CE5418"/>
    <w:rsid w:val="00CE61CE"/>
    <w:rsid w:val="00CE695C"/>
    <w:rsid w:val="00CE6C29"/>
    <w:rsid w:val="00CE6DCF"/>
    <w:rsid w:val="00CE6EDE"/>
    <w:rsid w:val="00CE78B7"/>
    <w:rsid w:val="00CE78EB"/>
    <w:rsid w:val="00CE7DED"/>
    <w:rsid w:val="00CF1FA3"/>
    <w:rsid w:val="00CF2BF6"/>
    <w:rsid w:val="00CF3D2C"/>
    <w:rsid w:val="00CF4233"/>
    <w:rsid w:val="00CF4673"/>
    <w:rsid w:val="00CF487B"/>
    <w:rsid w:val="00CF4BFE"/>
    <w:rsid w:val="00CF588A"/>
    <w:rsid w:val="00CF5C68"/>
    <w:rsid w:val="00CF6D4E"/>
    <w:rsid w:val="00CF741A"/>
    <w:rsid w:val="00CF7496"/>
    <w:rsid w:val="00CF765E"/>
    <w:rsid w:val="00D002CE"/>
    <w:rsid w:val="00D016FA"/>
    <w:rsid w:val="00D01B5F"/>
    <w:rsid w:val="00D02831"/>
    <w:rsid w:val="00D02853"/>
    <w:rsid w:val="00D03701"/>
    <w:rsid w:val="00D040E1"/>
    <w:rsid w:val="00D04370"/>
    <w:rsid w:val="00D047C6"/>
    <w:rsid w:val="00D049A3"/>
    <w:rsid w:val="00D058BF"/>
    <w:rsid w:val="00D05906"/>
    <w:rsid w:val="00D0642A"/>
    <w:rsid w:val="00D112C5"/>
    <w:rsid w:val="00D1179C"/>
    <w:rsid w:val="00D119D0"/>
    <w:rsid w:val="00D11A8A"/>
    <w:rsid w:val="00D11B4E"/>
    <w:rsid w:val="00D127EF"/>
    <w:rsid w:val="00D13FD7"/>
    <w:rsid w:val="00D15270"/>
    <w:rsid w:val="00D154AA"/>
    <w:rsid w:val="00D15581"/>
    <w:rsid w:val="00D162E6"/>
    <w:rsid w:val="00D164BD"/>
    <w:rsid w:val="00D16F5F"/>
    <w:rsid w:val="00D17DAF"/>
    <w:rsid w:val="00D200CF"/>
    <w:rsid w:val="00D2018A"/>
    <w:rsid w:val="00D20BCC"/>
    <w:rsid w:val="00D20C41"/>
    <w:rsid w:val="00D2123D"/>
    <w:rsid w:val="00D21752"/>
    <w:rsid w:val="00D21DC8"/>
    <w:rsid w:val="00D223C4"/>
    <w:rsid w:val="00D22788"/>
    <w:rsid w:val="00D22952"/>
    <w:rsid w:val="00D23218"/>
    <w:rsid w:val="00D23655"/>
    <w:rsid w:val="00D23923"/>
    <w:rsid w:val="00D23BF0"/>
    <w:rsid w:val="00D23EE0"/>
    <w:rsid w:val="00D24146"/>
    <w:rsid w:val="00D246B1"/>
    <w:rsid w:val="00D24958"/>
    <w:rsid w:val="00D24E37"/>
    <w:rsid w:val="00D24E66"/>
    <w:rsid w:val="00D25902"/>
    <w:rsid w:val="00D2643B"/>
    <w:rsid w:val="00D26745"/>
    <w:rsid w:val="00D26880"/>
    <w:rsid w:val="00D2703B"/>
    <w:rsid w:val="00D27476"/>
    <w:rsid w:val="00D27DFA"/>
    <w:rsid w:val="00D27E02"/>
    <w:rsid w:val="00D3033E"/>
    <w:rsid w:val="00D303E6"/>
    <w:rsid w:val="00D304F7"/>
    <w:rsid w:val="00D31E3B"/>
    <w:rsid w:val="00D32A5D"/>
    <w:rsid w:val="00D32CDB"/>
    <w:rsid w:val="00D33AA7"/>
    <w:rsid w:val="00D33B2C"/>
    <w:rsid w:val="00D33FD3"/>
    <w:rsid w:val="00D343F4"/>
    <w:rsid w:val="00D3490D"/>
    <w:rsid w:val="00D34B51"/>
    <w:rsid w:val="00D35EC4"/>
    <w:rsid w:val="00D35F85"/>
    <w:rsid w:val="00D3649F"/>
    <w:rsid w:val="00D3680C"/>
    <w:rsid w:val="00D36AA5"/>
    <w:rsid w:val="00D372F0"/>
    <w:rsid w:val="00D40038"/>
    <w:rsid w:val="00D4057C"/>
    <w:rsid w:val="00D406AE"/>
    <w:rsid w:val="00D40CC5"/>
    <w:rsid w:val="00D412A4"/>
    <w:rsid w:val="00D41429"/>
    <w:rsid w:val="00D41B58"/>
    <w:rsid w:val="00D42033"/>
    <w:rsid w:val="00D42235"/>
    <w:rsid w:val="00D423D6"/>
    <w:rsid w:val="00D42C18"/>
    <w:rsid w:val="00D42DC8"/>
    <w:rsid w:val="00D42F25"/>
    <w:rsid w:val="00D431C0"/>
    <w:rsid w:val="00D433C0"/>
    <w:rsid w:val="00D43C2C"/>
    <w:rsid w:val="00D43C5F"/>
    <w:rsid w:val="00D44135"/>
    <w:rsid w:val="00D443F9"/>
    <w:rsid w:val="00D44E66"/>
    <w:rsid w:val="00D44EAC"/>
    <w:rsid w:val="00D45261"/>
    <w:rsid w:val="00D4687E"/>
    <w:rsid w:val="00D46BEC"/>
    <w:rsid w:val="00D46EBC"/>
    <w:rsid w:val="00D473E9"/>
    <w:rsid w:val="00D475AD"/>
    <w:rsid w:val="00D506D1"/>
    <w:rsid w:val="00D50792"/>
    <w:rsid w:val="00D51590"/>
    <w:rsid w:val="00D5167C"/>
    <w:rsid w:val="00D51F95"/>
    <w:rsid w:val="00D51FF0"/>
    <w:rsid w:val="00D52342"/>
    <w:rsid w:val="00D5258D"/>
    <w:rsid w:val="00D527CA"/>
    <w:rsid w:val="00D52B83"/>
    <w:rsid w:val="00D52C8F"/>
    <w:rsid w:val="00D52D40"/>
    <w:rsid w:val="00D53121"/>
    <w:rsid w:val="00D53773"/>
    <w:rsid w:val="00D53E2C"/>
    <w:rsid w:val="00D540E1"/>
    <w:rsid w:val="00D545CD"/>
    <w:rsid w:val="00D54892"/>
    <w:rsid w:val="00D5634C"/>
    <w:rsid w:val="00D56741"/>
    <w:rsid w:val="00D56FAF"/>
    <w:rsid w:val="00D57139"/>
    <w:rsid w:val="00D605D3"/>
    <w:rsid w:val="00D60999"/>
    <w:rsid w:val="00D61273"/>
    <w:rsid w:val="00D61B82"/>
    <w:rsid w:val="00D61F33"/>
    <w:rsid w:val="00D62311"/>
    <w:rsid w:val="00D62343"/>
    <w:rsid w:val="00D63466"/>
    <w:rsid w:val="00D63A37"/>
    <w:rsid w:val="00D63C1D"/>
    <w:rsid w:val="00D63CA0"/>
    <w:rsid w:val="00D64185"/>
    <w:rsid w:val="00D64910"/>
    <w:rsid w:val="00D64A6D"/>
    <w:rsid w:val="00D64FE2"/>
    <w:rsid w:val="00D6505A"/>
    <w:rsid w:val="00D65748"/>
    <w:rsid w:val="00D65F54"/>
    <w:rsid w:val="00D65F8C"/>
    <w:rsid w:val="00D665D3"/>
    <w:rsid w:val="00D66B76"/>
    <w:rsid w:val="00D66FD2"/>
    <w:rsid w:val="00D66FEF"/>
    <w:rsid w:val="00D671FB"/>
    <w:rsid w:val="00D67B9A"/>
    <w:rsid w:val="00D70162"/>
    <w:rsid w:val="00D70A09"/>
    <w:rsid w:val="00D70CAF"/>
    <w:rsid w:val="00D70DC7"/>
    <w:rsid w:val="00D71024"/>
    <w:rsid w:val="00D7154B"/>
    <w:rsid w:val="00D7196F"/>
    <w:rsid w:val="00D71DE3"/>
    <w:rsid w:val="00D72828"/>
    <w:rsid w:val="00D72A28"/>
    <w:rsid w:val="00D72A88"/>
    <w:rsid w:val="00D7324D"/>
    <w:rsid w:val="00D74509"/>
    <w:rsid w:val="00D74688"/>
    <w:rsid w:val="00D74FAF"/>
    <w:rsid w:val="00D75398"/>
    <w:rsid w:val="00D76B14"/>
    <w:rsid w:val="00D76EBC"/>
    <w:rsid w:val="00D80162"/>
    <w:rsid w:val="00D8075B"/>
    <w:rsid w:val="00D807DA"/>
    <w:rsid w:val="00D80B13"/>
    <w:rsid w:val="00D80E88"/>
    <w:rsid w:val="00D80F96"/>
    <w:rsid w:val="00D81BA7"/>
    <w:rsid w:val="00D820E3"/>
    <w:rsid w:val="00D826D5"/>
    <w:rsid w:val="00D83044"/>
    <w:rsid w:val="00D838F2"/>
    <w:rsid w:val="00D84073"/>
    <w:rsid w:val="00D84769"/>
    <w:rsid w:val="00D8525B"/>
    <w:rsid w:val="00D8581E"/>
    <w:rsid w:val="00D85BB2"/>
    <w:rsid w:val="00D86780"/>
    <w:rsid w:val="00D8702D"/>
    <w:rsid w:val="00D8729D"/>
    <w:rsid w:val="00D8785F"/>
    <w:rsid w:val="00D9015E"/>
    <w:rsid w:val="00D90244"/>
    <w:rsid w:val="00D9089F"/>
    <w:rsid w:val="00D90CEC"/>
    <w:rsid w:val="00D9120D"/>
    <w:rsid w:val="00D913A6"/>
    <w:rsid w:val="00D91FFE"/>
    <w:rsid w:val="00D9234E"/>
    <w:rsid w:val="00D92397"/>
    <w:rsid w:val="00D92F32"/>
    <w:rsid w:val="00D94A8E"/>
    <w:rsid w:val="00D952F4"/>
    <w:rsid w:val="00D958BD"/>
    <w:rsid w:val="00D95EF2"/>
    <w:rsid w:val="00D95F11"/>
    <w:rsid w:val="00D95F1F"/>
    <w:rsid w:val="00D9688E"/>
    <w:rsid w:val="00DA0955"/>
    <w:rsid w:val="00DA1363"/>
    <w:rsid w:val="00DA1728"/>
    <w:rsid w:val="00DA1A87"/>
    <w:rsid w:val="00DA1CA7"/>
    <w:rsid w:val="00DA2800"/>
    <w:rsid w:val="00DA2C99"/>
    <w:rsid w:val="00DA3FD7"/>
    <w:rsid w:val="00DA457E"/>
    <w:rsid w:val="00DA4C65"/>
    <w:rsid w:val="00DA5075"/>
    <w:rsid w:val="00DA5F7F"/>
    <w:rsid w:val="00DA6094"/>
    <w:rsid w:val="00DA678D"/>
    <w:rsid w:val="00DA6879"/>
    <w:rsid w:val="00DA6978"/>
    <w:rsid w:val="00DA6CA1"/>
    <w:rsid w:val="00DA7002"/>
    <w:rsid w:val="00DA746A"/>
    <w:rsid w:val="00DA7A33"/>
    <w:rsid w:val="00DA7C33"/>
    <w:rsid w:val="00DB0335"/>
    <w:rsid w:val="00DB039A"/>
    <w:rsid w:val="00DB03D2"/>
    <w:rsid w:val="00DB0409"/>
    <w:rsid w:val="00DB0DE6"/>
    <w:rsid w:val="00DB141F"/>
    <w:rsid w:val="00DB157C"/>
    <w:rsid w:val="00DB1683"/>
    <w:rsid w:val="00DB16B1"/>
    <w:rsid w:val="00DB18C3"/>
    <w:rsid w:val="00DB1AF9"/>
    <w:rsid w:val="00DB2706"/>
    <w:rsid w:val="00DB2F2B"/>
    <w:rsid w:val="00DB4D99"/>
    <w:rsid w:val="00DB52C1"/>
    <w:rsid w:val="00DB536D"/>
    <w:rsid w:val="00DB62B9"/>
    <w:rsid w:val="00DB7A66"/>
    <w:rsid w:val="00DB7B41"/>
    <w:rsid w:val="00DC0C84"/>
    <w:rsid w:val="00DC1E57"/>
    <w:rsid w:val="00DC2064"/>
    <w:rsid w:val="00DC2FFB"/>
    <w:rsid w:val="00DC447C"/>
    <w:rsid w:val="00DC4AD0"/>
    <w:rsid w:val="00DC4AE3"/>
    <w:rsid w:val="00DC5C63"/>
    <w:rsid w:val="00DC66FF"/>
    <w:rsid w:val="00DC697D"/>
    <w:rsid w:val="00DC7A80"/>
    <w:rsid w:val="00DC7CA3"/>
    <w:rsid w:val="00DD03F5"/>
    <w:rsid w:val="00DD0D0B"/>
    <w:rsid w:val="00DD0E9B"/>
    <w:rsid w:val="00DD1C7C"/>
    <w:rsid w:val="00DD330F"/>
    <w:rsid w:val="00DD38BA"/>
    <w:rsid w:val="00DD43E3"/>
    <w:rsid w:val="00DD4F35"/>
    <w:rsid w:val="00DD501A"/>
    <w:rsid w:val="00DD5609"/>
    <w:rsid w:val="00DD62BE"/>
    <w:rsid w:val="00DD67F8"/>
    <w:rsid w:val="00DD6817"/>
    <w:rsid w:val="00DD6D94"/>
    <w:rsid w:val="00DD7BC6"/>
    <w:rsid w:val="00DE03BB"/>
    <w:rsid w:val="00DE051A"/>
    <w:rsid w:val="00DE0878"/>
    <w:rsid w:val="00DE13DD"/>
    <w:rsid w:val="00DE1FE4"/>
    <w:rsid w:val="00DE2110"/>
    <w:rsid w:val="00DE23F1"/>
    <w:rsid w:val="00DE24D8"/>
    <w:rsid w:val="00DE29A3"/>
    <w:rsid w:val="00DE2BC7"/>
    <w:rsid w:val="00DE2E8D"/>
    <w:rsid w:val="00DE308B"/>
    <w:rsid w:val="00DE33F5"/>
    <w:rsid w:val="00DE34E5"/>
    <w:rsid w:val="00DE39FC"/>
    <w:rsid w:val="00DE3A87"/>
    <w:rsid w:val="00DE4381"/>
    <w:rsid w:val="00DE4E0D"/>
    <w:rsid w:val="00DE4EEC"/>
    <w:rsid w:val="00DE4F2B"/>
    <w:rsid w:val="00DE5CC3"/>
    <w:rsid w:val="00DE5D35"/>
    <w:rsid w:val="00DE61C5"/>
    <w:rsid w:val="00DE7B33"/>
    <w:rsid w:val="00DE7EE5"/>
    <w:rsid w:val="00DF02CB"/>
    <w:rsid w:val="00DF0E2B"/>
    <w:rsid w:val="00DF14D3"/>
    <w:rsid w:val="00DF16FF"/>
    <w:rsid w:val="00DF1CBF"/>
    <w:rsid w:val="00DF2371"/>
    <w:rsid w:val="00DF2580"/>
    <w:rsid w:val="00DF2803"/>
    <w:rsid w:val="00DF29DD"/>
    <w:rsid w:val="00DF2C0F"/>
    <w:rsid w:val="00DF2C66"/>
    <w:rsid w:val="00DF3879"/>
    <w:rsid w:val="00DF38E9"/>
    <w:rsid w:val="00DF3D61"/>
    <w:rsid w:val="00DF3FD2"/>
    <w:rsid w:val="00DF459E"/>
    <w:rsid w:val="00DF48FF"/>
    <w:rsid w:val="00DF5393"/>
    <w:rsid w:val="00DF6801"/>
    <w:rsid w:val="00DF69A8"/>
    <w:rsid w:val="00DF7092"/>
    <w:rsid w:val="00DF70F0"/>
    <w:rsid w:val="00DF7641"/>
    <w:rsid w:val="00DF79BE"/>
    <w:rsid w:val="00DF7E2F"/>
    <w:rsid w:val="00DF7F74"/>
    <w:rsid w:val="00E02193"/>
    <w:rsid w:val="00E02573"/>
    <w:rsid w:val="00E02DBE"/>
    <w:rsid w:val="00E03167"/>
    <w:rsid w:val="00E033CD"/>
    <w:rsid w:val="00E04B32"/>
    <w:rsid w:val="00E06CD4"/>
    <w:rsid w:val="00E06DAD"/>
    <w:rsid w:val="00E07C8A"/>
    <w:rsid w:val="00E10245"/>
    <w:rsid w:val="00E10413"/>
    <w:rsid w:val="00E1053E"/>
    <w:rsid w:val="00E106B1"/>
    <w:rsid w:val="00E10989"/>
    <w:rsid w:val="00E10A1F"/>
    <w:rsid w:val="00E10A89"/>
    <w:rsid w:val="00E10B39"/>
    <w:rsid w:val="00E10B6D"/>
    <w:rsid w:val="00E11A3D"/>
    <w:rsid w:val="00E11A7C"/>
    <w:rsid w:val="00E11D66"/>
    <w:rsid w:val="00E121CD"/>
    <w:rsid w:val="00E1252E"/>
    <w:rsid w:val="00E1272B"/>
    <w:rsid w:val="00E132D3"/>
    <w:rsid w:val="00E133DE"/>
    <w:rsid w:val="00E13E11"/>
    <w:rsid w:val="00E148CC"/>
    <w:rsid w:val="00E14AD8"/>
    <w:rsid w:val="00E15D62"/>
    <w:rsid w:val="00E1690F"/>
    <w:rsid w:val="00E1745F"/>
    <w:rsid w:val="00E17B7D"/>
    <w:rsid w:val="00E20DFF"/>
    <w:rsid w:val="00E219A2"/>
    <w:rsid w:val="00E22045"/>
    <w:rsid w:val="00E23070"/>
    <w:rsid w:val="00E23DE9"/>
    <w:rsid w:val="00E2442D"/>
    <w:rsid w:val="00E24636"/>
    <w:rsid w:val="00E24B32"/>
    <w:rsid w:val="00E255EF"/>
    <w:rsid w:val="00E259BD"/>
    <w:rsid w:val="00E25E7B"/>
    <w:rsid w:val="00E26134"/>
    <w:rsid w:val="00E266AE"/>
    <w:rsid w:val="00E268E8"/>
    <w:rsid w:val="00E27578"/>
    <w:rsid w:val="00E27A11"/>
    <w:rsid w:val="00E27BF8"/>
    <w:rsid w:val="00E27E29"/>
    <w:rsid w:val="00E303FE"/>
    <w:rsid w:val="00E30888"/>
    <w:rsid w:val="00E30AC5"/>
    <w:rsid w:val="00E316AA"/>
    <w:rsid w:val="00E32AE7"/>
    <w:rsid w:val="00E32E3F"/>
    <w:rsid w:val="00E32E6B"/>
    <w:rsid w:val="00E333A3"/>
    <w:rsid w:val="00E33567"/>
    <w:rsid w:val="00E339BA"/>
    <w:rsid w:val="00E33B5B"/>
    <w:rsid w:val="00E343E6"/>
    <w:rsid w:val="00E345F2"/>
    <w:rsid w:val="00E348B2"/>
    <w:rsid w:val="00E3492F"/>
    <w:rsid w:val="00E34D07"/>
    <w:rsid w:val="00E357CB"/>
    <w:rsid w:val="00E365D2"/>
    <w:rsid w:val="00E366F0"/>
    <w:rsid w:val="00E36CC0"/>
    <w:rsid w:val="00E36E50"/>
    <w:rsid w:val="00E37242"/>
    <w:rsid w:val="00E37D19"/>
    <w:rsid w:val="00E37DDE"/>
    <w:rsid w:val="00E40697"/>
    <w:rsid w:val="00E4098E"/>
    <w:rsid w:val="00E40A6C"/>
    <w:rsid w:val="00E41042"/>
    <w:rsid w:val="00E4112F"/>
    <w:rsid w:val="00E41A2E"/>
    <w:rsid w:val="00E429C3"/>
    <w:rsid w:val="00E42ABB"/>
    <w:rsid w:val="00E4313E"/>
    <w:rsid w:val="00E43422"/>
    <w:rsid w:val="00E43A79"/>
    <w:rsid w:val="00E43FCC"/>
    <w:rsid w:val="00E442F0"/>
    <w:rsid w:val="00E44BDF"/>
    <w:rsid w:val="00E44C23"/>
    <w:rsid w:val="00E44DD3"/>
    <w:rsid w:val="00E44E25"/>
    <w:rsid w:val="00E44F6C"/>
    <w:rsid w:val="00E4570D"/>
    <w:rsid w:val="00E46550"/>
    <w:rsid w:val="00E468B3"/>
    <w:rsid w:val="00E46EDC"/>
    <w:rsid w:val="00E473AB"/>
    <w:rsid w:val="00E474A7"/>
    <w:rsid w:val="00E50642"/>
    <w:rsid w:val="00E508AC"/>
    <w:rsid w:val="00E5091F"/>
    <w:rsid w:val="00E5162F"/>
    <w:rsid w:val="00E52666"/>
    <w:rsid w:val="00E52726"/>
    <w:rsid w:val="00E52728"/>
    <w:rsid w:val="00E527D3"/>
    <w:rsid w:val="00E5283A"/>
    <w:rsid w:val="00E53D6E"/>
    <w:rsid w:val="00E548D6"/>
    <w:rsid w:val="00E54FB8"/>
    <w:rsid w:val="00E55570"/>
    <w:rsid w:val="00E5574B"/>
    <w:rsid w:val="00E55E59"/>
    <w:rsid w:val="00E56087"/>
    <w:rsid w:val="00E560FC"/>
    <w:rsid w:val="00E60076"/>
    <w:rsid w:val="00E60205"/>
    <w:rsid w:val="00E605DC"/>
    <w:rsid w:val="00E606F4"/>
    <w:rsid w:val="00E60849"/>
    <w:rsid w:val="00E60860"/>
    <w:rsid w:val="00E60ECF"/>
    <w:rsid w:val="00E613A5"/>
    <w:rsid w:val="00E61CCC"/>
    <w:rsid w:val="00E62157"/>
    <w:rsid w:val="00E626B1"/>
    <w:rsid w:val="00E629F2"/>
    <w:rsid w:val="00E63D93"/>
    <w:rsid w:val="00E642DB"/>
    <w:rsid w:val="00E64996"/>
    <w:rsid w:val="00E6573C"/>
    <w:rsid w:val="00E65824"/>
    <w:rsid w:val="00E65834"/>
    <w:rsid w:val="00E658CF"/>
    <w:rsid w:val="00E660D7"/>
    <w:rsid w:val="00E6658F"/>
    <w:rsid w:val="00E66C19"/>
    <w:rsid w:val="00E66D2E"/>
    <w:rsid w:val="00E6787D"/>
    <w:rsid w:val="00E67BA4"/>
    <w:rsid w:val="00E67C29"/>
    <w:rsid w:val="00E705D1"/>
    <w:rsid w:val="00E7105D"/>
    <w:rsid w:val="00E71108"/>
    <w:rsid w:val="00E71514"/>
    <w:rsid w:val="00E7162F"/>
    <w:rsid w:val="00E71711"/>
    <w:rsid w:val="00E71B47"/>
    <w:rsid w:val="00E7267B"/>
    <w:rsid w:val="00E72B0F"/>
    <w:rsid w:val="00E73127"/>
    <w:rsid w:val="00E7312B"/>
    <w:rsid w:val="00E733B9"/>
    <w:rsid w:val="00E73516"/>
    <w:rsid w:val="00E73716"/>
    <w:rsid w:val="00E74BA8"/>
    <w:rsid w:val="00E7543F"/>
    <w:rsid w:val="00E756F5"/>
    <w:rsid w:val="00E75AE4"/>
    <w:rsid w:val="00E760A5"/>
    <w:rsid w:val="00E7642B"/>
    <w:rsid w:val="00E76677"/>
    <w:rsid w:val="00E76ABE"/>
    <w:rsid w:val="00E76D23"/>
    <w:rsid w:val="00E7782E"/>
    <w:rsid w:val="00E80328"/>
    <w:rsid w:val="00E80400"/>
    <w:rsid w:val="00E80941"/>
    <w:rsid w:val="00E80B4A"/>
    <w:rsid w:val="00E80C65"/>
    <w:rsid w:val="00E80D9B"/>
    <w:rsid w:val="00E80E8A"/>
    <w:rsid w:val="00E816CC"/>
    <w:rsid w:val="00E81B23"/>
    <w:rsid w:val="00E81DFC"/>
    <w:rsid w:val="00E81FA7"/>
    <w:rsid w:val="00E82400"/>
    <w:rsid w:val="00E83602"/>
    <w:rsid w:val="00E83884"/>
    <w:rsid w:val="00E838A9"/>
    <w:rsid w:val="00E83CD3"/>
    <w:rsid w:val="00E83D8E"/>
    <w:rsid w:val="00E84310"/>
    <w:rsid w:val="00E84351"/>
    <w:rsid w:val="00E856C7"/>
    <w:rsid w:val="00E85A07"/>
    <w:rsid w:val="00E85AB2"/>
    <w:rsid w:val="00E8654A"/>
    <w:rsid w:val="00E8682E"/>
    <w:rsid w:val="00E86BA8"/>
    <w:rsid w:val="00E87604"/>
    <w:rsid w:val="00E90267"/>
    <w:rsid w:val="00E905DD"/>
    <w:rsid w:val="00E90BA6"/>
    <w:rsid w:val="00E90C60"/>
    <w:rsid w:val="00E9105B"/>
    <w:rsid w:val="00E91CC3"/>
    <w:rsid w:val="00E9330E"/>
    <w:rsid w:val="00E938D4"/>
    <w:rsid w:val="00E93E99"/>
    <w:rsid w:val="00E93F89"/>
    <w:rsid w:val="00E94510"/>
    <w:rsid w:val="00E946F0"/>
    <w:rsid w:val="00E949EB"/>
    <w:rsid w:val="00E95420"/>
    <w:rsid w:val="00E95637"/>
    <w:rsid w:val="00E95ABD"/>
    <w:rsid w:val="00E964B7"/>
    <w:rsid w:val="00E96C64"/>
    <w:rsid w:val="00E970E8"/>
    <w:rsid w:val="00E97348"/>
    <w:rsid w:val="00E9791A"/>
    <w:rsid w:val="00E97C5A"/>
    <w:rsid w:val="00EA011C"/>
    <w:rsid w:val="00EA0D19"/>
    <w:rsid w:val="00EA1428"/>
    <w:rsid w:val="00EA15CD"/>
    <w:rsid w:val="00EA17E5"/>
    <w:rsid w:val="00EA22F7"/>
    <w:rsid w:val="00EA2542"/>
    <w:rsid w:val="00EA2C4F"/>
    <w:rsid w:val="00EA2D05"/>
    <w:rsid w:val="00EA2E80"/>
    <w:rsid w:val="00EA4055"/>
    <w:rsid w:val="00EA4062"/>
    <w:rsid w:val="00EA4124"/>
    <w:rsid w:val="00EA434A"/>
    <w:rsid w:val="00EA45C2"/>
    <w:rsid w:val="00EA4F95"/>
    <w:rsid w:val="00EA5464"/>
    <w:rsid w:val="00EA79A3"/>
    <w:rsid w:val="00EA7BDE"/>
    <w:rsid w:val="00EB0C24"/>
    <w:rsid w:val="00EB2398"/>
    <w:rsid w:val="00EB2BF9"/>
    <w:rsid w:val="00EB34A1"/>
    <w:rsid w:val="00EB359A"/>
    <w:rsid w:val="00EB4007"/>
    <w:rsid w:val="00EB511E"/>
    <w:rsid w:val="00EB5191"/>
    <w:rsid w:val="00EB5BFF"/>
    <w:rsid w:val="00EB5F3F"/>
    <w:rsid w:val="00EB7C34"/>
    <w:rsid w:val="00EB7E8C"/>
    <w:rsid w:val="00EC1005"/>
    <w:rsid w:val="00EC1300"/>
    <w:rsid w:val="00EC15EB"/>
    <w:rsid w:val="00EC185C"/>
    <w:rsid w:val="00EC20E5"/>
    <w:rsid w:val="00EC2461"/>
    <w:rsid w:val="00EC32D5"/>
    <w:rsid w:val="00EC339D"/>
    <w:rsid w:val="00EC39BC"/>
    <w:rsid w:val="00EC3D6B"/>
    <w:rsid w:val="00EC4183"/>
    <w:rsid w:val="00EC47B1"/>
    <w:rsid w:val="00EC5136"/>
    <w:rsid w:val="00EC5728"/>
    <w:rsid w:val="00EC5AE4"/>
    <w:rsid w:val="00EC5B2F"/>
    <w:rsid w:val="00EC5F10"/>
    <w:rsid w:val="00EC6600"/>
    <w:rsid w:val="00EC6607"/>
    <w:rsid w:val="00EC6679"/>
    <w:rsid w:val="00EC66AF"/>
    <w:rsid w:val="00EC6803"/>
    <w:rsid w:val="00EC6CC7"/>
    <w:rsid w:val="00EC766C"/>
    <w:rsid w:val="00EC780C"/>
    <w:rsid w:val="00EC7A0F"/>
    <w:rsid w:val="00EC7B8B"/>
    <w:rsid w:val="00ED05D3"/>
    <w:rsid w:val="00ED0662"/>
    <w:rsid w:val="00ED0DF0"/>
    <w:rsid w:val="00ED1117"/>
    <w:rsid w:val="00ED15D7"/>
    <w:rsid w:val="00ED2074"/>
    <w:rsid w:val="00ED21C9"/>
    <w:rsid w:val="00ED224A"/>
    <w:rsid w:val="00ED22EE"/>
    <w:rsid w:val="00ED24DD"/>
    <w:rsid w:val="00ED2519"/>
    <w:rsid w:val="00ED2A20"/>
    <w:rsid w:val="00ED2C6E"/>
    <w:rsid w:val="00ED32A2"/>
    <w:rsid w:val="00ED3776"/>
    <w:rsid w:val="00ED386D"/>
    <w:rsid w:val="00ED3D02"/>
    <w:rsid w:val="00ED43E2"/>
    <w:rsid w:val="00ED4779"/>
    <w:rsid w:val="00ED5B99"/>
    <w:rsid w:val="00ED67BE"/>
    <w:rsid w:val="00ED69A5"/>
    <w:rsid w:val="00ED6CE0"/>
    <w:rsid w:val="00ED7855"/>
    <w:rsid w:val="00ED7C48"/>
    <w:rsid w:val="00ED7CAB"/>
    <w:rsid w:val="00ED7DDC"/>
    <w:rsid w:val="00EE07AA"/>
    <w:rsid w:val="00EE0F7B"/>
    <w:rsid w:val="00EE2006"/>
    <w:rsid w:val="00EE3649"/>
    <w:rsid w:val="00EE3B69"/>
    <w:rsid w:val="00EE3FE9"/>
    <w:rsid w:val="00EE45BF"/>
    <w:rsid w:val="00EE49DA"/>
    <w:rsid w:val="00EE4B2D"/>
    <w:rsid w:val="00EE4EF3"/>
    <w:rsid w:val="00EE516B"/>
    <w:rsid w:val="00EE56D1"/>
    <w:rsid w:val="00EE59B4"/>
    <w:rsid w:val="00EE5A47"/>
    <w:rsid w:val="00EE5E5B"/>
    <w:rsid w:val="00EE5FB5"/>
    <w:rsid w:val="00EE64EF"/>
    <w:rsid w:val="00EE6564"/>
    <w:rsid w:val="00EE65A4"/>
    <w:rsid w:val="00EE73A7"/>
    <w:rsid w:val="00EE7813"/>
    <w:rsid w:val="00EE7BCF"/>
    <w:rsid w:val="00EF06DF"/>
    <w:rsid w:val="00EF0722"/>
    <w:rsid w:val="00EF1128"/>
    <w:rsid w:val="00EF1228"/>
    <w:rsid w:val="00EF1589"/>
    <w:rsid w:val="00EF22CF"/>
    <w:rsid w:val="00EF2C3C"/>
    <w:rsid w:val="00EF3966"/>
    <w:rsid w:val="00EF501D"/>
    <w:rsid w:val="00EF602B"/>
    <w:rsid w:val="00EF6106"/>
    <w:rsid w:val="00EF640A"/>
    <w:rsid w:val="00EF64EC"/>
    <w:rsid w:val="00EF6769"/>
    <w:rsid w:val="00EF6F5A"/>
    <w:rsid w:val="00EF7630"/>
    <w:rsid w:val="00EF7C72"/>
    <w:rsid w:val="00EF7CD5"/>
    <w:rsid w:val="00F00082"/>
    <w:rsid w:val="00F00725"/>
    <w:rsid w:val="00F0117E"/>
    <w:rsid w:val="00F01D79"/>
    <w:rsid w:val="00F025B7"/>
    <w:rsid w:val="00F025EB"/>
    <w:rsid w:val="00F027B8"/>
    <w:rsid w:val="00F0282B"/>
    <w:rsid w:val="00F0286F"/>
    <w:rsid w:val="00F02DF8"/>
    <w:rsid w:val="00F032CC"/>
    <w:rsid w:val="00F03441"/>
    <w:rsid w:val="00F0504F"/>
    <w:rsid w:val="00F05A9B"/>
    <w:rsid w:val="00F05BF8"/>
    <w:rsid w:val="00F061A6"/>
    <w:rsid w:val="00F06442"/>
    <w:rsid w:val="00F0779E"/>
    <w:rsid w:val="00F1040B"/>
    <w:rsid w:val="00F1057D"/>
    <w:rsid w:val="00F1071F"/>
    <w:rsid w:val="00F11202"/>
    <w:rsid w:val="00F119B5"/>
    <w:rsid w:val="00F122CA"/>
    <w:rsid w:val="00F136E4"/>
    <w:rsid w:val="00F139F2"/>
    <w:rsid w:val="00F13BD2"/>
    <w:rsid w:val="00F13F5C"/>
    <w:rsid w:val="00F14188"/>
    <w:rsid w:val="00F14C5E"/>
    <w:rsid w:val="00F150FA"/>
    <w:rsid w:val="00F1585D"/>
    <w:rsid w:val="00F15AE8"/>
    <w:rsid w:val="00F1611F"/>
    <w:rsid w:val="00F16D7B"/>
    <w:rsid w:val="00F17D11"/>
    <w:rsid w:val="00F20038"/>
    <w:rsid w:val="00F205CE"/>
    <w:rsid w:val="00F20859"/>
    <w:rsid w:val="00F2092A"/>
    <w:rsid w:val="00F20A38"/>
    <w:rsid w:val="00F20E97"/>
    <w:rsid w:val="00F21A77"/>
    <w:rsid w:val="00F21FD8"/>
    <w:rsid w:val="00F2247F"/>
    <w:rsid w:val="00F22AC4"/>
    <w:rsid w:val="00F23050"/>
    <w:rsid w:val="00F231FD"/>
    <w:rsid w:val="00F2329C"/>
    <w:rsid w:val="00F23446"/>
    <w:rsid w:val="00F235D3"/>
    <w:rsid w:val="00F23750"/>
    <w:rsid w:val="00F238B9"/>
    <w:rsid w:val="00F247C5"/>
    <w:rsid w:val="00F250DD"/>
    <w:rsid w:val="00F25432"/>
    <w:rsid w:val="00F25FD3"/>
    <w:rsid w:val="00F262A9"/>
    <w:rsid w:val="00F2655D"/>
    <w:rsid w:val="00F26E3E"/>
    <w:rsid w:val="00F26F1D"/>
    <w:rsid w:val="00F27232"/>
    <w:rsid w:val="00F27698"/>
    <w:rsid w:val="00F27725"/>
    <w:rsid w:val="00F27C2A"/>
    <w:rsid w:val="00F27EEC"/>
    <w:rsid w:val="00F3022B"/>
    <w:rsid w:val="00F304F5"/>
    <w:rsid w:val="00F30D3D"/>
    <w:rsid w:val="00F3102D"/>
    <w:rsid w:val="00F3106F"/>
    <w:rsid w:val="00F312B4"/>
    <w:rsid w:val="00F315A4"/>
    <w:rsid w:val="00F316A6"/>
    <w:rsid w:val="00F31F74"/>
    <w:rsid w:val="00F32B9A"/>
    <w:rsid w:val="00F335B9"/>
    <w:rsid w:val="00F33E90"/>
    <w:rsid w:val="00F342D9"/>
    <w:rsid w:val="00F343D5"/>
    <w:rsid w:val="00F3440A"/>
    <w:rsid w:val="00F34867"/>
    <w:rsid w:val="00F36942"/>
    <w:rsid w:val="00F36F26"/>
    <w:rsid w:val="00F37398"/>
    <w:rsid w:val="00F37655"/>
    <w:rsid w:val="00F37A27"/>
    <w:rsid w:val="00F37D6F"/>
    <w:rsid w:val="00F40EA6"/>
    <w:rsid w:val="00F416D2"/>
    <w:rsid w:val="00F4212A"/>
    <w:rsid w:val="00F4214A"/>
    <w:rsid w:val="00F4384F"/>
    <w:rsid w:val="00F43B29"/>
    <w:rsid w:val="00F43CA6"/>
    <w:rsid w:val="00F43E2D"/>
    <w:rsid w:val="00F46B00"/>
    <w:rsid w:val="00F46E9A"/>
    <w:rsid w:val="00F4758B"/>
    <w:rsid w:val="00F47977"/>
    <w:rsid w:val="00F47BC5"/>
    <w:rsid w:val="00F50346"/>
    <w:rsid w:val="00F5067D"/>
    <w:rsid w:val="00F50AC5"/>
    <w:rsid w:val="00F5116F"/>
    <w:rsid w:val="00F51DC0"/>
    <w:rsid w:val="00F52992"/>
    <w:rsid w:val="00F52AC1"/>
    <w:rsid w:val="00F53319"/>
    <w:rsid w:val="00F535F9"/>
    <w:rsid w:val="00F53AF4"/>
    <w:rsid w:val="00F53F83"/>
    <w:rsid w:val="00F546B6"/>
    <w:rsid w:val="00F549E0"/>
    <w:rsid w:val="00F54A43"/>
    <w:rsid w:val="00F54AB2"/>
    <w:rsid w:val="00F555A3"/>
    <w:rsid w:val="00F56D9D"/>
    <w:rsid w:val="00F570EC"/>
    <w:rsid w:val="00F57A8D"/>
    <w:rsid w:val="00F600C4"/>
    <w:rsid w:val="00F60173"/>
    <w:rsid w:val="00F6065D"/>
    <w:rsid w:val="00F60BD9"/>
    <w:rsid w:val="00F60C87"/>
    <w:rsid w:val="00F613B4"/>
    <w:rsid w:val="00F6185D"/>
    <w:rsid w:val="00F63A41"/>
    <w:rsid w:val="00F640DD"/>
    <w:rsid w:val="00F64E47"/>
    <w:rsid w:val="00F65838"/>
    <w:rsid w:val="00F65E02"/>
    <w:rsid w:val="00F65FFB"/>
    <w:rsid w:val="00F660F0"/>
    <w:rsid w:val="00F66231"/>
    <w:rsid w:val="00F66504"/>
    <w:rsid w:val="00F6699F"/>
    <w:rsid w:val="00F671D4"/>
    <w:rsid w:val="00F6733B"/>
    <w:rsid w:val="00F67596"/>
    <w:rsid w:val="00F6771C"/>
    <w:rsid w:val="00F67951"/>
    <w:rsid w:val="00F67B3D"/>
    <w:rsid w:val="00F701E9"/>
    <w:rsid w:val="00F704C0"/>
    <w:rsid w:val="00F71853"/>
    <w:rsid w:val="00F7218A"/>
    <w:rsid w:val="00F7264D"/>
    <w:rsid w:val="00F735FB"/>
    <w:rsid w:val="00F738C3"/>
    <w:rsid w:val="00F74066"/>
    <w:rsid w:val="00F7449D"/>
    <w:rsid w:val="00F752B7"/>
    <w:rsid w:val="00F753A2"/>
    <w:rsid w:val="00F753FC"/>
    <w:rsid w:val="00F75EA0"/>
    <w:rsid w:val="00F767D2"/>
    <w:rsid w:val="00F77114"/>
    <w:rsid w:val="00F772FD"/>
    <w:rsid w:val="00F80109"/>
    <w:rsid w:val="00F8037F"/>
    <w:rsid w:val="00F80B0F"/>
    <w:rsid w:val="00F80BFF"/>
    <w:rsid w:val="00F80D28"/>
    <w:rsid w:val="00F81250"/>
    <w:rsid w:val="00F81776"/>
    <w:rsid w:val="00F81991"/>
    <w:rsid w:val="00F819D5"/>
    <w:rsid w:val="00F81DAA"/>
    <w:rsid w:val="00F82B00"/>
    <w:rsid w:val="00F82C62"/>
    <w:rsid w:val="00F83E1A"/>
    <w:rsid w:val="00F8529F"/>
    <w:rsid w:val="00F8679E"/>
    <w:rsid w:val="00F86AE7"/>
    <w:rsid w:val="00F87284"/>
    <w:rsid w:val="00F87947"/>
    <w:rsid w:val="00F8798E"/>
    <w:rsid w:val="00F87F81"/>
    <w:rsid w:val="00F9042B"/>
    <w:rsid w:val="00F90C4A"/>
    <w:rsid w:val="00F90E69"/>
    <w:rsid w:val="00F91A49"/>
    <w:rsid w:val="00F91B8E"/>
    <w:rsid w:val="00F91E1D"/>
    <w:rsid w:val="00F92005"/>
    <w:rsid w:val="00F92345"/>
    <w:rsid w:val="00F9236D"/>
    <w:rsid w:val="00F928EA"/>
    <w:rsid w:val="00F92C80"/>
    <w:rsid w:val="00F930EE"/>
    <w:rsid w:val="00F932C9"/>
    <w:rsid w:val="00F93A62"/>
    <w:rsid w:val="00F9414B"/>
    <w:rsid w:val="00F94C09"/>
    <w:rsid w:val="00F95EE4"/>
    <w:rsid w:val="00F96255"/>
    <w:rsid w:val="00F972E7"/>
    <w:rsid w:val="00F9731F"/>
    <w:rsid w:val="00F97436"/>
    <w:rsid w:val="00F975BE"/>
    <w:rsid w:val="00F97D79"/>
    <w:rsid w:val="00FA0111"/>
    <w:rsid w:val="00FA06D1"/>
    <w:rsid w:val="00FA0F64"/>
    <w:rsid w:val="00FA0FC5"/>
    <w:rsid w:val="00FA1C6A"/>
    <w:rsid w:val="00FA210D"/>
    <w:rsid w:val="00FA25B8"/>
    <w:rsid w:val="00FA2B9F"/>
    <w:rsid w:val="00FA39FD"/>
    <w:rsid w:val="00FA4009"/>
    <w:rsid w:val="00FA42F8"/>
    <w:rsid w:val="00FA4590"/>
    <w:rsid w:val="00FA4733"/>
    <w:rsid w:val="00FA47B1"/>
    <w:rsid w:val="00FA4C9A"/>
    <w:rsid w:val="00FA5314"/>
    <w:rsid w:val="00FA5978"/>
    <w:rsid w:val="00FA5990"/>
    <w:rsid w:val="00FA60C8"/>
    <w:rsid w:val="00FA6273"/>
    <w:rsid w:val="00FA6435"/>
    <w:rsid w:val="00FA6571"/>
    <w:rsid w:val="00FA6987"/>
    <w:rsid w:val="00FA69ED"/>
    <w:rsid w:val="00FA6BA1"/>
    <w:rsid w:val="00FA7C41"/>
    <w:rsid w:val="00FA7E87"/>
    <w:rsid w:val="00FA7FDB"/>
    <w:rsid w:val="00FB0006"/>
    <w:rsid w:val="00FB0556"/>
    <w:rsid w:val="00FB07B2"/>
    <w:rsid w:val="00FB0944"/>
    <w:rsid w:val="00FB0C48"/>
    <w:rsid w:val="00FB1503"/>
    <w:rsid w:val="00FB1EC0"/>
    <w:rsid w:val="00FB23AA"/>
    <w:rsid w:val="00FB2717"/>
    <w:rsid w:val="00FB285D"/>
    <w:rsid w:val="00FB2AFD"/>
    <w:rsid w:val="00FB2FB6"/>
    <w:rsid w:val="00FB3266"/>
    <w:rsid w:val="00FB3437"/>
    <w:rsid w:val="00FB3445"/>
    <w:rsid w:val="00FB3563"/>
    <w:rsid w:val="00FB4506"/>
    <w:rsid w:val="00FB4704"/>
    <w:rsid w:val="00FB48C4"/>
    <w:rsid w:val="00FB49BD"/>
    <w:rsid w:val="00FB4F10"/>
    <w:rsid w:val="00FB4F49"/>
    <w:rsid w:val="00FB6056"/>
    <w:rsid w:val="00FB70D7"/>
    <w:rsid w:val="00FB7718"/>
    <w:rsid w:val="00FB77ED"/>
    <w:rsid w:val="00FB7CE5"/>
    <w:rsid w:val="00FC0098"/>
    <w:rsid w:val="00FC02FA"/>
    <w:rsid w:val="00FC05FD"/>
    <w:rsid w:val="00FC06B0"/>
    <w:rsid w:val="00FC0819"/>
    <w:rsid w:val="00FC0C14"/>
    <w:rsid w:val="00FC1657"/>
    <w:rsid w:val="00FC1940"/>
    <w:rsid w:val="00FC194F"/>
    <w:rsid w:val="00FC1DED"/>
    <w:rsid w:val="00FC1E6C"/>
    <w:rsid w:val="00FC24FC"/>
    <w:rsid w:val="00FC2AF7"/>
    <w:rsid w:val="00FC358B"/>
    <w:rsid w:val="00FC383A"/>
    <w:rsid w:val="00FC3DBA"/>
    <w:rsid w:val="00FC45E3"/>
    <w:rsid w:val="00FC4CE2"/>
    <w:rsid w:val="00FC5BEC"/>
    <w:rsid w:val="00FC5D19"/>
    <w:rsid w:val="00FC6372"/>
    <w:rsid w:val="00FC6B26"/>
    <w:rsid w:val="00FC6B7A"/>
    <w:rsid w:val="00FC6C90"/>
    <w:rsid w:val="00FC7E68"/>
    <w:rsid w:val="00FD001E"/>
    <w:rsid w:val="00FD0A7C"/>
    <w:rsid w:val="00FD0FB5"/>
    <w:rsid w:val="00FD119D"/>
    <w:rsid w:val="00FD1889"/>
    <w:rsid w:val="00FD1DEC"/>
    <w:rsid w:val="00FD3004"/>
    <w:rsid w:val="00FD319B"/>
    <w:rsid w:val="00FD3657"/>
    <w:rsid w:val="00FD3D3C"/>
    <w:rsid w:val="00FD410F"/>
    <w:rsid w:val="00FD465D"/>
    <w:rsid w:val="00FD4C73"/>
    <w:rsid w:val="00FD585F"/>
    <w:rsid w:val="00FD59CC"/>
    <w:rsid w:val="00FD5CCC"/>
    <w:rsid w:val="00FD5FA5"/>
    <w:rsid w:val="00FD672C"/>
    <w:rsid w:val="00FD6B2F"/>
    <w:rsid w:val="00FD74CD"/>
    <w:rsid w:val="00FD7941"/>
    <w:rsid w:val="00FD7B8B"/>
    <w:rsid w:val="00FD7D09"/>
    <w:rsid w:val="00FD7D6D"/>
    <w:rsid w:val="00FD7EC3"/>
    <w:rsid w:val="00FE0139"/>
    <w:rsid w:val="00FE0E22"/>
    <w:rsid w:val="00FE0ED5"/>
    <w:rsid w:val="00FE142A"/>
    <w:rsid w:val="00FE1764"/>
    <w:rsid w:val="00FE286A"/>
    <w:rsid w:val="00FE3BBF"/>
    <w:rsid w:val="00FE3CD7"/>
    <w:rsid w:val="00FE4562"/>
    <w:rsid w:val="00FE4A76"/>
    <w:rsid w:val="00FE4BD4"/>
    <w:rsid w:val="00FE5283"/>
    <w:rsid w:val="00FE5319"/>
    <w:rsid w:val="00FE59D7"/>
    <w:rsid w:val="00FE5B0E"/>
    <w:rsid w:val="00FE5F33"/>
    <w:rsid w:val="00FE6078"/>
    <w:rsid w:val="00FE6163"/>
    <w:rsid w:val="00FE61F0"/>
    <w:rsid w:val="00FE69F3"/>
    <w:rsid w:val="00FE6A61"/>
    <w:rsid w:val="00FE6BE0"/>
    <w:rsid w:val="00FE7085"/>
    <w:rsid w:val="00FF0E99"/>
    <w:rsid w:val="00FF221D"/>
    <w:rsid w:val="00FF2D40"/>
    <w:rsid w:val="00FF30A9"/>
    <w:rsid w:val="00FF324E"/>
    <w:rsid w:val="00FF34F3"/>
    <w:rsid w:val="00FF3C0D"/>
    <w:rsid w:val="00FF3D8C"/>
    <w:rsid w:val="00FF3EB8"/>
    <w:rsid w:val="00FF49CB"/>
    <w:rsid w:val="00FF4C1A"/>
    <w:rsid w:val="00FF56D1"/>
    <w:rsid w:val="00FF5A04"/>
    <w:rsid w:val="00FF611B"/>
    <w:rsid w:val="00FF6D1E"/>
    <w:rsid w:val="00FF7269"/>
    <w:rsid w:val="00FF73E7"/>
    <w:rsid w:val="00FF7719"/>
    <w:rsid w:val="00FF77D2"/>
    <w:rsid w:val="00FF7A2F"/>
    <w:rsid w:val="00FF7C6E"/>
    <w:rsid w:val="0C0003E1"/>
    <w:rsid w:val="1792F60E"/>
    <w:rsid w:val="1EC56E92"/>
    <w:rsid w:val="27A09BA6"/>
    <w:rsid w:val="2A6FF115"/>
    <w:rsid w:val="2BD94E9B"/>
    <w:rsid w:val="3123CEE4"/>
    <w:rsid w:val="4F74E2E0"/>
    <w:rsid w:val="52CF1DDF"/>
    <w:rsid w:val="74915360"/>
    <w:rsid w:val="75FA6683"/>
    <w:rsid w:val="7961125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64B8F"/>
  <w15:docId w15:val="{7498A3AE-6A0F-4248-9790-55C9E718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C6C"/>
    <w:rPr>
      <w:rFonts w:cs="Times New Roman"/>
      <w:sz w:val="22"/>
    </w:rPr>
  </w:style>
  <w:style w:type="paragraph" w:styleId="Heading1">
    <w:name w:val="heading 1"/>
    <w:basedOn w:val="Normal"/>
    <w:next w:val="Normal"/>
    <w:link w:val="Heading1Char"/>
    <w:uiPriority w:val="9"/>
    <w:qFormat/>
    <w:rsid w:val="001E62A5"/>
    <w:pPr>
      <w:keepNext/>
      <w:keepLines/>
      <w:spacing w:before="480"/>
      <w:outlineLvl w:val="0"/>
    </w:pPr>
    <w:rPr>
      <w:rFonts w:ascii="Arial" w:eastAsiaTheme="majorEastAsia" w:hAnsi="Arial"/>
      <w:b/>
      <w:bCs/>
      <w:caps/>
      <w:sz w:val="30"/>
      <w:szCs w:val="32"/>
    </w:rPr>
  </w:style>
  <w:style w:type="paragraph" w:styleId="Heading2">
    <w:name w:val="heading 2"/>
    <w:basedOn w:val="Normal"/>
    <w:next w:val="Normal"/>
    <w:link w:val="Heading2Char"/>
    <w:qFormat/>
    <w:rsid w:val="00924704"/>
    <w:pPr>
      <w:ind w:left="567" w:hanging="567"/>
      <w:outlineLvl w:val="1"/>
    </w:pPr>
    <w:rPr>
      <w:rFonts w:ascii="Arial" w:hAnsi="Arial"/>
      <w:b/>
      <w:sz w:val="28"/>
    </w:rPr>
  </w:style>
  <w:style w:type="paragraph" w:styleId="Heading3">
    <w:name w:val="heading 3"/>
    <w:basedOn w:val="Normal"/>
    <w:next w:val="Normal"/>
    <w:link w:val="Heading3Char"/>
    <w:uiPriority w:val="9"/>
    <w:unhideWhenUsed/>
    <w:qFormat/>
    <w:rsid w:val="006C0035"/>
    <w:pPr>
      <w:keepNext/>
      <w:keepLines/>
      <w:outlineLvl w:val="2"/>
    </w:pPr>
    <w:rPr>
      <w:rFonts w:ascii="Arial" w:eastAsiaTheme="majorEastAsia" w:hAnsi="Arial"/>
      <w:bCs/>
      <w:sz w:val="26"/>
    </w:rPr>
  </w:style>
  <w:style w:type="paragraph" w:styleId="Heading4">
    <w:name w:val="heading 4"/>
    <w:basedOn w:val="Heading3"/>
    <w:next w:val="Normal"/>
    <w:link w:val="Heading4Char"/>
    <w:uiPriority w:val="9"/>
    <w:qFormat/>
    <w:rsid w:val="00E41A2E"/>
    <w:pPr>
      <w:keepNext w:val="0"/>
      <w:keepLines w:val="0"/>
      <w:ind w:left="567" w:hanging="567"/>
      <w:outlineLvl w:val="3"/>
    </w:pPr>
    <w:rPr>
      <w:rFonts w:eastAsia="Times New Roman"/>
      <w:bCs w:val="0"/>
      <w:i/>
      <w:sz w:val="28"/>
    </w:rPr>
  </w:style>
  <w:style w:type="paragraph" w:styleId="Heading5">
    <w:name w:val="heading 5"/>
    <w:basedOn w:val="Normal"/>
    <w:next w:val="Normal"/>
    <w:link w:val="Heading5Char"/>
    <w:uiPriority w:val="9"/>
    <w:qFormat/>
    <w:rsid w:val="009F1FC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62A5"/>
    <w:rPr>
      <w:rFonts w:ascii="Arial" w:eastAsiaTheme="majorEastAsia" w:hAnsi="Arial" w:cs="Times New Roman"/>
      <w:b/>
      <w:bCs/>
      <w:caps/>
      <w:sz w:val="32"/>
      <w:szCs w:val="32"/>
    </w:rPr>
  </w:style>
  <w:style w:type="character" w:customStyle="1" w:styleId="Heading2Char">
    <w:name w:val="Heading 2 Char"/>
    <w:basedOn w:val="DefaultParagraphFont"/>
    <w:link w:val="Heading2"/>
    <w:locked/>
    <w:rsid w:val="00924704"/>
    <w:rPr>
      <w:rFonts w:ascii="Arial" w:hAnsi="Arial" w:cs="Times New Roman"/>
      <w:b/>
      <w:sz w:val="28"/>
    </w:rPr>
  </w:style>
  <w:style w:type="character" w:customStyle="1" w:styleId="Heading3Char">
    <w:name w:val="Heading 3 Char"/>
    <w:basedOn w:val="DefaultParagraphFont"/>
    <w:link w:val="Heading3"/>
    <w:uiPriority w:val="9"/>
    <w:locked/>
    <w:rsid w:val="006C0035"/>
    <w:rPr>
      <w:rFonts w:ascii="Arial" w:eastAsiaTheme="majorEastAsia" w:hAnsi="Arial" w:cs="Times New Roman"/>
      <w:bCs/>
      <w:sz w:val="26"/>
    </w:rPr>
  </w:style>
  <w:style w:type="character" w:customStyle="1" w:styleId="Heading4Char">
    <w:name w:val="Heading 4 Char"/>
    <w:basedOn w:val="DefaultParagraphFont"/>
    <w:link w:val="Heading4"/>
    <w:uiPriority w:val="9"/>
    <w:locked/>
    <w:rsid w:val="00E41A2E"/>
    <w:rPr>
      <w:rFonts w:ascii="Arial" w:hAnsi="Arial" w:cs="Times New Roman"/>
      <w:i/>
      <w:sz w:val="28"/>
    </w:rPr>
  </w:style>
  <w:style w:type="paragraph" w:styleId="BalloonText">
    <w:name w:val="Balloon Text"/>
    <w:basedOn w:val="Normal"/>
    <w:link w:val="BalloonTextChar"/>
    <w:uiPriority w:val="99"/>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Pr>
      <w:rFonts w:ascii="Lucida Grande" w:hAnsi="Lucida Grande" w:cs="Lucida Grande"/>
      <w:sz w:val="18"/>
      <w:szCs w:val="18"/>
    </w:rPr>
  </w:style>
  <w:style w:type="paragraph" w:customStyle="1" w:styleId="Pulloutcaption">
    <w:name w:val="Pull out caption_"/>
    <w:basedOn w:val="Normal"/>
    <w:next w:val="Normal"/>
    <w:uiPriority w:val="99"/>
    <w:qFormat/>
    <w:rsid w:val="008A5082"/>
    <w:rPr>
      <w:i/>
      <w:sz w:val="28"/>
    </w:rPr>
  </w:style>
  <w:style w:type="table" w:customStyle="1" w:styleId="TableRangedleft">
    <w:name w:val="Table_Ranged left_"/>
    <w:basedOn w:val="TableNormal"/>
    <w:qFormat/>
    <w:rsid w:val="008A5082"/>
    <w:rPr>
      <w:rFonts w:cs="Times New Roman"/>
    </w:rPr>
    <w:tblPr/>
  </w:style>
  <w:style w:type="paragraph" w:customStyle="1" w:styleId="Footnote">
    <w:name w:val="Footnote"/>
    <w:basedOn w:val="Heading3"/>
    <w:uiPriority w:val="99"/>
    <w:qFormat/>
    <w:rsid w:val="00C27B3B"/>
    <w:pPr>
      <w:spacing w:after="40"/>
      <w:ind w:left="340" w:hanging="340"/>
    </w:pPr>
    <w:rPr>
      <w:sz w:val="16"/>
    </w:rPr>
  </w:style>
  <w:style w:type="paragraph" w:customStyle="1" w:styleId="Bodytext">
    <w:name w:val="Bodytext"/>
    <w:basedOn w:val="Normal"/>
    <w:uiPriority w:val="99"/>
    <w:qFormat/>
    <w:rsid w:val="00097732"/>
    <w:rPr>
      <w:rFonts w:ascii="Arial" w:hAnsi="Arial"/>
      <w:sz w:val="20"/>
    </w:rPr>
  </w:style>
  <w:style w:type="table" w:styleId="TableGrid">
    <w:name w:val="Table Grid"/>
    <w:aliases w:val="Table Grid_General,CV table,none"/>
    <w:basedOn w:val="TableNormal"/>
    <w:uiPriority w:val="39"/>
    <w:rsid w:val="00E72B0F"/>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72B0F"/>
    <w:pPr>
      <w:ind w:left="720"/>
      <w:contextualSpacing/>
    </w:pPr>
  </w:style>
  <w:style w:type="character" w:styleId="Hyperlink">
    <w:name w:val="Hyperlink"/>
    <w:basedOn w:val="DefaultParagraphFont"/>
    <w:uiPriority w:val="99"/>
    <w:rsid w:val="00215EB8"/>
    <w:rPr>
      <w:rFonts w:cs="Times New Roman"/>
      <w:color w:val="0000FF" w:themeColor="hyperlink"/>
      <w:u w:val="single"/>
    </w:rPr>
  </w:style>
  <w:style w:type="paragraph" w:customStyle="1" w:styleId="Notestext">
    <w:name w:val="Notes_text_"/>
    <w:basedOn w:val="Normal"/>
    <w:uiPriority w:val="99"/>
    <w:qFormat/>
    <w:rsid w:val="00163C55"/>
    <w:pPr>
      <w:ind w:left="567"/>
    </w:pPr>
    <w:rPr>
      <w:rFonts w:ascii="Arial" w:hAnsi="Arial"/>
    </w:rPr>
  </w:style>
  <w:style w:type="character" w:styleId="CommentReference">
    <w:name w:val="annotation reference"/>
    <w:basedOn w:val="DefaultParagraphFont"/>
    <w:uiPriority w:val="99"/>
    <w:rsid w:val="00D5167C"/>
    <w:rPr>
      <w:rFonts w:cs="Times New Roman"/>
      <w:sz w:val="16"/>
      <w:szCs w:val="16"/>
    </w:rPr>
  </w:style>
  <w:style w:type="paragraph" w:styleId="CommentText">
    <w:name w:val="annotation text"/>
    <w:basedOn w:val="Normal"/>
    <w:link w:val="CommentTextChar"/>
    <w:uiPriority w:val="99"/>
    <w:rsid w:val="00D5167C"/>
    <w:rPr>
      <w:sz w:val="20"/>
      <w:szCs w:val="20"/>
    </w:rPr>
  </w:style>
  <w:style w:type="character" w:customStyle="1" w:styleId="CommentTextChar">
    <w:name w:val="Comment Text Char"/>
    <w:basedOn w:val="DefaultParagraphFont"/>
    <w:link w:val="CommentText"/>
    <w:uiPriority w:val="99"/>
    <w:locked/>
    <w:rsid w:val="00D5167C"/>
    <w:rPr>
      <w:rFonts w:cs="Times New Roman"/>
      <w:sz w:val="20"/>
      <w:szCs w:val="20"/>
    </w:rPr>
  </w:style>
  <w:style w:type="paragraph" w:styleId="CommentSubject">
    <w:name w:val="annotation subject"/>
    <w:basedOn w:val="CommentText"/>
    <w:next w:val="CommentText"/>
    <w:link w:val="CommentSubjectChar"/>
    <w:rsid w:val="00D5167C"/>
    <w:rPr>
      <w:b/>
      <w:bCs/>
    </w:rPr>
  </w:style>
  <w:style w:type="character" w:customStyle="1" w:styleId="CommentSubjectChar">
    <w:name w:val="Comment Subject Char"/>
    <w:basedOn w:val="CommentTextChar"/>
    <w:link w:val="CommentSubject"/>
    <w:locked/>
    <w:rsid w:val="00D5167C"/>
    <w:rPr>
      <w:rFonts w:cs="Times New Roman"/>
      <w:b/>
      <w:bCs/>
      <w:sz w:val="20"/>
      <w:szCs w:val="20"/>
    </w:rPr>
  </w:style>
  <w:style w:type="paragraph" w:styleId="Revision">
    <w:name w:val="Revision"/>
    <w:hidden/>
    <w:uiPriority w:val="99"/>
    <w:rsid w:val="00D5167C"/>
    <w:rPr>
      <w:rFonts w:cs="Times New Roman"/>
      <w:sz w:val="22"/>
    </w:rPr>
  </w:style>
  <w:style w:type="paragraph" w:styleId="BodyText0">
    <w:name w:val="Body Text"/>
    <w:basedOn w:val="Normal"/>
    <w:link w:val="BodyTextChar"/>
    <w:uiPriority w:val="1"/>
    <w:qFormat/>
    <w:rsid w:val="00563C51"/>
    <w:pPr>
      <w:widowControl w:val="0"/>
      <w:ind w:left="178"/>
    </w:pPr>
    <w:rPr>
      <w:rFonts w:ascii="Arial" w:hAnsi="Arial"/>
      <w:sz w:val="14"/>
      <w:szCs w:val="14"/>
      <w:lang w:val="en-US"/>
    </w:rPr>
  </w:style>
  <w:style w:type="character" w:customStyle="1" w:styleId="BodyTextChar">
    <w:name w:val="Body Text Char"/>
    <w:basedOn w:val="DefaultParagraphFont"/>
    <w:link w:val="BodyText0"/>
    <w:uiPriority w:val="1"/>
    <w:locked/>
    <w:rsid w:val="00563C51"/>
    <w:rPr>
      <w:rFonts w:ascii="Arial" w:hAnsi="Arial" w:cs="Times New Roman"/>
      <w:sz w:val="14"/>
      <w:szCs w:val="14"/>
      <w:lang w:val="en-US" w:eastAsia="x-none"/>
    </w:rPr>
  </w:style>
  <w:style w:type="paragraph" w:styleId="NormalWeb">
    <w:name w:val="Normal (Web)"/>
    <w:basedOn w:val="Normal"/>
    <w:uiPriority w:val="99"/>
    <w:unhideWhenUsed/>
    <w:rsid w:val="001405F8"/>
    <w:pPr>
      <w:spacing w:before="100" w:beforeAutospacing="1" w:after="100" w:afterAutospacing="1"/>
    </w:pPr>
    <w:rPr>
      <w:rFonts w:ascii="Times New Roman" w:hAnsi="Times New Roman"/>
      <w:sz w:val="24"/>
      <w:lang w:val="en-US"/>
    </w:rPr>
  </w:style>
  <w:style w:type="paragraph" w:styleId="FootnoteText">
    <w:name w:val="footnote text"/>
    <w:aliases w:val="FT,footnote text1,ft"/>
    <w:basedOn w:val="Normal"/>
    <w:link w:val="FootnoteTextChar"/>
    <w:uiPriority w:val="99"/>
    <w:qFormat/>
    <w:rsid w:val="00E73516"/>
    <w:rPr>
      <w:sz w:val="16"/>
    </w:rPr>
  </w:style>
  <w:style w:type="character" w:customStyle="1" w:styleId="FootnoteTextChar">
    <w:name w:val="Footnote Text Char"/>
    <w:aliases w:val="FT Char,footnote text1 Char,ft Char"/>
    <w:basedOn w:val="DefaultParagraphFont"/>
    <w:link w:val="FootnoteText"/>
    <w:uiPriority w:val="99"/>
    <w:locked/>
    <w:rsid w:val="00E73516"/>
    <w:rPr>
      <w:rFonts w:cs="Times New Roman"/>
      <w:sz w:val="16"/>
    </w:rPr>
  </w:style>
  <w:style w:type="table" w:customStyle="1" w:styleId="TableGrid1">
    <w:name w:val="Table Grid1"/>
    <w:basedOn w:val="TableNormal"/>
    <w:next w:val="TableGrid"/>
    <w:rsid w:val="00B475A8"/>
    <w:rPr>
      <w:rFonts w:ascii="Cambria" w:hAnsi="Cambr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B475A8"/>
    <w:rPr>
      <w:rFonts w:ascii="Cambria" w:hAnsi="Cambr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E41A2E"/>
    <w:pPr>
      <w:jc w:val="right"/>
    </w:pPr>
    <w:rPr>
      <w:rFonts w:cs="Times New Roman"/>
      <w:sz w:val="22"/>
    </w:rPr>
    <w:tblPr/>
    <w:tblStylePr w:type="firstRow">
      <w:pPr>
        <w:jc w:val="right"/>
      </w:pPr>
      <w:rPr>
        <w:rFonts w:cs="Times New Roman"/>
      </w:rPr>
    </w:tblStylePr>
    <w:tblStylePr w:type="firstCol">
      <w:pPr>
        <w:jc w:val="left"/>
      </w:pPr>
      <w:rPr>
        <w:rFonts w:cs="Times New Roman"/>
      </w:rPr>
    </w:tblStylePr>
  </w:style>
  <w:style w:type="paragraph" w:customStyle="1" w:styleId="Bulletsdash">
    <w:name w:val="Bullets dash_"/>
    <w:basedOn w:val="Normal"/>
    <w:rsid w:val="00E41A2E"/>
    <w:pPr>
      <w:numPr>
        <w:numId w:val="1"/>
      </w:numPr>
      <w:ind w:left="720"/>
    </w:pPr>
  </w:style>
  <w:style w:type="paragraph" w:customStyle="1" w:styleId="Bullets">
    <w:name w:val="Bullets_"/>
    <w:basedOn w:val="Normal"/>
    <w:qFormat/>
    <w:rsid w:val="00E41A2E"/>
    <w:pPr>
      <w:numPr>
        <w:numId w:val="2"/>
      </w:numPr>
      <w:ind w:left="227" w:hanging="227"/>
    </w:pPr>
    <w:rPr>
      <w:rFonts w:ascii="Arial" w:hAnsi="Arial"/>
    </w:rPr>
  </w:style>
  <w:style w:type="table" w:customStyle="1" w:styleId="TableRangedleft1">
    <w:name w:val="Table_Ranged left_1"/>
    <w:basedOn w:val="TableNormal"/>
    <w:qFormat/>
    <w:rsid w:val="00E41A2E"/>
    <w:rPr>
      <w:rFonts w:cs="Times New Roman"/>
    </w:rPr>
    <w:tblPr/>
  </w:style>
  <w:style w:type="character" w:styleId="FootnoteReference">
    <w:name w:val="footnote reference"/>
    <w:aliases w:val="*"/>
    <w:basedOn w:val="DefaultParagraphFont"/>
    <w:uiPriority w:val="99"/>
    <w:rsid w:val="00E41A2E"/>
    <w:rPr>
      <w:rFonts w:cs="Times New Roman"/>
      <w:vertAlign w:val="superscript"/>
    </w:rPr>
  </w:style>
  <w:style w:type="paragraph" w:customStyle="1" w:styleId="Bulletsfornotes">
    <w:name w:val="Bullets for notes_"/>
    <w:basedOn w:val="Bullets"/>
    <w:qFormat/>
    <w:rsid w:val="00E41A2E"/>
    <w:pPr>
      <w:ind w:left="794"/>
    </w:pPr>
  </w:style>
  <w:style w:type="table" w:customStyle="1" w:styleId="TableGrid11">
    <w:name w:val="Table Grid11"/>
    <w:basedOn w:val="TableNormal"/>
    <w:next w:val="TableGrid"/>
    <w:rsid w:val="00E41A2E"/>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E41A2E"/>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E41A2E"/>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E41A2E"/>
    <w:rPr>
      <w:rFonts w:ascii="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78642A"/>
    <w:rPr>
      <w:rFonts w:cs="Times New Roman"/>
      <w:color w:val="808080"/>
    </w:rPr>
  </w:style>
  <w:style w:type="paragraph" w:styleId="EndnoteText">
    <w:name w:val="endnote text"/>
    <w:basedOn w:val="Normal"/>
    <w:link w:val="EndnoteTextChar"/>
    <w:uiPriority w:val="99"/>
    <w:unhideWhenUsed/>
    <w:rsid w:val="00E13E11"/>
    <w:rPr>
      <w:sz w:val="20"/>
      <w:szCs w:val="20"/>
      <w:lang w:val="en-US"/>
    </w:rPr>
  </w:style>
  <w:style w:type="character" w:customStyle="1" w:styleId="EndnoteTextChar">
    <w:name w:val="Endnote Text Char"/>
    <w:basedOn w:val="DefaultParagraphFont"/>
    <w:link w:val="EndnoteText"/>
    <w:uiPriority w:val="99"/>
    <w:locked/>
    <w:rsid w:val="00E13E11"/>
    <w:rPr>
      <w:rFonts w:cs="Times New Roman"/>
      <w:sz w:val="20"/>
      <w:szCs w:val="20"/>
      <w:lang w:val="en-US" w:eastAsia="x-none"/>
    </w:rPr>
  </w:style>
  <w:style w:type="character" w:styleId="EndnoteReference">
    <w:name w:val="endnote reference"/>
    <w:basedOn w:val="DefaultParagraphFont"/>
    <w:uiPriority w:val="99"/>
    <w:unhideWhenUsed/>
    <w:rsid w:val="00E13E11"/>
    <w:rPr>
      <w:rFonts w:cs="Times New Roman"/>
      <w:vertAlign w:val="superscript"/>
    </w:rPr>
  </w:style>
  <w:style w:type="paragraph" w:styleId="Header">
    <w:name w:val="header"/>
    <w:basedOn w:val="Normal"/>
    <w:link w:val="HeaderChar"/>
    <w:uiPriority w:val="99"/>
    <w:rsid w:val="00D63CA0"/>
    <w:pPr>
      <w:tabs>
        <w:tab w:val="center" w:pos="4513"/>
        <w:tab w:val="right" w:pos="9026"/>
      </w:tabs>
    </w:pPr>
  </w:style>
  <w:style w:type="character" w:customStyle="1" w:styleId="HeaderChar">
    <w:name w:val="Header Char"/>
    <w:basedOn w:val="DefaultParagraphFont"/>
    <w:link w:val="Header"/>
    <w:uiPriority w:val="99"/>
    <w:locked/>
    <w:rsid w:val="00D63CA0"/>
    <w:rPr>
      <w:rFonts w:cs="Times New Roman"/>
      <w:sz w:val="22"/>
    </w:rPr>
  </w:style>
  <w:style w:type="paragraph" w:styleId="Footer">
    <w:name w:val="footer"/>
    <w:basedOn w:val="Normal"/>
    <w:link w:val="FooterChar"/>
    <w:uiPriority w:val="99"/>
    <w:rsid w:val="00D63CA0"/>
    <w:pPr>
      <w:tabs>
        <w:tab w:val="center" w:pos="4513"/>
        <w:tab w:val="right" w:pos="9026"/>
      </w:tabs>
    </w:pPr>
  </w:style>
  <w:style w:type="character" w:customStyle="1" w:styleId="FooterChar">
    <w:name w:val="Footer Char"/>
    <w:basedOn w:val="DefaultParagraphFont"/>
    <w:link w:val="Footer"/>
    <w:uiPriority w:val="99"/>
    <w:locked/>
    <w:rsid w:val="00D63CA0"/>
    <w:rPr>
      <w:rFonts w:cs="Times New Roman"/>
      <w:sz w:val="22"/>
    </w:rPr>
  </w:style>
  <w:style w:type="paragraph" w:customStyle="1" w:styleId="Body">
    <w:name w:val="Body"/>
    <w:basedOn w:val="Normal"/>
    <w:link w:val="BodyChar"/>
    <w:rsid w:val="00E50642"/>
    <w:pPr>
      <w:autoSpaceDE w:val="0"/>
      <w:autoSpaceDN w:val="0"/>
      <w:adjustRightInd w:val="0"/>
      <w:spacing w:after="240"/>
      <w:jc w:val="both"/>
    </w:pPr>
    <w:rPr>
      <w:rFonts w:ascii="Times New Roman" w:eastAsia="PMingLiU" w:hAnsi="Times New Roman"/>
      <w:sz w:val="24"/>
      <w:lang w:val="en-IE"/>
    </w:rPr>
  </w:style>
  <w:style w:type="paragraph" w:customStyle="1" w:styleId="Body1">
    <w:name w:val="Body 1"/>
    <w:basedOn w:val="Normal"/>
    <w:link w:val="Body1Char"/>
    <w:qFormat/>
    <w:rsid w:val="001F0384"/>
    <w:pPr>
      <w:spacing w:after="210" w:line="264" w:lineRule="auto"/>
      <w:jc w:val="both"/>
    </w:pPr>
    <w:rPr>
      <w:rFonts w:ascii="Arial" w:eastAsia="Arial Unicode MS" w:hAnsi="Arial"/>
      <w:sz w:val="21"/>
      <w:szCs w:val="21"/>
      <w:lang w:eastAsia="en-GB"/>
    </w:rPr>
  </w:style>
  <w:style w:type="character" w:customStyle="1" w:styleId="Body1Char">
    <w:name w:val="Body 1 Char"/>
    <w:basedOn w:val="DefaultParagraphFont"/>
    <w:link w:val="Body1"/>
    <w:rsid w:val="001F0384"/>
    <w:rPr>
      <w:rFonts w:ascii="Arial" w:eastAsia="Arial Unicode MS" w:hAnsi="Arial" w:cs="Times New Roman"/>
      <w:sz w:val="21"/>
      <w:szCs w:val="21"/>
      <w:lang w:eastAsia="en-GB"/>
    </w:rPr>
  </w:style>
  <w:style w:type="table" w:customStyle="1" w:styleId="TableRangedleft2">
    <w:name w:val="Table_Ranged left_2"/>
    <w:basedOn w:val="TableNormal"/>
    <w:qFormat/>
    <w:rsid w:val="00DF29DD"/>
    <w:rPr>
      <w:rFonts w:ascii="Arial" w:eastAsiaTheme="minorHAnsi" w:hAnsi="Arial" w:cs="Arial"/>
      <w:sz w:val="20"/>
      <w:szCs w:val="20"/>
    </w:rPr>
    <w:tblPr/>
    <w:tcPr>
      <w:tcMar>
        <w:top w:w="108" w:type="dxa"/>
        <w:bottom w:w="108" w:type="dxa"/>
      </w:tcMar>
    </w:tcPr>
  </w:style>
  <w:style w:type="table" w:customStyle="1" w:styleId="none1">
    <w:name w:val="none1"/>
    <w:basedOn w:val="TableNormal"/>
    <w:next w:val="TableGrid"/>
    <w:rsid w:val="00DF29DD"/>
    <w:rPr>
      <w:rFonts w:ascii="Arial" w:eastAsiaTheme="minorHAnsi"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rsid w:val="00DF29DD"/>
    <w:rPr>
      <w:rFonts w:ascii="Cambria" w:eastAsia="Cambria" w:hAnsi="Cambria"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rsid w:val="00DF29DD"/>
    <w:rPr>
      <w:rFonts w:ascii="Cambria" w:eastAsia="Cambria" w:hAnsi="Cambria"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YBulletedText1Char">
    <w:name w:val="EY Bulleted Text 1 Char"/>
    <w:basedOn w:val="DefaultParagraphFont"/>
    <w:link w:val="EYBulletedText10"/>
    <w:locked/>
    <w:rsid w:val="00DF29DD"/>
    <w:rPr>
      <w:rFonts w:ascii="EYInterstate Light" w:hAnsi="EYInterstate Light"/>
      <w:kern w:val="12"/>
    </w:rPr>
  </w:style>
  <w:style w:type="paragraph" w:customStyle="1" w:styleId="EYBulletedText10">
    <w:name w:val="EY Bulleted Text 1"/>
    <w:basedOn w:val="Normal"/>
    <w:link w:val="EYBulletedText1Char"/>
    <w:rsid w:val="00DF29DD"/>
    <w:pPr>
      <w:numPr>
        <w:numId w:val="4"/>
      </w:numPr>
      <w:suppressAutoHyphens/>
      <w:spacing w:after="240"/>
    </w:pPr>
    <w:rPr>
      <w:rFonts w:ascii="EYInterstate Light" w:hAnsi="EYInterstate Light" w:cstheme="minorHAnsi"/>
      <w:kern w:val="12"/>
      <w:sz w:val="24"/>
    </w:rPr>
  </w:style>
  <w:style w:type="paragraph" w:customStyle="1" w:styleId="EYBulletedText20">
    <w:name w:val="EY Bulleted Text 2"/>
    <w:basedOn w:val="Normal"/>
    <w:rsid w:val="00DF29DD"/>
    <w:pPr>
      <w:numPr>
        <w:ilvl w:val="1"/>
        <w:numId w:val="4"/>
      </w:numPr>
      <w:suppressAutoHyphens/>
      <w:spacing w:after="240"/>
    </w:pPr>
    <w:rPr>
      <w:rFonts w:ascii="EYInterstate Light" w:hAnsi="EYInterstate Light"/>
      <w:kern w:val="12"/>
      <w:sz w:val="20"/>
      <w:szCs w:val="20"/>
    </w:rPr>
  </w:style>
  <w:style w:type="paragraph" w:customStyle="1" w:styleId="EYSubheading">
    <w:name w:val="EY Subheading"/>
    <w:basedOn w:val="Normal"/>
    <w:next w:val="BodyText0"/>
    <w:uiPriority w:val="99"/>
    <w:rsid w:val="00DF29DD"/>
    <w:pPr>
      <w:keepNext/>
      <w:spacing w:after="120"/>
      <w:outlineLvl w:val="0"/>
    </w:pPr>
    <w:rPr>
      <w:rFonts w:ascii="EYInterstate Light" w:hAnsi="EYInterstate Light" w:cs="Arial"/>
      <w:b/>
      <w:kern w:val="12"/>
      <w:sz w:val="20"/>
      <w:szCs w:val="20"/>
    </w:rPr>
  </w:style>
  <w:style w:type="paragraph" w:customStyle="1" w:styleId="EYAppendiceBodytext">
    <w:name w:val="EY Appendice Body text"/>
    <w:basedOn w:val="Normal"/>
    <w:uiPriority w:val="99"/>
    <w:rsid w:val="00DF29DD"/>
    <w:pPr>
      <w:spacing w:after="240"/>
      <w:outlineLvl w:val="0"/>
    </w:pPr>
    <w:rPr>
      <w:rFonts w:ascii="EYInterstate Light" w:hAnsi="EYInterstate Light" w:cs="Arial"/>
      <w:kern w:val="12"/>
      <w:sz w:val="20"/>
      <w:szCs w:val="20"/>
    </w:rPr>
  </w:style>
  <w:style w:type="paragraph" w:customStyle="1" w:styleId="EYBulletedText30">
    <w:name w:val="EY Bulleted Text 3"/>
    <w:basedOn w:val="EYBulletedText10"/>
    <w:rsid w:val="00DF29DD"/>
    <w:pPr>
      <w:numPr>
        <w:ilvl w:val="2"/>
      </w:numPr>
      <w:tabs>
        <w:tab w:val="clear" w:pos="1276"/>
        <w:tab w:val="num" w:pos="360"/>
        <w:tab w:val="num" w:pos="2520"/>
      </w:tabs>
      <w:ind w:left="2520" w:hanging="1080"/>
    </w:pPr>
  </w:style>
  <w:style w:type="paragraph" w:customStyle="1" w:styleId="EYAppendixHeading2">
    <w:name w:val="EY Appendix Heading 2"/>
    <w:basedOn w:val="Normal"/>
    <w:next w:val="EYAppendiceBodytext"/>
    <w:uiPriority w:val="99"/>
    <w:rsid w:val="00DF29DD"/>
    <w:pPr>
      <w:keepNext/>
      <w:spacing w:after="120"/>
      <w:outlineLvl w:val="0"/>
    </w:pPr>
    <w:rPr>
      <w:rFonts w:ascii="EYInterstate Light" w:hAnsi="EYInterstate Light" w:cs="Arial"/>
      <w:b/>
      <w:kern w:val="12"/>
      <w:sz w:val="28"/>
      <w:szCs w:val="20"/>
    </w:rPr>
  </w:style>
  <w:style w:type="paragraph" w:customStyle="1" w:styleId="EYSecondarysubheading">
    <w:name w:val="EY Secondary subheading"/>
    <w:basedOn w:val="EYSubheading"/>
    <w:next w:val="E-mailSignature"/>
    <w:uiPriority w:val="99"/>
    <w:rsid w:val="00DF29DD"/>
    <w:rPr>
      <w:i/>
    </w:rPr>
  </w:style>
  <w:style w:type="paragraph" w:customStyle="1" w:styleId="EYBodytextwithparaspace">
    <w:name w:val="EY Body text (with para space)"/>
    <w:basedOn w:val="Normal"/>
    <w:link w:val="EYBodytextwithparaspaceChar"/>
    <w:qFormat/>
    <w:rsid w:val="00DF29DD"/>
    <w:pPr>
      <w:suppressAutoHyphens/>
      <w:spacing w:after="240"/>
    </w:pPr>
    <w:rPr>
      <w:rFonts w:ascii="Arial" w:hAnsi="Arial"/>
      <w:kern w:val="12"/>
      <w:sz w:val="20"/>
      <w:szCs w:val="20"/>
    </w:rPr>
  </w:style>
  <w:style w:type="character" w:customStyle="1" w:styleId="EYBodytextwithparaspaceChar">
    <w:name w:val="EY Body text (with para space) Char"/>
    <w:basedOn w:val="DefaultParagraphFont"/>
    <w:link w:val="EYBodytextwithparaspace"/>
    <w:rsid w:val="00DF29DD"/>
    <w:rPr>
      <w:rFonts w:ascii="Arial" w:hAnsi="Arial" w:cs="Times New Roman"/>
      <w:kern w:val="12"/>
      <w:sz w:val="20"/>
      <w:szCs w:val="20"/>
    </w:rPr>
  </w:style>
  <w:style w:type="paragraph" w:customStyle="1" w:styleId="EYBulletedtext1">
    <w:name w:val="EY Bulleted text 1"/>
    <w:basedOn w:val="EYBodytextwithparaspace"/>
    <w:rsid w:val="00DF29DD"/>
    <w:pPr>
      <w:numPr>
        <w:numId w:val="5"/>
      </w:numPr>
      <w:tabs>
        <w:tab w:val="clear" w:pos="425"/>
      </w:tabs>
      <w:ind w:left="720" w:hanging="360"/>
    </w:pPr>
  </w:style>
  <w:style w:type="paragraph" w:customStyle="1" w:styleId="EYBulletedtext2">
    <w:name w:val="EY Bulleted text 2"/>
    <w:basedOn w:val="EYBodytextwithparaspace"/>
    <w:rsid w:val="00DF29DD"/>
    <w:pPr>
      <w:numPr>
        <w:ilvl w:val="1"/>
        <w:numId w:val="5"/>
      </w:numPr>
      <w:tabs>
        <w:tab w:val="clear" w:pos="851"/>
      </w:tabs>
      <w:ind w:left="1440" w:hanging="360"/>
    </w:pPr>
  </w:style>
  <w:style w:type="paragraph" w:customStyle="1" w:styleId="EYBulletedtext3">
    <w:name w:val="EY Bulleted text 3"/>
    <w:basedOn w:val="EYBulletedtext1"/>
    <w:qFormat/>
    <w:rsid w:val="00DF29DD"/>
    <w:pPr>
      <w:numPr>
        <w:ilvl w:val="2"/>
      </w:numPr>
      <w:tabs>
        <w:tab w:val="clear" w:pos="1276"/>
      </w:tabs>
      <w:ind w:left="2160" w:hanging="360"/>
    </w:pPr>
  </w:style>
  <w:style w:type="paragraph" w:styleId="E-mailSignature">
    <w:name w:val="E-mail Signature"/>
    <w:basedOn w:val="Normal"/>
    <w:link w:val="E-mailSignatureChar"/>
    <w:uiPriority w:val="99"/>
    <w:rsid w:val="00DF29DD"/>
    <w:rPr>
      <w:rFonts w:ascii="Arial" w:eastAsiaTheme="minorHAnsi" w:hAnsi="Arial" w:cs="Arial"/>
      <w:sz w:val="20"/>
      <w:szCs w:val="20"/>
    </w:rPr>
  </w:style>
  <w:style w:type="character" w:customStyle="1" w:styleId="E-mailSignatureChar">
    <w:name w:val="E-mail Signature Char"/>
    <w:basedOn w:val="DefaultParagraphFont"/>
    <w:link w:val="E-mailSignature"/>
    <w:uiPriority w:val="99"/>
    <w:rsid w:val="00DF29DD"/>
    <w:rPr>
      <w:rFonts w:ascii="Arial" w:eastAsiaTheme="minorHAnsi" w:hAnsi="Arial" w:cs="Arial"/>
      <w:sz w:val="20"/>
      <w:szCs w:val="20"/>
    </w:rPr>
  </w:style>
  <w:style w:type="paragraph" w:customStyle="1" w:styleId="EYTablebullet1">
    <w:name w:val="EY Table bullet 1"/>
    <w:basedOn w:val="Normal"/>
    <w:link w:val="EYTablebullet1Char"/>
    <w:rsid w:val="00DF29DD"/>
    <w:pPr>
      <w:numPr>
        <w:numId w:val="6"/>
      </w:numPr>
      <w:spacing w:before="60" w:after="60"/>
      <w:outlineLvl w:val="0"/>
    </w:pPr>
    <w:rPr>
      <w:rFonts w:ascii="Arial" w:hAnsi="Arial" w:cs="Arial"/>
      <w:sz w:val="20"/>
      <w:szCs w:val="20"/>
    </w:rPr>
  </w:style>
  <w:style w:type="paragraph" w:customStyle="1" w:styleId="EYTablebullet2">
    <w:name w:val="EY Table bullet 2"/>
    <w:basedOn w:val="EYTablebullet1"/>
    <w:uiPriority w:val="99"/>
    <w:rsid w:val="00DF29DD"/>
    <w:pPr>
      <w:numPr>
        <w:ilvl w:val="1"/>
      </w:numPr>
      <w:tabs>
        <w:tab w:val="clear" w:pos="567"/>
      </w:tabs>
      <w:ind w:left="1440" w:hanging="360"/>
    </w:pPr>
  </w:style>
  <w:style w:type="character" w:customStyle="1" w:styleId="EYTablebullet1Char">
    <w:name w:val="EY Table bullet 1 Char"/>
    <w:basedOn w:val="DefaultParagraphFont"/>
    <w:link w:val="EYTablebullet1"/>
    <w:rsid w:val="00DF29DD"/>
    <w:rPr>
      <w:rFonts w:ascii="Arial" w:hAnsi="Arial" w:cs="Arial"/>
      <w:sz w:val="20"/>
      <w:szCs w:val="20"/>
    </w:rPr>
  </w:style>
  <w:style w:type="paragraph" w:customStyle="1" w:styleId="wordsection1">
    <w:name w:val="wordsection1"/>
    <w:basedOn w:val="Normal"/>
    <w:uiPriority w:val="99"/>
    <w:rsid w:val="00DF29DD"/>
    <w:rPr>
      <w:rFonts w:ascii="Times New Roman" w:eastAsiaTheme="minorHAnsi" w:hAnsi="Times New Roman"/>
      <w:sz w:val="24"/>
      <w:szCs w:val="20"/>
      <w:lang w:eastAsia="en-GB"/>
    </w:rPr>
  </w:style>
  <w:style w:type="paragraph" w:customStyle="1" w:styleId="Pa38">
    <w:name w:val="Pa38"/>
    <w:basedOn w:val="Normal"/>
    <w:next w:val="Normal"/>
    <w:uiPriority w:val="99"/>
    <w:rsid w:val="00DF29DD"/>
    <w:pPr>
      <w:autoSpaceDE w:val="0"/>
      <w:autoSpaceDN w:val="0"/>
      <w:adjustRightInd w:val="0"/>
      <w:spacing w:line="191" w:lineRule="atLeast"/>
    </w:pPr>
    <w:rPr>
      <w:rFonts w:ascii="BT Font" w:eastAsiaTheme="minorHAnsi" w:hAnsi="BT Font" w:cs="Arial"/>
      <w:sz w:val="24"/>
      <w:szCs w:val="20"/>
    </w:rPr>
  </w:style>
  <w:style w:type="table" w:customStyle="1" w:styleId="TableRangedleft11">
    <w:name w:val="Table_Ranged left_11"/>
    <w:basedOn w:val="TableNormal"/>
    <w:qFormat/>
    <w:rsid w:val="00DF29DD"/>
    <w:rPr>
      <w:rFonts w:ascii="Arial" w:eastAsiaTheme="minorHAnsi" w:hAnsi="Arial" w:cs="Arial"/>
      <w:sz w:val="20"/>
      <w:szCs w:val="20"/>
    </w:rPr>
    <w:tblPr/>
    <w:tcPr>
      <w:tcMar>
        <w:top w:w="108" w:type="dxa"/>
        <w:bottom w:w="108" w:type="dxa"/>
      </w:tcMar>
    </w:tcPr>
  </w:style>
  <w:style w:type="paragraph" w:customStyle="1" w:styleId="StandardText">
    <w:name w:val="Standard Text"/>
    <w:basedOn w:val="Normal"/>
    <w:uiPriority w:val="99"/>
    <w:rsid w:val="00DF29DD"/>
    <w:pPr>
      <w:overflowPunct w:val="0"/>
      <w:autoSpaceDE w:val="0"/>
      <w:autoSpaceDN w:val="0"/>
      <w:spacing w:before="200" w:line="280" w:lineRule="atLeast"/>
      <w:jc w:val="both"/>
    </w:pPr>
    <w:rPr>
      <w:rFonts w:ascii="Arial" w:eastAsiaTheme="minorHAnsi" w:hAnsi="Arial" w:cs="Arial"/>
      <w:sz w:val="20"/>
      <w:szCs w:val="20"/>
      <w:lang w:eastAsia="en-GB"/>
    </w:rPr>
  </w:style>
  <w:style w:type="table" w:customStyle="1" w:styleId="TableGrid31">
    <w:name w:val="Table Grid31"/>
    <w:basedOn w:val="TableNormal"/>
    <w:next w:val="TableGrid"/>
    <w:rsid w:val="00DF29DD"/>
    <w:rPr>
      <w:rFonts w:ascii="Arial" w:eastAsia="Cambria"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F29DD"/>
    <w:pPr>
      <w:autoSpaceDE w:val="0"/>
      <w:autoSpaceDN w:val="0"/>
      <w:adjustRightInd w:val="0"/>
    </w:pPr>
    <w:rPr>
      <w:rFonts w:ascii="Arial" w:eastAsiaTheme="minorHAnsi" w:hAnsi="Arial" w:cs="Arial"/>
      <w:color w:val="000000"/>
    </w:rPr>
  </w:style>
  <w:style w:type="character" w:customStyle="1" w:styleId="EYHeading2Char">
    <w:name w:val="EY Heading 2 Char"/>
    <w:basedOn w:val="DefaultParagraphFont"/>
    <w:link w:val="EYHeading2"/>
    <w:locked/>
    <w:rsid w:val="00DF29DD"/>
    <w:rPr>
      <w:rFonts w:cs="Times New Roman"/>
      <w:b/>
      <w:kern w:val="12"/>
      <w:sz w:val="26"/>
    </w:rPr>
  </w:style>
  <w:style w:type="paragraph" w:customStyle="1" w:styleId="EYHeading2">
    <w:name w:val="EY Heading 2"/>
    <w:basedOn w:val="Normal"/>
    <w:next w:val="EYBodytextwithparaspace"/>
    <w:link w:val="EYHeading2Char"/>
    <w:rsid w:val="00DF29DD"/>
    <w:pPr>
      <w:keepNext/>
      <w:suppressAutoHyphens/>
      <w:spacing w:before="120" w:after="120"/>
    </w:pPr>
    <w:rPr>
      <w:b/>
      <w:kern w:val="12"/>
      <w:sz w:val="26"/>
    </w:rPr>
  </w:style>
  <w:style w:type="paragraph" w:styleId="PlainText">
    <w:name w:val="Plain Text"/>
    <w:basedOn w:val="Normal"/>
    <w:link w:val="PlainTextChar"/>
    <w:uiPriority w:val="99"/>
    <w:unhideWhenUsed/>
    <w:rsid w:val="00DF29DD"/>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DF29DD"/>
    <w:rPr>
      <w:rFonts w:ascii="Calibri" w:eastAsiaTheme="minorHAnsi" w:hAnsi="Calibri" w:cstheme="minorBidi"/>
      <w:sz w:val="22"/>
      <w:szCs w:val="21"/>
      <w:lang w:val="en-US"/>
    </w:rPr>
  </w:style>
  <w:style w:type="numbering" w:customStyle="1" w:styleId="ERMBulletList">
    <w:name w:val="ERMBulletList"/>
    <w:uiPriority w:val="99"/>
    <w:rsid w:val="00FD465D"/>
    <w:pPr>
      <w:numPr>
        <w:numId w:val="7"/>
      </w:numPr>
    </w:pPr>
  </w:style>
  <w:style w:type="paragraph" w:styleId="ListBullet">
    <w:name w:val="List Bullet"/>
    <w:basedOn w:val="BodyText0"/>
    <w:uiPriority w:val="99"/>
    <w:qFormat/>
    <w:rsid w:val="00FD465D"/>
    <w:pPr>
      <w:widowControl/>
      <w:numPr>
        <w:numId w:val="8"/>
      </w:numPr>
      <w:spacing w:before="120" w:after="60" w:line="260" w:lineRule="atLeast"/>
    </w:pPr>
    <w:rPr>
      <w:rFonts w:asciiTheme="minorHAnsi" w:eastAsiaTheme="minorEastAsia" w:hAnsiTheme="minorHAnsi" w:cstheme="minorBidi"/>
      <w:sz w:val="20"/>
      <w:szCs w:val="20"/>
      <w:lang w:val="en-GB"/>
    </w:rPr>
  </w:style>
  <w:style w:type="paragraph" w:styleId="ListBullet2">
    <w:name w:val="List Bullet 2"/>
    <w:basedOn w:val="Normal"/>
    <w:uiPriority w:val="99"/>
    <w:rsid w:val="00FD465D"/>
    <w:pPr>
      <w:numPr>
        <w:ilvl w:val="1"/>
        <w:numId w:val="8"/>
      </w:numPr>
      <w:spacing w:before="120" w:after="60" w:line="260" w:lineRule="atLeast"/>
      <w:ind w:left="806" w:hanging="403"/>
    </w:pPr>
    <w:rPr>
      <w:rFonts w:eastAsiaTheme="minorEastAsia" w:cstheme="minorBidi"/>
      <w:sz w:val="20"/>
      <w:szCs w:val="20"/>
    </w:rPr>
  </w:style>
  <w:style w:type="paragraph" w:styleId="ListBullet3">
    <w:name w:val="List Bullet 3"/>
    <w:basedOn w:val="Normal"/>
    <w:uiPriority w:val="99"/>
    <w:rsid w:val="00FD465D"/>
    <w:pPr>
      <w:numPr>
        <w:ilvl w:val="2"/>
        <w:numId w:val="8"/>
      </w:numPr>
      <w:spacing w:before="120" w:after="60" w:line="260" w:lineRule="atLeast"/>
    </w:pPr>
    <w:rPr>
      <w:rFonts w:eastAsiaTheme="minorEastAsia" w:cstheme="minorBidi"/>
      <w:sz w:val="20"/>
      <w:szCs w:val="20"/>
    </w:rPr>
  </w:style>
  <w:style w:type="paragraph" w:styleId="ListBullet4">
    <w:name w:val="List Bullet 4"/>
    <w:basedOn w:val="Normal"/>
    <w:uiPriority w:val="99"/>
    <w:rsid w:val="00FD465D"/>
    <w:pPr>
      <w:numPr>
        <w:ilvl w:val="3"/>
        <w:numId w:val="8"/>
      </w:numPr>
      <w:spacing w:before="120" w:after="60" w:line="260" w:lineRule="atLeast"/>
    </w:pPr>
    <w:rPr>
      <w:rFonts w:eastAsiaTheme="minorEastAsia" w:cstheme="minorBidi"/>
      <w:sz w:val="20"/>
      <w:szCs w:val="20"/>
    </w:rPr>
  </w:style>
  <w:style w:type="character" w:customStyle="1" w:styleId="bv">
    <w:name w:val="bv"/>
    <w:basedOn w:val="DefaultParagraphFont"/>
    <w:rsid w:val="001E737D"/>
  </w:style>
  <w:style w:type="character" w:styleId="UnresolvedMention">
    <w:name w:val="Unresolved Mention"/>
    <w:basedOn w:val="DefaultParagraphFont"/>
    <w:uiPriority w:val="99"/>
    <w:semiHidden/>
    <w:unhideWhenUsed/>
    <w:rsid w:val="009C0294"/>
    <w:rPr>
      <w:color w:val="605E5C"/>
      <w:shd w:val="clear" w:color="auto" w:fill="E1DFDD"/>
    </w:rPr>
  </w:style>
  <w:style w:type="character" w:customStyle="1" w:styleId="Heading5Char">
    <w:name w:val="Heading 5 Char"/>
    <w:basedOn w:val="DefaultParagraphFont"/>
    <w:link w:val="Heading5"/>
    <w:uiPriority w:val="9"/>
    <w:rsid w:val="009F1FCD"/>
    <w:rPr>
      <w:rFonts w:asciiTheme="majorHAnsi" w:eastAsiaTheme="majorEastAsia" w:hAnsiTheme="majorHAnsi" w:cstheme="majorBidi"/>
      <w:color w:val="365F91" w:themeColor="accent1" w:themeShade="BF"/>
      <w:sz w:val="22"/>
    </w:rPr>
  </w:style>
  <w:style w:type="paragraph" w:styleId="Title">
    <w:name w:val="Title"/>
    <w:basedOn w:val="Normal"/>
    <w:next w:val="Normal"/>
    <w:link w:val="TitleChar"/>
    <w:uiPriority w:val="10"/>
    <w:qFormat/>
    <w:rsid w:val="009F1FCD"/>
    <w:pPr>
      <w:spacing w:after="120"/>
      <w:contextualSpacing/>
    </w:pPr>
    <w:rPr>
      <w:rFonts w:asciiTheme="majorHAnsi" w:eastAsiaTheme="majorEastAsia" w:hAnsiTheme="majorHAnsi" w:cstheme="majorBidi"/>
      <w:color w:val="000000" w:themeColor="text1"/>
      <w:spacing w:val="-10"/>
      <w:kern w:val="28"/>
      <w:sz w:val="72"/>
      <w:szCs w:val="56"/>
      <w:lang w:val="en-US"/>
    </w:rPr>
  </w:style>
  <w:style w:type="character" w:customStyle="1" w:styleId="TitleChar">
    <w:name w:val="Title Char"/>
    <w:basedOn w:val="DefaultParagraphFont"/>
    <w:link w:val="Title"/>
    <w:uiPriority w:val="10"/>
    <w:rsid w:val="009F1FCD"/>
    <w:rPr>
      <w:rFonts w:asciiTheme="majorHAnsi" w:eastAsiaTheme="majorEastAsia" w:hAnsiTheme="majorHAnsi" w:cstheme="majorBidi"/>
      <w:color w:val="000000" w:themeColor="text1"/>
      <w:spacing w:val="-10"/>
      <w:kern w:val="28"/>
      <w:sz w:val="72"/>
      <w:szCs w:val="56"/>
      <w:lang w:val="en-US"/>
    </w:rPr>
  </w:style>
  <w:style w:type="paragraph" w:customStyle="1" w:styleId="Pa531">
    <w:name w:val="Pa53_1"/>
    <w:basedOn w:val="Default"/>
    <w:next w:val="Default"/>
    <w:uiPriority w:val="99"/>
    <w:rsid w:val="00D0642A"/>
    <w:pPr>
      <w:spacing w:line="181" w:lineRule="atLeast"/>
    </w:pPr>
    <w:rPr>
      <w:rFonts w:ascii="DIN CLS Regular" w:eastAsia="Times New Roman" w:hAnsi="DIN CLS Regular" w:cs="Times New Roman"/>
      <w:color w:val="auto"/>
    </w:rPr>
  </w:style>
  <w:style w:type="paragraph" w:customStyle="1" w:styleId="Pa401">
    <w:name w:val="Pa40_1"/>
    <w:basedOn w:val="Default"/>
    <w:next w:val="Default"/>
    <w:uiPriority w:val="99"/>
    <w:rsid w:val="00B0106C"/>
    <w:pPr>
      <w:spacing w:line="171" w:lineRule="atLeast"/>
    </w:pPr>
    <w:rPr>
      <w:rFonts w:ascii="DIN CLS Light" w:eastAsia="Times New Roman" w:hAnsi="DIN CLS Light" w:cs="Times New Roman"/>
      <w:color w:val="auto"/>
    </w:rPr>
  </w:style>
  <w:style w:type="character" w:styleId="FollowedHyperlink">
    <w:name w:val="FollowedHyperlink"/>
    <w:basedOn w:val="DefaultParagraphFont"/>
    <w:semiHidden/>
    <w:unhideWhenUsed/>
    <w:rsid w:val="00220CA0"/>
    <w:rPr>
      <w:color w:val="800080" w:themeColor="followedHyperlink"/>
      <w:u w:val="single"/>
    </w:rPr>
  </w:style>
  <w:style w:type="paragraph" w:customStyle="1" w:styleId="msonormal0">
    <w:name w:val="msonormal"/>
    <w:basedOn w:val="Normal"/>
    <w:uiPriority w:val="99"/>
    <w:rsid w:val="00220CA0"/>
    <w:pPr>
      <w:spacing w:before="100" w:beforeAutospacing="1" w:after="100" w:afterAutospacing="1"/>
    </w:pPr>
    <w:rPr>
      <w:rFonts w:ascii="Times New Roman" w:hAnsi="Times New Roman"/>
      <w:sz w:val="24"/>
      <w:szCs w:val="20"/>
      <w:lang w:val="en-US"/>
    </w:rPr>
  </w:style>
  <w:style w:type="paragraph" w:customStyle="1" w:styleId="fy">
    <w:name w:val="fy"/>
    <w:basedOn w:val="Normal"/>
    <w:uiPriority w:val="99"/>
    <w:rsid w:val="00220CA0"/>
    <w:pPr>
      <w:spacing w:before="100" w:beforeAutospacing="1" w:after="100" w:afterAutospacing="1"/>
    </w:pPr>
    <w:rPr>
      <w:rFonts w:ascii="Times New Roman" w:hAnsi="Times New Roman"/>
      <w:sz w:val="24"/>
      <w:lang w:eastAsia="zh-CN"/>
    </w:rPr>
  </w:style>
  <w:style w:type="paragraph" w:customStyle="1" w:styleId="cb">
    <w:name w:val="cb"/>
    <w:basedOn w:val="Normal"/>
    <w:uiPriority w:val="99"/>
    <w:rsid w:val="00220CA0"/>
    <w:pPr>
      <w:spacing w:before="100" w:beforeAutospacing="1" w:after="100" w:afterAutospacing="1"/>
    </w:pPr>
    <w:rPr>
      <w:rFonts w:ascii="Times New Roman" w:hAnsi="Times New Roman"/>
      <w:sz w:val="24"/>
      <w:lang w:eastAsia="zh-CN"/>
    </w:rPr>
  </w:style>
  <w:style w:type="paragraph" w:customStyle="1" w:styleId="fx">
    <w:name w:val="fx"/>
    <w:basedOn w:val="Normal"/>
    <w:uiPriority w:val="99"/>
    <w:rsid w:val="00220CA0"/>
    <w:pPr>
      <w:spacing w:before="100" w:beforeAutospacing="1" w:after="100" w:afterAutospacing="1"/>
    </w:pPr>
    <w:rPr>
      <w:rFonts w:ascii="Times New Roman" w:hAnsi="Times New Roman"/>
      <w:sz w:val="24"/>
      <w:lang w:eastAsia="zh-CN"/>
    </w:rPr>
  </w:style>
  <w:style w:type="paragraph" w:customStyle="1" w:styleId="ni">
    <w:name w:val="ni"/>
    <w:basedOn w:val="Normal"/>
    <w:uiPriority w:val="99"/>
    <w:rsid w:val="00220CA0"/>
    <w:pPr>
      <w:spacing w:before="100" w:beforeAutospacing="1" w:after="100" w:afterAutospacing="1"/>
    </w:pPr>
    <w:rPr>
      <w:rFonts w:ascii="Times New Roman" w:hAnsi="Times New Roman"/>
      <w:sz w:val="24"/>
      <w:lang w:val="en-US"/>
    </w:rPr>
  </w:style>
  <w:style w:type="paragraph" w:customStyle="1" w:styleId="g">
    <w:name w:val="g"/>
    <w:basedOn w:val="Normal"/>
    <w:uiPriority w:val="99"/>
    <w:rsid w:val="00220CA0"/>
    <w:pPr>
      <w:spacing w:before="100" w:beforeAutospacing="1" w:after="100" w:afterAutospacing="1"/>
    </w:pPr>
    <w:rPr>
      <w:rFonts w:ascii="Times New Roman" w:hAnsi="Times New Roman"/>
      <w:sz w:val="24"/>
      <w:lang w:val="en-US"/>
    </w:rPr>
  </w:style>
  <w:style w:type="paragraph" w:customStyle="1" w:styleId="nj">
    <w:name w:val="nj"/>
    <w:basedOn w:val="Normal"/>
    <w:uiPriority w:val="99"/>
    <w:rsid w:val="00220CA0"/>
    <w:pPr>
      <w:spacing w:before="100" w:beforeAutospacing="1" w:after="100" w:afterAutospacing="1"/>
    </w:pPr>
    <w:rPr>
      <w:rFonts w:ascii="Times New Roman" w:hAnsi="Times New Roman"/>
      <w:sz w:val="24"/>
      <w:lang w:val="en-US"/>
    </w:rPr>
  </w:style>
  <w:style w:type="paragraph" w:customStyle="1" w:styleId="nl">
    <w:name w:val="nl"/>
    <w:basedOn w:val="Normal"/>
    <w:uiPriority w:val="99"/>
    <w:rsid w:val="00220CA0"/>
    <w:pPr>
      <w:spacing w:before="100" w:beforeAutospacing="1" w:after="100" w:afterAutospacing="1"/>
    </w:pPr>
    <w:rPr>
      <w:rFonts w:ascii="Times New Roman" w:hAnsi="Times New Roman"/>
      <w:sz w:val="24"/>
      <w:lang w:val="en-US"/>
    </w:rPr>
  </w:style>
  <w:style w:type="paragraph" w:customStyle="1" w:styleId="nn">
    <w:name w:val="nn"/>
    <w:basedOn w:val="Normal"/>
    <w:uiPriority w:val="99"/>
    <w:rsid w:val="00220CA0"/>
    <w:pPr>
      <w:spacing w:before="100" w:beforeAutospacing="1" w:after="100" w:afterAutospacing="1"/>
    </w:pPr>
    <w:rPr>
      <w:rFonts w:ascii="Times New Roman" w:hAnsi="Times New Roman"/>
      <w:sz w:val="24"/>
      <w:lang w:val="en-US"/>
    </w:rPr>
  </w:style>
  <w:style w:type="paragraph" w:customStyle="1" w:styleId="no">
    <w:name w:val="no"/>
    <w:basedOn w:val="Normal"/>
    <w:uiPriority w:val="99"/>
    <w:rsid w:val="00220CA0"/>
    <w:pPr>
      <w:spacing w:before="100" w:beforeAutospacing="1" w:after="100" w:afterAutospacing="1"/>
    </w:pPr>
    <w:rPr>
      <w:rFonts w:ascii="Times New Roman" w:hAnsi="Times New Roman"/>
      <w:sz w:val="24"/>
      <w:lang w:val="en-US"/>
    </w:rPr>
  </w:style>
  <w:style w:type="paragraph" w:customStyle="1" w:styleId="np">
    <w:name w:val="np"/>
    <w:basedOn w:val="Normal"/>
    <w:uiPriority w:val="99"/>
    <w:rsid w:val="00220CA0"/>
    <w:pPr>
      <w:spacing w:before="100" w:beforeAutospacing="1" w:after="100" w:afterAutospacing="1"/>
    </w:pPr>
    <w:rPr>
      <w:rFonts w:ascii="Times New Roman" w:hAnsi="Times New Roman"/>
      <w:sz w:val="24"/>
      <w:lang w:val="en-US"/>
    </w:rPr>
  </w:style>
  <w:style w:type="paragraph" w:customStyle="1" w:styleId="nq">
    <w:name w:val="nq"/>
    <w:basedOn w:val="Normal"/>
    <w:uiPriority w:val="99"/>
    <w:rsid w:val="00220CA0"/>
    <w:pPr>
      <w:spacing w:before="100" w:beforeAutospacing="1" w:after="100" w:afterAutospacing="1"/>
    </w:pPr>
    <w:rPr>
      <w:rFonts w:ascii="Times New Roman" w:hAnsi="Times New Roman"/>
      <w:sz w:val="24"/>
      <w:lang w:val="en-US"/>
    </w:rPr>
  </w:style>
  <w:style w:type="paragraph" w:customStyle="1" w:styleId="nr">
    <w:name w:val="nr"/>
    <w:basedOn w:val="Normal"/>
    <w:uiPriority w:val="99"/>
    <w:rsid w:val="00220CA0"/>
    <w:pPr>
      <w:spacing w:before="100" w:beforeAutospacing="1" w:after="100" w:afterAutospacing="1"/>
    </w:pPr>
    <w:rPr>
      <w:rFonts w:ascii="Times New Roman" w:hAnsi="Times New Roman"/>
      <w:sz w:val="24"/>
      <w:lang w:val="en-US"/>
    </w:rPr>
  </w:style>
  <w:style w:type="paragraph" w:customStyle="1" w:styleId="ns">
    <w:name w:val="ns"/>
    <w:basedOn w:val="Normal"/>
    <w:uiPriority w:val="99"/>
    <w:rsid w:val="00220CA0"/>
    <w:pPr>
      <w:spacing w:before="100" w:beforeAutospacing="1" w:after="100" w:afterAutospacing="1"/>
    </w:pPr>
    <w:rPr>
      <w:rFonts w:ascii="Times New Roman" w:hAnsi="Times New Roman"/>
      <w:sz w:val="24"/>
      <w:lang w:val="en-US"/>
    </w:rPr>
  </w:style>
  <w:style w:type="paragraph" w:customStyle="1" w:styleId="nv">
    <w:name w:val="nv"/>
    <w:basedOn w:val="Normal"/>
    <w:uiPriority w:val="99"/>
    <w:rsid w:val="00220CA0"/>
    <w:pPr>
      <w:spacing w:before="100" w:beforeAutospacing="1" w:after="100" w:afterAutospacing="1"/>
    </w:pPr>
    <w:rPr>
      <w:rFonts w:ascii="Times New Roman" w:hAnsi="Times New Roman"/>
      <w:sz w:val="24"/>
      <w:lang w:val="en-US"/>
    </w:rPr>
  </w:style>
  <w:style w:type="paragraph" w:customStyle="1" w:styleId="ny">
    <w:name w:val="ny"/>
    <w:basedOn w:val="Normal"/>
    <w:uiPriority w:val="99"/>
    <w:rsid w:val="00220CA0"/>
    <w:pPr>
      <w:spacing w:before="100" w:beforeAutospacing="1" w:after="100" w:afterAutospacing="1"/>
    </w:pPr>
    <w:rPr>
      <w:rFonts w:ascii="Times New Roman" w:hAnsi="Times New Roman"/>
      <w:sz w:val="24"/>
      <w:lang w:val="en-US"/>
    </w:rPr>
  </w:style>
  <w:style w:type="paragraph" w:customStyle="1" w:styleId="nz">
    <w:name w:val="nz"/>
    <w:basedOn w:val="Normal"/>
    <w:uiPriority w:val="99"/>
    <w:rsid w:val="00220CA0"/>
    <w:pPr>
      <w:spacing w:before="100" w:beforeAutospacing="1" w:after="100" w:afterAutospacing="1"/>
    </w:pPr>
    <w:rPr>
      <w:rFonts w:ascii="Times New Roman" w:hAnsi="Times New Roman"/>
      <w:sz w:val="24"/>
      <w:lang w:val="en-US"/>
    </w:rPr>
  </w:style>
  <w:style w:type="paragraph" w:customStyle="1" w:styleId="oa">
    <w:name w:val="oa"/>
    <w:basedOn w:val="Normal"/>
    <w:uiPriority w:val="99"/>
    <w:rsid w:val="00220CA0"/>
    <w:pPr>
      <w:spacing w:before="100" w:beforeAutospacing="1" w:after="100" w:afterAutospacing="1"/>
    </w:pPr>
    <w:rPr>
      <w:rFonts w:ascii="Times New Roman" w:hAnsi="Times New Roman"/>
      <w:sz w:val="24"/>
      <w:lang w:val="en-US"/>
    </w:rPr>
  </w:style>
  <w:style w:type="paragraph" w:customStyle="1" w:styleId="ob">
    <w:name w:val="ob"/>
    <w:basedOn w:val="Normal"/>
    <w:uiPriority w:val="99"/>
    <w:rsid w:val="00220CA0"/>
    <w:pPr>
      <w:spacing w:before="100" w:beforeAutospacing="1" w:after="100" w:afterAutospacing="1"/>
    </w:pPr>
    <w:rPr>
      <w:rFonts w:ascii="Times New Roman" w:hAnsi="Times New Roman"/>
      <w:sz w:val="24"/>
      <w:lang w:val="en-US"/>
    </w:rPr>
  </w:style>
  <w:style w:type="paragraph" w:customStyle="1" w:styleId="oc">
    <w:name w:val="oc"/>
    <w:basedOn w:val="Normal"/>
    <w:uiPriority w:val="99"/>
    <w:rsid w:val="00220CA0"/>
    <w:pPr>
      <w:spacing w:before="100" w:beforeAutospacing="1" w:after="100" w:afterAutospacing="1"/>
    </w:pPr>
    <w:rPr>
      <w:rFonts w:ascii="Times New Roman" w:hAnsi="Times New Roman"/>
      <w:sz w:val="24"/>
      <w:lang w:val="en-US"/>
    </w:rPr>
  </w:style>
  <w:style w:type="paragraph" w:customStyle="1" w:styleId="od">
    <w:name w:val="od"/>
    <w:basedOn w:val="Normal"/>
    <w:uiPriority w:val="99"/>
    <w:rsid w:val="00220CA0"/>
    <w:pPr>
      <w:spacing w:before="100" w:beforeAutospacing="1" w:after="100" w:afterAutospacing="1"/>
    </w:pPr>
    <w:rPr>
      <w:rFonts w:ascii="Times New Roman" w:hAnsi="Times New Roman"/>
      <w:sz w:val="24"/>
      <w:lang w:val="en-US"/>
    </w:rPr>
  </w:style>
  <w:style w:type="paragraph" w:customStyle="1" w:styleId="of">
    <w:name w:val="of"/>
    <w:basedOn w:val="Normal"/>
    <w:uiPriority w:val="99"/>
    <w:rsid w:val="00220CA0"/>
    <w:pPr>
      <w:spacing w:before="100" w:beforeAutospacing="1" w:after="100" w:afterAutospacing="1"/>
    </w:pPr>
    <w:rPr>
      <w:rFonts w:ascii="Times New Roman" w:hAnsi="Times New Roman"/>
      <w:sz w:val="24"/>
      <w:lang w:val="en-US"/>
    </w:rPr>
  </w:style>
  <w:style w:type="paragraph" w:customStyle="1" w:styleId="og">
    <w:name w:val="og"/>
    <w:basedOn w:val="Normal"/>
    <w:uiPriority w:val="99"/>
    <w:rsid w:val="00220CA0"/>
    <w:pPr>
      <w:spacing w:before="100" w:beforeAutospacing="1" w:after="100" w:afterAutospacing="1"/>
    </w:pPr>
    <w:rPr>
      <w:rFonts w:ascii="Times New Roman" w:hAnsi="Times New Roman"/>
      <w:sz w:val="24"/>
      <w:lang w:val="en-US"/>
    </w:rPr>
  </w:style>
  <w:style w:type="paragraph" w:customStyle="1" w:styleId="oh">
    <w:name w:val="oh"/>
    <w:basedOn w:val="Normal"/>
    <w:uiPriority w:val="99"/>
    <w:rsid w:val="00220CA0"/>
    <w:pPr>
      <w:spacing w:before="100" w:beforeAutospacing="1" w:after="100" w:afterAutospacing="1"/>
    </w:pPr>
    <w:rPr>
      <w:rFonts w:ascii="Times New Roman" w:hAnsi="Times New Roman"/>
      <w:sz w:val="24"/>
      <w:lang w:val="en-US"/>
    </w:rPr>
  </w:style>
  <w:style w:type="paragraph" w:customStyle="1" w:styleId="oi">
    <w:name w:val="oi"/>
    <w:basedOn w:val="Normal"/>
    <w:uiPriority w:val="99"/>
    <w:rsid w:val="00220CA0"/>
    <w:pPr>
      <w:spacing w:before="100" w:beforeAutospacing="1" w:after="100" w:afterAutospacing="1"/>
    </w:pPr>
    <w:rPr>
      <w:rFonts w:ascii="Times New Roman" w:hAnsi="Times New Roman"/>
      <w:sz w:val="24"/>
      <w:lang w:val="en-US"/>
    </w:rPr>
  </w:style>
  <w:style w:type="paragraph" w:customStyle="1" w:styleId="ok">
    <w:name w:val="ok"/>
    <w:basedOn w:val="Normal"/>
    <w:uiPriority w:val="99"/>
    <w:rsid w:val="00220CA0"/>
    <w:pPr>
      <w:spacing w:before="100" w:beforeAutospacing="1" w:after="100" w:afterAutospacing="1"/>
    </w:pPr>
    <w:rPr>
      <w:rFonts w:ascii="Times New Roman" w:hAnsi="Times New Roman"/>
      <w:sz w:val="24"/>
      <w:lang w:val="en-US"/>
    </w:rPr>
  </w:style>
  <w:style w:type="paragraph" w:customStyle="1" w:styleId="ol">
    <w:name w:val="ol"/>
    <w:basedOn w:val="Normal"/>
    <w:uiPriority w:val="99"/>
    <w:rsid w:val="00220CA0"/>
    <w:pPr>
      <w:spacing w:before="100" w:beforeAutospacing="1" w:after="100" w:afterAutospacing="1"/>
    </w:pPr>
    <w:rPr>
      <w:rFonts w:ascii="Times New Roman" w:hAnsi="Times New Roman"/>
      <w:sz w:val="24"/>
      <w:lang w:val="en-US"/>
    </w:rPr>
  </w:style>
  <w:style w:type="paragraph" w:customStyle="1" w:styleId="a">
    <w:name w:val="a"/>
    <w:basedOn w:val="Normal"/>
    <w:uiPriority w:val="99"/>
    <w:rsid w:val="00220CA0"/>
    <w:pPr>
      <w:spacing w:before="100" w:beforeAutospacing="1" w:after="100" w:afterAutospacing="1"/>
    </w:pPr>
    <w:rPr>
      <w:rFonts w:ascii="Times New Roman" w:hAnsi="Times New Roman"/>
      <w:sz w:val="24"/>
      <w:lang w:val="en-US"/>
    </w:rPr>
  </w:style>
  <w:style w:type="paragraph" w:customStyle="1" w:styleId="ae">
    <w:name w:val="ae"/>
    <w:basedOn w:val="Normal"/>
    <w:uiPriority w:val="99"/>
    <w:rsid w:val="00220CA0"/>
    <w:pPr>
      <w:spacing w:before="100" w:beforeAutospacing="1" w:after="100" w:afterAutospacing="1"/>
    </w:pPr>
    <w:rPr>
      <w:rFonts w:ascii="Times New Roman" w:hAnsi="Times New Roman"/>
      <w:sz w:val="24"/>
      <w:lang w:val="en-US"/>
    </w:rPr>
  </w:style>
  <w:style w:type="paragraph" w:customStyle="1" w:styleId="af">
    <w:name w:val="af"/>
    <w:basedOn w:val="Normal"/>
    <w:uiPriority w:val="99"/>
    <w:rsid w:val="00220CA0"/>
    <w:pPr>
      <w:spacing w:before="100" w:beforeAutospacing="1" w:after="100" w:afterAutospacing="1"/>
    </w:pPr>
    <w:rPr>
      <w:rFonts w:ascii="Times New Roman" w:hAnsi="Times New Roman"/>
      <w:sz w:val="24"/>
      <w:lang w:val="en-US"/>
    </w:rPr>
  </w:style>
  <w:style w:type="character" w:customStyle="1" w:styleId="Style2Char">
    <w:name w:val="Style2 Char"/>
    <w:basedOn w:val="Heading2Char"/>
    <w:link w:val="Style2"/>
    <w:locked/>
    <w:rsid w:val="00220CA0"/>
    <w:rPr>
      <w:rFonts w:ascii="Verdana" w:hAnsi="Verdana" w:cs="Arial"/>
      <w:b w:val="0"/>
      <w:caps/>
      <w:sz w:val="18"/>
      <w:szCs w:val="18"/>
    </w:rPr>
  </w:style>
  <w:style w:type="paragraph" w:customStyle="1" w:styleId="Style2">
    <w:name w:val="Style2"/>
    <w:basedOn w:val="Heading2"/>
    <w:link w:val="Style2Char"/>
    <w:qFormat/>
    <w:rsid w:val="00220CA0"/>
    <w:pPr>
      <w:keepNext/>
      <w:keepLines/>
      <w:spacing w:line="276" w:lineRule="auto"/>
      <w:ind w:left="0" w:firstLine="0"/>
      <w:jc w:val="both"/>
    </w:pPr>
    <w:rPr>
      <w:rFonts w:ascii="Verdana" w:hAnsi="Verdana" w:cs="Arial"/>
      <w:b w:val="0"/>
      <w:caps/>
      <w:sz w:val="18"/>
      <w:szCs w:val="18"/>
    </w:rPr>
  </w:style>
  <w:style w:type="character" w:customStyle="1" w:styleId="BodyChar">
    <w:name w:val="Body Char"/>
    <w:link w:val="Body"/>
    <w:locked/>
    <w:rsid w:val="00220CA0"/>
    <w:rPr>
      <w:rFonts w:ascii="Times New Roman" w:eastAsia="PMingLiU" w:hAnsi="Times New Roman" w:cs="Times New Roman"/>
      <w:lang w:val="en-IE"/>
    </w:rPr>
  </w:style>
  <w:style w:type="paragraph" w:customStyle="1" w:styleId="tblNormal">
    <w:name w:val="tblNormal"/>
    <w:next w:val="Body"/>
    <w:uiPriority w:val="99"/>
    <w:rsid w:val="00220CA0"/>
    <w:pPr>
      <w:jc w:val="both"/>
    </w:pPr>
    <w:rPr>
      <w:rFonts w:ascii="Times New Roman" w:hAnsi="Times New Roman" w:cs="Times New Roman"/>
      <w:szCs w:val="20"/>
      <w:lang w:val="en-US"/>
    </w:rPr>
  </w:style>
  <w:style w:type="paragraph" w:customStyle="1" w:styleId="tblNormal-Heading">
    <w:name w:val="tblNormal-Heading"/>
    <w:uiPriority w:val="99"/>
    <w:rsid w:val="00220CA0"/>
    <w:pPr>
      <w:jc w:val="center"/>
    </w:pPr>
    <w:rPr>
      <w:rFonts w:ascii="Times New Roman" w:hAnsi="Times New Roman" w:cs="Times New Roman"/>
      <w:b/>
      <w:bCs/>
      <w:szCs w:val="20"/>
      <w:lang w:val="en-US"/>
    </w:rPr>
  </w:style>
  <w:style w:type="character" w:customStyle="1" w:styleId="indent0Char">
    <w:name w:val="indent0 Char"/>
    <w:link w:val="indent0"/>
    <w:locked/>
    <w:rsid w:val="00220CA0"/>
    <w:rPr>
      <w:rFonts w:ascii="Times New Roman" w:hAnsi="Times New Roman" w:cs="Times New Roman"/>
    </w:rPr>
  </w:style>
  <w:style w:type="paragraph" w:customStyle="1" w:styleId="indent0">
    <w:name w:val="indent0"/>
    <w:link w:val="indent0Char"/>
    <w:rsid w:val="00220CA0"/>
    <w:pPr>
      <w:ind w:left="187" w:right="72" w:hanging="187"/>
    </w:pPr>
    <w:rPr>
      <w:rFonts w:ascii="Times New Roman" w:hAnsi="Times New Roman" w:cs="Times New Roman"/>
    </w:rPr>
  </w:style>
  <w:style w:type="character" w:customStyle="1" w:styleId="fs">
    <w:name w:val="fs"/>
    <w:basedOn w:val="DefaultParagraphFont"/>
    <w:rsid w:val="00220CA0"/>
  </w:style>
  <w:style w:type="character" w:customStyle="1" w:styleId="fq">
    <w:name w:val="fq"/>
    <w:basedOn w:val="DefaultParagraphFont"/>
    <w:rsid w:val="00220CA0"/>
  </w:style>
  <w:style w:type="character" w:customStyle="1" w:styleId="fp">
    <w:name w:val="fp"/>
    <w:basedOn w:val="DefaultParagraphFont"/>
    <w:rsid w:val="00220CA0"/>
  </w:style>
  <w:style w:type="character" w:customStyle="1" w:styleId="fo">
    <w:name w:val="fo"/>
    <w:basedOn w:val="DefaultParagraphFont"/>
    <w:rsid w:val="00220CA0"/>
  </w:style>
  <w:style w:type="character" w:customStyle="1" w:styleId="fn">
    <w:name w:val="fn"/>
    <w:basedOn w:val="DefaultParagraphFont"/>
    <w:rsid w:val="00220CA0"/>
  </w:style>
  <w:style w:type="character" w:customStyle="1" w:styleId="ne">
    <w:name w:val="ne"/>
    <w:basedOn w:val="DefaultParagraphFont"/>
    <w:rsid w:val="00220CA0"/>
  </w:style>
  <w:style w:type="character" w:customStyle="1" w:styleId="ng">
    <w:name w:val="ng"/>
    <w:basedOn w:val="DefaultParagraphFont"/>
    <w:rsid w:val="00220CA0"/>
  </w:style>
  <w:style w:type="character" w:customStyle="1" w:styleId="nd">
    <w:name w:val="nd"/>
    <w:basedOn w:val="DefaultParagraphFont"/>
    <w:rsid w:val="00220CA0"/>
  </w:style>
  <w:style w:type="character" w:customStyle="1" w:styleId="nc">
    <w:name w:val="nc"/>
    <w:basedOn w:val="DefaultParagraphFont"/>
    <w:rsid w:val="00220CA0"/>
  </w:style>
  <w:style w:type="character" w:customStyle="1" w:styleId="mb">
    <w:name w:val="mb"/>
    <w:basedOn w:val="DefaultParagraphFont"/>
    <w:rsid w:val="00220CA0"/>
  </w:style>
  <w:style w:type="character" w:customStyle="1" w:styleId="lz">
    <w:name w:val="lz"/>
    <w:basedOn w:val="DefaultParagraphFont"/>
    <w:rsid w:val="00220CA0"/>
  </w:style>
  <w:style w:type="character" w:customStyle="1" w:styleId="lv">
    <w:name w:val="lv"/>
    <w:basedOn w:val="DefaultParagraphFont"/>
    <w:rsid w:val="00220CA0"/>
  </w:style>
  <w:style w:type="character" w:customStyle="1" w:styleId="lt">
    <w:name w:val="lt"/>
    <w:basedOn w:val="DefaultParagraphFont"/>
    <w:rsid w:val="00220CA0"/>
  </w:style>
  <w:style w:type="character" w:customStyle="1" w:styleId="lu">
    <w:name w:val="lu"/>
    <w:basedOn w:val="DefaultParagraphFont"/>
    <w:rsid w:val="00220CA0"/>
  </w:style>
  <w:style w:type="character" w:customStyle="1" w:styleId="ln">
    <w:name w:val="ln"/>
    <w:basedOn w:val="DefaultParagraphFont"/>
    <w:rsid w:val="00220CA0"/>
  </w:style>
  <w:style w:type="character" w:customStyle="1" w:styleId="ll">
    <w:name w:val="ll"/>
    <w:basedOn w:val="DefaultParagraphFont"/>
    <w:rsid w:val="00220CA0"/>
  </w:style>
  <w:style w:type="character" w:customStyle="1" w:styleId="lh">
    <w:name w:val="lh"/>
    <w:basedOn w:val="DefaultParagraphFont"/>
    <w:rsid w:val="00220CA0"/>
  </w:style>
  <w:style w:type="character" w:customStyle="1" w:styleId="le">
    <w:name w:val="le"/>
    <w:basedOn w:val="DefaultParagraphFont"/>
    <w:rsid w:val="00220CA0"/>
  </w:style>
  <w:style w:type="character" w:customStyle="1" w:styleId="ko">
    <w:name w:val="ko"/>
    <w:basedOn w:val="DefaultParagraphFont"/>
    <w:rsid w:val="00220CA0"/>
  </w:style>
  <w:style w:type="character" w:customStyle="1" w:styleId="kn">
    <w:name w:val="kn"/>
    <w:basedOn w:val="DefaultParagraphFont"/>
    <w:rsid w:val="00220CA0"/>
  </w:style>
  <w:style w:type="character" w:customStyle="1" w:styleId="kj">
    <w:name w:val="kj"/>
    <w:basedOn w:val="DefaultParagraphFont"/>
    <w:rsid w:val="00220CA0"/>
  </w:style>
  <w:style w:type="character" w:customStyle="1" w:styleId="v">
    <w:name w:val="v"/>
    <w:basedOn w:val="DefaultParagraphFont"/>
    <w:rsid w:val="00220CA0"/>
  </w:style>
  <w:style w:type="character" w:customStyle="1" w:styleId="FollowedHyperlink1">
    <w:name w:val="FollowedHyperlink1"/>
    <w:basedOn w:val="DefaultParagraphFont"/>
    <w:uiPriority w:val="99"/>
    <w:semiHidden/>
    <w:rsid w:val="00220CA0"/>
    <w:rPr>
      <w:color w:val="800080"/>
      <w:u w:val="single"/>
    </w:rPr>
  </w:style>
  <w:style w:type="character" w:customStyle="1" w:styleId="be">
    <w:name w:val="be"/>
    <w:basedOn w:val="DefaultParagraphFont"/>
    <w:rsid w:val="00220CA0"/>
    <w:rPr>
      <w:rFonts w:ascii="Calibri" w:hAnsi="Calibri" w:cs="Calibri" w:hint="default"/>
      <w:color w:val="000000"/>
      <w:sz w:val="20"/>
      <w:szCs w:val="20"/>
    </w:rPr>
  </w:style>
  <w:style w:type="character" w:customStyle="1" w:styleId="UnresolvedMention1">
    <w:name w:val="Unresolved Mention1"/>
    <w:basedOn w:val="DefaultParagraphFont"/>
    <w:uiPriority w:val="99"/>
    <w:semiHidden/>
    <w:rsid w:val="00220CA0"/>
    <w:rPr>
      <w:color w:val="605E5C"/>
      <w:shd w:val="clear" w:color="auto" w:fill="E1DFDD"/>
    </w:rPr>
  </w:style>
  <w:style w:type="character" w:customStyle="1" w:styleId="UnresolvedMention2">
    <w:name w:val="Unresolved Mention2"/>
    <w:basedOn w:val="DefaultParagraphFont"/>
    <w:uiPriority w:val="99"/>
    <w:semiHidden/>
    <w:rsid w:val="00220CA0"/>
    <w:rPr>
      <w:color w:val="605E5C"/>
      <w:shd w:val="clear" w:color="auto" w:fill="E1DFDD"/>
    </w:rPr>
  </w:style>
  <w:style w:type="paragraph" w:customStyle="1" w:styleId="BodyTimes">
    <w:name w:val="Body Times"/>
    <w:qFormat/>
    <w:rsid w:val="00220CA0"/>
    <w:rPr>
      <w:rFonts w:ascii="Times New Roman" w:eastAsiaTheme="minorHAnsi" w:hAnsi="Times New Roman" w:cs="Times New Roman"/>
      <w:color w:val="000000"/>
      <w:spacing w:val="-1"/>
      <w:sz w:val="18"/>
      <w:szCs w:val="18"/>
    </w:rPr>
  </w:style>
  <w:style w:type="paragraph" w:customStyle="1" w:styleId="Pa62">
    <w:name w:val="Pa62"/>
    <w:basedOn w:val="Default"/>
    <w:next w:val="Default"/>
    <w:uiPriority w:val="99"/>
    <w:rsid w:val="008E5550"/>
    <w:pPr>
      <w:spacing w:line="161" w:lineRule="atLeast"/>
    </w:pPr>
    <w:rPr>
      <w:rFonts w:ascii="DIN CLS Light" w:eastAsia="Times New Roman" w:hAnsi="DIN CLS Light" w:cs="Times New Roman"/>
      <w:color w:val="auto"/>
    </w:rPr>
  </w:style>
  <w:style w:type="paragraph" w:customStyle="1" w:styleId="Pa65">
    <w:name w:val="Pa65"/>
    <w:basedOn w:val="Default"/>
    <w:next w:val="Default"/>
    <w:uiPriority w:val="99"/>
    <w:rsid w:val="008E5550"/>
    <w:pPr>
      <w:spacing w:line="181" w:lineRule="atLeast"/>
    </w:pPr>
    <w:rPr>
      <w:rFonts w:ascii="DIN CLS Medium" w:eastAsia="Times New Roman" w:hAnsi="DIN CLS Medium" w:cs="Times New Roman"/>
      <w:color w:val="auto"/>
    </w:rPr>
  </w:style>
  <w:style w:type="character" w:customStyle="1" w:styleId="cf01">
    <w:name w:val="cf01"/>
    <w:basedOn w:val="DefaultParagraphFont"/>
    <w:rsid w:val="00630D44"/>
    <w:rPr>
      <w:rFonts w:ascii="Segoe UI" w:hAnsi="Segoe UI" w:cs="Segoe UI" w:hint="default"/>
      <w:sz w:val="18"/>
      <w:szCs w:val="18"/>
    </w:rPr>
  </w:style>
  <w:style w:type="table" w:customStyle="1" w:styleId="TableGrid4">
    <w:name w:val="Table Grid4"/>
    <w:basedOn w:val="TableNormal"/>
    <w:next w:val="TableGrid"/>
    <w:uiPriority w:val="39"/>
    <w:rsid w:val="006F2696"/>
    <w:rPr>
      <w:rFonts w:eastAsiaTheme="minorEastAsia" w:cstheme="minorBidi"/>
      <w:sz w:val="20"/>
      <w:szCs w:val="22"/>
      <w:lang w:eastAsia="zh-CN"/>
    </w:rPr>
    <w:tblPr/>
  </w:style>
  <w:style w:type="character" w:customStyle="1" w:styleId="ui-provider">
    <w:name w:val="ui-provider"/>
    <w:basedOn w:val="DefaultParagraphFont"/>
    <w:rsid w:val="006F2696"/>
  </w:style>
  <w:style w:type="paragraph" w:customStyle="1" w:styleId="pf0">
    <w:name w:val="pf0"/>
    <w:basedOn w:val="Normal"/>
    <w:rsid w:val="006F2696"/>
    <w:pPr>
      <w:spacing w:before="100" w:beforeAutospacing="1" w:after="100" w:afterAutospacing="1"/>
    </w:pPr>
    <w:rPr>
      <w:rFonts w:ascii="Times New Roman" w:hAnsi="Times New Roman"/>
      <w:sz w:val="24"/>
      <w:lang w:eastAsia="en-GB"/>
    </w:rPr>
  </w:style>
  <w:style w:type="table" w:customStyle="1" w:styleId="TableGrid5">
    <w:name w:val="Table Grid5"/>
    <w:basedOn w:val="TableNormal"/>
    <w:next w:val="TableGrid"/>
    <w:rsid w:val="006F2696"/>
    <w:rPr>
      <w:rFonts w:ascii="Arial" w:hAnsi="Arial" w:cs="Times New Roman"/>
      <w:sz w:val="18"/>
      <w:szCs w:val="20"/>
      <w:lang w:val="nl-NL" w:eastAsia="nl-NL"/>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947">
      <w:bodyDiv w:val="1"/>
      <w:marLeft w:val="0"/>
      <w:marRight w:val="0"/>
      <w:marTop w:val="0"/>
      <w:marBottom w:val="0"/>
      <w:divBdr>
        <w:top w:val="none" w:sz="0" w:space="0" w:color="auto"/>
        <w:left w:val="none" w:sz="0" w:space="0" w:color="auto"/>
        <w:bottom w:val="none" w:sz="0" w:space="0" w:color="auto"/>
        <w:right w:val="none" w:sz="0" w:space="0" w:color="auto"/>
      </w:divBdr>
    </w:div>
    <w:div w:id="6756538">
      <w:marLeft w:val="0"/>
      <w:marRight w:val="0"/>
      <w:marTop w:val="0"/>
      <w:marBottom w:val="0"/>
      <w:divBdr>
        <w:top w:val="none" w:sz="0" w:space="0" w:color="auto"/>
        <w:left w:val="none" w:sz="0" w:space="0" w:color="auto"/>
        <w:bottom w:val="none" w:sz="0" w:space="0" w:color="auto"/>
        <w:right w:val="none" w:sz="0" w:space="0" w:color="auto"/>
      </w:divBdr>
    </w:div>
    <w:div w:id="6756539">
      <w:marLeft w:val="0"/>
      <w:marRight w:val="0"/>
      <w:marTop w:val="0"/>
      <w:marBottom w:val="0"/>
      <w:divBdr>
        <w:top w:val="none" w:sz="0" w:space="0" w:color="auto"/>
        <w:left w:val="none" w:sz="0" w:space="0" w:color="auto"/>
        <w:bottom w:val="none" w:sz="0" w:space="0" w:color="auto"/>
        <w:right w:val="none" w:sz="0" w:space="0" w:color="auto"/>
      </w:divBdr>
    </w:div>
    <w:div w:id="6756540">
      <w:marLeft w:val="0"/>
      <w:marRight w:val="0"/>
      <w:marTop w:val="0"/>
      <w:marBottom w:val="0"/>
      <w:divBdr>
        <w:top w:val="none" w:sz="0" w:space="0" w:color="auto"/>
        <w:left w:val="none" w:sz="0" w:space="0" w:color="auto"/>
        <w:bottom w:val="none" w:sz="0" w:space="0" w:color="auto"/>
        <w:right w:val="none" w:sz="0" w:space="0" w:color="auto"/>
      </w:divBdr>
    </w:div>
    <w:div w:id="6756541">
      <w:marLeft w:val="0"/>
      <w:marRight w:val="0"/>
      <w:marTop w:val="0"/>
      <w:marBottom w:val="0"/>
      <w:divBdr>
        <w:top w:val="none" w:sz="0" w:space="0" w:color="auto"/>
        <w:left w:val="none" w:sz="0" w:space="0" w:color="auto"/>
        <w:bottom w:val="none" w:sz="0" w:space="0" w:color="auto"/>
        <w:right w:val="none" w:sz="0" w:space="0" w:color="auto"/>
      </w:divBdr>
    </w:div>
    <w:div w:id="6756542">
      <w:marLeft w:val="0"/>
      <w:marRight w:val="0"/>
      <w:marTop w:val="0"/>
      <w:marBottom w:val="0"/>
      <w:divBdr>
        <w:top w:val="none" w:sz="0" w:space="0" w:color="auto"/>
        <w:left w:val="none" w:sz="0" w:space="0" w:color="auto"/>
        <w:bottom w:val="none" w:sz="0" w:space="0" w:color="auto"/>
        <w:right w:val="none" w:sz="0" w:space="0" w:color="auto"/>
      </w:divBdr>
    </w:div>
    <w:div w:id="6756543">
      <w:marLeft w:val="0"/>
      <w:marRight w:val="0"/>
      <w:marTop w:val="0"/>
      <w:marBottom w:val="0"/>
      <w:divBdr>
        <w:top w:val="none" w:sz="0" w:space="0" w:color="auto"/>
        <w:left w:val="none" w:sz="0" w:space="0" w:color="auto"/>
        <w:bottom w:val="none" w:sz="0" w:space="0" w:color="auto"/>
        <w:right w:val="none" w:sz="0" w:space="0" w:color="auto"/>
      </w:divBdr>
    </w:div>
    <w:div w:id="6756544">
      <w:marLeft w:val="0"/>
      <w:marRight w:val="0"/>
      <w:marTop w:val="0"/>
      <w:marBottom w:val="0"/>
      <w:divBdr>
        <w:top w:val="none" w:sz="0" w:space="0" w:color="auto"/>
        <w:left w:val="none" w:sz="0" w:space="0" w:color="auto"/>
        <w:bottom w:val="none" w:sz="0" w:space="0" w:color="auto"/>
        <w:right w:val="none" w:sz="0" w:space="0" w:color="auto"/>
      </w:divBdr>
    </w:div>
    <w:div w:id="6756545">
      <w:marLeft w:val="0"/>
      <w:marRight w:val="0"/>
      <w:marTop w:val="0"/>
      <w:marBottom w:val="0"/>
      <w:divBdr>
        <w:top w:val="none" w:sz="0" w:space="0" w:color="auto"/>
        <w:left w:val="none" w:sz="0" w:space="0" w:color="auto"/>
        <w:bottom w:val="none" w:sz="0" w:space="0" w:color="auto"/>
        <w:right w:val="none" w:sz="0" w:space="0" w:color="auto"/>
      </w:divBdr>
    </w:div>
    <w:div w:id="6756546">
      <w:marLeft w:val="0"/>
      <w:marRight w:val="0"/>
      <w:marTop w:val="0"/>
      <w:marBottom w:val="0"/>
      <w:divBdr>
        <w:top w:val="none" w:sz="0" w:space="0" w:color="auto"/>
        <w:left w:val="none" w:sz="0" w:space="0" w:color="auto"/>
        <w:bottom w:val="none" w:sz="0" w:space="0" w:color="auto"/>
        <w:right w:val="none" w:sz="0" w:space="0" w:color="auto"/>
      </w:divBdr>
    </w:div>
    <w:div w:id="6756547">
      <w:marLeft w:val="0"/>
      <w:marRight w:val="0"/>
      <w:marTop w:val="0"/>
      <w:marBottom w:val="0"/>
      <w:divBdr>
        <w:top w:val="none" w:sz="0" w:space="0" w:color="auto"/>
        <w:left w:val="none" w:sz="0" w:space="0" w:color="auto"/>
        <w:bottom w:val="none" w:sz="0" w:space="0" w:color="auto"/>
        <w:right w:val="none" w:sz="0" w:space="0" w:color="auto"/>
      </w:divBdr>
    </w:div>
    <w:div w:id="6756548">
      <w:marLeft w:val="0"/>
      <w:marRight w:val="0"/>
      <w:marTop w:val="0"/>
      <w:marBottom w:val="0"/>
      <w:divBdr>
        <w:top w:val="none" w:sz="0" w:space="0" w:color="auto"/>
        <w:left w:val="none" w:sz="0" w:space="0" w:color="auto"/>
        <w:bottom w:val="none" w:sz="0" w:space="0" w:color="auto"/>
        <w:right w:val="none" w:sz="0" w:space="0" w:color="auto"/>
      </w:divBdr>
    </w:div>
    <w:div w:id="6756549">
      <w:marLeft w:val="0"/>
      <w:marRight w:val="0"/>
      <w:marTop w:val="0"/>
      <w:marBottom w:val="0"/>
      <w:divBdr>
        <w:top w:val="none" w:sz="0" w:space="0" w:color="auto"/>
        <w:left w:val="none" w:sz="0" w:space="0" w:color="auto"/>
        <w:bottom w:val="none" w:sz="0" w:space="0" w:color="auto"/>
        <w:right w:val="none" w:sz="0" w:space="0" w:color="auto"/>
      </w:divBdr>
    </w:div>
    <w:div w:id="6756550">
      <w:marLeft w:val="0"/>
      <w:marRight w:val="0"/>
      <w:marTop w:val="0"/>
      <w:marBottom w:val="0"/>
      <w:divBdr>
        <w:top w:val="none" w:sz="0" w:space="0" w:color="auto"/>
        <w:left w:val="none" w:sz="0" w:space="0" w:color="auto"/>
        <w:bottom w:val="none" w:sz="0" w:space="0" w:color="auto"/>
        <w:right w:val="none" w:sz="0" w:space="0" w:color="auto"/>
      </w:divBdr>
    </w:div>
    <w:div w:id="6756551">
      <w:marLeft w:val="0"/>
      <w:marRight w:val="0"/>
      <w:marTop w:val="0"/>
      <w:marBottom w:val="0"/>
      <w:divBdr>
        <w:top w:val="none" w:sz="0" w:space="0" w:color="auto"/>
        <w:left w:val="none" w:sz="0" w:space="0" w:color="auto"/>
        <w:bottom w:val="none" w:sz="0" w:space="0" w:color="auto"/>
        <w:right w:val="none" w:sz="0" w:space="0" w:color="auto"/>
      </w:divBdr>
    </w:div>
    <w:div w:id="6756552">
      <w:marLeft w:val="0"/>
      <w:marRight w:val="0"/>
      <w:marTop w:val="0"/>
      <w:marBottom w:val="0"/>
      <w:divBdr>
        <w:top w:val="none" w:sz="0" w:space="0" w:color="auto"/>
        <w:left w:val="none" w:sz="0" w:space="0" w:color="auto"/>
        <w:bottom w:val="none" w:sz="0" w:space="0" w:color="auto"/>
        <w:right w:val="none" w:sz="0" w:space="0" w:color="auto"/>
      </w:divBdr>
    </w:div>
    <w:div w:id="6756553">
      <w:marLeft w:val="0"/>
      <w:marRight w:val="0"/>
      <w:marTop w:val="0"/>
      <w:marBottom w:val="0"/>
      <w:divBdr>
        <w:top w:val="none" w:sz="0" w:space="0" w:color="auto"/>
        <w:left w:val="none" w:sz="0" w:space="0" w:color="auto"/>
        <w:bottom w:val="none" w:sz="0" w:space="0" w:color="auto"/>
        <w:right w:val="none" w:sz="0" w:space="0" w:color="auto"/>
      </w:divBdr>
    </w:div>
    <w:div w:id="6756554">
      <w:marLeft w:val="0"/>
      <w:marRight w:val="0"/>
      <w:marTop w:val="0"/>
      <w:marBottom w:val="0"/>
      <w:divBdr>
        <w:top w:val="none" w:sz="0" w:space="0" w:color="auto"/>
        <w:left w:val="none" w:sz="0" w:space="0" w:color="auto"/>
        <w:bottom w:val="none" w:sz="0" w:space="0" w:color="auto"/>
        <w:right w:val="none" w:sz="0" w:space="0" w:color="auto"/>
      </w:divBdr>
    </w:div>
    <w:div w:id="6756555">
      <w:marLeft w:val="0"/>
      <w:marRight w:val="0"/>
      <w:marTop w:val="0"/>
      <w:marBottom w:val="0"/>
      <w:divBdr>
        <w:top w:val="none" w:sz="0" w:space="0" w:color="auto"/>
        <w:left w:val="none" w:sz="0" w:space="0" w:color="auto"/>
        <w:bottom w:val="none" w:sz="0" w:space="0" w:color="auto"/>
        <w:right w:val="none" w:sz="0" w:space="0" w:color="auto"/>
      </w:divBdr>
    </w:div>
    <w:div w:id="6756556">
      <w:marLeft w:val="0"/>
      <w:marRight w:val="0"/>
      <w:marTop w:val="0"/>
      <w:marBottom w:val="0"/>
      <w:divBdr>
        <w:top w:val="none" w:sz="0" w:space="0" w:color="auto"/>
        <w:left w:val="none" w:sz="0" w:space="0" w:color="auto"/>
        <w:bottom w:val="none" w:sz="0" w:space="0" w:color="auto"/>
        <w:right w:val="none" w:sz="0" w:space="0" w:color="auto"/>
      </w:divBdr>
    </w:div>
    <w:div w:id="6756557">
      <w:marLeft w:val="0"/>
      <w:marRight w:val="0"/>
      <w:marTop w:val="0"/>
      <w:marBottom w:val="0"/>
      <w:divBdr>
        <w:top w:val="none" w:sz="0" w:space="0" w:color="auto"/>
        <w:left w:val="none" w:sz="0" w:space="0" w:color="auto"/>
        <w:bottom w:val="none" w:sz="0" w:space="0" w:color="auto"/>
        <w:right w:val="none" w:sz="0" w:space="0" w:color="auto"/>
      </w:divBdr>
    </w:div>
    <w:div w:id="6756558">
      <w:marLeft w:val="0"/>
      <w:marRight w:val="0"/>
      <w:marTop w:val="0"/>
      <w:marBottom w:val="0"/>
      <w:divBdr>
        <w:top w:val="none" w:sz="0" w:space="0" w:color="auto"/>
        <w:left w:val="none" w:sz="0" w:space="0" w:color="auto"/>
        <w:bottom w:val="none" w:sz="0" w:space="0" w:color="auto"/>
        <w:right w:val="none" w:sz="0" w:space="0" w:color="auto"/>
      </w:divBdr>
    </w:div>
    <w:div w:id="6756559">
      <w:marLeft w:val="0"/>
      <w:marRight w:val="0"/>
      <w:marTop w:val="0"/>
      <w:marBottom w:val="0"/>
      <w:divBdr>
        <w:top w:val="none" w:sz="0" w:space="0" w:color="auto"/>
        <w:left w:val="none" w:sz="0" w:space="0" w:color="auto"/>
        <w:bottom w:val="none" w:sz="0" w:space="0" w:color="auto"/>
        <w:right w:val="none" w:sz="0" w:space="0" w:color="auto"/>
      </w:divBdr>
    </w:div>
    <w:div w:id="6756560">
      <w:marLeft w:val="0"/>
      <w:marRight w:val="0"/>
      <w:marTop w:val="0"/>
      <w:marBottom w:val="0"/>
      <w:divBdr>
        <w:top w:val="none" w:sz="0" w:space="0" w:color="auto"/>
        <w:left w:val="none" w:sz="0" w:space="0" w:color="auto"/>
        <w:bottom w:val="none" w:sz="0" w:space="0" w:color="auto"/>
        <w:right w:val="none" w:sz="0" w:space="0" w:color="auto"/>
      </w:divBdr>
    </w:div>
    <w:div w:id="6756561">
      <w:marLeft w:val="0"/>
      <w:marRight w:val="0"/>
      <w:marTop w:val="0"/>
      <w:marBottom w:val="0"/>
      <w:divBdr>
        <w:top w:val="none" w:sz="0" w:space="0" w:color="auto"/>
        <w:left w:val="none" w:sz="0" w:space="0" w:color="auto"/>
        <w:bottom w:val="none" w:sz="0" w:space="0" w:color="auto"/>
        <w:right w:val="none" w:sz="0" w:space="0" w:color="auto"/>
      </w:divBdr>
    </w:div>
    <w:div w:id="6756562">
      <w:marLeft w:val="0"/>
      <w:marRight w:val="0"/>
      <w:marTop w:val="0"/>
      <w:marBottom w:val="0"/>
      <w:divBdr>
        <w:top w:val="none" w:sz="0" w:space="0" w:color="auto"/>
        <w:left w:val="none" w:sz="0" w:space="0" w:color="auto"/>
        <w:bottom w:val="none" w:sz="0" w:space="0" w:color="auto"/>
        <w:right w:val="none" w:sz="0" w:space="0" w:color="auto"/>
      </w:divBdr>
    </w:div>
    <w:div w:id="7413158">
      <w:bodyDiv w:val="1"/>
      <w:marLeft w:val="0"/>
      <w:marRight w:val="0"/>
      <w:marTop w:val="0"/>
      <w:marBottom w:val="0"/>
      <w:divBdr>
        <w:top w:val="none" w:sz="0" w:space="0" w:color="auto"/>
        <w:left w:val="none" w:sz="0" w:space="0" w:color="auto"/>
        <w:bottom w:val="none" w:sz="0" w:space="0" w:color="auto"/>
        <w:right w:val="none" w:sz="0" w:space="0" w:color="auto"/>
      </w:divBdr>
    </w:div>
    <w:div w:id="11078729">
      <w:bodyDiv w:val="1"/>
      <w:marLeft w:val="0"/>
      <w:marRight w:val="0"/>
      <w:marTop w:val="0"/>
      <w:marBottom w:val="0"/>
      <w:divBdr>
        <w:top w:val="none" w:sz="0" w:space="0" w:color="auto"/>
        <w:left w:val="none" w:sz="0" w:space="0" w:color="auto"/>
        <w:bottom w:val="none" w:sz="0" w:space="0" w:color="auto"/>
        <w:right w:val="none" w:sz="0" w:space="0" w:color="auto"/>
      </w:divBdr>
    </w:div>
    <w:div w:id="26954022">
      <w:bodyDiv w:val="1"/>
      <w:marLeft w:val="0"/>
      <w:marRight w:val="0"/>
      <w:marTop w:val="0"/>
      <w:marBottom w:val="0"/>
      <w:divBdr>
        <w:top w:val="none" w:sz="0" w:space="0" w:color="auto"/>
        <w:left w:val="none" w:sz="0" w:space="0" w:color="auto"/>
        <w:bottom w:val="none" w:sz="0" w:space="0" w:color="auto"/>
        <w:right w:val="none" w:sz="0" w:space="0" w:color="auto"/>
      </w:divBdr>
    </w:div>
    <w:div w:id="29767078">
      <w:bodyDiv w:val="1"/>
      <w:marLeft w:val="0"/>
      <w:marRight w:val="0"/>
      <w:marTop w:val="0"/>
      <w:marBottom w:val="0"/>
      <w:divBdr>
        <w:top w:val="none" w:sz="0" w:space="0" w:color="auto"/>
        <w:left w:val="none" w:sz="0" w:space="0" w:color="auto"/>
        <w:bottom w:val="none" w:sz="0" w:space="0" w:color="auto"/>
        <w:right w:val="none" w:sz="0" w:space="0" w:color="auto"/>
      </w:divBdr>
    </w:div>
    <w:div w:id="39746180">
      <w:bodyDiv w:val="1"/>
      <w:marLeft w:val="0"/>
      <w:marRight w:val="0"/>
      <w:marTop w:val="0"/>
      <w:marBottom w:val="0"/>
      <w:divBdr>
        <w:top w:val="none" w:sz="0" w:space="0" w:color="auto"/>
        <w:left w:val="none" w:sz="0" w:space="0" w:color="auto"/>
        <w:bottom w:val="none" w:sz="0" w:space="0" w:color="auto"/>
        <w:right w:val="none" w:sz="0" w:space="0" w:color="auto"/>
      </w:divBdr>
    </w:div>
    <w:div w:id="48768305">
      <w:bodyDiv w:val="1"/>
      <w:marLeft w:val="0"/>
      <w:marRight w:val="0"/>
      <w:marTop w:val="0"/>
      <w:marBottom w:val="0"/>
      <w:divBdr>
        <w:top w:val="none" w:sz="0" w:space="0" w:color="auto"/>
        <w:left w:val="none" w:sz="0" w:space="0" w:color="auto"/>
        <w:bottom w:val="none" w:sz="0" w:space="0" w:color="auto"/>
        <w:right w:val="none" w:sz="0" w:space="0" w:color="auto"/>
      </w:divBdr>
    </w:div>
    <w:div w:id="55977042">
      <w:bodyDiv w:val="1"/>
      <w:marLeft w:val="0"/>
      <w:marRight w:val="0"/>
      <w:marTop w:val="0"/>
      <w:marBottom w:val="0"/>
      <w:divBdr>
        <w:top w:val="none" w:sz="0" w:space="0" w:color="auto"/>
        <w:left w:val="none" w:sz="0" w:space="0" w:color="auto"/>
        <w:bottom w:val="none" w:sz="0" w:space="0" w:color="auto"/>
        <w:right w:val="none" w:sz="0" w:space="0" w:color="auto"/>
      </w:divBdr>
    </w:div>
    <w:div w:id="58752447">
      <w:bodyDiv w:val="1"/>
      <w:marLeft w:val="0"/>
      <w:marRight w:val="0"/>
      <w:marTop w:val="0"/>
      <w:marBottom w:val="0"/>
      <w:divBdr>
        <w:top w:val="none" w:sz="0" w:space="0" w:color="auto"/>
        <w:left w:val="none" w:sz="0" w:space="0" w:color="auto"/>
        <w:bottom w:val="none" w:sz="0" w:space="0" w:color="auto"/>
        <w:right w:val="none" w:sz="0" w:space="0" w:color="auto"/>
      </w:divBdr>
    </w:div>
    <w:div w:id="69281280">
      <w:bodyDiv w:val="1"/>
      <w:marLeft w:val="0"/>
      <w:marRight w:val="0"/>
      <w:marTop w:val="0"/>
      <w:marBottom w:val="0"/>
      <w:divBdr>
        <w:top w:val="none" w:sz="0" w:space="0" w:color="auto"/>
        <w:left w:val="none" w:sz="0" w:space="0" w:color="auto"/>
        <w:bottom w:val="none" w:sz="0" w:space="0" w:color="auto"/>
        <w:right w:val="none" w:sz="0" w:space="0" w:color="auto"/>
      </w:divBdr>
    </w:div>
    <w:div w:id="83889335">
      <w:bodyDiv w:val="1"/>
      <w:marLeft w:val="0"/>
      <w:marRight w:val="0"/>
      <w:marTop w:val="0"/>
      <w:marBottom w:val="0"/>
      <w:divBdr>
        <w:top w:val="none" w:sz="0" w:space="0" w:color="auto"/>
        <w:left w:val="none" w:sz="0" w:space="0" w:color="auto"/>
        <w:bottom w:val="none" w:sz="0" w:space="0" w:color="auto"/>
        <w:right w:val="none" w:sz="0" w:space="0" w:color="auto"/>
      </w:divBdr>
    </w:div>
    <w:div w:id="91362536">
      <w:bodyDiv w:val="1"/>
      <w:marLeft w:val="0"/>
      <w:marRight w:val="0"/>
      <w:marTop w:val="0"/>
      <w:marBottom w:val="0"/>
      <w:divBdr>
        <w:top w:val="none" w:sz="0" w:space="0" w:color="auto"/>
        <w:left w:val="none" w:sz="0" w:space="0" w:color="auto"/>
        <w:bottom w:val="none" w:sz="0" w:space="0" w:color="auto"/>
        <w:right w:val="none" w:sz="0" w:space="0" w:color="auto"/>
      </w:divBdr>
    </w:div>
    <w:div w:id="93792203">
      <w:bodyDiv w:val="1"/>
      <w:marLeft w:val="0"/>
      <w:marRight w:val="0"/>
      <w:marTop w:val="0"/>
      <w:marBottom w:val="0"/>
      <w:divBdr>
        <w:top w:val="none" w:sz="0" w:space="0" w:color="auto"/>
        <w:left w:val="none" w:sz="0" w:space="0" w:color="auto"/>
        <w:bottom w:val="none" w:sz="0" w:space="0" w:color="auto"/>
        <w:right w:val="none" w:sz="0" w:space="0" w:color="auto"/>
      </w:divBdr>
    </w:div>
    <w:div w:id="95030370">
      <w:bodyDiv w:val="1"/>
      <w:marLeft w:val="0"/>
      <w:marRight w:val="0"/>
      <w:marTop w:val="0"/>
      <w:marBottom w:val="0"/>
      <w:divBdr>
        <w:top w:val="none" w:sz="0" w:space="0" w:color="auto"/>
        <w:left w:val="none" w:sz="0" w:space="0" w:color="auto"/>
        <w:bottom w:val="none" w:sz="0" w:space="0" w:color="auto"/>
        <w:right w:val="none" w:sz="0" w:space="0" w:color="auto"/>
      </w:divBdr>
    </w:div>
    <w:div w:id="100956360">
      <w:bodyDiv w:val="1"/>
      <w:marLeft w:val="0"/>
      <w:marRight w:val="0"/>
      <w:marTop w:val="0"/>
      <w:marBottom w:val="0"/>
      <w:divBdr>
        <w:top w:val="none" w:sz="0" w:space="0" w:color="auto"/>
        <w:left w:val="none" w:sz="0" w:space="0" w:color="auto"/>
        <w:bottom w:val="none" w:sz="0" w:space="0" w:color="auto"/>
        <w:right w:val="none" w:sz="0" w:space="0" w:color="auto"/>
      </w:divBdr>
    </w:div>
    <w:div w:id="101918539">
      <w:bodyDiv w:val="1"/>
      <w:marLeft w:val="0"/>
      <w:marRight w:val="0"/>
      <w:marTop w:val="0"/>
      <w:marBottom w:val="0"/>
      <w:divBdr>
        <w:top w:val="none" w:sz="0" w:space="0" w:color="auto"/>
        <w:left w:val="none" w:sz="0" w:space="0" w:color="auto"/>
        <w:bottom w:val="none" w:sz="0" w:space="0" w:color="auto"/>
        <w:right w:val="none" w:sz="0" w:space="0" w:color="auto"/>
      </w:divBdr>
    </w:div>
    <w:div w:id="104932381">
      <w:bodyDiv w:val="1"/>
      <w:marLeft w:val="0"/>
      <w:marRight w:val="0"/>
      <w:marTop w:val="0"/>
      <w:marBottom w:val="0"/>
      <w:divBdr>
        <w:top w:val="none" w:sz="0" w:space="0" w:color="auto"/>
        <w:left w:val="none" w:sz="0" w:space="0" w:color="auto"/>
        <w:bottom w:val="none" w:sz="0" w:space="0" w:color="auto"/>
        <w:right w:val="none" w:sz="0" w:space="0" w:color="auto"/>
      </w:divBdr>
    </w:div>
    <w:div w:id="108938466">
      <w:bodyDiv w:val="1"/>
      <w:marLeft w:val="0"/>
      <w:marRight w:val="0"/>
      <w:marTop w:val="0"/>
      <w:marBottom w:val="0"/>
      <w:divBdr>
        <w:top w:val="none" w:sz="0" w:space="0" w:color="auto"/>
        <w:left w:val="none" w:sz="0" w:space="0" w:color="auto"/>
        <w:bottom w:val="none" w:sz="0" w:space="0" w:color="auto"/>
        <w:right w:val="none" w:sz="0" w:space="0" w:color="auto"/>
      </w:divBdr>
    </w:div>
    <w:div w:id="118306168">
      <w:bodyDiv w:val="1"/>
      <w:marLeft w:val="0"/>
      <w:marRight w:val="0"/>
      <w:marTop w:val="0"/>
      <w:marBottom w:val="0"/>
      <w:divBdr>
        <w:top w:val="none" w:sz="0" w:space="0" w:color="auto"/>
        <w:left w:val="none" w:sz="0" w:space="0" w:color="auto"/>
        <w:bottom w:val="none" w:sz="0" w:space="0" w:color="auto"/>
        <w:right w:val="none" w:sz="0" w:space="0" w:color="auto"/>
      </w:divBdr>
    </w:div>
    <w:div w:id="120346735">
      <w:bodyDiv w:val="1"/>
      <w:marLeft w:val="0"/>
      <w:marRight w:val="0"/>
      <w:marTop w:val="0"/>
      <w:marBottom w:val="0"/>
      <w:divBdr>
        <w:top w:val="none" w:sz="0" w:space="0" w:color="auto"/>
        <w:left w:val="none" w:sz="0" w:space="0" w:color="auto"/>
        <w:bottom w:val="none" w:sz="0" w:space="0" w:color="auto"/>
        <w:right w:val="none" w:sz="0" w:space="0" w:color="auto"/>
      </w:divBdr>
    </w:div>
    <w:div w:id="146895632">
      <w:bodyDiv w:val="1"/>
      <w:marLeft w:val="0"/>
      <w:marRight w:val="0"/>
      <w:marTop w:val="0"/>
      <w:marBottom w:val="0"/>
      <w:divBdr>
        <w:top w:val="none" w:sz="0" w:space="0" w:color="auto"/>
        <w:left w:val="none" w:sz="0" w:space="0" w:color="auto"/>
        <w:bottom w:val="none" w:sz="0" w:space="0" w:color="auto"/>
        <w:right w:val="none" w:sz="0" w:space="0" w:color="auto"/>
      </w:divBdr>
    </w:div>
    <w:div w:id="156502389">
      <w:bodyDiv w:val="1"/>
      <w:marLeft w:val="0"/>
      <w:marRight w:val="0"/>
      <w:marTop w:val="0"/>
      <w:marBottom w:val="0"/>
      <w:divBdr>
        <w:top w:val="none" w:sz="0" w:space="0" w:color="auto"/>
        <w:left w:val="none" w:sz="0" w:space="0" w:color="auto"/>
        <w:bottom w:val="none" w:sz="0" w:space="0" w:color="auto"/>
        <w:right w:val="none" w:sz="0" w:space="0" w:color="auto"/>
      </w:divBdr>
    </w:div>
    <w:div w:id="159974140">
      <w:bodyDiv w:val="1"/>
      <w:marLeft w:val="0"/>
      <w:marRight w:val="0"/>
      <w:marTop w:val="0"/>
      <w:marBottom w:val="0"/>
      <w:divBdr>
        <w:top w:val="none" w:sz="0" w:space="0" w:color="auto"/>
        <w:left w:val="none" w:sz="0" w:space="0" w:color="auto"/>
        <w:bottom w:val="none" w:sz="0" w:space="0" w:color="auto"/>
        <w:right w:val="none" w:sz="0" w:space="0" w:color="auto"/>
      </w:divBdr>
    </w:div>
    <w:div w:id="171917260">
      <w:bodyDiv w:val="1"/>
      <w:marLeft w:val="0"/>
      <w:marRight w:val="0"/>
      <w:marTop w:val="0"/>
      <w:marBottom w:val="0"/>
      <w:divBdr>
        <w:top w:val="none" w:sz="0" w:space="0" w:color="auto"/>
        <w:left w:val="none" w:sz="0" w:space="0" w:color="auto"/>
        <w:bottom w:val="none" w:sz="0" w:space="0" w:color="auto"/>
        <w:right w:val="none" w:sz="0" w:space="0" w:color="auto"/>
      </w:divBdr>
    </w:div>
    <w:div w:id="181629376">
      <w:bodyDiv w:val="1"/>
      <w:marLeft w:val="0"/>
      <w:marRight w:val="0"/>
      <w:marTop w:val="0"/>
      <w:marBottom w:val="0"/>
      <w:divBdr>
        <w:top w:val="none" w:sz="0" w:space="0" w:color="auto"/>
        <w:left w:val="none" w:sz="0" w:space="0" w:color="auto"/>
        <w:bottom w:val="none" w:sz="0" w:space="0" w:color="auto"/>
        <w:right w:val="none" w:sz="0" w:space="0" w:color="auto"/>
      </w:divBdr>
    </w:div>
    <w:div w:id="188763709">
      <w:bodyDiv w:val="1"/>
      <w:marLeft w:val="0"/>
      <w:marRight w:val="0"/>
      <w:marTop w:val="0"/>
      <w:marBottom w:val="0"/>
      <w:divBdr>
        <w:top w:val="none" w:sz="0" w:space="0" w:color="auto"/>
        <w:left w:val="none" w:sz="0" w:space="0" w:color="auto"/>
        <w:bottom w:val="none" w:sz="0" w:space="0" w:color="auto"/>
        <w:right w:val="none" w:sz="0" w:space="0" w:color="auto"/>
      </w:divBdr>
    </w:div>
    <w:div w:id="194470725">
      <w:bodyDiv w:val="1"/>
      <w:marLeft w:val="0"/>
      <w:marRight w:val="0"/>
      <w:marTop w:val="0"/>
      <w:marBottom w:val="0"/>
      <w:divBdr>
        <w:top w:val="none" w:sz="0" w:space="0" w:color="auto"/>
        <w:left w:val="none" w:sz="0" w:space="0" w:color="auto"/>
        <w:bottom w:val="none" w:sz="0" w:space="0" w:color="auto"/>
        <w:right w:val="none" w:sz="0" w:space="0" w:color="auto"/>
      </w:divBdr>
    </w:div>
    <w:div w:id="216406186">
      <w:bodyDiv w:val="1"/>
      <w:marLeft w:val="0"/>
      <w:marRight w:val="0"/>
      <w:marTop w:val="0"/>
      <w:marBottom w:val="0"/>
      <w:divBdr>
        <w:top w:val="none" w:sz="0" w:space="0" w:color="auto"/>
        <w:left w:val="none" w:sz="0" w:space="0" w:color="auto"/>
        <w:bottom w:val="none" w:sz="0" w:space="0" w:color="auto"/>
        <w:right w:val="none" w:sz="0" w:space="0" w:color="auto"/>
      </w:divBdr>
    </w:div>
    <w:div w:id="222562918">
      <w:bodyDiv w:val="1"/>
      <w:marLeft w:val="0"/>
      <w:marRight w:val="0"/>
      <w:marTop w:val="0"/>
      <w:marBottom w:val="0"/>
      <w:divBdr>
        <w:top w:val="none" w:sz="0" w:space="0" w:color="auto"/>
        <w:left w:val="none" w:sz="0" w:space="0" w:color="auto"/>
        <w:bottom w:val="none" w:sz="0" w:space="0" w:color="auto"/>
        <w:right w:val="none" w:sz="0" w:space="0" w:color="auto"/>
      </w:divBdr>
    </w:div>
    <w:div w:id="226846720">
      <w:bodyDiv w:val="1"/>
      <w:marLeft w:val="0"/>
      <w:marRight w:val="0"/>
      <w:marTop w:val="0"/>
      <w:marBottom w:val="0"/>
      <w:divBdr>
        <w:top w:val="none" w:sz="0" w:space="0" w:color="auto"/>
        <w:left w:val="none" w:sz="0" w:space="0" w:color="auto"/>
        <w:bottom w:val="none" w:sz="0" w:space="0" w:color="auto"/>
        <w:right w:val="none" w:sz="0" w:space="0" w:color="auto"/>
      </w:divBdr>
    </w:div>
    <w:div w:id="237371693">
      <w:bodyDiv w:val="1"/>
      <w:marLeft w:val="0"/>
      <w:marRight w:val="0"/>
      <w:marTop w:val="0"/>
      <w:marBottom w:val="0"/>
      <w:divBdr>
        <w:top w:val="none" w:sz="0" w:space="0" w:color="auto"/>
        <w:left w:val="none" w:sz="0" w:space="0" w:color="auto"/>
        <w:bottom w:val="none" w:sz="0" w:space="0" w:color="auto"/>
        <w:right w:val="none" w:sz="0" w:space="0" w:color="auto"/>
      </w:divBdr>
    </w:div>
    <w:div w:id="243609066">
      <w:bodyDiv w:val="1"/>
      <w:marLeft w:val="0"/>
      <w:marRight w:val="0"/>
      <w:marTop w:val="0"/>
      <w:marBottom w:val="0"/>
      <w:divBdr>
        <w:top w:val="none" w:sz="0" w:space="0" w:color="auto"/>
        <w:left w:val="none" w:sz="0" w:space="0" w:color="auto"/>
        <w:bottom w:val="none" w:sz="0" w:space="0" w:color="auto"/>
        <w:right w:val="none" w:sz="0" w:space="0" w:color="auto"/>
      </w:divBdr>
    </w:div>
    <w:div w:id="243611806">
      <w:bodyDiv w:val="1"/>
      <w:marLeft w:val="0"/>
      <w:marRight w:val="0"/>
      <w:marTop w:val="0"/>
      <w:marBottom w:val="0"/>
      <w:divBdr>
        <w:top w:val="none" w:sz="0" w:space="0" w:color="auto"/>
        <w:left w:val="none" w:sz="0" w:space="0" w:color="auto"/>
        <w:bottom w:val="none" w:sz="0" w:space="0" w:color="auto"/>
        <w:right w:val="none" w:sz="0" w:space="0" w:color="auto"/>
      </w:divBdr>
    </w:div>
    <w:div w:id="274097101">
      <w:bodyDiv w:val="1"/>
      <w:marLeft w:val="0"/>
      <w:marRight w:val="0"/>
      <w:marTop w:val="0"/>
      <w:marBottom w:val="0"/>
      <w:divBdr>
        <w:top w:val="none" w:sz="0" w:space="0" w:color="auto"/>
        <w:left w:val="none" w:sz="0" w:space="0" w:color="auto"/>
        <w:bottom w:val="none" w:sz="0" w:space="0" w:color="auto"/>
        <w:right w:val="none" w:sz="0" w:space="0" w:color="auto"/>
      </w:divBdr>
    </w:div>
    <w:div w:id="276374444">
      <w:bodyDiv w:val="1"/>
      <w:marLeft w:val="0"/>
      <w:marRight w:val="0"/>
      <w:marTop w:val="0"/>
      <w:marBottom w:val="0"/>
      <w:divBdr>
        <w:top w:val="none" w:sz="0" w:space="0" w:color="auto"/>
        <w:left w:val="none" w:sz="0" w:space="0" w:color="auto"/>
        <w:bottom w:val="none" w:sz="0" w:space="0" w:color="auto"/>
        <w:right w:val="none" w:sz="0" w:space="0" w:color="auto"/>
      </w:divBdr>
    </w:div>
    <w:div w:id="286549517">
      <w:bodyDiv w:val="1"/>
      <w:marLeft w:val="0"/>
      <w:marRight w:val="0"/>
      <w:marTop w:val="0"/>
      <w:marBottom w:val="0"/>
      <w:divBdr>
        <w:top w:val="none" w:sz="0" w:space="0" w:color="auto"/>
        <w:left w:val="none" w:sz="0" w:space="0" w:color="auto"/>
        <w:bottom w:val="none" w:sz="0" w:space="0" w:color="auto"/>
        <w:right w:val="none" w:sz="0" w:space="0" w:color="auto"/>
      </w:divBdr>
    </w:div>
    <w:div w:id="322316614">
      <w:bodyDiv w:val="1"/>
      <w:marLeft w:val="0"/>
      <w:marRight w:val="0"/>
      <w:marTop w:val="0"/>
      <w:marBottom w:val="0"/>
      <w:divBdr>
        <w:top w:val="none" w:sz="0" w:space="0" w:color="auto"/>
        <w:left w:val="none" w:sz="0" w:space="0" w:color="auto"/>
        <w:bottom w:val="none" w:sz="0" w:space="0" w:color="auto"/>
        <w:right w:val="none" w:sz="0" w:space="0" w:color="auto"/>
      </w:divBdr>
    </w:div>
    <w:div w:id="331302567">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63942004">
      <w:bodyDiv w:val="1"/>
      <w:marLeft w:val="0"/>
      <w:marRight w:val="0"/>
      <w:marTop w:val="0"/>
      <w:marBottom w:val="0"/>
      <w:divBdr>
        <w:top w:val="none" w:sz="0" w:space="0" w:color="auto"/>
        <w:left w:val="none" w:sz="0" w:space="0" w:color="auto"/>
        <w:bottom w:val="none" w:sz="0" w:space="0" w:color="auto"/>
        <w:right w:val="none" w:sz="0" w:space="0" w:color="auto"/>
      </w:divBdr>
    </w:div>
    <w:div w:id="364792483">
      <w:bodyDiv w:val="1"/>
      <w:marLeft w:val="0"/>
      <w:marRight w:val="0"/>
      <w:marTop w:val="0"/>
      <w:marBottom w:val="0"/>
      <w:divBdr>
        <w:top w:val="none" w:sz="0" w:space="0" w:color="auto"/>
        <w:left w:val="none" w:sz="0" w:space="0" w:color="auto"/>
        <w:bottom w:val="none" w:sz="0" w:space="0" w:color="auto"/>
        <w:right w:val="none" w:sz="0" w:space="0" w:color="auto"/>
      </w:divBdr>
    </w:div>
    <w:div w:id="387385201">
      <w:bodyDiv w:val="1"/>
      <w:marLeft w:val="0"/>
      <w:marRight w:val="0"/>
      <w:marTop w:val="0"/>
      <w:marBottom w:val="0"/>
      <w:divBdr>
        <w:top w:val="none" w:sz="0" w:space="0" w:color="auto"/>
        <w:left w:val="none" w:sz="0" w:space="0" w:color="auto"/>
        <w:bottom w:val="none" w:sz="0" w:space="0" w:color="auto"/>
        <w:right w:val="none" w:sz="0" w:space="0" w:color="auto"/>
      </w:divBdr>
    </w:div>
    <w:div w:id="391080909">
      <w:bodyDiv w:val="1"/>
      <w:marLeft w:val="0"/>
      <w:marRight w:val="0"/>
      <w:marTop w:val="0"/>
      <w:marBottom w:val="0"/>
      <w:divBdr>
        <w:top w:val="none" w:sz="0" w:space="0" w:color="auto"/>
        <w:left w:val="none" w:sz="0" w:space="0" w:color="auto"/>
        <w:bottom w:val="none" w:sz="0" w:space="0" w:color="auto"/>
        <w:right w:val="none" w:sz="0" w:space="0" w:color="auto"/>
      </w:divBdr>
    </w:div>
    <w:div w:id="392511943">
      <w:bodyDiv w:val="1"/>
      <w:marLeft w:val="0"/>
      <w:marRight w:val="0"/>
      <w:marTop w:val="0"/>
      <w:marBottom w:val="0"/>
      <w:divBdr>
        <w:top w:val="none" w:sz="0" w:space="0" w:color="auto"/>
        <w:left w:val="none" w:sz="0" w:space="0" w:color="auto"/>
        <w:bottom w:val="none" w:sz="0" w:space="0" w:color="auto"/>
        <w:right w:val="none" w:sz="0" w:space="0" w:color="auto"/>
      </w:divBdr>
    </w:div>
    <w:div w:id="405348650">
      <w:bodyDiv w:val="1"/>
      <w:marLeft w:val="0"/>
      <w:marRight w:val="0"/>
      <w:marTop w:val="0"/>
      <w:marBottom w:val="0"/>
      <w:divBdr>
        <w:top w:val="none" w:sz="0" w:space="0" w:color="auto"/>
        <w:left w:val="none" w:sz="0" w:space="0" w:color="auto"/>
        <w:bottom w:val="none" w:sz="0" w:space="0" w:color="auto"/>
        <w:right w:val="none" w:sz="0" w:space="0" w:color="auto"/>
      </w:divBdr>
    </w:div>
    <w:div w:id="413667849">
      <w:bodyDiv w:val="1"/>
      <w:marLeft w:val="0"/>
      <w:marRight w:val="0"/>
      <w:marTop w:val="0"/>
      <w:marBottom w:val="0"/>
      <w:divBdr>
        <w:top w:val="none" w:sz="0" w:space="0" w:color="auto"/>
        <w:left w:val="none" w:sz="0" w:space="0" w:color="auto"/>
        <w:bottom w:val="none" w:sz="0" w:space="0" w:color="auto"/>
        <w:right w:val="none" w:sz="0" w:space="0" w:color="auto"/>
      </w:divBdr>
    </w:div>
    <w:div w:id="415440031">
      <w:bodyDiv w:val="1"/>
      <w:marLeft w:val="0"/>
      <w:marRight w:val="0"/>
      <w:marTop w:val="0"/>
      <w:marBottom w:val="0"/>
      <w:divBdr>
        <w:top w:val="none" w:sz="0" w:space="0" w:color="auto"/>
        <w:left w:val="none" w:sz="0" w:space="0" w:color="auto"/>
        <w:bottom w:val="none" w:sz="0" w:space="0" w:color="auto"/>
        <w:right w:val="none" w:sz="0" w:space="0" w:color="auto"/>
      </w:divBdr>
    </w:div>
    <w:div w:id="422652855">
      <w:bodyDiv w:val="1"/>
      <w:marLeft w:val="0"/>
      <w:marRight w:val="0"/>
      <w:marTop w:val="0"/>
      <w:marBottom w:val="0"/>
      <w:divBdr>
        <w:top w:val="none" w:sz="0" w:space="0" w:color="auto"/>
        <w:left w:val="none" w:sz="0" w:space="0" w:color="auto"/>
        <w:bottom w:val="none" w:sz="0" w:space="0" w:color="auto"/>
        <w:right w:val="none" w:sz="0" w:space="0" w:color="auto"/>
      </w:divBdr>
    </w:div>
    <w:div w:id="446629071">
      <w:bodyDiv w:val="1"/>
      <w:marLeft w:val="0"/>
      <w:marRight w:val="0"/>
      <w:marTop w:val="0"/>
      <w:marBottom w:val="0"/>
      <w:divBdr>
        <w:top w:val="none" w:sz="0" w:space="0" w:color="auto"/>
        <w:left w:val="none" w:sz="0" w:space="0" w:color="auto"/>
        <w:bottom w:val="none" w:sz="0" w:space="0" w:color="auto"/>
        <w:right w:val="none" w:sz="0" w:space="0" w:color="auto"/>
      </w:divBdr>
    </w:div>
    <w:div w:id="447896661">
      <w:bodyDiv w:val="1"/>
      <w:marLeft w:val="0"/>
      <w:marRight w:val="0"/>
      <w:marTop w:val="0"/>
      <w:marBottom w:val="0"/>
      <w:divBdr>
        <w:top w:val="none" w:sz="0" w:space="0" w:color="auto"/>
        <w:left w:val="none" w:sz="0" w:space="0" w:color="auto"/>
        <w:bottom w:val="none" w:sz="0" w:space="0" w:color="auto"/>
        <w:right w:val="none" w:sz="0" w:space="0" w:color="auto"/>
      </w:divBdr>
    </w:div>
    <w:div w:id="450131873">
      <w:bodyDiv w:val="1"/>
      <w:marLeft w:val="0"/>
      <w:marRight w:val="0"/>
      <w:marTop w:val="0"/>
      <w:marBottom w:val="0"/>
      <w:divBdr>
        <w:top w:val="none" w:sz="0" w:space="0" w:color="auto"/>
        <w:left w:val="none" w:sz="0" w:space="0" w:color="auto"/>
        <w:bottom w:val="none" w:sz="0" w:space="0" w:color="auto"/>
        <w:right w:val="none" w:sz="0" w:space="0" w:color="auto"/>
      </w:divBdr>
    </w:div>
    <w:div w:id="460347614">
      <w:bodyDiv w:val="1"/>
      <w:marLeft w:val="0"/>
      <w:marRight w:val="0"/>
      <w:marTop w:val="0"/>
      <w:marBottom w:val="0"/>
      <w:divBdr>
        <w:top w:val="none" w:sz="0" w:space="0" w:color="auto"/>
        <w:left w:val="none" w:sz="0" w:space="0" w:color="auto"/>
        <w:bottom w:val="none" w:sz="0" w:space="0" w:color="auto"/>
        <w:right w:val="none" w:sz="0" w:space="0" w:color="auto"/>
      </w:divBdr>
    </w:div>
    <w:div w:id="461269384">
      <w:bodyDiv w:val="1"/>
      <w:marLeft w:val="0"/>
      <w:marRight w:val="0"/>
      <w:marTop w:val="0"/>
      <w:marBottom w:val="0"/>
      <w:divBdr>
        <w:top w:val="none" w:sz="0" w:space="0" w:color="auto"/>
        <w:left w:val="none" w:sz="0" w:space="0" w:color="auto"/>
        <w:bottom w:val="none" w:sz="0" w:space="0" w:color="auto"/>
        <w:right w:val="none" w:sz="0" w:space="0" w:color="auto"/>
      </w:divBdr>
    </w:div>
    <w:div w:id="468940420">
      <w:bodyDiv w:val="1"/>
      <w:marLeft w:val="0"/>
      <w:marRight w:val="0"/>
      <w:marTop w:val="0"/>
      <w:marBottom w:val="0"/>
      <w:divBdr>
        <w:top w:val="none" w:sz="0" w:space="0" w:color="auto"/>
        <w:left w:val="none" w:sz="0" w:space="0" w:color="auto"/>
        <w:bottom w:val="none" w:sz="0" w:space="0" w:color="auto"/>
        <w:right w:val="none" w:sz="0" w:space="0" w:color="auto"/>
      </w:divBdr>
    </w:div>
    <w:div w:id="498733749">
      <w:bodyDiv w:val="1"/>
      <w:marLeft w:val="0"/>
      <w:marRight w:val="0"/>
      <w:marTop w:val="0"/>
      <w:marBottom w:val="0"/>
      <w:divBdr>
        <w:top w:val="none" w:sz="0" w:space="0" w:color="auto"/>
        <w:left w:val="none" w:sz="0" w:space="0" w:color="auto"/>
        <w:bottom w:val="none" w:sz="0" w:space="0" w:color="auto"/>
        <w:right w:val="none" w:sz="0" w:space="0" w:color="auto"/>
      </w:divBdr>
    </w:div>
    <w:div w:id="502938960">
      <w:bodyDiv w:val="1"/>
      <w:marLeft w:val="0"/>
      <w:marRight w:val="0"/>
      <w:marTop w:val="0"/>
      <w:marBottom w:val="0"/>
      <w:divBdr>
        <w:top w:val="none" w:sz="0" w:space="0" w:color="auto"/>
        <w:left w:val="none" w:sz="0" w:space="0" w:color="auto"/>
        <w:bottom w:val="none" w:sz="0" w:space="0" w:color="auto"/>
        <w:right w:val="none" w:sz="0" w:space="0" w:color="auto"/>
      </w:divBdr>
    </w:div>
    <w:div w:id="503279025">
      <w:bodyDiv w:val="1"/>
      <w:marLeft w:val="0"/>
      <w:marRight w:val="0"/>
      <w:marTop w:val="0"/>
      <w:marBottom w:val="0"/>
      <w:divBdr>
        <w:top w:val="none" w:sz="0" w:space="0" w:color="auto"/>
        <w:left w:val="none" w:sz="0" w:space="0" w:color="auto"/>
        <w:bottom w:val="none" w:sz="0" w:space="0" w:color="auto"/>
        <w:right w:val="none" w:sz="0" w:space="0" w:color="auto"/>
      </w:divBdr>
    </w:div>
    <w:div w:id="510485869">
      <w:bodyDiv w:val="1"/>
      <w:marLeft w:val="0"/>
      <w:marRight w:val="0"/>
      <w:marTop w:val="0"/>
      <w:marBottom w:val="0"/>
      <w:divBdr>
        <w:top w:val="none" w:sz="0" w:space="0" w:color="auto"/>
        <w:left w:val="none" w:sz="0" w:space="0" w:color="auto"/>
        <w:bottom w:val="none" w:sz="0" w:space="0" w:color="auto"/>
        <w:right w:val="none" w:sz="0" w:space="0" w:color="auto"/>
      </w:divBdr>
    </w:div>
    <w:div w:id="512689818">
      <w:bodyDiv w:val="1"/>
      <w:marLeft w:val="0"/>
      <w:marRight w:val="0"/>
      <w:marTop w:val="0"/>
      <w:marBottom w:val="0"/>
      <w:divBdr>
        <w:top w:val="none" w:sz="0" w:space="0" w:color="auto"/>
        <w:left w:val="none" w:sz="0" w:space="0" w:color="auto"/>
        <w:bottom w:val="none" w:sz="0" w:space="0" w:color="auto"/>
        <w:right w:val="none" w:sz="0" w:space="0" w:color="auto"/>
      </w:divBdr>
    </w:div>
    <w:div w:id="529539258">
      <w:bodyDiv w:val="1"/>
      <w:marLeft w:val="0"/>
      <w:marRight w:val="0"/>
      <w:marTop w:val="0"/>
      <w:marBottom w:val="0"/>
      <w:divBdr>
        <w:top w:val="none" w:sz="0" w:space="0" w:color="auto"/>
        <w:left w:val="none" w:sz="0" w:space="0" w:color="auto"/>
        <w:bottom w:val="none" w:sz="0" w:space="0" w:color="auto"/>
        <w:right w:val="none" w:sz="0" w:space="0" w:color="auto"/>
      </w:divBdr>
    </w:div>
    <w:div w:id="543172776">
      <w:bodyDiv w:val="1"/>
      <w:marLeft w:val="0"/>
      <w:marRight w:val="0"/>
      <w:marTop w:val="0"/>
      <w:marBottom w:val="0"/>
      <w:divBdr>
        <w:top w:val="none" w:sz="0" w:space="0" w:color="auto"/>
        <w:left w:val="none" w:sz="0" w:space="0" w:color="auto"/>
        <w:bottom w:val="none" w:sz="0" w:space="0" w:color="auto"/>
        <w:right w:val="none" w:sz="0" w:space="0" w:color="auto"/>
      </w:divBdr>
    </w:div>
    <w:div w:id="549927325">
      <w:bodyDiv w:val="1"/>
      <w:marLeft w:val="0"/>
      <w:marRight w:val="0"/>
      <w:marTop w:val="0"/>
      <w:marBottom w:val="0"/>
      <w:divBdr>
        <w:top w:val="none" w:sz="0" w:space="0" w:color="auto"/>
        <w:left w:val="none" w:sz="0" w:space="0" w:color="auto"/>
        <w:bottom w:val="none" w:sz="0" w:space="0" w:color="auto"/>
        <w:right w:val="none" w:sz="0" w:space="0" w:color="auto"/>
      </w:divBdr>
    </w:div>
    <w:div w:id="556017076">
      <w:bodyDiv w:val="1"/>
      <w:marLeft w:val="0"/>
      <w:marRight w:val="0"/>
      <w:marTop w:val="0"/>
      <w:marBottom w:val="0"/>
      <w:divBdr>
        <w:top w:val="none" w:sz="0" w:space="0" w:color="auto"/>
        <w:left w:val="none" w:sz="0" w:space="0" w:color="auto"/>
        <w:bottom w:val="none" w:sz="0" w:space="0" w:color="auto"/>
        <w:right w:val="none" w:sz="0" w:space="0" w:color="auto"/>
      </w:divBdr>
    </w:div>
    <w:div w:id="568732563">
      <w:bodyDiv w:val="1"/>
      <w:marLeft w:val="0"/>
      <w:marRight w:val="0"/>
      <w:marTop w:val="0"/>
      <w:marBottom w:val="0"/>
      <w:divBdr>
        <w:top w:val="none" w:sz="0" w:space="0" w:color="auto"/>
        <w:left w:val="none" w:sz="0" w:space="0" w:color="auto"/>
        <w:bottom w:val="none" w:sz="0" w:space="0" w:color="auto"/>
        <w:right w:val="none" w:sz="0" w:space="0" w:color="auto"/>
      </w:divBdr>
    </w:div>
    <w:div w:id="573900456">
      <w:bodyDiv w:val="1"/>
      <w:marLeft w:val="0"/>
      <w:marRight w:val="0"/>
      <w:marTop w:val="0"/>
      <w:marBottom w:val="0"/>
      <w:divBdr>
        <w:top w:val="none" w:sz="0" w:space="0" w:color="auto"/>
        <w:left w:val="none" w:sz="0" w:space="0" w:color="auto"/>
        <w:bottom w:val="none" w:sz="0" w:space="0" w:color="auto"/>
        <w:right w:val="none" w:sz="0" w:space="0" w:color="auto"/>
      </w:divBdr>
    </w:div>
    <w:div w:id="576675389">
      <w:bodyDiv w:val="1"/>
      <w:marLeft w:val="0"/>
      <w:marRight w:val="0"/>
      <w:marTop w:val="0"/>
      <w:marBottom w:val="0"/>
      <w:divBdr>
        <w:top w:val="none" w:sz="0" w:space="0" w:color="auto"/>
        <w:left w:val="none" w:sz="0" w:space="0" w:color="auto"/>
        <w:bottom w:val="none" w:sz="0" w:space="0" w:color="auto"/>
        <w:right w:val="none" w:sz="0" w:space="0" w:color="auto"/>
      </w:divBdr>
    </w:div>
    <w:div w:id="577516986">
      <w:bodyDiv w:val="1"/>
      <w:marLeft w:val="0"/>
      <w:marRight w:val="0"/>
      <w:marTop w:val="0"/>
      <w:marBottom w:val="0"/>
      <w:divBdr>
        <w:top w:val="none" w:sz="0" w:space="0" w:color="auto"/>
        <w:left w:val="none" w:sz="0" w:space="0" w:color="auto"/>
        <w:bottom w:val="none" w:sz="0" w:space="0" w:color="auto"/>
        <w:right w:val="none" w:sz="0" w:space="0" w:color="auto"/>
      </w:divBdr>
    </w:div>
    <w:div w:id="582303637">
      <w:bodyDiv w:val="1"/>
      <w:marLeft w:val="0"/>
      <w:marRight w:val="0"/>
      <w:marTop w:val="0"/>
      <w:marBottom w:val="0"/>
      <w:divBdr>
        <w:top w:val="none" w:sz="0" w:space="0" w:color="auto"/>
        <w:left w:val="none" w:sz="0" w:space="0" w:color="auto"/>
        <w:bottom w:val="none" w:sz="0" w:space="0" w:color="auto"/>
        <w:right w:val="none" w:sz="0" w:space="0" w:color="auto"/>
      </w:divBdr>
    </w:div>
    <w:div w:id="597569509">
      <w:bodyDiv w:val="1"/>
      <w:marLeft w:val="0"/>
      <w:marRight w:val="0"/>
      <w:marTop w:val="0"/>
      <w:marBottom w:val="0"/>
      <w:divBdr>
        <w:top w:val="none" w:sz="0" w:space="0" w:color="auto"/>
        <w:left w:val="none" w:sz="0" w:space="0" w:color="auto"/>
        <w:bottom w:val="none" w:sz="0" w:space="0" w:color="auto"/>
        <w:right w:val="none" w:sz="0" w:space="0" w:color="auto"/>
      </w:divBdr>
    </w:div>
    <w:div w:id="600845035">
      <w:bodyDiv w:val="1"/>
      <w:marLeft w:val="0"/>
      <w:marRight w:val="0"/>
      <w:marTop w:val="0"/>
      <w:marBottom w:val="0"/>
      <w:divBdr>
        <w:top w:val="none" w:sz="0" w:space="0" w:color="auto"/>
        <w:left w:val="none" w:sz="0" w:space="0" w:color="auto"/>
        <w:bottom w:val="none" w:sz="0" w:space="0" w:color="auto"/>
        <w:right w:val="none" w:sz="0" w:space="0" w:color="auto"/>
      </w:divBdr>
    </w:div>
    <w:div w:id="601299993">
      <w:bodyDiv w:val="1"/>
      <w:marLeft w:val="0"/>
      <w:marRight w:val="0"/>
      <w:marTop w:val="0"/>
      <w:marBottom w:val="0"/>
      <w:divBdr>
        <w:top w:val="none" w:sz="0" w:space="0" w:color="auto"/>
        <w:left w:val="none" w:sz="0" w:space="0" w:color="auto"/>
        <w:bottom w:val="none" w:sz="0" w:space="0" w:color="auto"/>
        <w:right w:val="none" w:sz="0" w:space="0" w:color="auto"/>
      </w:divBdr>
    </w:div>
    <w:div w:id="606929818">
      <w:bodyDiv w:val="1"/>
      <w:marLeft w:val="0"/>
      <w:marRight w:val="0"/>
      <w:marTop w:val="0"/>
      <w:marBottom w:val="0"/>
      <w:divBdr>
        <w:top w:val="none" w:sz="0" w:space="0" w:color="auto"/>
        <w:left w:val="none" w:sz="0" w:space="0" w:color="auto"/>
        <w:bottom w:val="none" w:sz="0" w:space="0" w:color="auto"/>
        <w:right w:val="none" w:sz="0" w:space="0" w:color="auto"/>
      </w:divBdr>
    </w:div>
    <w:div w:id="623736619">
      <w:bodyDiv w:val="1"/>
      <w:marLeft w:val="0"/>
      <w:marRight w:val="0"/>
      <w:marTop w:val="0"/>
      <w:marBottom w:val="0"/>
      <w:divBdr>
        <w:top w:val="none" w:sz="0" w:space="0" w:color="auto"/>
        <w:left w:val="none" w:sz="0" w:space="0" w:color="auto"/>
        <w:bottom w:val="none" w:sz="0" w:space="0" w:color="auto"/>
        <w:right w:val="none" w:sz="0" w:space="0" w:color="auto"/>
      </w:divBdr>
    </w:div>
    <w:div w:id="634796514">
      <w:bodyDiv w:val="1"/>
      <w:marLeft w:val="0"/>
      <w:marRight w:val="0"/>
      <w:marTop w:val="0"/>
      <w:marBottom w:val="0"/>
      <w:divBdr>
        <w:top w:val="none" w:sz="0" w:space="0" w:color="auto"/>
        <w:left w:val="none" w:sz="0" w:space="0" w:color="auto"/>
        <w:bottom w:val="none" w:sz="0" w:space="0" w:color="auto"/>
        <w:right w:val="none" w:sz="0" w:space="0" w:color="auto"/>
      </w:divBdr>
    </w:div>
    <w:div w:id="636451187">
      <w:bodyDiv w:val="1"/>
      <w:marLeft w:val="0"/>
      <w:marRight w:val="0"/>
      <w:marTop w:val="0"/>
      <w:marBottom w:val="0"/>
      <w:divBdr>
        <w:top w:val="none" w:sz="0" w:space="0" w:color="auto"/>
        <w:left w:val="none" w:sz="0" w:space="0" w:color="auto"/>
        <w:bottom w:val="none" w:sz="0" w:space="0" w:color="auto"/>
        <w:right w:val="none" w:sz="0" w:space="0" w:color="auto"/>
      </w:divBdr>
    </w:div>
    <w:div w:id="650327582">
      <w:bodyDiv w:val="1"/>
      <w:marLeft w:val="0"/>
      <w:marRight w:val="0"/>
      <w:marTop w:val="0"/>
      <w:marBottom w:val="0"/>
      <w:divBdr>
        <w:top w:val="none" w:sz="0" w:space="0" w:color="auto"/>
        <w:left w:val="none" w:sz="0" w:space="0" w:color="auto"/>
        <w:bottom w:val="none" w:sz="0" w:space="0" w:color="auto"/>
        <w:right w:val="none" w:sz="0" w:space="0" w:color="auto"/>
      </w:divBdr>
    </w:div>
    <w:div w:id="658651765">
      <w:bodyDiv w:val="1"/>
      <w:marLeft w:val="0"/>
      <w:marRight w:val="0"/>
      <w:marTop w:val="0"/>
      <w:marBottom w:val="0"/>
      <w:divBdr>
        <w:top w:val="none" w:sz="0" w:space="0" w:color="auto"/>
        <w:left w:val="none" w:sz="0" w:space="0" w:color="auto"/>
        <w:bottom w:val="none" w:sz="0" w:space="0" w:color="auto"/>
        <w:right w:val="none" w:sz="0" w:space="0" w:color="auto"/>
      </w:divBdr>
    </w:div>
    <w:div w:id="659624866">
      <w:bodyDiv w:val="1"/>
      <w:marLeft w:val="0"/>
      <w:marRight w:val="0"/>
      <w:marTop w:val="0"/>
      <w:marBottom w:val="0"/>
      <w:divBdr>
        <w:top w:val="none" w:sz="0" w:space="0" w:color="auto"/>
        <w:left w:val="none" w:sz="0" w:space="0" w:color="auto"/>
        <w:bottom w:val="none" w:sz="0" w:space="0" w:color="auto"/>
        <w:right w:val="none" w:sz="0" w:space="0" w:color="auto"/>
      </w:divBdr>
    </w:div>
    <w:div w:id="662241526">
      <w:bodyDiv w:val="1"/>
      <w:marLeft w:val="0"/>
      <w:marRight w:val="0"/>
      <w:marTop w:val="0"/>
      <w:marBottom w:val="0"/>
      <w:divBdr>
        <w:top w:val="none" w:sz="0" w:space="0" w:color="auto"/>
        <w:left w:val="none" w:sz="0" w:space="0" w:color="auto"/>
        <w:bottom w:val="none" w:sz="0" w:space="0" w:color="auto"/>
        <w:right w:val="none" w:sz="0" w:space="0" w:color="auto"/>
      </w:divBdr>
    </w:div>
    <w:div w:id="663096368">
      <w:bodyDiv w:val="1"/>
      <w:marLeft w:val="0"/>
      <w:marRight w:val="0"/>
      <w:marTop w:val="0"/>
      <w:marBottom w:val="0"/>
      <w:divBdr>
        <w:top w:val="none" w:sz="0" w:space="0" w:color="auto"/>
        <w:left w:val="none" w:sz="0" w:space="0" w:color="auto"/>
        <w:bottom w:val="none" w:sz="0" w:space="0" w:color="auto"/>
        <w:right w:val="none" w:sz="0" w:space="0" w:color="auto"/>
      </w:divBdr>
    </w:div>
    <w:div w:id="669255911">
      <w:bodyDiv w:val="1"/>
      <w:marLeft w:val="0"/>
      <w:marRight w:val="0"/>
      <w:marTop w:val="0"/>
      <w:marBottom w:val="0"/>
      <w:divBdr>
        <w:top w:val="none" w:sz="0" w:space="0" w:color="auto"/>
        <w:left w:val="none" w:sz="0" w:space="0" w:color="auto"/>
        <w:bottom w:val="none" w:sz="0" w:space="0" w:color="auto"/>
        <w:right w:val="none" w:sz="0" w:space="0" w:color="auto"/>
      </w:divBdr>
    </w:div>
    <w:div w:id="675114639">
      <w:bodyDiv w:val="1"/>
      <w:marLeft w:val="0"/>
      <w:marRight w:val="0"/>
      <w:marTop w:val="0"/>
      <w:marBottom w:val="0"/>
      <w:divBdr>
        <w:top w:val="none" w:sz="0" w:space="0" w:color="auto"/>
        <w:left w:val="none" w:sz="0" w:space="0" w:color="auto"/>
        <w:bottom w:val="none" w:sz="0" w:space="0" w:color="auto"/>
        <w:right w:val="none" w:sz="0" w:space="0" w:color="auto"/>
      </w:divBdr>
    </w:div>
    <w:div w:id="686521172">
      <w:bodyDiv w:val="1"/>
      <w:marLeft w:val="0"/>
      <w:marRight w:val="0"/>
      <w:marTop w:val="0"/>
      <w:marBottom w:val="0"/>
      <w:divBdr>
        <w:top w:val="none" w:sz="0" w:space="0" w:color="auto"/>
        <w:left w:val="none" w:sz="0" w:space="0" w:color="auto"/>
        <w:bottom w:val="none" w:sz="0" w:space="0" w:color="auto"/>
        <w:right w:val="none" w:sz="0" w:space="0" w:color="auto"/>
      </w:divBdr>
    </w:div>
    <w:div w:id="689992967">
      <w:bodyDiv w:val="1"/>
      <w:marLeft w:val="0"/>
      <w:marRight w:val="0"/>
      <w:marTop w:val="0"/>
      <w:marBottom w:val="0"/>
      <w:divBdr>
        <w:top w:val="none" w:sz="0" w:space="0" w:color="auto"/>
        <w:left w:val="none" w:sz="0" w:space="0" w:color="auto"/>
        <w:bottom w:val="none" w:sz="0" w:space="0" w:color="auto"/>
        <w:right w:val="none" w:sz="0" w:space="0" w:color="auto"/>
      </w:divBdr>
    </w:div>
    <w:div w:id="715592372">
      <w:bodyDiv w:val="1"/>
      <w:marLeft w:val="0"/>
      <w:marRight w:val="0"/>
      <w:marTop w:val="0"/>
      <w:marBottom w:val="0"/>
      <w:divBdr>
        <w:top w:val="none" w:sz="0" w:space="0" w:color="auto"/>
        <w:left w:val="none" w:sz="0" w:space="0" w:color="auto"/>
        <w:bottom w:val="none" w:sz="0" w:space="0" w:color="auto"/>
        <w:right w:val="none" w:sz="0" w:space="0" w:color="auto"/>
      </w:divBdr>
    </w:div>
    <w:div w:id="718699449">
      <w:bodyDiv w:val="1"/>
      <w:marLeft w:val="0"/>
      <w:marRight w:val="0"/>
      <w:marTop w:val="0"/>
      <w:marBottom w:val="0"/>
      <w:divBdr>
        <w:top w:val="none" w:sz="0" w:space="0" w:color="auto"/>
        <w:left w:val="none" w:sz="0" w:space="0" w:color="auto"/>
        <w:bottom w:val="none" w:sz="0" w:space="0" w:color="auto"/>
        <w:right w:val="none" w:sz="0" w:space="0" w:color="auto"/>
      </w:divBdr>
    </w:div>
    <w:div w:id="746415732">
      <w:bodyDiv w:val="1"/>
      <w:marLeft w:val="0"/>
      <w:marRight w:val="0"/>
      <w:marTop w:val="0"/>
      <w:marBottom w:val="0"/>
      <w:divBdr>
        <w:top w:val="none" w:sz="0" w:space="0" w:color="auto"/>
        <w:left w:val="none" w:sz="0" w:space="0" w:color="auto"/>
        <w:bottom w:val="none" w:sz="0" w:space="0" w:color="auto"/>
        <w:right w:val="none" w:sz="0" w:space="0" w:color="auto"/>
      </w:divBdr>
    </w:div>
    <w:div w:id="759329665">
      <w:bodyDiv w:val="1"/>
      <w:marLeft w:val="0"/>
      <w:marRight w:val="0"/>
      <w:marTop w:val="0"/>
      <w:marBottom w:val="0"/>
      <w:divBdr>
        <w:top w:val="none" w:sz="0" w:space="0" w:color="auto"/>
        <w:left w:val="none" w:sz="0" w:space="0" w:color="auto"/>
        <w:bottom w:val="none" w:sz="0" w:space="0" w:color="auto"/>
        <w:right w:val="none" w:sz="0" w:space="0" w:color="auto"/>
      </w:divBdr>
    </w:div>
    <w:div w:id="793214444">
      <w:bodyDiv w:val="1"/>
      <w:marLeft w:val="0"/>
      <w:marRight w:val="0"/>
      <w:marTop w:val="0"/>
      <w:marBottom w:val="0"/>
      <w:divBdr>
        <w:top w:val="none" w:sz="0" w:space="0" w:color="auto"/>
        <w:left w:val="none" w:sz="0" w:space="0" w:color="auto"/>
        <w:bottom w:val="none" w:sz="0" w:space="0" w:color="auto"/>
        <w:right w:val="none" w:sz="0" w:space="0" w:color="auto"/>
      </w:divBdr>
    </w:div>
    <w:div w:id="808396721">
      <w:bodyDiv w:val="1"/>
      <w:marLeft w:val="0"/>
      <w:marRight w:val="0"/>
      <w:marTop w:val="0"/>
      <w:marBottom w:val="0"/>
      <w:divBdr>
        <w:top w:val="none" w:sz="0" w:space="0" w:color="auto"/>
        <w:left w:val="none" w:sz="0" w:space="0" w:color="auto"/>
        <w:bottom w:val="none" w:sz="0" w:space="0" w:color="auto"/>
        <w:right w:val="none" w:sz="0" w:space="0" w:color="auto"/>
      </w:divBdr>
    </w:div>
    <w:div w:id="813525909">
      <w:bodyDiv w:val="1"/>
      <w:marLeft w:val="0"/>
      <w:marRight w:val="0"/>
      <w:marTop w:val="0"/>
      <w:marBottom w:val="0"/>
      <w:divBdr>
        <w:top w:val="none" w:sz="0" w:space="0" w:color="auto"/>
        <w:left w:val="none" w:sz="0" w:space="0" w:color="auto"/>
        <w:bottom w:val="none" w:sz="0" w:space="0" w:color="auto"/>
        <w:right w:val="none" w:sz="0" w:space="0" w:color="auto"/>
      </w:divBdr>
    </w:div>
    <w:div w:id="814835928">
      <w:bodyDiv w:val="1"/>
      <w:marLeft w:val="0"/>
      <w:marRight w:val="0"/>
      <w:marTop w:val="0"/>
      <w:marBottom w:val="0"/>
      <w:divBdr>
        <w:top w:val="none" w:sz="0" w:space="0" w:color="auto"/>
        <w:left w:val="none" w:sz="0" w:space="0" w:color="auto"/>
        <w:bottom w:val="none" w:sz="0" w:space="0" w:color="auto"/>
        <w:right w:val="none" w:sz="0" w:space="0" w:color="auto"/>
      </w:divBdr>
    </w:div>
    <w:div w:id="820584247">
      <w:bodyDiv w:val="1"/>
      <w:marLeft w:val="0"/>
      <w:marRight w:val="0"/>
      <w:marTop w:val="0"/>
      <w:marBottom w:val="0"/>
      <w:divBdr>
        <w:top w:val="none" w:sz="0" w:space="0" w:color="auto"/>
        <w:left w:val="none" w:sz="0" w:space="0" w:color="auto"/>
        <w:bottom w:val="none" w:sz="0" w:space="0" w:color="auto"/>
        <w:right w:val="none" w:sz="0" w:space="0" w:color="auto"/>
      </w:divBdr>
    </w:div>
    <w:div w:id="825822565">
      <w:bodyDiv w:val="1"/>
      <w:marLeft w:val="0"/>
      <w:marRight w:val="0"/>
      <w:marTop w:val="0"/>
      <w:marBottom w:val="0"/>
      <w:divBdr>
        <w:top w:val="none" w:sz="0" w:space="0" w:color="auto"/>
        <w:left w:val="none" w:sz="0" w:space="0" w:color="auto"/>
        <w:bottom w:val="none" w:sz="0" w:space="0" w:color="auto"/>
        <w:right w:val="none" w:sz="0" w:space="0" w:color="auto"/>
      </w:divBdr>
    </w:div>
    <w:div w:id="833451526">
      <w:bodyDiv w:val="1"/>
      <w:marLeft w:val="0"/>
      <w:marRight w:val="0"/>
      <w:marTop w:val="0"/>
      <w:marBottom w:val="0"/>
      <w:divBdr>
        <w:top w:val="none" w:sz="0" w:space="0" w:color="auto"/>
        <w:left w:val="none" w:sz="0" w:space="0" w:color="auto"/>
        <w:bottom w:val="none" w:sz="0" w:space="0" w:color="auto"/>
        <w:right w:val="none" w:sz="0" w:space="0" w:color="auto"/>
      </w:divBdr>
    </w:div>
    <w:div w:id="842859766">
      <w:bodyDiv w:val="1"/>
      <w:marLeft w:val="0"/>
      <w:marRight w:val="0"/>
      <w:marTop w:val="0"/>
      <w:marBottom w:val="0"/>
      <w:divBdr>
        <w:top w:val="none" w:sz="0" w:space="0" w:color="auto"/>
        <w:left w:val="none" w:sz="0" w:space="0" w:color="auto"/>
        <w:bottom w:val="none" w:sz="0" w:space="0" w:color="auto"/>
        <w:right w:val="none" w:sz="0" w:space="0" w:color="auto"/>
      </w:divBdr>
    </w:div>
    <w:div w:id="847983016">
      <w:bodyDiv w:val="1"/>
      <w:marLeft w:val="0"/>
      <w:marRight w:val="0"/>
      <w:marTop w:val="0"/>
      <w:marBottom w:val="0"/>
      <w:divBdr>
        <w:top w:val="none" w:sz="0" w:space="0" w:color="auto"/>
        <w:left w:val="none" w:sz="0" w:space="0" w:color="auto"/>
        <w:bottom w:val="none" w:sz="0" w:space="0" w:color="auto"/>
        <w:right w:val="none" w:sz="0" w:space="0" w:color="auto"/>
      </w:divBdr>
    </w:div>
    <w:div w:id="858197813">
      <w:bodyDiv w:val="1"/>
      <w:marLeft w:val="0"/>
      <w:marRight w:val="0"/>
      <w:marTop w:val="0"/>
      <w:marBottom w:val="0"/>
      <w:divBdr>
        <w:top w:val="none" w:sz="0" w:space="0" w:color="auto"/>
        <w:left w:val="none" w:sz="0" w:space="0" w:color="auto"/>
        <w:bottom w:val="none" w:sz="0" w:space="0" w:color="auto"/>
        <w:right w:val="none" w:sz="0" w:space="0" w:color="auto"/>
      </w:divBdr>
    </w:div>
    <w:div w:id="863329135">
      <w:bodyDiv w:val="1"/>
      <w:marLeft w:val="0"/>
      <w:marRight w:val="0"/>
      <w:marTop w:val="0"/>
      <w:marBottom w:val="0"/>
      <w:divBdr>
        <w:top w:val="none" w:sz="0" w:space="0" w:color="auto"/>
        <w:left w:val="none" w:sz="0" w:space="0" w:color="auto"/>
        <w:bottom w:val="none" w:sz="0" w:space="0" w:color="auto"/>
        <w:right w:val="none" w:sz="0" w:space="0" w:color="auto"/>
      </w:divBdr>
    </w:div>
    <w:div w:id="864975491">
      <w:bodyDiv w:val="1"/>
      <w:marLeft w:val="0"/>
      <w:marRight w:val="0"/>
      <w:marTop w:val="0"/>
      <w:marBottom w:val="0"/>
      <w:divBdr>
        <w:top w:val="none" w:sz="0" w:space="0" w:color="auto"/>
        <w:left w:val="none" w:sz="0" w:space="0" w:color="auto"/>
        <w:bottom w:val="none" w:sz="0" w:space="0" w:color="auto"/>
        <w:right w:val="none" w:sz="0" w:space="0" w:color="auto"/>
      </w:divBdr>
    </w:div>
    <w:div w:id="890068926">
      <w:bodyDiv w:val="1"/>
      <w:marLeft w:val="0"/>
      <w:marRight w:val="0"/>
      <w:marTop w:val="0"/>
      <w:marBottom w:val="0"/>
      <w:divBdr>
        <w:top w:val="none" w:sz="0" w:space="0" w:color="auto"/>
        <w:left w:val="none" w:sz="0" w:space="0" w:color="auto"/>
        <w:bottom w:val="none" w:sz="0" w:space="0" w:color="auto"/>
        <w:right w:val="none" w:sz="0" w:space="0" w:color="auto"/>
      </w:divBdr>
    </w:div>
    <w:div w:id="890534596">
      <w:bodyDiv w:val="1"/>
      <w:marLeft w:val="0"/>
      <w:marRight w:val="0"/>
      <w:marTop w:val="0"/>
      <w:marBottom w:val="0"/>
      <w:divBdr>
        <w:top w:val="none" w:sz="0" w:space="0" w:color="auto"/>
        <w:left w:val="none" w:sz="0" w:space="0" w:color="auto"/>
        <w:bottom w:val="none" w:sz="0" w:space="0" w:color="auto"/>
        <w:right w:val="none" w:sz="0" w:space="0" w:color="auto"/>
      </w:divBdr>
    </w:div>
    <w:div w:id="921524866">
      <w:bodyDiv w:val="1"/>
      <w:marLeft w:val="0"/>
      <w:marRight w:val="0"/>
      <w:marTop w:val="0"/>
      <w:marBottom w:val="0"/>
      <w:divBdr>
        <w:top w:val="none" w:sz="0" w:space="0" w:color="auto"/>
        <w:left w:val="none" w:sz="0" w:space="0" w:color="auto"/>
        <w:bottom w:val="none" w:sz="0" w:space="0" w:color="auto"/>
        <w:right w:val="none" w:sz="0" w:space="0" w:color="auto"/>
      </w:divBdr>
    </w:div>
    <w:div w:id="938754606">
      <w:bodyDiv w:val="1"/>
      <w:marLeft w:val="0"/>
      <w:marRight w:val="0"/>
      <w:marTop w:val="0"/>
      <w:marBottom w:val="0"/>
      <w:divBdr>
        <w:top w:val="none" w:sz="0" w:space="0" w:color="auto"/>
        <w:left w:val="none" w:sz="0" w:space="0" w:color="auto"/>
        <w:bottom w:val="none" w:sz="0" w:space="0" w:color="auto"/>
        <w:right w:val="none" w:sz="0" w:space="0" w:color="auto"/>
      </w:divBdr>
    </w:div>
    <w:div w:id="955133657">
      <w:bodyDiv w:val="1"/>
      <w:marLeft w:val="0"/>
      <w:marRight w:val="0"/>
      <w:marTop w:val="0"/>
      <w:marBottom w:val="0"/>
      <w:divBdr>
        <w:top w:val="none" w:sz="0" w:space="0" w:color="auto"/>
        <w:left w:val="none" w:sz="0" w:space="0" w:color="auto"/>
        <w:bottom w:val="none" w:sz="0" w:space="0" w:color="auto"/>
        <w:right w:val="none" w:sz="0" w:space="0" w:color="auto"/>
      </w:divBdr>
    </w:div>
    <w:div w:id="956715414">
      <w:bodyDiv w:val="1"/>
      <w:marLeft w:val="0"/>
      <w:marRight w:val="0"/>
      <w:marTop w:val="0"/>
      <w:marBottom w:val="0"/>
      <w:divBdr>
        <w:top w:val="none" w:sz="0" w:space="0" w:color="auto"/>
        <w:left w:val="none" w:sz="0" w:space="0" w:color="auto"/>
        <w:bottom w:val="none" w:sz="0" w:space="0" w:color="auto"/>
        <w:right w:val="none" w:sz="0" w:space="0" w:color="auto"/>
      </w:divBdr>
    </w:div>
    <w:div w:id="957178740">
      <w:bodyDiv w:val="1"/>
      <w:marLeft w:val="0"/>
      <w:marRight w:val="0"/>
      <w:marTop w:val="0"/>
      <w:marBottom w:val="0"/>
      <w:divBdr>
        <w:top w:val="none" w:sz="0" w:space="0" w:color="auto"/>
        <w:left w:val="none" w:sz="0" w:space="0" w:color="auto"/>
        <w:bottom w:val="none" w:sz="0" w:space="0" w:color="auto"/>
        <w:right w:val="none" w:sz="0" w:space="0" w:color="auto"/>
      </w:divBdr>
    </w:div>
    <w:div w:id="969898913">
      <w:bodyDiv w:val="1"/>
      <w:marLeft w:val="0"/>
      <w:marRight w:val="0"/>
      <w:marTop w:val="0"/>
      <w:marBottom w:val="0"/>
      <w:divBdr>
        <w:top w:val="none" w:sz="0" w:space="0" w:color="auto"/>
        <w:left w:val="none" w:sz="0" w:space="0" w:color="auto"/>
        <w:bottom w:val="none" w:sz="0" w:space="0" w:color="auto"/>
        <w:right w:val="none" w:sz="0" w:space="0" w:color="auto"/>
      </w:divBdr>
    </w:div>
    <w:div w:id="1009139906">
      <w:bodyDiv w:val="1"/>
      <w:marLeft w:val="0"/>
      <w:marRight w:val="0"/>
      <w:marTop w:val="0"/>
      <w:marBottom w:val="0"/>
      <w:divBdr>
        <w:top w:val="none" w:sz="0" w:space="0" w:color="auto"/>
        <w:left w:val="none" w:sz="0" w:space="0" w:color="auto"/>
        <w:bottom w:val="none" w:sz="0" w:space="0" w:color="auto"/>
        <w:right w:val="none" w:sz="0" w:space="0" w:color="auto"/>
      </w:divBdr>
    </w:div>
    <w:div w:id="1011637754">
      <w:bodyDiv w:val="1"/>
      <w:marLeft w:val="0"/>
      <w:marRight w:val="0"/>
      <w:marTop w:val="0"/>
      <w:marBottom w:val="0"/>
      <w:divBdr>
        <w:top w:val="none" w:sz="0" w:space="0" w:color="auto"/>
        <w:left w:val="none" w:sz="0" w:space="0" w:color="auto"/>
        <w:bottom w:val="none" w:sz="0" w:space="0" w:color="auto"/>
        <w:right w:val="none" w:sz="0" w:space="0" w:color="auto"/>
      </w:divBdr>
    </w:div>
    <w:div w:id="1018434301">
      <w:bodyDiv w:val="1"/>
      <w:marLeft w:val="0"/>
      <w:marRight w:val="0"/>
      <w:marTop w:val="0"/>
      <w:marBottom w:val="0"/>
      <w:divBdr>
        <w:top w:val="none" w:sz="0" w:space="0" w:color="auto"/>
        <w:left w:val="none" w:sz="0" w:space="0" w:color="auto"/>
        <w:bottom w:val="none" w:sz="0" w:space="0" w:color="auto"/>
        <w:right w:val="none" w:sz="0" w:space="0" w:color="auto"/>
      </w:divBdr>
    </w:div>
    <w:div w:id="1034959600">
      <w:bodyDiv w:val="1"/>
      <w:marLeft w:val="0"/>
      <w:marRight w:val="0"/>
      <w:marTop w:val="0"/>
      <w:marBottom w:val="0"/>
      <w:divBdr>
        <w:top w:val="none" w:sz="0" w:space="0" w:color="auto"/>
        <w:left w:val="none" w:sz="0" w:space="0" w:color="auto"/>
        <w:bottom w:val="none" w:sz="0" w:space="0" w:color="auto"/>
        <w:right w:val="none" w:sz="0" w:space="0" w:color="auto"/>
      </w:divBdr>
    </w:div>
    <w:div w:id="1070424159">
      <w:bodyDiv w:val="1"/>
      <w:marLeft w:val="0"/>
      <w:marRight w:val="0"/>
      <w:marTop w:val="0"/>
      <w:marBottom w:val="0"/>
      <w:divBdr>
        <w:top w:val="none" w:sz="0" w:space="0" w:color="auto"/>
        <w:left w:val="none" w:sz="0" w:space="0" w:color="auto"/>
        <w:bottom w:val="none" w:sz="0" w:space="0" w:color="auto"/>
        <w:right w:val="none" w:sz="0" w:space="0" w:color="auto"/>
      </w:divBdr>
    </w:div>
    <w:div w:id="1119254363">
      <w:bodyDiv w:val="1"/>
      <w:marLeft w:val="0"/>
      <w:marRight w:val="0"/>
      <w:marTop w:val="0"/>
      <w:marBottom w:val="0"/>
      <w:divBdr>
        <w:top w:val="none" w:sz="0" w:space="0" w:color="auto"/>
        <w:left w:val="none" w:sz="0" w:space="0" w:color="auto"/>
        <w:bottom w:val="none" w:sz="0" w:space="0" w:color="auto"/>
        <w:right w:val="none" w:sz="0" w:space="0" w:color="auto"/>
      </w:divBdr>
    </w:div>
    <w:div w:id="1127041703">
      <w:bodyDiv w:val="1"/>
      <w:marLeft w:val="0"/>
      <w:marRight w:val="0"/>
      <w:marTop w:val="0"/>
      <w:marBottom w:val="0"/>
      <w:divBdr>
        <w:top w:val="none" w:sz="0" w:space="0" w:color="auto"/>
        <w:left w:val="none" w:sz="0" w:space="0" w:color="auto"/>
        <w:bottom w:val="none" w:sz="0" w:space="0" w:color="auto"/>
        <w:right w:val="none" w:sz="0" w:space="0" w:color="auto"/>
      </w:divBdr>
    </w:div>
    <w:div w:id="1129275974">
      <w:bodyDiv w:val="1"/>
      <w:marLeft w:val="0"/>
      <w:marRight w:val="0"/>
      <w:marTop w:val="0"/>
      <w:marBottom w:val="0"/>
      <w:divBdr>
        <w:top w:val="none" w:sz="0" w:space="0" w:color="auto"/>
        <w:left w:val="none" w:sz="0" w:space="0" w:color="auto"/>
        <w:bottom w:val="none" w:sz="0" w:space="0" w:color="auto"/>
        <w:right w:val="none" w:sz="0" w:space="0" w:color="auto"/>
      </w:divBdr>
    </w:div>
    <w:div w:id="1130049216">
      <w:bodyDiv w:val="1"/>
      <w:marLeft w:val="0"/>
      <w:marRight w:val="0"/>
      <w:marTop w:val="0"/>
      <w:marBottom w:val="0"/>
      <w:divBdr>
        <w:top w:val="none" w:sz="0" w:space="0" w:color="auto"/>
        <w:left w:val="none" w:sz="0" w:space="0" w:color="auto"/>
        <w:bottom w:val="none" w:sz="0" w:space="0" w:color="auto"/>
        <w:right w:val="none" w:sz="0" w:space="0" w:color="auto"/>
      </w:divBdr>
    </w:div>
    <w:div w:id="1136872002">
      <w:bodyDiv w:val="1"/>
      <w:marLeft w:val="0"/>
      <w:marRight w:val="0"/>
      <w:marTop w:val="0"/>
      <w:marBottom w:val="0"/>
      <w:divBdr>
        <w:top w:val="none" w:sz="0" w:space="0" w:color="auto"/>
        <w:left w:val="none" w:sz="0" w:space="0" w:color="auto"/>
        <w:bottom w:val="none" w:sz="0" w:space="0" w:color="auto"/>
        <w:right w:val="none" w:sz="0" w:space="0" w:color="auto"/>
      </w:divBdr>
    </w:div>
    <w:div w:id="1162693792">
      <w:bodyDiv w:val="1"/>
      <w:marLeft w:val="0"/>
      <w:marRight w:val="0"/>
      <w:marTop w:val="0"/>
      <w:marBottom w:val="0"/>
      <w:divBdr>
        <w:top w:val="none" w:sz="0" w:space="0" w:color="auto"/>
        <w:left w:val="none" w:sz="0" w:space="0" w:color="auto"/>
        <w:bottom w:val="none" w:sz="0" w:space="0" w:color="auto"/>
        <w:right w:val="none" w:sz="0" w:space="0" w:color="auto"/>
      </w:divBdr>
    </w:div>
    <w:div w:id="1163810800">
      <w:bodyDiv w:val="1"/>
      <w:marLeft w:val="0"/>
      <w:marRight w:val="0"/>
      <w:marTop w:val="0"/>
      <w:marBottom w:val="0"/>
      <w:divBdr>
        <w:top w:val="none" w:sz="0" w:space="0" w:color="auto"/>
        <w:left w:val="none" w:sz="0" w:space="0" w:color="auto"/>
        <w:bottom w:val="none" w:sz="0" w:space="0" w:color="auto"/>
        <w:right w:val="none" w:sz="0" w:space="0" w:color="auto"/>
      </w:divBdr>
    </w:div>
    <w:div w:id="1165196991">
      <w:bodyDiv w:val="1"/>
      <w:marLeft w:val="0"/>
      <w:marRight w:val="0"/>
      <w:marTop w:val="0"/>
      <w:marBottom w:val="0"/>
      <w:divBdr>
        <w:top w:val="none" w:sz="0" w:space="0" w:color="auto"/>
        <w:left w:val="none" w:sz="0" w:space="0" w:color="auto"/>
        <w:bottom w:val="none" w:sz="0" w:space="0" w:color="auto"/>
        <w:right w:val="none" w:sz="0" w:space="0" w:color="auto"/>
      </w:divBdr>
    </w:div>
    <w:div w:id="1182089196">
      <w:bodyDiv w:val="1"/>
      <w:marLeft w:val="0"/>
      <w:marRight w:val="0"/>
      <w:marTop w:val="0"/>
      <w:marBottom w:val="0"/>
      <w:divBdr>
        <w:top w:val="none" w:sz="0" w:space="0" w:color="auto"/>
        <w:left w:val="none" w:sz="0" w:space="0" w:color="auto"/>
        <w:bottom w:val="none" w:sz="0" w:space="0" w:color="auto"/>
        <w:right w:val="none" w:sz="0" w:space="0" w:color="auto"/>
      </w:divBdr>
    </w:div>
    <w:div w:id="1186558442">
      <w:bodyDiv w:val="1"/>
      <w:marLeft w:val="0"/>
      <w:marRight w:val="0"/>
      <w:marTop w:val="0"/>
      <w:marBottom w:val="0"/>
      <w:divBdr>
        <w:top w:val="none" w:sz="0" w:space="0" w:color="auto"/>
        <w:left w:val="none" w:sz="0" w:space="0" w:color="auto"/>
        <w:bottom w:val="none" w:sz="0" w:space="0" w:color="auto"/>
        <w:right w:val="none" w:sz="0" w:space="0" w:color="auto"/>
      </w:divBdr>
    </w:div>
    <w:div w:id="1197112779">
      <w:bodyDiv w:val="1"/>
      <w:marLeft w:val="0"/>
      <w:marRight w:val="0"/>
      <w:marTop w:val="0"/>
      <w:marBottom w:val="0"/>
      <w:divBdr>
        <w:top w:val="none" w:sz="0" w:space="0" w:color="auto"/>
        <w:left w:val="none" w:sz="0" w:space="0" w:color="auto"/>
        <w:bottom w:val="none" w:sz="0" w:space="0" w:color="auto"/>
        <w:right w:val="none" w:sz="0" w:space="0" w:color="auto"/>
      </w:divBdr>
    </w:div>
    <w:div w:id="1205751128">
      <w:bodyDiv w:val="1"/>
      <w:marLeft w:val="0"/>
      <w:marRight w:val="0"/>
      <w:marTop w:val="0"/>
      <w:marBottom w:val="0"/>
      <w:divBdr>
        <w:top w:val="none" w:sz="0" w:space="0" w:color="auto"/>
        <w:left w:val="none" w:sz="0" w:space="0" w:color="auto"/>
        <w:bottom w:val="none" w:sz="0" w:space="0" w:color="auto"/>
        <w:right w:val="none" w:sz="0" w:space="0" w:color="auto"/>
      </w:divBdr>
    </w:div>
    <w:div w:id="1206405647">
      <w:bodyDiv w:val="1"/>
      <w:marLeft w:val="0"/>
      <w:marRight w:val="0"/>
      <w:marTop w:val="0"/>
      <w:marBottom w:val="0"/>
      <w:divBdr>
        <w:top w:val="none" w:sz="0" w:space="0" w:color="auto"/>
        <w:left w:val="none" w:sz="0" w:space="0" w:color="auto"/>
        <w:bottom w:val="none" w:sz="0" w:space="0" w:color="auto"/>
        <w:right w:val="none" w:sz="0" w:space="0" w:color="auto"/>
      </w:divBdr>
    </w:div>
    <w:div w:id="1210191858">
      <w:bodyDiv w:val="1"/>
      <w:marLeft w:val="0"/>
      <w:marRight w:val="0"/>
      <w:marTop w:val="0"/>
      <w:marBottom w:val="0"/>
      <w:divBdr>
        <w:top w:val="none" w:sz="0" w:space="0" w:color="auto"/>
        <w:left w:val="none" w:sz="0" w:space="0" w:color="auto"/>
        <w:bottom w:val="none" w:sz="0" w:space="0" w:color="auto"/>
        <w:right w:val="none" w:sz="0" w:space="0" w:color="auto"/>
      </w:divBdr>
    </w:div>
    <w:div w:id="1212955832">
      <w:bodyDiv w:val="1"/>
      <w:marLeft w:val="0"/>
      <w:marRight w:val="0"/>
      <w:marTop w:val="0"/>
      <w:marBottom w:val="0"/>
      <w:divBdr>
        <w:top w:val="none" w:sz="0" w:space="0" w:color="auto"/>
        <w:left w:val="none" w:sz="0" w:space="0" w:color="auto"/>
        <w:bottom w:val="none" w:sz="0" w:space="0" w:color="auto"/>
        <w:right w:val="none" w:sz="0" w:space="0" w:color="auto"/>
      </w:divBdr>
    </w:div>
    <w:div w:id="1213422189">
      <w:bodyDiv w:val="1"/>
      <w:marLeft w:val="0"/>
      <w:marRight w:val="0"/>
      <w:marTop w:val="0"/>
      <w:marBottom w:val="0"/>
      <w:divBdr>
        <w:top w:val="none" w:sz="0" w:space="0" w:color="auto"/>
        <w:left w:val="none" w:sz="0" w:space="0" w:color="auto"/>
        <w:bottom w:val="none" w:sz="0" w:space="0" w:color="auto"/>
        <w:right w:val="none" w:sz="0" w:space="0" w:color="auto"/>
      </w:divBdr>
    </w:div>
    <w:div w:id="1215237046">
      <w:bodyDiv w:val="1"/>
      <w:marLeft w:val="0"/>
      <w:marRight w:val="0"/>
      <w:marTop w:val="0"/>
      <w:marBottom w:val="0"/>
      <w:divBdr>
        <w:top w:val="none" w:sz="0" w:space="0" w:color="auto"/>
        <w:left w:val="none" w:sz="0" w:space="0" w:color="auto"/>
        <w:bottom w:val="none" w:sz="0" w:space="0" w:color="auto"/>
        <w:right w:val="none" w:sz="0" w:space="0" w:color="auto"/>
      </w:divBdr>
    </w:div>
    <w:div w:id="1217742627">
      <w:bodyDiv w:val="1"/>
      <w:marLeft w:val="0"/>
      <w:marRight w:val="0"/>
      <w:marTop w:val="0"/>
      <w:marBottom w:val="0"/>
      <w:divBdr>
        <w:top w:val="none" w:sz="0" w:space="0" w:color="auto"/>
        <w:left w:val="none" w:sz="0" w:space="0" w:color="auto"/>
        <w:bottom w:val="none" w:sz="0" w:space="0" w:color="auto"/>
        <w:right w:val="none" w:sz="0" w:space="0" w:color="auto"/>
      </w:divBdr>
    </w:div>
    <w:div w:id="1220286307">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223717737">
      <w:bodyDiv w:val="1"/>
      <w:marLeft w:val="0"/>
      <w:marRight w:val="0"/>
      <w:marTop w:val="0"/>
      <w:marBottom w:val="0"/>
      <w:divBdr>
        <w:top w:val="none" w:sz="0" w:space="0" w:color="auto"/>
        <w:left w:val="none" w:sz="0" w:space="0" w:color="auto"/>
        <w:bottom w:val="none" w:sz="0" w:space="0" w:color="auto"/>
        <w:right w:val="none" w:sz="0" w:space="0" w:color="auto"/>
      </w:divBdr>
    </w:div>
    <w:div w:id="1224411924">
      <w:bodyDiv w:val="1"/>
      <w:marLeft w:val="0"/>
      <w:marRight w:val="0"/>
      <w:marTop w:val="0"/>
      <w:marBottom w:val="0"/>
      <w:divBdr>
        <w:top w:val="none" w:sz="0" w:space="0" w:color="auto"/>
        <w:left w:val="none" w:sz="0" w:space="0" w:color="auto"/>
        <w:bottom w:val="none" w:sz="0" w:space="0" w:color="auto"/>
        <w:right w:val="none" w:sz="0" w:space="0" w:color="auto"/>
      </w:divBdr>
    </w:div>
    <w:div w:id="1231774324">
      <w:bodyDiv w:val="1"/>
      <w:marLeft w:val="0"/>
      <w:marRight w:val="0"/>
      <w:marTop w:val="0"/>
      <w:marBottom w:val="0"/>
      <w:divBdr>
        <w:top w:val="none" w:sz="0" w:space="0" w:color="auto"/>
        <w:left w:val="none" w:sz="0" w:space="0" w:color="auto"/>
        <w:bottom w:val="none" w:sz="0" w:space="0" w:color="auto"/>
        <w:right w:val="none" w:sz="0" w:space="0" w:color="auto"/>
      </w:divBdr>
    </w:div>
    <w:div w:id="1236696145">
      <w:bodyDiv w:val="1"/>
      <w:marLeft w:val="0"/>
      <w:marRight w:val="0"/>
      <w:marTop w:val="0"/>
      <w:marBottom w:val="0"/>
      <w:divBdr>
        <w:top w:val="none" w:sz="0" w:space="0" w:color="auto"/>
        <w:left w:val="none" w:sz="0" w:space="0" w:color="auto"/>
        <w:bottom w:val="none" w:sz="0" w:space="0" w:color="auto"/>
        <w:right w:val="none" w:sz="0" w:space="0" w:color="auto"/>
      </w:divBdr>
    </w:div>
    <w:div w:id="1239289755">
      <w:bodyDiv w:val="1"/>
      <w:marLeft w:val="0"/>
      <w:marRight w:val="0"/>
      <w:marTop w:val="0"/>
      <w:marBottom w:val="0"/>
      <w:divBdr>
        <w:top w:val="none" w:sz="0" w:space="0" w:color="auto"/>
        <w:left w:val="none" w:sz="0" w:space="0" w:color="auto"/>
        <w:bottom w:val="none" w:sz="0" w:space="0" w:color="auto"/>
        <w:right w:val="none" w:sz="0" w:space="0" w:color="auto"/>
      </w:divBdr>
    </w:div>
    <w:div w:id="1242908219">
      <w:bodyDiv w:val="1"/>
      <w:marLeft w:val="0"/>
      <w:marRight w:val="0"/>
      <w:marTop w:val="0"/>
      <w:marBottom w:val="0"/>
      <w:divBdr>
        <w:top w:val="none" w:sz="0" w:space="0" w:color="auto"/>
        <w:left w:val="none" w:sz="0" w:space="0" w:color="auto"/>
        <w:bottom w:val="none" w:sz="0" w:space="0" w:color="auto"/>
        <w:right w:val="none" w:sz="0" w:space="0" w:color="auto"/>
      </w:divBdr>
    </w:div>
    <w:div w:id="1259945868">
      <w:bodyDiv w:val="1"/>
      <w:marLeft w:val="0"/>
      <w:marRight w:val="0"/>
      <w:marTop w:val="0"/>
      <w:marBottom w:val="0"/>
      <w:divBdr>
        <w:top w:val="none" w:sz="0" w:space="0" w:color="auto"/>
        <w:left w:val="none" w:sz="0" w:space="0" w:color="auto"/>
        <w:bottom w:val="none" w:sz="0" w:space="0" w:color="auto"/>
        <w:right w:val="none" w:sz="0" w:space="0" w:color="auto"/>
      </w:divBdr>
    </w:div>
    <w:div w:id="1284077428">
      <w:bodyDiv w:val="1"/>
      <w:marLeft w:val="0"/>
      <w:marRight w:val="0"/>
      <w:marTop w:val="0"/>
      <w:marBottom w:val="0"/>
      <w:divBdr>
        <w:top w:val="none" w:sz="0" w:space="0" w:color="auto"/>
        <w:left w:val="none" w:sz="0" w:space="0" w:color="auto"/>
        <w:bottom w:val="none" w:sz="0" w:space="0" w:color="auto"/>
        <w:right w:val="none" w:sz="0" w:space="0" w:color="auto"/>
      </w:divBdr>
    </w:div>
    <w:div w:id="1286623633">
      <w:bodyDiv w:val="1"/>
      <w:marLeft w:val="0"/>
      <w:marRight w:val="0"/>
      <w:marTop w:val="0"/>
      <w:marBottom w:val="0"/>
      <w:divBdr>
        <w:top w:val="none" w:sz="0" w:space="0" w:color="auto"/>
        <w:left w:val="none" w:sz="0" w:space="0" w:color="auto"/>
        <w:bottom w:val="none" w:sz="0" w:space="0" w:color="auto"/>
        <w:right w:val="none" w:sz="0" w:space="0" w:color="auto"/>
      </w:divBdr>
    </w:div>
    <w:div w:id="1288048736">
      <w:bodyDiv w:val="1"/>
      <w:marLeft w:val="0"/>
      <w:marRight w:val="0"/>
      <w:marTop w:val="0"/>
      <w:marBottom w:val="0"/>
      <w:divBdr>
        <w:top w:val="none" w:sz="0" w:space="0" w:color="auto"/>
        <w:left w:val="none" w:sz="0" w:space="0" w:color="auto"/>
        <w:bottom w:val="none" w:sz="0" w:space="0" w:color="auto"/>
        <w:right w:val="none" w:sz="0" w:space="0" w:color="auto"/>
      </w:divBdr>
    </w:div>
    <w:div w:id="1290547821">
      <w:bodyDiv w:val="1"/>
      <w:marLeft w:val="0"/>
      <w:marRight w:val="0"/>
      <w:marTop w:val="0"/>
      <w:marBottom w:val="0"/>
      <w:divBdr>
        <w:top w:val="none" w:sz="0" w:space="0" w:color="auto"/>
        <w:left w:val="none" w:sz="0" w:space="0" w:color="auto"/>
        <w:bottom w:val="none" w:sz="0" w:space="0" w:color="auto"/>
        <w:right w:val="none" w:sz="0" w:space="0" w:color="auto"/>
      </w:divBdr>
    </w:div>
    <w:div w:id="1293513457">
      <w:bodyDiv w:val="1"/>
      <w:marLeft w:val="0"/>
      <w:marRight w:val="0"/>
      <w:marTop w:val="0"/>
      <w:marBottom w:val="0"/>
      <w:divBdr>
        <w:top w:val="none" w:sz="0" w:space="0" w:color="auto"/>
        <w:left w:val="none" w:sz="0" w:space="0" w:color="auto"/>
        <w:bottom w:val="none" w:sz="0" w:space="0" w:color="auto"/>
        <w:right w:val="none" w:sz="0" w:space="0" w:color="auto"/>
      </w:divBdr>
    </w:div>
    <w:div w:id="1295521761">
      <w:bodyDiv w:val="1"/>
      <w:marLeft w:val="0"/>
      <w:marRight w:val="0"/>
      <w:marTop w:val="0"/>
      <w:marBottom w:val="0"/>
      <w:divBdr>
        <w:top w:val="none" w:sz="0" w:space="0" w:color="auto"/>
        <w:left w:val="none" w:sz="0" w:space="0" w:color="auto"/>
        <w:bottom w:val="none" w:sz="0" w:space="0" w:color="auto"/>
        <w:right w:val="none" w:sz="0" w:space="0" w:color="auto"/>
      </w:divBdr>
    </w:div>
    <w:div w:id="1300842310">
      <w:bodyDiv w:val="1"/>
      <w:marLeft w:val="0"/>
      <w:marRight w:val="0"/>
      <w:marTop w:val="0"/>
      <w:marBottom w:val="0"/>
      <w:divBdr>
        <w:top w:val="none" w:sz="0" w:space="0" w:color="auto"/>
        <w:left w:val="none" w:sz="0" w:space="0" w:color="auto"/>
        <w:bottom w:val="none" w:sz="0" w:space="0" w:color="auto"/>
        <w:right w:val="none" w:sz="0" w:space="0" w:color="auto"/>
      </w:divBdr>
    </w:div>
    <w:div w:id="1305160940">
      <w:bodyDiv w:val="1"/>
      <w:marLeft w:val="0"/>
      <w:marRight w:val="0"/>
      <w:marTop w:val="0"/>
      <w:marBottom w:val="0"/>
      <w:divBdr>
        <w:top w:val="none" w:sz="0" w:space="0" w:color="auto"/>
        <w:left w:val="none" w:sz="0" w:space="0" w:color="auto"/>
        <w:bottom w:val="none" w:sz="0" w:space="0" w:color="auto"/>
        <w:right w:val="none" w:sz="0" w:space="0" w:color="auto"/>
      </w:divBdr>
    </w:div>
    <w:div w:id="1326930544">
      <w:bodyDiv w:val="1"/>
      <w:marLeft w:val="0"/>
      <w:marRight w:val="0"/>
      <w:marTop w:val="0"/>
      <w:marBottom w:val="0"/>
      <w:divBdr>
        <w:top w:val="none" w:sz="0" w:space="0" w:color="auto"/>
        <w:left w:val="none" w:sz="0" w:space="0" w:color="auto"/>
        <w:bottom w:val="none" w:sz="0" w:space="0" w:color="auto"/>
        <w:right w:val="none" w:sz="0" w:space="0" w:color="auto"/>
      </w:divBdr>
    </w:div>
    <w:div w:id="1338842955">
      <w:bodyDiv w:val="1"/>
      <w:marLeft w:val="0"/>
      <w:marRight w:val="0"/>
      <w:marTop w:val="0"/>
      <w:marBottom w:val="0"/>
      <w:divBdr>
        <w:top w:val="none" w:sz="0" w:space="0" w:color="auto"/>
        <w:left w:val="none" w:sz="0" w:space="0" w:color="auto"/>
        <w:bottom w:val="none" w:sz="0" w:space="0" w:color="auto"/>
        <w:right w:val="none" w:sz="0" w:space="0" w:color="auto"/>
      </w:divBdr>
    </w:div>
    <w:div w:id="1343314375">
      <w:bodyDiv w:val="1"/>
      <w:marLeft w:val="0"/>
      <w:marRight w:val="0"/>
      <w:marTop w:val="0"/>
      <w:marBottom w:val="0"/>
      <w:divBdr>
        <w:top w:val="none" w:sz="0" w:space="0" w:color="auto"/>
        <w:left w:val="none" w:sz="0" w:space="0" w:color="auto"/>
        <w:bottom w:val="none" w:sz="0" w:space="0" w:color="auto"/>
        <w:right w:val="none" w:sz="0" w:space="0" w:color="auto"/>
      </w:divBdr>
    </w:div>
    <w:div w:id="1365640855">
      <w:bodyDiv w:val="1"/>
      <w:marLeft w:val="0"/>
      <w:marRight w:val="0"/>
      <w:marTop w:val="0"/>
      <w:marBottom w:val="0"/>
      <w:divBdr>
        <w:top w:val="none" w:sz="0" w:space="0" w:color="auto"/>
        <w:left w:val="none" w:sz="0" w:space="0" w:color="auto"/>
        <w:bottom w:val="none" w:sz="0" w:space="0" w:color="auto"/>
        <w:right w:val="none" w:sz="0" w:space="0" w:color="auto"/>
      </w:divBdr>
    </w:div>
    <w:div w:id="1396394817">
      <w:bodyDiv w:val="1"/>
      <w:marLeft w:val="0"/>
      <w:marRight w:val="0"/>
      <w:marTop w:val="0"/>
      <w:marBottom w:val="0"/>
      <w:divBdr>
        <w:top w:val="none" w:sz="0" w:space="0" w:color="auto"/>
        <w:left w:val="none" w:sz="0" w:space="0" w:color="auto"/>
        <w:bottom w:val="none" w:sz="0" w:space="0" w:color="auto"/>
        <w:right w:val="none" w:sz="0" w:space="0" w:color="auto"/>
      </w:divBdr>
    </w:div>
    <w:div w:id="1398892044">
      <w:bodyDiv w:val="1"/>
      <w:marLeft w:val="0"/>
      <w:marRight w:val="0"/>
      <w:marTop w:val="0"/>
      <w:marBottom w:val="0"/>
      <w:divBdr>
        <w:top w:val="none" w:sz="0" w:space="0" w:color="auto"/>
        <w:left w:val="none" w:sz="0" w:space="0" w:color="auto"/>
        <w:bottom w:val="none" w:sz="0" w:space="0" w:color="auto"/>
        <w:right w:val="none" w:sz="0" w:space="0" w:color="auto"/>
      </w:divBdr>
    </w:div>
    <w:div w:id="1405879369">
      <w:bodyDiv w:val="1"/>
      <w:marLeft w:val="0"/>
      <w:marRight w:val="0"/>
      <w:marTop w:val="0"/>
      <w:marBottom w:val="0"/>
      <w:divBdr>
        <w:top w:val="none" w:sz="0" w:space="0" w:color="auto"/>
        <w:left w:val="none" w:sz="0" w:space="0" w:color="auto"/>
        <w:bottom w:val="none" w:sz="0" w:space="0" w:color="auto"/>
        <w:right w:val="none" w:sz="0" w:space="0" w:color="auto"/>
      </w:divBdr>
    </w:div>
    <w:div w:id="1406294736">
      <w:bodyDiv w:val="1"/>
      <w:marLeft w:val="0"/>
      <w:marRight w:val="0"/>
      <w:marTop w:val="0"/>
      <w:marBottom w:val="0"/>
      <w:divBdr>
        <w:top w:val="none" w:sz="0" w:space="0" w:color="auto"/>
        <w:left w:val="none" w:sz="0" w:space="0" w:color="auto"/>
        <w:bottom w:val="none" w:sz="0" w:space="0" w:color="auto"/>
        <w:right w:val="none" w:sz="0" w:space="0" w:color="auto"/>
      </w:divBdr>
    </w:div>
    <w:div w:id="1414276392">
      <w:bodyDiv w:val="1"/>
      <w:marLeft w:val="0"/>
      <w:marRight w:val="0"/>
      <w:marTop w:val="0"/>
      <w:marBottom w:val="0"/>
      <w:divBdr>
        <w:top w:val="none" w:sz="0" w:space="0" w:color="auto"/>
        <w:left w:val="none" w:sz="0" w:space="0" w:color="auto"/>
        <w:bottom w:val="none" w:sz="0" w:space="0" w:color="auto"/>
        <w:right w:val="none" w:sz="0" w:space="0" w:color="auto"/>
      </w:divBdr>
    </w:div>
    <w:div w:id="1419256523">
      <w:bodyDiv w:val="1"/>
      <w:marLeft w:val="0"/>
      <w:marRight w:val="0"/>
      <w:marTop w:val="0"/>
      <w:marBottom w:val="0"/>
      <w:divBdr>
        <w:top w:val="none" w:sz="0" w:space="0" w:color="auto"/>
        <w:left w:val="none" w:sz="0" w:space="0" w:color="auto"/>
        <w:bottom w:val="none" w:sz="0" w:space="0" w:color="auto"/>
        <w:right w:val="none" w:sz="0" w:space="0" w:color="auto"/>
      </w:divBdr>
    </w:div>
    <w:div w:id="1422214790">
      <w:bodyDiv w:val="1"/>
      <w:marLeft w:val="0"/>
      <w:marRight w:val="0"/>
      <w:marTop w:val="0"/>
      <w:marBottom w:val="0"/>
      <w:divBdr>
        <w:top w:val="none" w:sz="0" w:space="0" w:color="auto"/>
        <w:left w:val="none" w:sz="0" w:space="0" w:color="auto"/>
        <w:bottom w:val="none" w:sz="0" w:space="0" w:color="auto"/>
        <w:right w:val="none" w:sz="0" w:space="0" w:color="auto"/>
      </w:divBdr>
    </w:div>
    <w:div w:id="1423063762">
      <w:bodyDiv w:val="1"/>
      <w:marLeft w:val="0"/>
      <w:marRight w:val="0"/>
      <w:marTop w:val="0"/>
      <w:marBottom w:val="0"/>
      <w:divBdr>
        <w:top w:val="none" w:sz="0" w:space="0" w:color="auto"/>
        <w:left w:val="none" w:sz="0" w:space="0" w:color="auto"/>
        <w:bottom w:val="none" w:sz="0" w:space="0" w:color="auto"/>
        <w:right w:val="none" w:sz="0" w:space="0" w:color="auto"/>
      </w:divBdr>
    </w:div>
    <w:div w:id="1431850207">
      <w:bodyDiv w:val="1"/>
      <w:marLeft w:val="0"/>
      <w:marRight w:val="0"/>
      <w:marTop w:val="0"/>
      <w:marBottom w:val="0"/>
      <w:divBdr>
        <w:top w:val="none" w:sz="0" w:space="0" w:color="auto"/>
        <w:left w:val="none" w:sz="0" w:space="0" w:color="auto"/>
        <w:bottom w:val="none" w:sz="0" w:space="0" w:color="auto"/>
        <w:right w:val="none" w:sz="0" w:space="0" w:color="auto"/>
      </w:divBdr>
    </w:div>
    <w:div w:id="1437823734">
      <w:bodyDiv w:val="1"/>
      <w:marLeft w:val="0"/>
      <w:marRight w:val="0"/>
      <w:marTop w:val="0"/>
      <w:marBottom w:val="0"/>
      <w:divBdr>
        <w:top w:val="none" w:sz="0" w:space="0" w:color="auto"/>
        <w:left w:val="none" w:sz="0" w:space="0" w:color="auto"/>
        <w:bottom w:val="none" w:sz="0" w:space="0" w:color="auto"/>
        <w:right w:val="none" w:sz="0" w:space="0" w:color="auto"/>
      </w:divBdr>
    </w:div>
    <w:div w:id="1439250729">
      <w:bodyDiv w:val="1"/>
      <w:marLeft w:val="0"/>
      <w:marRight w:val="0"/>
      <w:marTop w:val="0"/>
      <w:marBottom w:val="0"/>
      <w:divBdr>
        <w:top w:val="none" w:sz="0" w:space="0" w:color="auto"/>
        <w:left w:val="none" w:sz="0" w:space="0" w:color="auto"/>
        <w:bottom w:val="none" w:sz="0" w:space="0" w:color="auto"/>
        <w:right w:val="none" w:sz="0" w:space="0" w:color="auto"/>
      </w:divBdr>
    </w:div>
    <w:div w:id="1457605833">
      <w:bodyDiv w:val="1"/>
      <w:marLeft w:val="0"/>
      <w:marRight w:val="0"/>
      <w:marTop w:val="0"/>
      <w:marBottom w:val="0"/>
      <w:divBdr>
        <w:top w:val="none" w:sz="0" w:space="0" w:color="auto"/>
        <w:left w:val="none" w:sz="0" w:space="0" w:color="auto"/>
        <w:bottom w:val="none" w:sz="0" w:space="0" w:color="auto"/>
        <w:right w:val="none" w:sz="0" w:space="0" w:color="auto"/>
      </w:divBdr>
    </w:div>
    <w:div w:id="1464889134">
      <w:bodyDiv w:val="1"/>
      <w:marLeft w:val="0"/>
      <w:marRight w:val="0"/>
      <w:marTop w:val="0"/>
      <w:marBottom w:val="0"/>
      <w:divBdr>
        <w:top w:val="none" w:sz="0" w:space="0" w:color="auto"/>
        <w:left w:val="none" w:sz="0" w:space="0" w:color="auto"/>
        <w:bottom w:val="none" w:sz="0" w:space="0" w:color="auto"/>
        <w:right w:val="none" w:sz="0" w:space="0" w:color="auto"/>
      </w:divBdr>
    </w:div>
    <w:div w:id="1466047642">
      <w:bodyDiv w:val="1"/>
      <w:marLeft w:val="0"/>
      <w:marRight w:val="0"/>
      <w:marTop w:val="0"/>
      <w:marBottom w:val="0"/>
      <w:divBdr>
        <w:top w:val="none" w:sz="0" w:space="0" w:color="auto"/>
        <w:left w:val="none" w:sz="0" w:space="0" w:color="auto"/>
        <w:bottom w:val="none" w:sz="0" w:space="0" w:color="auto"/>
        <w:right w:val="none" w:sz="0" w:space="0" w:color="auto"/>
      </w:divBdr>
    </w:div>
    <w:div w:id="1484154248">
      <w:bodyDiv w:val="1"/>
      <w:marLeft w:val="0"/>
      <w:marRight w:val="0"/>
      <w:marTop w:val="0"/>
      <w:marBottom w:val="0"/>
      <w:divBdr>
        <w:top w:val="none" w:sz="0" w:space="0" w:color="auto"/>
        <w:left w:val="none" w:sz="0" w:space="0" w:color="auto"/>
        <w:bottom w:val="none" w:sz="0" w:space="0" w:color="auto"/>
        <w:right w:val="none" w:sz="0" w:space="0" w:color="auto"/>
      </w:divBdr>
    </w:div>
    <w:div w:id="1485118993">
      <w:bodyDiv w:val="1"/>
      <w:marLeft w:val="0"/>
      <w:marRight w:val="0"/>
      <w:marTop w:val="0"/>
      <w:marBottom w:val="0"/>
      <w:divBdr>
        <w:top w:val="none" w:sz="0" w:space="0" w:color="auto"/>
        <w:left w:val="none" w:sz="0" w:space="0" w:color="auto"/>
        <w:bottom w:val="none" w:sz="0" w:space="0" w:color="auto"/>
        <w:right w:val="none" w:sz="0" w:space="0" w:color="auto"/>
      </w:divBdr>
    </w:div>
    <w:div w:id="1486815689">
      <w:bodyDiv w:val="1"/>
      <w:marLeft w:val="0"/>
      <w:marRight w:val="0"/>
      <w:marTop w:val="0"/>
      <w:marBottom w:val="0"/>
      <w:divBdr>
        <w:top w:val="none" w:sz="0" w:space="0" w:color="auto"/>
        <w:left w:val="none" w:sz="0" w:space="0" w:color="auto"/>
        <w:bottom w:val="none" w:sz="0" w:space="0" w:color="auto"/>
        <w:right w:val="none" w:sz="0" w:space="0" w:color="auto"/>
      </w:divBdr>
    </w:div>
    <w:div w:id="1499615301">
      <w:bodyDiv w:val="1"/>
      <w:marLeft w:val="0"/>
      <w:marRight w:val="0"/>
      <w:marTop w:val="0"/>
      <w:marBottom w:val="0"/>
      <w:divBdr>
        <w:top w:val="none" w:sz="0" w:space="0" w:color="auto"/>
        <w:left w:val="none" w:sz="0" w:space="0" w:color="auto"/>
        <w:bottom w:val="none" w:sz="0" w:space="0" w:color="auto"/>
        <w:right w:val="none" w:sz="0" w:space="0" w:color="auto"/>
      </w:divBdr>
    </w:div>
    <w:div w:id="1502355509">
      <w:bodyDiv w:val="1"/>
      <w:marLeft w:val="0"/>
      <w:marRight w:val="0"/>
      <w:marTop w:val="0"/>
      <w:marBottom w:val="0"/>
      <w:divBdr>
        <w:top w:val="none" w:sz="0" w:space="0" w:color="auto"/>
        <w:left w:val="none" w:sz="0" w:space="0" w:color="auto"/>
        <w:bottom w:val="none" w:sz="0" w:space="0" w:color="auto"/>
        <w:right w:val="none" w:sz="0" w:space="0" w:color="auto"/>
      </w:divBdr>
    </w:div>
    <w:div w:id="1502430774">
      <w:bodyDiv w:val="1"/>
      <w:marLeft w:val="0"/>
      <w:marRight w:val="0"/>
      <w:marTop w:val="0"/>
      <w:marBottom w:val="0"/>
      <w:divBdr>
        <w:top w:val="none" w:sz="0" w:space="0" w:color="auto"/>
        <w:left w:val="none" w:sz="0" w:space="0" w:color="auto"/>
        <w:bottom w:val="none" w:sz="0" w:space="0" w:color="auto"/>
        <w:right w:val="none" w:sz="0" w:space="0" w:color="auto"/>
      </w:divBdr>
    </w:div>
    <w:div w:id="1502622390">
      <w:bodyDiv w:val="1"/>
      <w:marLeft w:val="0"/>
      <w:marRight w:val="0"/>
      <w:marTop w:val="0"/>
      <w:marBottom w:val="0"/>
      <w:divBdr>
        <w:top w:val="none" w:sz="0" w:space="0" w:color="auto"/>
        <w:left w:val="none" w:sz="0" w:space="0" w:color="auto"/>
        <w:bottom w:val="none" w:sz="0" w:space="0" w:color="auto"/>
        <w:right w:val="none" w:sz="0" w:space="0" w:color="auto"/>
      </w:divBdr>
    </w:div>
    <w:div w:id="1502969650">
      <w:bodyDiv w:val="1"/>
      <w:marLeft w:val="0"/>
      <w:marRight w:val="0"/>
      <w:marTop w:val="0"/>
      <w:marBottom w:val="0"/>
      <w:divBdr>
        <w:top w:val="none" w:sz="0" w:space="0" w:color="auto"/>
        <w:left w:val="none" w:sz="0" w:space="0" w:color="auto"/>
        <w:bottom w:val="none" w:sz="0" w:space="0" w:color="auto"/>
        <w:right w:val="none" w:sz="0" w:space="0" w:color="auto"/>
      </w:divBdr>
    </w:div>
    <w:div w:id="1513495413">
      <w:bodyDiv w:val="1"/>
      <w:marLeft w:val="0"/>
      <w:marRight w:val="0"/>
      <w:marTop w:val="0"/>
      <w:marBottom w:val="0"/>
      <w:divBdr>
        <w:top w:val="none" w:sz="0" w:space="0" w:color="auto"/>
        <w:left w:val="none" w:sz="0" w:space="0" w:color="auto"/>
        <w:bottom w:val="none" w:sz="0" w:space="0" w:color="auto"/>
        <w:right w:val="none" w:sz="0" w:space="0" w:color="auto"/>
      </w:divBdr>
    </w:div>
    <w:div w:id="1534462187">
      <w:bodyDiv w:val="1"/>
      <w:marLeft w:val="0"/>
      <w:marRight w:val="0"/>
      <w:marTop w:val="0"/>
      <w:marBottom w:val="0"/>
      <w:divBdr>
        <w:top w:val="none" w:sz="0" w:space="0" w:color="auto"/>
        <w:left w:val="none" w:sz="0" w:space="0" w:color="auto"/>
        <w:bottom w:val="none" w:sz="0" w:space="0" w:color="auto"/>
        <w:right w:val="none" w:sz="0" w:space="0" w:color="auto"/>
      </w:divBdr>
    </w:div>
    <w:div w:id="1548568844">
      <w:bodyDiv w:val="1"/>
      <w:marLeft w:val="0"/>
      <w:marRight w:val="0"/>
      <w:marTop w:val="0"/>
      <w:marBottom w:val="0"/>
      <w:divBdr>
        <w:top w:val="none" w:sz="0" w:space="0" w:color="auto"/>
        <w:left w:val="none" w:sz="0" w:space="0" w:color="auto"/>
        <w:bottom w:val="none" w:sz="0" w:space="0" w:color="auto"/>
        <w:right w:val="none" w:sz="0" w:space="0" w:color="auto"/>
      </w:divBdr>
    </w:div>
    <w:div w:id="1552036831">
      <w:bodyDiv w:val="1"/>
      <w:marLeft w:val="0"/>
      <w:marRight w:val="0"/>
      <w:marTop w:val="0"/>
      <w:marBottom w:val="0"/>
      <w:divBdr>
        <w:top w:val="none" w:sz="0" w:space="0" w:color="auto"/>
        <w:left w:val="none" w:sz="0" w:space="0" w:color="auto"/>
        <w:bottom w:val="none" w:sz="0" w:space="0" w:color="auto"/>
        <w:right w:val="none" w:sz="0" w:space="0" w:color="auto"/>
      </w:divBdr>
    </w:div>
    <w:div w:id="1561598694">
      <w:bodyDiv w:val="1"/>
      <w:marLeft w:val="0"/>
      <w:marRight w:val="0"/>
      <w:marTop w:val="0"/>
      <w:marBottom w:val="0"/>
      <w:divBdr>
        <w:top w:val="none" w:sz="0" w:space="0" w:color="auto"/>
        <w:left w:val="none" w:sz="0" w:space="0" w:color="auto"/>
        <w:bottom w:val="none" w:sz="0" w:space="0" w:color="auto"/>
        <w:right w:val="none" w:sz="0" w:space="0" w:color="auto"/>
      </w:divBdr>
    </w:div>
    <w:div w:id="1569266087">
      <w:bodyDiv w:val="1"/>
      <w:marLeft w:val="0"/>
      <w:marRight w:val="0"/>
      <w:marTop w:val="0"/>
      <w:marBottom w:val="0"/>
      <w:divBdr>
        <w:top w:val="none" w:sz="0" w:space="0" w:color="auto"/>
        <w:left w:val="none" w:sz="0" w:space="0" w:color="auto"/>
        <w:bottom w:val="none" w:sz="0" w:space="0" w:color="auto"/>
        <w:right w:val="none" w:sz="0" w:space="0" w:color="auto"/>
      </w:divBdr>
    </w:div>
    <w:div w:id="1571698334">
      <w:bodyDiv w:val="1"/>
      <w:marLeft w:val="0"/>
      <w:marRight w:val="0"/>
      <w:marTop w:val="0"/>
      <w:marBottom w:val="0"/>
      <w:divBdr>
        <w:top w:val="none" w:sz="0" w:space="0" w:color="auto"/>
        <w:left w:val="none" w:sz="0" w:space="0" w:color="auto"/>
        <w:bottom w:val="none" w:sz="0" w:space="0" w:color="auto"/>
        <w:right w:val="none" w:sz="0" w:space="0" w:color="auto"/>
      </w:divBdr>
    </w:div>
    <w:div w:id="1578976694">
      <w:bodyDiv w:val="1"/>
      <w:marLeft w:val="0"/>
      <w:marRight w:val="0"/>
      <w:marTop w:val="0"/>
      <w:marBottom w:val="0"/>
      <w:divBdr>
        <w:top w:val="none" w:sz="0" w:space="0" w:color="auto"/>
        <w:left w:val="none" w:sz="0" w:space="0" w:color="auto"/>
        <w:bottom w:val="none" w:sz="0" w:space="0" w:color="auto"/>
        <w:right w:val="none" w:sz="0" w:space="0" w:color="auto"/>
      </w:divBdr>
    </w:div>
    <w:div w:id="1582443326">
      <w:bodyDiv w:val="1"/>
      <w:marLeft w:val="0"/>
      <w:marRight w:val="0"/>
      <w:marTop w:val="0"/>
      <w:marBottom w:val="0"/>
      <w:divBdr>
        <w:top w:val="none" w:sz="0" w:space="0" w:color="auto"/>
        <w:left w:val="none" w:sz="0" w:space="0" w:color="auto"/>
        <w:bottom w:val="none" w:sz="0" w:space="0" w:color="auto"/>
        <w:right w:val="none" w:sz="0" w:space="0" w:color="auto"/>
      </w:divBdr>
    </w:div>
    <w:div w:id="1593398187">
      <w:bodyDiv w:val="1"/>
      <w:marLeft w:val="0"/>
      <w:marRight w:val="0"/>
      <w:marTop w:val="0"/>
      <w:marBottom w:val="0"/>
      <w:divBdr>
        <w:top w:val="none" w:sz="0" w:space="0" w:color="auto"/>
        <w:left w:val="none" w:sz="0" w:space="0" w:color="auto"/>
        <w:bottom w:val="none" w:sz="0" w:space="0" w:color="auto"/>
        <w:right w:val="none" w:sz="0" w:space="0" w:color="auto"/>
      </w:divBdr>
    </w:div>
    <w:div w:id="1621371928">
      <w:bodyDiv w:val="1"/>
      <w:marLeft w:val="0"/>
      <w:marRight w:val="0"/>
      <w:marTop w:val="0"/>
      <w:marBottom w:val="0"/>
      <w:divBdr>
        <w:top w:val="none" w:sz="0" w:space="0" w:color="auto"/>
        <w:left w:val="none" w:sz="0" w:space="0" w:color="auto"/>
        <w:bottom w:val="none" w:sz="0" w:space="0" w:color="auto"/>
        <w:right w:val="none" w:sz="0" w:space="0" w:color="auto"/>
      </w:divBdr>
    </w:div>
    <w:div w:id="1637906018">
      <w:bodyDiv w:val="1"/>
      <w:marLeft w:val="0"/>
      <w:marRight w:val="0"/>
      <w:marTop w:val="0"/>
      <w:marBottom w:val="0"/>
      <w:divBdr>
        <w:top w:val="none" w:sz="0" w:space="0" w:color="auto"/>
        <w:left w:val="none" w:sz="0" w:space="0" w:color="auto"/>
        <w:bottom w:val="none" w:sz="0" w:space="0" w:color="auto"/>
        <w:right w:val="none" w:sz="0" w:space="0" w:color="auto"/>
      </w:divBdr>
    </w:div>
    <w:div w:id="1641763333">
      <w:bodyDiv w:val="1"/>
      <w:marLeft w:val="0"/>
      <w:marRight w:val="0"/>
      <w:marTop w:val="0"/>
      <w:marBottom w:val="0"/>
      <w:divBdr>
        <w:top w:val="none" w:sz="0" w:space="0" w:color="auto"/>
        <w:left w:val="none" w:sz="0" w:space="0" w:color="auto"/>
        <w:bottom w:val="none" w:sz="0" w:space="0" w:color="auto"/>
        <w:right w:val="none" w:sz="0" w:space="0" w:color="auto"/>
      </w:divBdr>
    </w:div>
    <w:div w:id="1641837664">
      <w:bodyDiv w:val="1"/>
      <w:marLeft w:val="0"/>
      <w:marRight w:val="0"/>
      <w:marTop w:val="0"/>
      <w:marBottom w:val="0"/>
      <w:divBdr>
        <w:top w:val="none" w:sz="0" w:space="0" w:color="auto"/>
        <w:left w:val="none" w:sz="0" w:space="0" w:color="auto"/>
        <w:bottom w:val="none" w:sz="0" w:space="0" w:color="auto"/>
        <w:right w:val="none" w:sz="0" w:space="0" w:color="auto"/>
      </w:divBdr>
    </w:div>
    <w:div w:id="1644575019">
      <w:bodyDiv w:val="1"/>
      <w:marLeft w:val="0"/>
      <w:marRight w:val="0"/>
      <w:marTop w:val="0"/>
      <w:marBottom w:val="0"/>
      <w:divBdr>
        <w:top w:val="none" w:sz="0" w:space="0" w:color="auto"/>
        <w:left w:val="none" w:sz="0" w:space="0" w:color="auto"/>
        <w:bottom w:val="none" w:sz="0" w:space="0" w:color="auto"/>
        <w:right w:val="none" w:sz="0" w:space="0" w:color="auto"/>
      </w:divBdr>
    </w:div>
    <w:div w:id="1687830220">
      <w:bodyDiv w:val="1"/>
      <w:marLeft w:val="0"/>
      <w:marRight w:val="0"/>
      <w:marTop w:val="0"/>
      <w:marBottom w:val="0"/>
      <w:divBdr>
        <w:top w:val="none" w:sz="0" w:space="0" w:color="auto"/>
        <w:left w:val="none" w:sz="0" w:space="0" w:color="auto"/>
        <w:bottom w:val="none" w:sz="0" w:space="0" w:color="auto"/>
        <w:right w:val="none" w:sz="0" w:space="0" w:color="auto"/>
      </w:divBdr>
    </w:div>
    <w:div w:id="1698501249">
      <w:bodyDiv w:val="1"/>
      <w:marLeft w:val="0"/>
      <w:marRight w:val="0"/>
      <w:marTop w:val="0"/>
      <w:marBottom w:val="0"/>
      <w:divBdr>
        <w:top w:val="none" w:sz="0" w:space="0" w:color="auto"/>
        <w:left w:val="none" w:sz="0" w:space="0" w:color="auto"/>
        <w:bottom w:val="none" w:sz="0" w:space="0" w:color="auto"/>
        <w:right w:val="none" w:sz="0" w:space="0" w:color="auto"/>
      </w:divBdr>
    </w:div>
    <w:div w:id="1710490871">
      <w:bodyDiv w:val="1"/>
      <w:marLeft w:val="0"/>
      <w:marRight w:val="0"/>
      <w:marTop w:val="0"/>
      <w:marBottom w:val="0"/>
      <w:divBdr>
        <w:top w:val="none" w:sz="0" w:space="0" w:color="auto"/>
        <w:left w:val="none" w:sz="0" w:space="0" w:color="auto"/>
        <w:bottom w:val="none" w:sz="0" w:space="0" w:color="auto"/>
        <w:right w:val="none" w:sz="0" w:space="0" w:color="auto"/>
      </w:divBdr>
    </w:div>
    <w:div w:id="1722243815">
      <w:bodyDiv w:val="1"/>
      <w:marLeft w:val="0"/>
      <w:marRight w:val="0"/>
      <w:marTop w:val="0"/>
      <w:marBottom w:val="0"/>
      <w:divBdr>
        <w:top w:val="none" w:sz="0" w:space="0" w:color="auto"/>
        <w:left w:val="none" w:sz="0" w:space="0" w:color="auto"/>
        <w:bottom w:val="none" w:sz="0" w:space="0" w:color="auto"/>
        <w:right w:val="none" w:sz="0" w:space="0" w:color="auto"/>
      </w:divBdr>
    </w:div>
    <w:div w:id="1726375051">
      <w:bodyDiv w:val="1"/>
      <w:marLeft w:val="0"/>
      <w:marRight w:val="0"/>
      <w:marTop w:val="0"/>
      <w:marBottom w:val="0"/>
      <w:divBdr>
        <w:top w:val="none" w:sz="0" w:space="0" w:color="auto"/>
        <w:left w:val="none" w:sz="0" w:space="0" w:color="auto"/>
        <w:bottom w:val="none" w:sz="0" w:space="0" w:color="auto"/>
        <w:right w:val="none" w:sz="0" w:space="0" w:color="auto"/>
      </w:divBdr>
    </w:div>
    <w:div w:id="1730610288">
      <w:bodyDiv w:val="1"/>
      <w:marLeft w:val="0"/>
      <w:marRight w:val="0"/>
      <w:marTop w:val="0"/>
      <w:marBottom w:val="0"/>
      <w:divBdr>
        <w:top w:val="none" w:sz="0" w:space="0" w:color="auto"/>
        <w:left w:val="none" w:sz="0" w:space="0" w:color="auto"/>
        <w:bottom w:val="none" w:sz="0" w:space="0" w:color="auto"/>
        <w:right w:val="none" w:sz="0" w:space="0" w:color="auto"/>
      </w:divBdr>
    </w:div>
    <w:div w:id="1740208641">
      <w:bodyDiv w:val="1"/>
      <w:marLeft w:val="0"/>
      <w:marRight w:val="0"/>
      <w:marTop w:val="0"/>
      <w:marBottom w:val="0"/>
      <w:divBdr>
        <w:top w:val="none" w:sz="0" w:space="0" w:color="auto"/>
        <w:left w:val="none" w:sz="0" w:space="0" w:color="auto"/>
        <w:bottom w:val="none" w:sz="0" w:space="0" w:color="auto"/>
        <w:right w:val="none" w:sz="0" w:space="0" w:color="auto"/>
      </w:divBdr>
    </w:div>
    <w:div w:id="1740400229">
      <w:bodyDiv w:val="1"/>
      <w:marLeft w:val="0"/>
      <w:marRight w:val="0"/>
      <w:marTop w:val="0"/>
      <w:marBottom w:val="0"/>
      <w:divBdr>
        <w:top w:val="none" w:sz="0" w:space="0" w:color="auto"/>
        <w:left w:val="none" w:sz="0" w:space="0" w:color="auto"/>
        <w:bottom w:val="none" w:sz="0" w:space="0" w:color="auto"/>
        <w:right w:val="none" w:sz="0" w:space="0" w:color="auto"/>
      </w:divBdr>
    </w:div>
    <w:div w:id="1743482041">
      <w:bodyDiv w:val="1"/>
      <w:marLeft w:val="0"/>
      <w:marRight w:val="0"/>
      <w:marTop w:val="0"/>
      <w:marBottom w:val="0"/>
      <w:divBdr>
        <w:top w:val="none" w:sz="0" w:space="0" w:color="auto"/>
        <w:left w:val="none" w:sz="0" w:space="0" w:color="auto"/>
        <w:bottom w:val="none" w:sz="0" w:space="0" w:color="auto"/>
        <w:right w:val="none" w:sz="0" w:space="0" w:color="auto"/>
      </w:divBdr>
    </w:div>
    <w:div w:id="1748576337">
      <w:bodyDiv w:val="1"/>
      <w:marLeft w:val="0"/>
      <w:marRight w:val="0"/>
      <w:marTop w:val="0"/>
      <w:marBottom w:val="0"/>
      <w:divBdr>
        <w:top w:val="none" w:sz="0" w:space="0" w:color="auto"/>
        <w:left w:val="none" w:sz="0" w:space="0" w:color="auto"/>
        <w:bottom w:val="none" w:sz="0" w:space="0" w:color="auto"/>
        <w:right w:val="none" w:sz="0" w:space="0" w:color="auto"/>
      </w:divBdr>
    </w:div>
    <w:div w:id="1749618442">
      <w:bodyDiv w:val="1"/>
      <w:marLeft w:val="0"/>
      <w:marRight w:val="0"/>
      <w:marTop w:val="0"/>
      <w:marBottom w:val="0"/>
      <w:divBdr>
        <w:top w:val="none" w:sz="0" w:space="0" w:color="auto"/>
        <w:left w:val="none" w:sz="0" w:space="0" w:color="auto"/>
        <w:bottom w:val="none" w:sz="0" w:space="0" w:color="auto"/>
        <w:right w:val="none" w:sz="0" w:space="0" w:color="auto"/>
      </w:divBdr>
    </w:div>
    <w:div w:id="1763914215">
      <w:bodyDiv w:val="1"/>
      <w:marLeft w:val="0"/>
      <w:marRight w:val="0"/>
      <w:marTop w:val="0"/>
      <w:marBottom w:val="0"/>
      <w:divBdr>
        <w:top w:val="none" w:sz="0" w:space="0" w:color="auto"/>
        <w:left w:val="none" w:sz="0" w:space="0" w:color="auto"/>
        <w:bottom w:val="none" w:sz="0" w:space="0" w:color="auto"/>
        <w:right w:val="none" w:sz="0" w:space="0" w:color="auto"/>
      </w:divBdr>
    </w:div>
    <w:div w:id="1767917549">
      <w:bodyDiv w:val="1"/>
      <w:marLeft w:val="0"/>
      <w:marRight w:val="0"/>
      <w:marTop w:val="0"/>
      <w:marBottom w:val="0"/>
      <w:divBdr>
        <w:top w:val="none" w:sz="0" w:space="0" w:color="auto"/>
        <w:left w:val="none" w:sz="0" w:space="0" w:color="auto"/>
        <w:bottom w:val="none" w:sz="0" w:space="0" w:color="auto"/>
        <w:right w:val="none" w:sz="0" w:space="0" w:color="auto"/>
      </w:divBdr>
    </w:div>
    <w:div w:id="1768959621">
      <w:bodyDiv w:val="1"/>
      <w:marLeft w:val="0"/>
      <w:marRight w:val="0"/>
      <w:marTop w:val="0"/>
      <w:marBottom w:val="0"/>
      <w:divBdr>
        <w:top w:val="none" w:sz="0" w:space="0" w:color="auto"/>
        <w:left w:val="none" w:sz="0" w:space="0" w:color="auto"/>
        <w:bottom w:val="none" w:sz="0" w:space="0" w:color="auto"/>
        <w:right w:val="none" w:sz="0" w:space="0" w:color="auto"/>
      </w:divBdr>
    </w:div>
    <w:div w:id="1781410483">
      <w:bodyDiv w:val="1"/>
      <w:marLeft w:val="0"/>
      <w:marRight w:val="0"/>
      <w:marTop w:val="0"/>
      <w:marBottom w:val="0"/>
      <w:divBdr>
        <w:top w:val="none" w:sz="0" w:space="0" w:color="auto"/>
        <w:left w:val="none" w:sz="0" w:space="0" w:color="auto"/>
        <w:bottom w:val="none" w:sz="0" w:space="0" w:color="auto"/>
        <w:right w:val="none" w:sz="0" w:space="0" w:color="auto"/>
      </w:divBdr>
    </w:div>
    <w:div w:id="1833595592">
      <w:bodyDiv w:val="1"/>
      <w:marLeft w:val="0"/>
      <w:marRight w:val="0"/>
      <w:marTop w:val="0"/>
      <w:marBottom w:val="0"/>
      <w:divBdr>
        <w:top w:val="none" w:sz="0" w:space="0" w:color="auto"/>
        <w:left w:val="none" w:sz="0" w:space="0" w:color="auto"/>
        <w:bottom w:val="none" w:sz="0" w:space="0" w:color="auto"/>
        <w:right w:val="none" w:sz="0" w:space="0" w:color="auto"/>
      </w:divBdr>
    </w:div>
    <w:div w:id="1838107253">
      <w:bodyDiv w:val="1"/>
      <w:marLeft w:val="0"/>
      <w:marRight w:val="0"/>
      <w:marTop w:val="0"/>
      <w:marBottom w:val="0"/>
      <w:divBdr>
        <w:top w:val="none" w:sz="0" w:space="0" w:color="auto"/>
        <w:left w:val="none" w:sz="0" w:space="0" w:color="auto"/>
        <w:bottom w:val="none" w:sz="0" w:space="0" w:color="auto"/>
        <w:right w:val="none" w:sz="0" w:space="0" w:color="auto"/>
      </w:divBdr>
    </w:div>
    <w:div w:id="1852141604">
      <w:bodyDiv w:val="1"/>
      <w:marLeft w:val="0"/>
      <w:marRight w:val="0"/>
      <w:marTop w:val="0"/>
      <w:marBottom w:val="0"/>
      <w:divBdr>
        <w:top w:val="none" w:sz="0" w:space="0" w:color="auto"/>
        <w:left w:val="none" w:sz="0" w:space="0" w:color="auto"/>
        <w:bottom w:val="none" w:sz="0" w:space="0" w:color="auto"/>
        <w:right w:val="none" w:sz="0" w:space="0" w:color="auto"/>
      </w:divBdr>
    </w:div>
    <w:div w:id="1880584999">
      <w:bodyDiv w:val="1"/>
      <w:marLeft w:val="0"/>
      <w:marRight w:val="0"/>
      <w:marTop w:val="0"/>
      <w:marBottom w:val="0"/>
      <w:divBdr>
        <w:top w:val="none" w:sz="0" w:space="0" w:color="auto"/>
        <w:left w:val="none" w:sz="0" w:space="0" w:color="auto"/>
        <w:bottom w:val="none" w:sz="0" w:space="0" w:color="auto"/>
        <w:right w:val="none" w:sz="0" w:space="0" w:color="auto"/>
      </w:divBdr>
    </w:div>
    <w:div w:id="1886023700">
      <w:bodyDiv w:val="1"/>
      <w:marLeft w:val="0"/>
      <w:marRight w:val="0"/>
      <w:marTop w:val="0"/>
      <w:marBottom w:val="0"/>
      <w:divBdr>
        <w:top w:val="none" w:sz="0" w:space="0" w:color="auto"/>
        <w:left w:val="none" w:sz="0" w:space="0" w:color="auto"/>
        <w:bottom w:val="none" w:sz="0" w:space="0" w:color="auto"/>
        <w:right w:val="none" w:sz="0" w:space="0" w:color="auto"/>
      </w:divBdr>
    </w:div>
    <w:div w:id="1892495830">
      <w:bodyDiv w:val="1"/>
      <w:marLeft w:val="0"/>
      <w:marRight w:val="0"/>
      <w:marTop w:val="0"/>
      <w:marBottom w:val="0"/>
      <w:divBdr>
        <w:top w:val="none" w:sz="0" w:space="0" w:color="auto"/>
        <w:left w:val="none" w:sz="0" w:space="0" w:color="auto"/>
        <w:bottom w:val="none" w:sz="0" w:space="0" w:color="auto"/>
        <w:right w:val="none" w:sz="0" w:space="0" w:color="auto"/>
      </w:divBdr>
    </w:div>
    <w:div w:id="1926643392">
      <w:bodyDiv w:val="1"/>
      <w:marLeft w:val="0"/>
      <w:marRight w:val="0"/>
      <w:marTop w:val="0"/>
      <w:marBottom w:val="0"/>
      <w:divBdr>
        <w:top w:val="none" w:sz="0" w:space="0" w:color="auto"/>
        <w:left w:val="none" w:sz="0" w:space="0" w:color="auto"/>
        <w:bottom w:val="none" w:sz="0" w:space="0" w:color="auto"/>
        <w:right w:val="none" w:sz="0" w:space="0" w:color="auto"/>
      </w:divBdr>
    </w:div>
    <w:div w:id="1953707398">
      <w:bodyDiv w:val="1"/>
      <w:marLeft w:val="0"/>
      <w:marRight w:val="0"/>
      <w:marTop w:val="0"/>
      <w:marBottom w:val="0"/>
      <w:divBdr>
        <w:top w:val="none" w:sz="0" w:space="0" w:color="auto"/>
        <w:left w:val="none" w:sz="0" w:space="0" w:color="auto"/>
        <w:bottom w:val="none" w:sz="0" w:space="0" w:color="auto"/>
        <w:right w:val="none" w:sz="0" w:space="0" w:color="auto"/>
      </w:divBdr>
    </w:div>
    <w:div w:id="1964773043">
      <w:bodyDiv w:val="1"/>
      <w:marLeft w:val="0"/>
      <w:marRight w:val="0"/>
      <w:marTop w:val="0"/>
      <w:marBottom w:val="0"/>
      <w:divBdr>
        <w:top w:val="none" w:sz="0" w:space="0" w:color="auto"/>
        <w:left w:val="none" w:sz="0" w:space="0" w:color="auto"/>
        <w:bottom w:val="none" w:sz="0" w:space="0" w:color="auto"/>
        <w:right w:val="none" w:sz="0" w:space="0" w:color="auto"/>
      </w:divBdr>
    </w:div>
    <w:div w:id="1983731743">
      <w:bodyDiv w:val="1"/>
      <w:marLeft w:val="0"/>
      <w:marRight w:val="0"/>
      <w:marTop w:val="0"/>
      <w:marBottom w:val="0"/>
      <w:divBdr>
        <w:top w:val="none" w:sz="0" w:space="0" w:color="auto"/>
        <w:left w:val="none" w:sz="0" w:space="0" w:color="auto"/>
        <w:bottom w:val="none" w:sz="0" w:space="0" w:color="auto"/>
        <w:right w:val="none" w:sz="0" w:space="0" w:color="auto"/>
      </w:divBdr>
    </w:div>
    <w:div w:id="1987396313">
      <w:bodyDiv w:val="1"/>
      <w:marLeft w:val="0"/>
      <w:marRight w:val="0"/>
      <w:marTop w:val="0"/>
      <w:marBottom w:val="0"/>
      <w:divBdr>
        <w:top w:val="none" w:sz="0" w:space="0" w:color="auto"/>
        <w:left w:val="none" w:sz="0" w:space="0" w:color="auto"/>
        <w:bottom w:val="none" w:sz="0" w:space="0" w:color="auto"/>
        <w:right w:val="none" w:sz="0" w:space="0" w:color="auto"/>
      </w:divBdr>
    </w:div>
    <w:div w:id="2038894829">
      <w:bodyDiv w:val="1"/>
      <w:marLeft w:val="0"/>
      <w:marRight w:val="0"/>
      <w:marTop w:val="0"/>
      <w:marBottom w:val="0"/>
      <w:divBdr>
        <w:top w:val="none" w:sz="0" w:space="0" w:color="auto"/>
        <w:left w:val="none" w:sz="0" w:space="0" w:color="auto"/>
        <w:bottom w:val="none" w:sz="0" w:space="0" w:color="auto"/>
        <w:right w:val="none" w:sz="0" w:space="0" w:color="auto"/>
      </w:divBdr>
    </w:div>
    <w:div w:id="2048526523">
      <w:bodyDiv w:val="1"/>
      <w:marLeft w:val="0"/>
      <w:marRight w:val="0"/>
      <w:marTop w:val="0"/>
      <w:marBottom w:val="0"/>
      <w:divBdr>
        <w:top w:val="none" w:sz="0" w:space="0" w:color="auto"/>
        <w:left w:val="none" w:sz="0" w:space="0" w:color="auto"/>
        <w:bottom w:val="none" w:sz="0" w:space="0" w:color="auto"/>
        <w:right w:val="none" w:sz="0" w:space="0" w:color="auto"/>
      </w:divBdr>
    </w:div>
    <w:div w:id="2077165421">
      <w:bodyDiv w:val="1"/>
      <w:marLeft w:val="0"/>
      <w:marRight w:val="0"/>
      <w:marTop w:val="0"/>
      <w:marBottom w:val="0"/>
      <w:divBdr>
        <w:top w:val="none" w:sz="0" w:space="0" w:color="auto"/>
        <w:left w:val="none" w:sz="0" w:space="0" w:color="auto"/>
        <w:bottom w:val="none" w:sz="0" w:space="0" w:color="auto"/>
        <w:right w:val="none" w:sz="0" w:space="0" w:color="auto"/>
      </w:divBdr>
    </w:div>
    <w:div w:id="2082097330">
      <w:bodyDiv w:val="1"/>
      <w:marLeft w:val="0"/>
      <w:marRight w:val="0"/>
      <w:marTop w:val="0"/>
      <w:marBottom w:val="0"/>
      <w:divBdr>
        <w:top w:val="none" w:sz="0" w:space="0" w:color="auto"/>
        <w:left w:val="none" w:sz="0" w:space="0" w:color="auto"/>
        <w:bottom w:val="none" w:sz="0" w:space="0" w:color="auto"/>
        <w:right w:val="none" w:sz="0" w:space="0" w:color="auto"/>
      </w:divBdr>
    </w:div>
    <w:div w:id="2088572793">
      <w:bodyDiv w:val="1"/>
      <w:marLeft w:val="0"/>
      <w:marRight w:val="0"/>
      <w:marTop w:val="0"/>
      <w:marBottom w:val="0"/>
      <w:divBdr>
        <w:top w:val="none" w:sz="0" w:space="0" w:color="auto"/>
        <w:left w:val="none" w:sz="0" w:space="0" w:color="auto"/>
        <w:bottom w:val="none" w:sz="0" w:space="0" w:color="auto"/>
        <w:right w:val="none" w:sz="0" w:space="0" w:color="auto"/>
      </w:divBdr>
    </w:div>
    <w:div w:id="2089224398">
      <w:bodyDiv w:val="1"/>
      <w:marLeft w:val="0"/>
      <w:marRight w:val="0"/>
      <w:marTop w:val="0"/>
      <w:marBottom w:val="0"/>
      <w:divBdr>
        <w:top w:val="none" w:sz="0" w:space="0" w:color="auto"/>
        <w:left w:val="none" w:sz="0" w:space="0" w:color="auto"/>
        <w:bottom w:val="none" w:sz="0" w:space="0" w:color="auto"/>
        <w:right w:val="none" w:sz="0" w:space="0" w:color="auto"/>
      </w:divBdr>
    </w:div>
    <w:div w:id="2089232623">
      <w:bodyDiv w:val="1"/>
      <w:marLeft w:val="0"/>
      <w:marRight w:val="0"/>
      <w:marTop w:val="0"/>
      <w:marBottom w:val="0"/>
      <w:divBdr>
        <w:top w:val="none" w:sz="0" w:space="0" w:color="auto"/>
        <w:left w:val="none" w:sz="0" w:space="0" w:color="auto"/>
        <w:bottom w:val="none" w:sz="0" w:space="0" w:color="auto"/>
        <w:right w:val="none" w:sz="0" w:space="0" w:color="auto"/>
      </w:divBdr>
    </w:div>
    <w:div w:id="2099478244">
      <w:bodyDiv w:val="1"/>
      <w:marLeft w:val="0"/>
      <w:marRight w:val="0"/>
      <w:marTop w:val="0"/>
      <w:marBottom w:val="0"/>
      <w:divBdr>
        <w:top w:val="none" w:sz="0" w:space="0" w:color="auto"/>
        <w:left w:val="none" w:sz="0" w:space="0" w:color="auto"/>
        <w:bottom w:val="none" w:sz="0" w:space="0" w:color="auto"/>
        <w:right w:val="none" w:sz="0" w:space="0" w:color="auto"/>
      </w:divBdr>
    </w:div>
    <w:div w:id="2124958244">
      <w:bodyDiv w:val="1"/>
      <w:marLeft w:val="0"/>
      <w:marRight w:val="0"/>
      <w:marTop w:val="0"/>
      <w:marBottom w:val="0"/>
      <w:divBdr>
        <w:top w:val="none" w:sz="0" w:space="0" w:color="auto"/>
        <w:left w:val="none" w:sz="0" w:space="0" w:color="auto"/>
        <w:bottom w:val="none" w:sz="0" w:space="0" w:color="auto"/>
        <w:right w:val="none" w:sz="0" w:space="0" w:color="auto"/>
      </w:divBdr>
    </w:div>
    <w:div w:id="2132741087">
      <w:bodyDiv w:val="1"/>
      <w:marLeft w:val="0"/>
      <w:marRight w:val="0"/>
      <w:marTop w:val="0"/>
      <w:marBottom w:val="0"/>
      <w:divBdr>
        <w:top w:val="none" w:sz="0" w:space="0" w:color="auto"/>
        <w:left w:val="none" w:sz="0" w:space="0" w:color="auto"/>
        <w:bottom w:val="none" w:sz="0" w:space="0" w:color="auto"/>
        <w:right w:val="none" w:sz="0" w:space="0" w:color="auto"/>
      </w:divBdr>
    </w:div>
    <w:div w:id="213813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verstoneRE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erstoneREL.com//investors/reports-and-present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199d5d-9365-4f18-b43c-aee1868a8e0a" xsi:nil="true"/>
    <lcf76f155ced4ddcb4097134ff3c332f xmlns="dbfc03f3-afa5-45e9-834c-87a4b3bbcf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3DBD8091E99844A6C56986AC91D6A2" ma:contentTypeVersion="15" ma:contentTypeDescription="Create a new document." ma:contentTypeScope="" ma:versionID="316a1af4afe1a55f257259ebc5c0f6ec">
  <xsd:schema xmlns:xsd="http://www.w3.org/2001/XMLSchema" xmlns:xs="http://www.w3.org/2001/XMLSchema" xmlns:p="http://schemas.microsoft.com/office/2006/metadata/properties" xmlns:ns2="dbfc03f3-afa5-45e9-834c-87a4b3bbcf86" xmlns:ns3="bf199d5d-9365-4f18-b43c-aee1868a8e0a" targetNamespace="http://schemas.microsoft.com/office/2006/metadata/properties" ma:root="true" ma:fieldsID="01a7b27c94ccb19aa59707a978331c51" ns2:_="" ns3:_="">
    <xsd:import namespace="dbfc03f3-afa5-45e9-834c-87a4b3bbcf86"/>
    <xsd:import namespace="bf199d5d-9365-4f18-b43c-aee1868a8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c03f3-afa5-45e9-834c-87a4b3bbc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0f292c-f3cb-4c3c-bc14-343db6a6f7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9d5d-9365-4f18-b43c-aee1868a8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e098bb-4ea1-4db5-9a33-8cd4957b5012}" ma:internalName="TaxCatchAll" ma:showField="CatchAllData" ma:web="bf199d5d-9365-4f18-b43c-aee1868a8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E9B64-62F1-4B4B-9DA3-C3D0E0529C1C}">
  <ds:schemaRefs>
    <ds:schemaRef ds:uri="http://schemas.microsoft.com/office/2006/metadata/properties"/>
    <ds:schemaRef ds:uri="http://schemas.microsoft.com/office/infopath/2007/PartnerControls"/>
    <ds:schemaRef ds:uri="2b869b86-195f-4144-b158-8bceef9dd154"/>
    <ds:schemaRef ds:uri="6d4f53a8-c5b1-40c9-8db8-e52924e16a0e"/>
    <ds:schemaRef ds:uri="bf199d5d-9365-4f18-b43c-aee1868a8e0a"/>
    <ds:schemaRef ds:uri="dbfc03f3-afa5-45e9-834c-87a4b3bbcf86"/>
  </ds:schemaRefs>
</ds:datastoreItem>
</file>

<file path=customXml/itemProps2.xml><?xml version="1.0" encoding="utf-8"?>
<ds:datastoreItem xmlns:ds="http://schemas.openxmlformats.org/officeDocument/2006/customXml" ds:itemID="{8B96B586-44A2-476C-A5FD-8898DE0F4DC6}">
  <ds:schemaRefs>
    <ds:schemaRef ds:uri="http://schemas.openxmlformats.org/officeDocument/2006/bibliography"/>
  </ds:schemaRefs>
</ds:datastoreItem>
</file>

<file path=customXml/itemProps3.xml><?xml version="1.0" encoding="utf-8"?>
<ds:datastoreItem xmlns:ds="http://schemas.openxmlformats.org/officeDocument/2006/customXml" ds:itemID="{45A642C3-49B8-432D-92BD-68760ABB1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c03f3-afa5-45e9-834c-87a4b3bbcf86"/>
    <ds:schemaRef ds:uri="bf199d5d-9365-4f18-b43c-aee1868a8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AD9DC-29EC-4F19-9DCF-46834E9AEFDB}">
  <ds:schemaRefs>
    <ds:schemaRef ds:uri="http://schemas.microsoft.com/sharepoint/v3/contenttype/forms"/>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20604</Words>
  <Characters>117443</Characters>
  <Application>Microsoft Office Word</Application>
  <DocSecurity>4</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Cortese, Salvatore</dc:creator>
  <cp:keywords/>
  <dc:description/>
  <cp:lastModifiedBy>Birgitte Horn</cp:lastModifiedBy>
  <cp:revision>2</cp:revision>
  <cp:lastPrinted>2024-08-17T04:39:00Z</cp:lastPrinted>
  <dcterms:created xsi:type="dcterms:W3CDTF">2025-08-26T17:39:00Z</dcterms:created>
  <dcterms:modified xsi:type="dcterms:W3CDTF">2025-08-26T17:39:00Z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0x010100F43DBD8091E99844A6C56986AC91D6A2</vt:lpwstr>
  </property>
</Properties>
</file>