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34" w:rsidRDefault="00D45E34" w:rsidP="00D45E34">
      <w:pPr>
        <w:pStyle w:val="BodyText"/>
        <w:widowControl w:val="0"/>
        <w:spacing w:after="0" w:line="276" w:lineRule="auto"/>
        <w:jc w:val="center"/>
        <w:rPr>
          <w:rFonts w:ascii="Calibri" w:hAnsi="Calibri" w:cs="Arial"/>
          <w:b/>
          <w:bCs/>
          <w:spacing w:val="0"/>
          <w:sz w:val="21"/>
          <w:szCs w:val="21"/>
          <w:lang w:val="en-GB"/>
        </w:rPr>
      </w:pPr>
      <w:r>
        <w:rPr>
          <w:rFonts w:ascii="Calibri" w:hAnsi="Calibri" w:cs="Arial"/>
          <w:b/>
          <w:bCs/>
          <w:spacing w:val="0"/>
          <w:sz w:val="21"/>
          <w:szCs w:val="21"/>
          <w:lang w:val="en-GB"/>
        </w:rPr>
        <w:t xml:space="preserve">RESOLUTIONS </w:t>
      </w:r>
    </w:p>
    <w:p w:rsidR="00D45E34" w:rsidRDefault="00D45E34" w:rsidP="00D45E34">
      <w:pPr>
        <w:pStyle w:val="BodyText"/>
        <w:widowControl w:val="0"/>
        <w:spacing w:after="0" w:line="276" w:lineRule="auto"/>
        <w:jc w:val="center"/>
        <w:rPr>
          <w:rFonts w:ascii="Calibri" w:hAnsi="Calibri" w:cs="Arial"/>
          <w:b/>
          <w:bCs/>
          <w:spacing w:val="0"/>
          <w:sz w:val="21"/>
          <w:szCs w:val="21"/>
          <w:lang w:val="en-GB"/>
        </w:rPr>
      </w:pPr>
      <w:r>
        <w:rPr>
          <w:rFonts w:ascii="Calibri" w:hAnsi="Calibri" w:cs="Arial"/>
          <w:b/>
          <w:bCs/>
          <w:spacing w:val="0"/>
          <w:sz w:val="21"/>
          <w:szCs w:val="21"/>
          <w:lang w:val="en-GB"/>
        </w:rPr>
        <w:t>OF</w:t>
      </w:r>
    </w:p>
    <w:p w:rsidR="00D45E34" w:rsidRPr="00E90113" w:rsidRDefault="00E90113" w:rsidP="00D45E34">
      <w:pPr>
        <w:pStyle w:val="BodyText"/>
        <w:widowControl w:val="0"/>
        <w:spacing w:after="0" w:line="276" w:lineRule="auto"/>
        <w:jc w:val="center"/>
        <w:rPr>
          <w:rFonts w:ascii="Calibri" w:hAnsi="Calibri" w:cs="Arial"/>
          <w:b/>
          <w:bCs/>
          <w:spacing w:val="0"/>
          <w:sz w:val="21"/>
          <w:szCs w:val="21"/>
          <w:lang w:val="en-GB"/>
        </w:rPr>
      </w:pPr>
      <w:r>
        <w:rPr>
          <w:rFonts w:ascii="Calibri" w:hAnsi="Calibri" w:cs="Arial"/>
          <w:b/>
          <w:bCs/>
          <w:spacing w:val="0"/>
          <w:sz w:val="21"/>
          <w:szCs w:val="21"/>
          <w:lang w:val="en-GB"/>
        </w:rPr>
        <w:t>R</w:t>
      </w:r>
      <w:r w:rsidR="00DA1A52">
        <w:rPr>
          <w:rFonts w:ascii="Calibri" w:hAnsi="Calibri" w:cs="Arial"/>
          <w:b/>
          <w:bCs/>
          <w:spacing w:val="0"/>
          <w:sz w:val="21"/>
          <w:szCs w:val="21"/>
          <w:lang w:val="en-GB"/>
        </w:rPr>
        <w:t>IVER &amp;</w:t>
      </w:r>
      <w:r>
        <w:rPr>
          <w:rFonts w:ascii="Calibri" w:hAnsi="Calibri" w:cs="Arial"/>
          <w:b/>
          <w:bCs/>
          <w:spacing w:val="0"/>
          <w:sz w:val="21"/>
          <w:szCs w:val="21"/>
          <w:lang w:val="en-GB"/>
        </w:rPr>
        <w:t xml:space="preserve"> MERCANTILE UK MICRO CAP INVESTMENT COMPANY LIMITED</w:t>
      </w:r>
    </w:p>
    <w:p w:rsidR="00D45E34" w:rsidRPr="00E90113" w:rsidRDefault="00E90113" w:rsidP="00E90113">
      <w:pPr>
        <w:pStyle w:val="BodyText"/>
        <w:widowControl w:val="0"/>
        <w:spacing w:line="276" w:lineRule="auto"/>
        <w:jc w:val="center"/>
        <w:rPr>
          <w:rFonts w:ascii="Calibri" w:eastAsia="Batang" w:hAnsi="Calibri" w:cs="Arial"/>
          <w:i/>
          <w:iCs/>
          <w:sz w:val="18"/>
          <w:szCs w:val="18"/>
          <w:lang w:val="en-GB" w:eastAsia="en-GB"/>
        </w:rPr>
      </w:pPr>
      <w:r>
        <w:rPr>
          <w:rFonts w:ascii="Calibri" w:eastAsia="Batang" w:hAnsi="Calibri" w:cs="Arial"/>
          <w:i/>
          <w:iCs/>
          <w:sz w:val="18"/>
          <w:szCs w:val="18"/>
          <w:lang w:val="en-GB" w:eastAsia="en-GB"/>
        </w:rPr>
        <w:t>(a non-cellu</w:t>
      </w:r>
      <w:r w:rsidRPr="00E90113">
        <w:rPr>
          <w:rFonts w:ascii="Calibri" w:eastAsia="Batang" w:hAnsi="Calibri" w:cs="Arial"/>
          <w:i/>
          <w:iCs/>
          <w:sz w:val="18"/>
          <w:szCs w:val="18"/>
          <w:lang w:val="en-GB" w:eastAsia="en-GB"/>
        </w:rPr>
        <w:t>lar</w:t>
      </w:r>
      <w:r>
        <w:rPr>
          <w:rFonts w:ascii="Calibri" w:eastAsia="Batang" w:hAnsi="Calibri" w:cs="Arial"/>
          <w:i/>
          <w:iCs/>
          <w:sz w:val="18"/>
          <w:szCs w:val="18"/>
          <w:lang w:val="en-GB" w:eastAsia="en-GB"/>
        </w:rPr>
        <w:t xml:space="preserve"> inves</w:t>
      </w:r>
      <w:r w:rsidRPr="00E90113">
        <w:rPr>
          <w:rFonts w:ascii="Calibri" w:eastAsia="Batang" w:hAnsi="Calibri" w:cs="Arial"/>
          <w:i/>
          <w:iCs/>
          <w:sz w:val="18"/>
          <w:szCs w:val="18"/>
          <w:lang w:val="en-GB" w:eastAsia="en-GB"/>
        </w:rPr>
        <w:t>tment</w:t>
      </w:r>
      <w:r>
        <w:rPr>
          <w:rFonts w:ascii="Calibri" w:eastAsia="Batang" w:hAnsi="Calibri" w:cs="Arial"/>
          <w:i/>
          <w:iCs/>
          <w:sz w:val="18"/>
          <w:szCs w:val="18"/>
          <w:lang w:val="en-GB" w:eastAsia="en-GB"/>
        </w:rPr>
        <w:t xml:space="preserve"> company limited by shares incorporated und</w:t>
      </w:r>
      <w:r w:rsidRPr="00E90113">
        <w:rPr>
          <w:rFonts w:ascii="Calibri" w:eastAsia="Batang" w:hAnsi="Calibri" w:cs="Arial"/>
          <w:i/>
          <w:iCs/>
          <w:sz w:val="18"/>
          <w:szCs w:val="18"/>
          <w:lang w:val="en-GB" w:eastAsia="en-GB"/>
        </w:rPr>
        <w:t>er</w:t>
      </w:r>
      <w:r>
        <w:rPr>
          <w:rFonts w:ascii="Calibri" w:eastAsia="Batang" w:hAnsi="Calibri" w:cs="Arial"/>
          <w:i/>
          <w:iCs/>
          <w:sz w:val="18"/>
          <w:szCs w:val="18"/>
          <w:lang w:val="en-GB" w:eastAsia="en-GB"/>
        </w:rPr>
        <w:t xml:space="preserve"> </w:t>
      </w:r>
      <w:r w:rsidRPr="00E90113">
        <w:rPr>
          <w:rFonts w:ascii="Calibri" w:eastAsia="Batang" w:hAnsi="Calibri" w:cs="Arial"/>
          <w:i/>
          <w:iCs/>
          <w:sz w:val="18"/>
          <w:szCs w:val="18"/>
          <w:lang w:val="en-GB" w:eastAsia="en-GB"/>
        </w:rPr>
        <w:t>the laws of</w:t>
      </w:r>
      <w:r>
        <w:rPr>
          <w:rFonts w:ascii="Calibri" w:eastAsia="Batang" w:hAnsi="Calibri" w:cs="Arial"/>
          <w:i/>
          <w:iCs/>
          <w:sz w:val="18"/>
          <w:szCs w:val="18"/>
          <w:lang w:val="en-GB" w:eastAsia="en-GB"/>
        </w:rPr>
        <w:t xml:space="preserve"> Guerns</w:t>
      </w:r>
      <w:r w:rsidRPr="00E90113">
        <w:rPr>
          <w:rFonts w:ascii="Calibri" w:eastAsia="Batang" w:hAnsi="Calibri" w:cs="Arial"/>
          <w:i/>
          <w:iCs/>
          <w:sz w:val="18"/>
          <w:szCs w:val="18"/>
          <w:lang w:val="en-GB" w:eastAsia="en-GB"/>
        </w:rPr>
        <w:t>ey</w:t>
      </w:r>
      <w:r>
        <w:rPr>
          <w:rFonts w:ascii="Calibri" w:eastAsia="Batang" w:hAnsi="Calibri" w:cs="Arial"/>
          <w:i/>
          <w:iCs/>
          <w:sz w:val="18"/>
          <w:szCs w:val="18"/>
          <w:lang w:val="en-GB" w:eastAsia="en-GB"/>
        </w:rPr>
        <w:t xml:space="preserve"> </w:t>
      </w:r>
      <w:r w:rsidRPr="00E90113">
        <w:rPr>
          <w:rFonts w:ascii="Calibri" w:eastAsia="Batang" w:hAnsi="Calibri" w:cs="Arial"/>
          <w:i/>
          <w:iCs/>
          <w:sz w:val="18"/>
          <w:szCs w:val="18"/>
          <w:lang w:val="en-GB" w:eastAsia="en-GB"/>
        </w:rPr>
        <w:t>with</w:t>
      </w:r>
      <w:r>
        <w:rPr>
          <w:rFonts w:ascii="Calibri" w:eastAsia="Batang" w:hAnsi="Calibri" w:cs="Arial"/>
          <w:i/>
          <w:iCs/>
          <w:sz w:val="18"/>
          <w:szCs w:val="18"/>
          <w:lang w:val="en-GB" w:eastAsia="en-GB"/>
        </w:rPr>
        <w:t xml:space="preserve"> registered nu</w:t>
      </w:r>
      <w:r w:rsidRPr="00E90113">
        <w:rPr>
          <w:rFonts w:ascii="Calibri" w:eastAsia="Batang" w:hAnsi="Calibri" w:cs="Arial"/>
          <w:i/>
          <w:iCs/>
          <w:sz w:val="18"/>
          <w:szCs w:val="18"/>
          <w:lang w:val="en-GB" w:eastAsia="en-GB"/>
        </w:rPr>
        <w:t>mber</w:t>
      </w:r>
      <w:r>
        <w:rPr>
          <w:rFonts w:ascii="Calibri" w:eastAsia="Batang" w:hAnsi="Calibri" w:cs="Arial"/>
          <w:i/>
          <w:iCs/>
          <w:sz w:val="18"/>
          <w:szCs w:val="18"/>
          <w:lang w:val="en-GB" w:eastAsia="en-GB"/>
        </w:rPr>
        <w:t xml:space="preserve"> </w:t>
      </w:r>
      <w:r w:rsidRPr="00E90113">
        <w:rPr>
          <w:rFonts w:ascii="Calibri" w:eastAsia="Batang" w:hAnsi="Calibri" w:cs="Arial"/>
          <w:i/>
          <w:iCs/>
          <w:sz w:val="18"/>
          <w:szCs w:val="18"/>
          <w:lang w:val="en-GB" w:eastAsia="en-GB"/>
        </w:rPr>
        <w:t>59106</w:t>
      </w:r>
      <w:r>
        <w:rPr>
          <w:rFonts w:ascii="Calibri" w:eastAsia="Batang" w:hAnsi="Calibri" w:cs="Arial"/>
          <w:i/>
          <w:iCs/>
          <w:sz w:val="18"/>
          <w:szCs w:val="18"/>
          <w:lang w:val="en-GB" w:eastAsia="en-GB"/>
        </w:rPr>
        <w:t xml:space="preserve"> and registered as a registered closed-ended collective investment scheme with the Guernsey Financial Services Commission)</w:t>
      </w:r>
    </w:p>
    <w:p w:rsidR="00E90113" w:rsidRPr="00F429E5" w:rsidRDefault="00E90113" w:rsidP="00D45E34">
      <w:pPr>
        <w:widowControl w:val="0"/>
        <w:adjustRightInd w:val="0"/>
        <w:spacing w:line="276" w:lineRule="auto"/>
        <w:jc w:val="both"/>
        <w:rPr>
          <w:rFonts w:ascii="Calibri" w:hAnsi="Calibri"/>
          <w:b/>
          <w:spacing w:val="0"/>
          <w:sz w:val="21"/>
          <w:szCs w:val="21"/>
        </w:rPr>
      </w:pPr>
    </w:p>
    <w:p w:rsidR="00D45E34" w:rsidRPr="009357E9" w:rsidRDefault="00D45E34" w:rsidP="00D45E34">
      <w:pPr>
        <w:widowControl w:val="0"/>
        <w:adjustRightInd w:val="0"/>
        <w:spacing w:line="276" w:lineRule="auto"/>
        <w:jc w:val="both"/>
        <w:rPr>
          <w:rFonts w:ascii="Calibri" w:hAnsi="Calibri"/>
          <w:spacing w:val="0"/>
          <w:sz w:val="21"/>
          <w:szCs w:val="21"/>
        </w:rPr>
      </w:pPr>
      <w:r w:rsidRPr="009357E9">
        <w:rPr>
          <w:rFonts w:ascii="Calibri" w:hAnsi="Calibri"/>
          <w:spacing w:val="0"/>
          <w:sz w:val="21"/>
          <w:szCs w:val="21"/>
        </w:rPr>
        <w:t xml:space="preserve">At an Annual General Meeting of </w:t>
      </w:r>
      <w:r w:rsidR="00DA1A52" w:rsidRPr="009357E9">
        <w:rPr>
          <w:rFonts w:ascii="Calibri" w:hAnsi="Calibri"/>
          <w:spacing w:val="0"/>
          <w:sz w:val="21"/>
          <w:szCs w:val="21"/>
        </w:rPr>
        <w:t>River &amp; Mercantile UK Micro Cap Investment Company Limited</w:t>
      </w:r>
      <w:r w:rsidRPr="009357E9">
        <w:rPr>
          <w:rFonts w:ascii="Calibri" w:hAnsi="Calibri"/>
          <w:spacing w:val="0"/>
          <w:sz w:val="21"/>
          <w:szCs w:val="21"/>
        </w:rPr>
        <w:t xml:space="preserve"> (the “Company”) held at the offices of BNP Paribas Securities Services, </w:t>
      </w:r>
      <w:r w:rsidR="00DA1A52" w:rsidRPr="009357E9">
        <w:rPr>
          <w:rFonts w:ascii="Calibri" w:hAnsi="Calibri"/>
          <w:spacing w:val="0"/>
          <w:sz w:val="21"/>
          <w:szCs w:val="21"/>
        </w:rPr>
        <w:t>BNP Paribas House, St Julian’s Avenue</w:t>
      </w:r>
      <w:r w:rsidR="009B086F" w:rsidRPr="009357E9">
        <w:rPr>
          <w:rFonts w:ascii="Calibri" w:hAnsi="Calibri"/>
          <w:spacing w:val="0"/>
          <w:sz w:val="21"/>
          <w:szCs w:val="21"/>
        </w:rPr>
        <w:t>,</w:t>
      </w:r>
      <w:r w:rsidR="00DA1A52" w:rsidRPr="009357E9">
        <w:rPr>
          <w:rFonts w:ascii="Calibri" w:hAnsi="Calibri"/>
          <w:spacing w:val="0"/>
          <w:sz w:val="21"/>
          <w:szCs w:val="21"/>
        </w:rPr>
        <w:t xml:space="preserve"> St Peter Port, Guernsey</w:t>
      </w:r>
      <w:r w:rsidRPr="009357E9">
        <w:rPr>
          <w:rFonts w:ascii="Calibri" w:hAnsi="Calibri"/>
          <w:spacing w:val="0"/>
          <w:sz w:val="21"/>
          <w:szCs w:val="21"/>
        </w:rPr>
        <w:t xml:space="preserve"> </w:t>
      </w:r>
      <w:r w:rsidR="00DA1A52" w:rsidRPr="009357E9">
        <w:rPr>
          <w:rFonts w:ascii="Calibri" w:hAnsi="Calibri"/>
          <w:spacing w:val="0"/>
          <w:sz w:val="21"/>
          <w:szCs w:val="21"/>
        </w:rPr>
        <w:t>GY1 1WA</w:t>
      </w:r>
      <w:r w:rsidRPr="009357E9">
        <w:rPr>
          <w:rFonts w:ascii="Calibri" w:hAnsi="Calibri"/>
          <w:spacing w:val="0"/>
          <w:sz w:val="21"/>
          <w:szCs w:val="21"/>
        </w:rPr>
        <w:t xml:space="preserve"> at </w:t>
      </w:r>
      <w:r w:rsidR="00DA1A52" w:rsidRPr="009357E9">
        <w:rPr>
          <w:rFonts w:ascii="Calibri" w:hAnsi="Calibri"/>
          <w:spacing w:val="0"/>
          <w:sz w:val="21"/>
          <w:szCs w:val="21"/>
        </w:rPr>
        <w:t>9:3</w:t>
      </w:r>
      <w:r w:rsidR="009B086F" w:rsidRPr="009357E9">
        <w:rPr>
          <w:rFonts w:ascii="Calibri" w:hAnsi="Calibri"/>
          <w:spacing w:val="0"/>
          <w:sz w:val="21"/>
          <w:szCs w:val="21"/>
        </w:rPr>
        <w:t>0am</w:t>
      </w:r>
      <w:r w:rsidR="00C9276C">
        <w:rPr>
          <w:rFonts w:ascii="Calibri" w:hAnsi="Calibri"/>
          <w:spacing w:val="0"/>
          <w:sz w:val="21"/>
          <w:szCs w:val="21"/>
        </w:rPr>
        <w:t xml:space="preserve"> GMT </w:t>
      </w:r>
      <w:r w:rsidR="00920AB3" w:rsidRPr="009357E9">
        <w:rPr>
          <w:rFonts w:ascii="Calibri" w:hAnsi="Calibri"/>
          <w:spacing w:val="0"/>
          <w:sz w:val="21"/>
          <w:szCs w:val="21"/>
        </w:rPr>
        <w:t xml:space="preserve">on </w:t>
      </w:r>
      <w:r w:rsidR="006B5A1B">
        <w:rPr>
          <w:rFonts w:ascii="Calibri" w:hAnsi="Calibri"/>
          <w:spacing w:val="0"/>
          <w:sz w:val="21"/>
          <w:szCs w:val="21"/>
        </w:rPr>
        <w:t xml:space="preserve">Wednesday </w:t>
      </w:r>
      <w:r w:rsidR="00C9276C">
        <w:rPr>
          <w:rFonts w:ascii="Calibri" w:hAnsi="Calibri"/>
          <w:spacing w:val="0"/>
          <w:sz w:val="21"/>
          <w:szCs w:val="21"/>
        </w:rPr>
        <w:t>1</w:t>
      </w:r>
      <w:r w:rsidR="00F62AD8">
        <w:rPr>
          <w:rFonts w:ascii="Calibri" w:hAnsi="Calibri"/>
          <w:spacing w:val="0"/>
          <w:sz w:val="21"/>
          <w:szCs w:val="21"/>
        </w:rPr>
        <w:t xml:space="preserve"> March </w:t>
      </w:r>
      <w:r w:rsidR="00DA1A52" w:rsidRPr="009357E9">
        <w:rPr>
          <w:rFonts w:ascii="Calibri" w:hAnsi="Calibri"/>
          <w:spacing w:val="0"/>
          <w:sz w:val="21"/>
          <w:szCs w:val="21"/>
        </w:rPr>
        <w:t>20</w:t>
      </w:r>
      <w:r w:rsidR="008C6C8C">
        <w:rPr>
          <w:rFonts w:ascii="Calibri" w:hAnsi="Calibri"/>
          <w:spacing w:val="0"/>
          <w:sz w:val="21"/>
          <w:szCs w:val="21"/>
        </w:rPr>
        <w:t>2</w:t>
      </w:r>
      <w:r w:rsidR="00C9276C">
        <w:rPr>
          <w:rFonts w:ascii="Calibri" w:hAnsi="Calibri"/>
          <w:spacing w:val="0"/>
          <w:sz w:val="21"/>
          <w:szCs w:val="21"/>
        </w:rPr>
        <w:t>3</w:t>
      </w:r>
      <w:r w:rsidRPr="009357E9">
        <w:rPr>
          <w:rFonts w:ascii="Calibri" w:hAnsi="Calibri"/>
          <w:spacing w:val="0"/>
          <w:sz w:val="21"/>
          <w:szCs w:val="21"/>
        </w:rPr>
        <w:t>.</w:t>
      </w:r>
      <w:r w:rsidR="00DA1A52" w:rsidRPr="009357E9">
        <w:rPr>
          <w:rFonts w:ascii="Calibri" w:hAnsi="Calibri" w:cs="Arial"/>
          <w:iCs/>
          <w:spacing w:val="0"/>
          <w:sz w:val="21"/>
          <w:szCs w:val="21"/>
        </w:rPr>
        <w:t xml:space="preserve"> T</w:t>
      </w:r>
      <w:r w:rsidRPr="009357E9">
        <w:rPr>
          <w:rFonts w:ascii="Calibri" w:hAnsi="Calibri" w:cs="Arial"/>
          <w:iCs/>
          <w:spacing w:val="0"/>
          <w:sz w:val="21"/>
          <w:szCs w:val="21"/>
        </w:rPr>
        <w:t xml:space="preserve">he following resolutions were duly passed </w:t>
      </w:r>
      <w:r w:rsidR="005D6619" w:rsidRPr="009357E9">
        <w:rPr>
          <w:rFonts w:ascii="Calibri" w:hAnsi="Calibri" w:cs="Arial"/>
          <w:iCs/>
          <w:spacing w:val="0"/>
          <w:sz w:val="21"/>
          <w:szCs w:val="21"/>
        </w:rPr>
        <w:t xml:space="preserve">as special </w:t>
      </w:r>
      <w:r w:rsidRPr="009357E9">
        <w:rPr>
          <w:rFonts w:ascii="Calibri" w:hAnsi="Calibri" w:cs="Arial"/>
          <w:iCs/>
          <w:spacing w:val="0"/>
          <w:sz w:val="21"/>
          <w:szCs w:val="21"/>
        </w:rPr>
        <w:t xml:space="preserve">business </w:t>
      </w:r>
    </w:p>
    <w:p w:rsidR="00D45E34" w:rsidRPr="009357E9" w:rsidRDefault="00D45E34" w:rsidP="00D45E34">
      <w:pPr>
        <w:widowControl w:val="0"/>
        <w:adjustRightInd w:val="0"/>
        <w:spacing w:line="276" w:lineRule="auto"/>
        <w:jc w:val="both"/>
        <w:rPr>
          <w:rFonts w:ascii="Calibri" w:hAnsi="Calibri" w:cs="Arial"/>
          <w:spacing w:val="0"/>
          <w:sz w:val="21"/>
          <w:szCs w:val="21"/>
        </w:rPr>
      </w:pPr>
    </w:p>
    <w:p w:rsidR="00D45E34" w:rsidRDefault="00E62FC8" w:rsidP="00D45E34">
      <w:pPr>
        <w:widowControl w:val="0"/>
        <w:adjustRightInd w:val="0"/>
        <w:spacing w:line="276" w:lineRule="auto"/>
        <w:jc w:val="both"/>
        <w:rPr>
          <w:rFonts w:ascii="Calibri" w:hAnsi="Calibri" w:cs="Arial"/>
          <w:i/>
          <w:spacing w:val="0"/>
          <w:sz w:val="21"/>
          <w:szCs w:val="21"/>
        </w:rPr>
      </w:pPr>
      <w:r w:rsidRPr="009357E9">
        <w:rPr>
          <w:rFonts w:ascii="Calibri" w:hAnsi="Calibri" w:cs="Arial"/>
          <w:i/>
          <w:spacing w:val="0"/>
          <w:sz w:val="21"/>
          <w:szCs w:val="21"/>
        </w:rPr>
        <w:t xml:space="preserve">Ordinary </w:t>
      </w:r>
      <w:r w:rsidR="00D45E34" w:rsidRPr="009357E9">
        <w:rPr>
          <w:rFonts w:ascii="Calibri" w:hAnsi="Calibri" w:cs="Arial"/>
          <w:i/>
          <w:spacing w:val="0"/>
          <w:sz w:val="21"/>
          <w:szCs w:val="21"/>
        </w:rPr>
        <w:t>Resolution</w:t>
      </w:r>
    </w:p>
    <w:p w:rsidR="00BC673B" w:rsidRPr="009357E9" w:rsidRDefault="00BC673B" w:rsidP="00D45E34">
      <w:pPr>
        <w:widowControl w:val="0"/>
        <w:adjustRightInd w:val="0"/>
        <w:spacing w:line="276" w:lineRule="auto"/>
        <w:jc w:val="both"/>
        <w:rPr>
          <w:rFonts w:ascii="Calibri" w:hAnsi="Calibri" w:cs="Arial"/>
          <w:i/>
          <w:spacing w:val="0"/>
          <w:sz w:val="21"/>
          <w:szCs w:val="21"/>
        </w:rPr>
      </w:pPr>
    </w:p>
    <w:p w:rsidR="00DF29E9" w:rsidRDefault="006B5A1B" w:rsidP="001C4EBC">
      <w:pPr>
        <w:widowControl w:val="0"/>
        <w:adjustRightInd w:val="0"/>
        <w:spacing w:line="276" w:lineRule="auto"/>
        <w:ind w:left="720" w:hanging="720"/>
        <w:jc w:val="both"/>
        <w:rPr>
          <w:rFonts w:ascii="Calibri" w:hAnsi="Calibri" w:cs="Arial"/>
          <w:spacing w:val="0"/>
          <w:sz w:val="21"/>
          <w:szCs w:val="21"/>
        </w:rPr>
      </w:pPr>
      <w:r>
        <w:rPr>
          <w:rFonts w:ascii="Calibri" w:hAnsi="Calibri" w:cs="Arial"/>
          <w:spacing w:val="0"/>
          <w:sz w:val="21"/>
          <w:szCs w:val="21"/>
        </w:rPr>
        <w:t>9</w:t>
      </w:r>
      <w:r w:rsidR="009B086F" w:rsidRPr="009357E9">
        <w:rPr>
          <w:rFonts w:ascii="Calibri" w:hAnsi="Calibri" w:cs="Arial"/>
          <w:spacing w:val="0"/>
          <w:sz w:val="21"/>
          <w:szCs w:val="21"/>
        </w:rPr>
        <w:t>.</w:t>
      </w:r>
      <w:r w:rsidR="009B086F" w:rsidRPr="009357E9">
        <w:rPr>
          <w:rFonts w:ascii="Calibri" w:hAnsi="Calibri" w:cs="Arial"/>
          <w:spacing w:val="0"/>
          <w:sz w:val="21"/>
          <w:szCs w:val="21"/>
        </w:rPr>
        <w:tab/>
      </w:r>
      <w:r w:rsidR="009B086F" w:rsidRPr="009357E9">
        <w:rPr>
          <w:rFonts w:ascii="Calibri" w:hAnsi="Calibri" w:cs="Arial"/>
          <w:b/>
          <w:spacing w:val="0"/>
          <w:sz w:val="21"/>
          <w:szCs w:val="21"/>
        </w:rPr>
        <w:t>THAT</w:t>
      </w:r>
      <w:r w:rsidR="009B086F" w:rsidRPr="009357E9">
        <w:rPr>
          <w:rFonts w:ascii="Calibri" w:hAnsi="Calibri" w:cs="Arial"/>
          <w:spacing w:val="0"/>
          <w:sz w:val="21"/>
          <w:szCs w:val="21"/>
        </w:rPr>
        <w:t xml:space="preserve"> the Company be</w:t>
      </w:r>
      <w:r w:rsidR="00DF29E9" w:rsidRPr="009357E9">
        <w:rPr>
          <w:rFonts w:ascii="Calibri" w:hAnsi="Calibri" w:cs="Arial"/>
          <w:spacing w:val="0"/>
          <w:sz w:val="21"/>
          <w:szCs w:val="21"/>
        </w:rPr>
        <w:t>,</w:t>
      </w:r>
      <w:r w:rsidR="009B086F" w:rsidRPr="009357E9">
        <w:rPr>
          <w:rFonts w:ascii="Calibri" w:hAnsi="Calibri" w:cs="Arial"/>
          <w:spacing w:val="0"/>
          <w:sz w:val="21"/>
          <w:szCs w:val="21"/>
        </w:rPr>
        <w:t xml:space="preserve"> and is hereby </w:t>
      </w:r>
      <w:r w:rsidR="00DF29E9" w:rsidRPr="009357E9">
        <w:rPr>
          <w:rFonts w:ascii="Calibri" w:hAnsi="Calibri" w:cs="Arial"/>
          <w:spacing w:val="0"/>
          <w:sz w:val="21"/>
          <w:szCs w:val="21"/>
        </w:rPr>
        <w:t>authorised, conditional on the Ordinary Shares remaining traded</w:t>
      </w:r>
      <w:r w:rsidR="00FF3343">
        <w:rPr>
          <w:rFonts w:ascii="Calibri" w:hAnsi="Calibri" w:cs="Arial"/>
          <w:spacing w:val="0"/>
          <w:sz w:val="21"/>
          <w:szCs w:val="21"/>
        </w:rPr>
        <w:t xml:space="preserve"> </w:t>
      </w:r>
      <w:r w:rsidR="00DF29E9" w:rsidRPr="009357E9">
        <w:rPr>
          <w:rFonts w:ascii="Calibri" w:hAnsi="Calibri" w:cs="Arial"/>
          <w:spacing w:val="0"/>
          <w:sz w:val="21"/>
          <w:szCs w:val="21"/>
        </w:rPr>
        <w:t>on the main market of the London Stock Exchange plc, to make market purchases (as that term is</w:t>
      </w:r>
      <w:r w:rsidR="00FF3343">
        <w:rPr>
          <w:rFonts w:ascii="Calibri" w:hAnsi="Calibri" w:cs="Arial"/>
          <w:spacing w:val="0"/>
          <w:sz w:val="21"/>
          <w:szCs w:val="21"/>
        </w:rPr>
        <w:t xml:space="preserve"> </w:t>
      </w:r>
      <w:r w:rsidR="00DF29E9" w:rsidRPr="009357E9">
        <w:rPr>
          <w:rFonts w:ascii="Calibri" w:hAnsi="Calibri" w:cs="Arial"/>
          <w:spacing w:val="0"/>
          <w:sz w:val="21"/>
          <w:szCs w:val="21"/>
        </w:rPr>
        <w:t>defined in the Companies (Guernsey) Law, 2008, as amended) of its own redeemable ordinary shares of no par value (“</w:t>
      </w:r>
      <w:r w:rsidR="00DF29E9" w:rsidRPr="009357E9">
        <w:rPr>
          <w:rFonts w:ascii="Calibri" w:hAnsi="Calibri" w:cs="Arial"/>
          <w:b/>
          <w:bCs/>
          <w:spacing w:val="0"/>
          <w:sz w:val="21"/>
          <w:szCs w:val="21"/>
        </w:rPr>
        <w:t>Ordinary Shares</w:t>
      </w:r>
      <w:r w:rsidR="00DF29E9" w:rsidRPr="009357E9">
        <w:rPr>
          <w:rFonts w:ascii="Calibri" w:hAnsi="Calibri" w:cs="Arial"/>
          <w:spacing w:val="0"/>
          <w:sz w:val="21"/>
          <w:szCs w:val="21"/>
        </w:rPr>
        <w:t>”) which may be cancelled or held as treasury shares, provided that:</w:t>
      </w:r>
    </w:p>
    <w:p w:rsidR="00BC673B" w:rsidRPr="009357E9" w:rsidRDefault="00BC673B" w:rsidP="001C4EBC">
      <w:pPr>
        <w:widowControl w:val="0"/>
        <w:adjustRightInd w:val="0"/>
        <w:spacing w:line="276" w:lineRule="auto"/>
        <w:ind w:left="720" w:hanging="720"/>
        <w:jc w:val="both"/>
        <w:rPr>
          <w:rFonts w:ascii="Calibri" w:hAnsi="Calibri" w:cs="Arial"/>
          <w:spacing w:val="0"/>
          <w:sz w:val="21"/>
          <w:szCs w:val="21"/>
        </w:rPr>
      </w:pPr>
    </w:p>
    <w:p w:rsidR="00DF29E9" w:rsidRPr="00C27B34" w:rsidRDefault="00DF29E9" w:rsidP="00DF29E9">
      <w:pPr>
        <w:pStyle w:val="ListParagraph"/>
        <w:widowControl w:val="0"/>
        <w:numPr>
          <w:ilvl w:val="0"/>
          <w:numId w:val="2"/>
        </w:numPr>
        <w:adjustRightInd w:val="0"/>
        <w:spacing w:line="276" w:lineRule="auto"/>
        <w:jc w:val="both"/>
        <w:rPr>
          <w:rFonts w:ascii="Calibri" w:hAnsi="Calibri" w:cs="Arial"/>
          <w:spacing w:val="0"/>
          <w:sz w:val="21"/>
          <w:szCs w:val="21"/>
        </w:rPr>
      </w:pPr>
      <w:r w:rsidRPr="00C27B34">
        <w:rPr>
          <w:rFonts w:ascii="Calibri" w:hAnsi="Calibri" w:cs="Arial"/>
          <w:spacing w:val="0"/>
          <w:sz w:val="21"/>
          <w:szCs w:val="21"/>
        </w:rPr>
        <w:t xml:space="preserve">the maximum number of Ordinary Shares that may be purchased under this authority is </w:t>
      </w:r>
      <w:r w:rsidR="006B5A1B" w:rsidRPr="00C27B34">
        <w:rPr>
          <w:rFonts w:ascii="Calibri" w:hAnsi="Calibri" w:cs="Arial"/>
          <w:spacing w:val="0"/>
          <w:sz w:val="21"/>
          <w:szCs w:val="21"/>
        </w:rPr>
        <w:t>5,081,303</w:t>
      </w:r>
      <w:r w:rsidRPr="00C27B34">
        <w:rPr>
          <w:rFonts w:ascii="Calibri" w:hAnsi="Calibri" w:cs="Arial"/>
          <w:spacing w:val="0"/>
          <w:sz w:val="21"/>
          <w:szCs w:val="21"/>
        </w:rPr>
        <w:t xml:space="preserve"> Ordinary Shares (or, if less, 14.99% of the aggregate number of Ordinary Shares in issue as at the date of passing of this resolution);</w:t>
      </w:r>
    </w:p>
    <w:p w:rsidR="00DF29E9" w:rsidRPr="00C27B34" w:rsidRDefault="00DF29E9" w:rsidP="00DF29E9">
      <w:pPr>
        <w:pStyle w:val="ListParagraph"/>
        <w:widowControl w:val="0"/>
        <w:adjustRightInd w:val="0"/>
        <w:spacing w:line="276" w:lineRule="auto"/>
        <w:ind w:left="1418"/>
        <w:jc w:val="both"/>
        <w:rPr>
          <w:rFonts w:ascii="Calibri" w:hAnsi="Calibri" w:cs="Arial"/>
          <w:spacing w:val="0"/>
          <w:sz w:val="21"/>
          <w:szCs w:val="21"/>
        </w:rPr>
      </w:pPr>
    </w:p>
    <w:p w:rsidR="00DF29E9" w:rsidRPr="00C27B34" w:rsidRDefault="00DF29E9" w:rsidP="00DF29E9">
      <w:pPr>
        <w:pStyle w:val="ListParagraph"/>
        <w:widowControl w:val="0"/>
        <w:numPr>
          <w:ilvl w:val="0"/>
          <w:numId w:val="2"/>
        </w:numPr>
        <w:adjustRightInd w:val="0"/>
        <w:spacing w:line="276" w:lineRule="auto"/>
        <w:jc w:val="both"/>
        <w:rPr>
          <w:rFonts w:ascii="Calibri" w:hAnsi="Calibri" w:cs="Arial"/>
          <w:spacing w:val="0"/>
          <w:sz w:val="21"/>
          <w:szCs w:val="21"/>
        </w:rPr>
      </w:pPr>
      <w:r w:rsidRPr="00C27B34">
        <w:rPr>
          <w:rFonts w:ascii="Calibri" w:hAnsi="Calibri" w:cs="Arial"/>
          <w:spacing w:val="0"/>
          <w:sz w:val="21"/>
          <w:szCs w:val="21"/>
        </w:rPr>
        <w:t>the minimum price which may be paid for an Ordinary Share is £0.01;</w:t>
      </w:r>
    </w:p>
    <w:p w:rsidR="00DF29E9" w:rsidRPr="00C27B34" w:rsidRDefault="00DF29E9" w:rsidP="00DF29E9">
      <w:pPr>
        <w:widowControl w:val="0"/>
        <w:adjustRightInd w:val="0"/>
        <w:spacing w:line="276" w:lineRule="auto"/>
        <w:jc w:val="both"/>
        <w:rPr>
          <w:rFonts w:ascii="Calibri" w:hAnsi="Calibri" w:cs="Arial"/>
          <w:spacing w:val="0"/>
          <w:sz w:val="21"/>
          <w:szCs w:val="21"/>
        </w:rPr>
      </w:pPr>
      <w:bookmarkStart w:id="0" w:name="_GoBack"/>
      <w:bookmarkEnd w:id="0"/>
    </w:p>
    <w:p w:rsidR="00DF29E9" w:rsidRPr="00C27B34" w:rsidRDefault="00DF29E9" w:rsidP="00DF29E9">
      <w:pPr>
        <w:widowControl w:val="0"/>
        <w:adjustRightInd w:val="0"/>
        <w:spacing w:line="276" w:lineRule="auto"/>
        <w:ind w:left="1418" w:hanging="720"/>
        <w:jc w:val="both"/>
        <w:rPr>
          <w:rFonts w:ascii="Calibri" w:hAnsi="Calibri" w:cs="Arial"/>
          <w:spacing w:val="0"/>
          <w:sz w:val="21"/>
          <w:szCs w:val="21"/>
        </w:rPr>
      </w:pPr>
      <w:r w:rsidRPr="00C27B34">
        <w:rPr>
          <w:rFonts w:ascii="Calibri" w:hAnsi="Calibri" w:cs="Arial"/>
          <w:spacing w:val="0"/>
          <w:sz w:val="21"/>
          <w:szCs w:val="21"/>
        </w:rPr>
        <w:t xml:space="preserve">(iii) </w:t>
      </w:r>
      <w:r w:rsidRPr="00C27B34">
        <w:rPr>
          <w:rFonts w:ascii="Calibri" w:hAnsi="Calibri" w:cs="Arial"/>
          <w:spacing w:val="0"/>
          <w:sz w:val="21"/>
          <w:szCs w:val="21"/>
        </w:rPr>
        <w:tab/>
        <w:t>the maximum price which may be paid for an Ordinary Share is not more than an amount equal to the higher of (a) 105</w:t>
      </w:r>
      <w:r w:rsidR="00BC673B" w:rsidRPr="00C27B34">
        <w:rPr>
          <w:rFonts w:ascii="Calibri" w:hAnsi="Calibri" w:cs="Arial"/>
          <w:spacing w:val="0"/>
          <w:sz w:val="21"/>
          <w:szCs w:val="21"/>
        </w:rPr>
        <w:t xml:space="preserve"> </w:t>
      </w:r>
      <w:r w:rsidRPr="00C27B34">
        <w:rPr>
          <w:rFonts w:ascii="Calibri" w:hAnsi="Calibri" w:cs="Arial"/>
          <w:spacing w:val="0"/>
          <w:sz w:val="21"/>
          <w:szCs w:val="21"/>
        </w:rPr>
        <w:t>per cent. above the average of the closing price of the Company’s Ordinary Shares as derived from the London Stock Exchange Daily Official List for the five business days immediately preceding the day on which such share is contracted to be purchased;</w:t>
      </w:r>
      <w:r w:rsidR="00316207" w:rsidRPr="00C27B34">
        <w:rPr>
          <w:rFonts w:ascii="Calibri" w:hAnsi="Calibri" w:cs="Arial"/>
          <w:spacing w:val="0"/>
          <w:sz w:val="21"/>
          <w:szCs w:val="21"/>
        </w:rPr>
        <w:t xml:space="preserve"> </w:t>
      </w:r>
      <w:r w:rsidRPr="00C27B34">
        <w:rPr>
          <w:rFonts w:ascii="Calibri" w:hAnsi="Calibri" w:cs="Arial"/>
          <w:spacing w:val="0"/>
          <w:sz w:val="21"/>
          <w:szCs w:val="21"/>
        </w:rPr>
        <w:t>and (b) the higher of the price of the last independent trade and the highest current independent bid as stipulated by Commission-adopted Regulatory Technical Standards pursuant to article 5(6) of the Market Abuse Regulation.</w:t>
      </w:r>
    </w:p>
    <w:p w:rsidR="00DF29E9" w:rsidRPr="00C27B34" w:rsidRDefault="00DF29E9" w:rsidP="00DF29E9">
      <w:pPr>
        <w:widowControl w:val="0"/>
        <w:adjustRightInd w:val="0"/>
        <w:spacing w:line="276" w:lineRule="auto"/>
        <w:ind w:left="720" w:hanging="22"/>
        <w:jc w:val="both"/>
        <w:rPr>
          <w:rFonts w:ascii="Calibri" w:hAnsi="Calibri" w:cs="Arial"/>
          <w:spacing w:val="0"/>
          <w:sz w:val="21"/>
          <w:szCs w:val="21"/>
        </w:rPr>
      </w:pPr>
    </w:p>
    <w:p w:rsidR="00E62FC8" w:rsidRPr="00C27B34" w:rsidRDefault="00DF29E9" w:rsidP="00F62AD8">
      <w:pPr>
        <w:widowControl w:val="0"/>
        <w:adjustRightInd w:val="0"/>
        <w:spacing w:line="276" w:lineRule="auto"/>
        <w:ind w:left="720" w:hanging="22"/>
        <w:jc w:val="both"/>
        <w:rPr>
          <w:rFonts w:ascii="Calibri" w:hAnsi="Calibri" w:cs="Arial"/>
          <w:spacing w:val="0"/>
          <w:sz w:val="21"/>
          <w:szCs w:val="21"/>
        </w:rPr>
      </w:pPr>
      <w:r w:rsidRPr="00C27B34">
        <w:rPr>
          <w:rFonts w:ascii="Calibri" w:hAnsi="Calibri" w:cs="Arial"/>
          <w:spacing w:val="0"/>
          <w:sz w:val="21"/>
          <w:szCs w:val="21"/>
        </w:rPr>
        <w:t>This authority will expire upon the date of the next Annual General Meeting of the Company, unless previously renewed, varied or revoked by the Company in general meeting.</w:t>
      </w:r>
      <w:r w:rsidR="009B086F" w:rsidRPr="00C27B34">
        <w:rPr>
          <w:rFonts w:ascii="Calibri" w:hAnsi="Calibri" w:cs="Arial"/>
          <w:sz w:val="21"/>
          <w:szCs w:val="21"/>
        </w:rPr>
        <w:t xml:space="preserve"> </w:t>
      </w:r>
    </w:p>
    <w:p w:rsidR="00E62FC8" w:rsidRPr="00C27B34" w:rsidRDefault="00E62FC8" w:rsidP="00D45E34">
      <w:pPr>
        <w:widowControl w:val="0"/>
        <w:adjustRightInd w:val="0"/>
        <w:spacing w:line="276" w:lineRule="auto"/>
        <w:ind w:left="720" w:hanging="720"/>
        <w:jc w:val="both"/>
        <w:rPr>
          <w:rFonts w:ascii="Calibri" w:hAnsi="Calibri" w:cs="Arial"/>
          <w:spacing w:val="0"/>
          <w:sz w:val="21"/>
          <w:szCs w:val="21"/>
        </w:rPr>
      </w:pPr>
    </w:p>
    <w:p w:rsidR="00D45E34" w:rsidRPr="00C27B34" w:rsidRDefault="00D45E34" w:rsidP="00D45E34">
      <w:pPr>
        <w:widowControl w:val="0"/>
        <w:adjustRightInd w:val="0"/>
        <w:spacing w:line="276" w:lineRule="auto"/>
        <w:ind w:left="720" w:hanging="720"/>
        <w:jc w:val="both"/>
        <w:rPr>
          <w:rFonts w:ascii="Calibri" w:hAnsi="Calibri" w:cs="Arial"/>
          <w:i/>
          <w:spacing w:val="0"/>
          <w:sz w:val="21"/>
          <w:szCs w:val="21"/>
        </w:rPr>
      </w:pPr>
      <w:r w:rsidRPr="00C27B34">
        <w:rPr>
          <w:rFonts w:ascii="Calibri" w:hAnsi="Calibri" w:cs="Arial"/>
          <w:i/>
          <w:spacing w:val="0"/>
          <w:sz w:val="21"/>
          <w:szCs w:val="21"/>
        </w:rPr>
        <w:t xml:space="preserve">Special Resolution </w:t>
      </w:r>
    </w:p>
    <w:p w:rsidR="00BC673B" w:rsidRPr="00C27B34" w:rsidRDefault="00BC673B" w:rsidP="00D45E34">
      <w:pPr>
        <w:widowControl w:val="0"/>
        <w:adjustRightInd w:val="0"/>
        <w:spacing w:line="276" w:lineRule="auto"/>
        <w:ind w:left="720" w:hanging="720"/>
        <w:jc w:val="both"/>
        <w:rPr>
          <w:rFonts w:ascii="Calibri" w:hAnsi="Calibri" w:cs="Arial"/>
          <w:i/>
          <w:spacing w:val="0"/>
          <w:sz w:val="21"/>
          <w:szCs w:val="21"/>
        </w:rPr>
      </w:pPr>
    </w:p>
    <w:p w:rsidR="00B80062" w:rsidRPr="00C27B34" w:rsidRDefault="008C6C8C" w:rsidP="00B80062">
      <w:pPr>
        <w:widowControl w:val="0"/>
        <w:adjustRightInd w:val="0"/>
        <w:spacing w:line="276" w:lineRule="auto"/>
        <w:ind w:left="720" w:hanging="720"/>
        <w:jc w:val="both"/>
        <w:rPr>
          <w:rFonts w:ascii="Calibri" w:hAnsi="Calibri" w:cs="Arial"/>
          <w:spacing w:val="0"/>
          <w:sz w:val="21"/>
          <w:szCs w:val="21"/>
        </w:rPr>
      </w:pPr>
      <w:r w:rsidRPr="00C27B34">
        <w:rPr>
          <w:rFonts w:ascii="Calibri" w:hAnsi="Calibri" w:cs="Arial"/>
          <w:spacing w:val="0"/>
          <w:sz w:val="21"/>
          <w:szCs w:val="21"/>
        </w:rPr>
        <w:t>1</w:t>
      </w:r>
      <w:r w:rsidR="006B5A1B" w:rsidRPr="00C27B34">
        <w:rPr>
          <w:rFonts w:ascii="Calibri" w:hAnsi="Calibri" w:cs="Arial"/>
          <w:spacing w:val="0"/>
          <w:sz w:val="21"/>
          <w:szCs w:val="21"/>
        </w:rPr>
        <w:t>0</w:t>
      </w:r>
      <w:r w:rsidR="00F62AD8" w:rsidRPr="00C27B34">
        <w:rPr>
          <w:rFonts w:ascii="Calibri" w:hAnsi="Calibri" w:cs="Arial"/>
          <w:spacing w:val="0"/>
          <w:sz w:val="21"/>
          <w:szCs w:val="21"/>
        </w:rPr>
        <w:t>.</w:t>
      </w:r>
      <w:r w:rsidR="009B086F" w:rsidRPr="00C27B34">
        <w:rPr>
          <w:rFonts w:ascii="Calibri" w:hAnsi="Calibri" w:cs="Arial"/>
          <w:spacing w:val="0"/>
          <w:sz w:val="21"/>
          <w:szCs w:val="21"/>
        </w:rPr>
        <w:t xml:space="preserve"> </w:t>
      </w:r>
      <w:r w:rsidR="009B086F" w:rsidRPr="00C27B34">
        <w:rPr>
          <w:rFonts w:ascii="Calibri" w:hAnsi="Calibri" w:cs="Arial"/>
          <w:spacing w:val="0"/>
          <w:sz w:val="21"/>
          <w:szCs w:val="21"/>
        </w:rPr>
        <w:tab/>
      </w:r>
      <w:r w:rsidR="00B80062" w:rsidRPr="00C27B34">
        <w:rPr>
          <w:rFonts w:ascii="Calibri" w:hAnsi="Calibri" w:cs="Arial"/>
          <w:b/>
          <w:spacing w:val="0"/>
          <w:sz w:val="21"/>
          <w:szCs w:val="21"/>
        </w:rPr>
        <w:t>THAT</w:t>
      </w:r>
      <w:r w:rsidR="00B80062" w:rsidRPr="00C27B34">
        <w:rPr>
          <w:rFonts w:ascii="Calibri" w:hAnsi="Calibri" w:cs="Arial"/>
          <w:spacing w:val="0"/>
          <w:sz w:val="21"/>
          <w:szCs w:val="21"/>
        </w:rPr>
        <w:t xml:space="preserve"> the Directors of the Company be and are hereby authorised to allot and issue equity securities (within the meaning of the Company's Articles) for cash either pursuant to Article 4.1</w:t>
      </w:r>
      <w:r w:rsidR="00F62AD8" w:rsidRPr="00C27B34">
        <w:rPr>
          <w:rFonts w:ascii="Calibri" w:hAnsi="Calibri" w:cs="Arial"/>
          <w:spacing w:val="0"/>
          <w:sz w:val="21"/>
          <w:szCs w:val="21"/>
        </w:rPr>
        <w:t xml:space="preserve"> </w:t>
      </w:r>
      <w:r w:rsidR="00B80062" w:rsidRPr="00C27B34">
        <w:rPr>
          <w:rFonts w:ascii="Calibri" w:hAnsi="Calibri" w:cs="Arial"/>
          <w:spacing w:val="0"/>
          <w:sz w:val="21"/>
          <w:szCs w:val="21"/>
        </w:rPr>
        <w:t>as if Article 6.2 of the Articles did not apply to any such allotment and issue, provided that this power shall:</w:t>
      </w:r>
    </w:p>
    <w:p w:rsidR="00B80062" w:rsidRPr="00F62AD8" w:rsidRDefault="00B80062" w:rsidP="00B80062">
      <w:pPr>
        <w:widowControl w:val="0"/>
        <w:adjustRightInd w:val="0"/>
        <w:spacing w:line="276" w:lineRule="auto"/>
        <w:ind w:left="1418" w:hanging="709"/>
        <w:jc w:val="both"/>
        <w:rPr>
          <w:rFonts w:ascii="Calibri" w:hAnsi="Calibri" w:cs="Arial"/>
          <w:spacing w:val="0"/>
          <w:sz w:val="21"/>
          <w:szCs w:val="21"/>
        </w:rPr>
      </w:pPr>
      <w:r w:rsidRPr="00C27B34">
        <w:rPr>
          <w:rFonts w:ascii="Calibri" w:hAnsi="Calibri" w:cs="Arial"/>
          <w:spacing w:val="0"/>
          <w:sz w:val="21"/>
          <w:szCs w:val="21"/>
        </w:rPr>
        <w:t>(</w:t>
      </w:r>
      <w:proofErr w:type="spellStart"/>
      <w:r w:rsidRPr="00C27B34">
        <w:rPr>
          <w:rFonts w:ascii="Calibri" w:hAnsi="Calibri" w:cs="Arial"/>
          <w:spacing w:val="0"/>
          <w:sz w:val="21"/>
          <w:szCs w:val="21"/>
        </w:rPr>
        <w:t>i</w:t>
      </w:r>
      <w:proofErr w:type="spellEnd"/>
      <w:r w:rsidRPr="00C27B34">
        <w:rPr>
          <w:rFonts w:ascii="Calibri" w:hAnsi="Calibri" w:cs="Arial"/>
          <w:spacing w:val="0"/>
          <w:sz w:val="21"/>
          <w:szCs w:val="21"/>
        </w:rPr>
        <w:t xml:space="preserve">) </w:t>
      </w:r>
      <w:r w:rsidRPr="00C27B34">
        <w:rPr>
          <w:rFonts w:ascii="Calibri" w:hAnsi="Calibri" w:cs="Arial"/>
          <w:spacing w:val="0"/>
          <w:sz w:val="21"/>
          <w:szCs w:val="21"/>
        </w:rPr>
        <w:tab/>
        <w:t xml:space="preserve">be limited to the allotment and issue of up to </w:t>
      </w:r>
      <w:r w:rsidR="006B5A1B" w:rsidRPr="00C27B34">
        <w:rPr>
          <w:rFonts w:ascii="Calibri" w:hAnsi="Calibri" w:cs="Arial"/>
          <w:spacing w:val="0"/>
          <w:sz w:val="21"/>
          <w:szCs w:val="21"/>
        </w:rPr>
        <w:t>3,389,795</w:t>
      </w:r>
      <w:r w:rsidRPr="00C27B34">
        <w:rPr>
          <w:rFonts w:ascii="Calibri" w:hAnsi="Calibri" w:cs="Arial"/>
          <w:spacing w:val="0"/>
          <w:sz w:val="21"/>
          <w:szCs w:val="21"/>
        </w:rPr>
        <w:t xml:space="preserve"> Ordinary Shares (excluding treasury shares) or, if less, 10% of the Ordinary Shares in issue as at </w:t>
      </w:r>
      <w:r w:rsidR="00C9276C" w:rsidRPr="00C27B34">
        <w:rPr>
          <w:rFonts w:ascii="Calibri" w:hAnsi="Calibri" w:cs="Arial"/>
          <w:spacing w:val="0"/>
          <w:sz w:val="21"/>
          <w:szCs w:val="21"/>
        </w:rPr>
        <w:t>1</w:t>
      </w:r>
      <w:r w:rsidR="008C6C8C" w:rsidRPr="00C27B34">
        <w:rPr>
          <w:rFonts w:ascii="Calibri" w:hAnsi="Calibri" w:cs="Arial"/>
          <w:spacing w:val="0"/>
          <w:sz w:val="21"/>
          <w:szCs w:val="21"/>
        </w:rPr>
        <w:t xml:space="preserve"> March 202</w:t>
      </w:r>
      <w:r w:rsidR="00C9276C" w:rsidRPr="00C27B34">
        <w:rPr>
          <w:rFonts w:ascii="Calibri" w:hAnsi="Calibri" w:cs="Arial"/>
          <w:spacing w:val="0"/>
          <w:sz w:val="21"/>
          <w:szCs w:val="21"/>
        </w:rPr>
        <w:t>3</w:t>
      </w:r>
      <w:r w:rsidRPr="00C27B34">
        <w:rPr>
          <w:rFonts w:ascii="Calibri" w:hAnsi="Calibri" w:cs="Arial"/>
          <w:spacing w:val="0"/>
          <w:sz w:val="21"/>
          <w:szCs w:val="21"/>
        </w:rPr>
        <w:t>;</w:t>
      </w:r>
    </w:p>
    <w:p w:rsidR="00B80062" w:rsidRPr="00F62AD8" w:rsidRDefault="00B80062" w:rsidP="00B80062">
      <w:pPr>
        <w:widowControl w:val="0"/>
        <w:adjustRightInd w:val="0"/>
        <w:spacing w:line="276" w:lineRule="auto"/>
        <w:ind w:left="1418" w:hanging="709"/>
        <w:jc w:val="both"/>
        <w:rPr>
          <w:rFonts w:ascii="Calibri" w:hAnsi="Calibri" w:cs="Arial"/>
          <w:spacing w:val="0"/>
          <w:sz w:val="21"/>
          <w:szCs w:val="21"/>
        </w:rPr>
      </w:pPr>
    </w:p>
    <w:p w:rsidR="00B80062" w:rsidRPr="009357E9" w:rsidRDefault="00B80062" w:rsidP="00B80062">
      <w:pPr>
        <w:widowControl w:val="0"/>
        <w:adjustRightInd w:val="0"/>
        <w:spacing w:line="276" w:lineRule="auto"/>
        <w:ind w:left="1440" w:hanging="731"/>
        <w:jc w:val="both"/>
        <w:rPr>
          <w:rFonts w:ascii="Calibri" w:hAnsi="Calibri" w:cs="Arial"/>
          <w:spacing w:val="0"/>
          <w:sz w:val="21"/>
          <w:szCs w:val="21"/>
        </w:rPr>
      </w:pPr>
      <w:r w:rsidRPr="00F62AD8">
        <w:rPr>
          <w:rFonts w:ascii="Calibri" w:hAnsi="Calibri" w:cs="Arial"/>
          <w:spacing w:val="0"/>
          <w:sz w:val="21"/>
          <w:szCs w:val="21"/>
        </w:rPr>
        <w:t xml:space="preserve">(ii) </w:t>
      </w:r>
      <w:r w:rsidRPr="00F62AD8">
        <w:rPr>
          <w:rFonts w:ascii="Calibri" w:hAnsi="Calibri" w:cs="Arial"/>
          <w:spacing w:val="0"/>
          <w:sz w:val="21"/>
          <w:szCs w:val="21"/>
        </w:rPr>
        <w:tab/>
        <w:t>unless authorised by Shareholders, no Shares will be issued at a price</w:t>
      </w:r>
      <w:r w:rsidRPr="009357E9">
        <w:rPr>
          <w:rFonts w:ascii="Calibri" w:hAnsi="Calibri" w:cs="Arial"/>
          <w:spacing w:val="0"/>
          <w:sz w:val="21"/>
          <w:szCs w:val="21"/>
        </w:rPr>
        <w:t xml:space="preserve"> less than the prevailing Net Asset Value per Share at the time of the issue unless they are offered pro rata to existing Shareholders; and</w:t>
      </w:r>
    </w:p>
    <w:p w:rsidR="00B80062" w:rsidRPr="009357E9" w:rsidRDefault="00B80062" w:rsidP="00B80062">
      <w:pPr>
        <w:widowControl w:val="0"/>
        <w:adjustRightInd w:val="0"/>
        <w:spacing w:line="276" w:lineRule="auto"/>
        <w:ind w:left="720" w:hanging="720"/>
        <w:jc w:val="both"/>
        <w:rPr>
          <w:rFonts w:ascii="Calibri" w:hAnsi="Calibri" w:cs="Arial"/>
          <w:spacing w:val="0"/>
          <w:sz w:val="21"/>
          <w:szCs w:val="21"/>
        </w:rPr>
      </w:pPr>
    </w:p>
    <w:p w:rsidR="00B80062" w:rsidRPr="009357E9" w:rsidRDefault="00B80062" w:rsidP="00E62FC8">
      <w:pPr>
        <w:widowControl w:val="0"/>
        <w:adjustRightInd w:val="0"/>
        <w:spacing w:line="276" w:lineRule="auto"/>
        <w:ind w:left="720" w:hanging="11"/>
        <w:jc w:val="both"/>
        <w:rPr>
          <w:rFonts w:ascii="Calibri" w:hAnsi="Calibri" w:cs="Arial"/>
          <w:spacing w:val="0"/>
          <w:sz w:val="21"/>
          <w:szCs w:val="21"/>
        </w:rPr>
      </w:pPr>
      <w:r w:rsidRPr="009357E9">
        <w:rPr>
          <w:rFonts w:ascii="Calibri" w:hAnsi="Calibri" w:cs="Arial"/>
          <w:spacing w:val="0"/>
          <w:sz w:val="21"/>
          <w:szCs w:val="21"/>
        </w:rPr>
        <w:t>this authority will expire upon the date of the next Annual General Meeting of the Company, unless</w:t>
      </w:r>
      <w:r w:rsidR="00E62FC8" w:rsidRPr="009357E9">
        <w:rPr>
          <w:rFonts w:ascii="Calibri" w:hAnsi="Calibri" w:cs="Arial"/>
          <w:spacing w:val="0"/>
          <w:sz w:val="21"/>
          <w:szCs w:val="21"/>
        </w:rPr>
        <w:t xml:space="preserve"> </w:t>
      </w:r>
      <w:r w:rsidRPr="009357E9">
        <w:rPr>
          <w:rFonts w:ascii="Calibri" w:hAnsi="Calibri" w:cs="Arial"/>
          <w:spacing w:val="0"/>
          <w:sz w:val="21"/>
          <w:szCs w:val="21"/>
        </w:rPr>
        <w:lastRenderedPageBreak/>
        <w:t>previously renewed, varied or revoked by the Company in general meeting.</w:t>
      </w:r>
    </w:p>
    <w:p w:rsidR="00B80062" w:rsidRPr="009357E9" w:rsidRDefault="00B80062" w:rsidP="00B80062">
      <w:pPr>
        <w:widowControl w:val="0"/>
        <w:adjustRightInd w:val="0"/>
        <w:spacing w:line="276" w:lineRule="auto"/>
        <w:ind w:left="720" w:hanging="720"/>
        <w:jc w:val="both"/>
        <w:rPr>
          <w:rFonts w:ascii="Calibri" w:hAnsi="Calibri" w:cs="Arial"/>
          <w:spacing w:val="0"/>
          <w:sz w:val="21"/>
          <w:szCs w:val="21"/>
        </w:rPr>
      </w:pPr>
    </w:p>
    <w:p w:rsidR="009B086F" w:rsidRPr="009357E9" w:rsidRDefault="00B80062" w:rsidP="00E62FC8">
      <w:pPr>
        <w:widowControl w:val="0"/>
        <w:adjustRightInd w:val="0"/>
        <w:spacing w:line="276" w:lineRule="auto"/>
        <w:ind w:left="720" w:hanging="11"/>
        <w:jc w:val="both"/>
        <w:rPr>
          <w:rFonts w:ascii="Calibri" w:hAnsi="Calibri" w:cs="Arial"/>
          <w:spacing w:val="0"/>
          <w:sz w:val="21"/>
          <w:szCs w:val="21"/>
        </w:rPr>
      </w:pPr>
      <w:r w:rsidRPr="009357E9">
        <w:rPr>
          <w:rFonts w:ascii="Calibri" w:hAnsi="Calibri" w:cs="Arial"/>
          <w:spacing w:val="0"/>
          <w:sz w:val="21"/>
          <w:szCs w:val="21"/>
        </w:rPr>
        <w:t>This resolution revokes and replaces all unexercised authorities previously granted to the Directors to</w:t>
      </w:r>
      <w:r w:rsidR="00E62FC8" w:rsidRPr="009357E9">
        <w:rPr>
          <w:rFonts w:ascii="Calibri" w:hAnsi="Calibri" w:cs="Arial"/>
          <w:spacing w:val="0"/>
          <w:sz w:val="21"/>
          <w:szCs w:val="21"/>
        </w:rPr>
        <w:t xml:space="preserve"> </w:t>
      </w:r>
      <w:r w:rsidRPr="009357E9">
        <w:rPr>
          <w:rFonts w:ascii="Calibri" w:hAnsi="Calibri" w:cs="Arial"/>
          <w:spacing w:val="0"/>
          <w:sz w:val="21"/>
          <w:szCs w:val="21"/>
        </w:rPr>
        <w:t>allot and issue equity securities in the capital of the Company wholly</w:t>
      </w:r>
      <w:r w:rsidR="00E62FC8" w:rsidRPr="009357E9">
        <w:rPr>
          <w:rFonts w:ascii="Calibri" w:hAnsi="Calibri" w:cs="Arial"/>
          <w:spacing w:val="0"/>
          <w:sz w:val="21"/>
          <w:szCs w:val="21"/>
        </w:rPr>
        <w:t xml:space="preserve"> for cash as if the pre-emption </w:t>
      </w:r>
      <w:r w:rsidRPr="009357E9">
        <w:rPr>
          <w:rFonts w:ascii="Calibri" w:hAnsi="Calibri" w:cs="Arial"/>
          <w:spacing w:val="0"/>
          <w:sz w:val="21"/>
          <w:szCs w:val="21"/>
        </w:rPr>
        <w:t>rights contained in Article 6.2 of the Articles did not apply to such allotment and is</w:t>
      </w:r>
      <w:r w:rsidR="00E62FC8" w:rsidRPr="009357E9">
        <w:rPr>
          <w:rFonts w:ascii="Calibri" w:hAnsi="Calibri" w:cs="Arial"/>
          <w:spacing w:val="0"/>
          <w:sz w:val="21"/>
          <w:szCs w:val="21"/>
        </w:rPr>
        <w:t xml:space="preserve">sue but without </w:t>
      </w:r>
      <w:r w:rsidRPr="009357E9">
        <w:rPr>
          <w:rFonts w:ascii="Calibri" w:hAnsi="Calibri" w:cs="Arial"/>
          <w:spacing w:val="0"/>
          <w:sz w:val="21"/>
          <w:szCs w:val="21"/>
        </w:rPr>
        <w:t>prejudice to any allotment and issue of shares already made, offered o</w:t>
      </w:r>
      <w:r w:rsidR="00E62FC8" w:rsidRPr="009357E9">
        <w:rPr>
          <w:rFonts w:ascii="Calibri" w:hAnsi="Calibri" w:cs="Arial"/>
          <w:spacing w:val="0"/>
          <w:sz w:val="21"/>
          <w:szCs w:val="21"/>
        </w:rPr>
        <w:t xml:space="preserve">r agreed to be made pursuant to </w:t>
      </w:r>
      <w:r w:rsidRPr="009357E9">
        <w:rPr>
          <w:rFonts w:ascii="Calibri" w:hAnsi="Calibri" w:cs="Arial"/>
          <w:spacing w:val="0"/>
          <w:sz w:val="21"/>
          <w:szCs w:val="21"/>
        </w:rPr>
        <w:t>such authorities.</w:t>
      </w:r>
    </w:p>
    <w:p w:rsidR="00D45E34" w:rsidRPr="009357E9" w:rsidRDefault="00D45E34" w:rsidP="00D45E34">
      <w:pPr>
        <w:widowControl w:val="0"/>
        <w:adjustRightInd w:val="0"/>
        <w:spacing w:line="276" w:lineRule="auto"/>
        <w:jc w:val="both"/>
        <w:rPr>
          <w:rFonts w:ascii="Calibri" w:hAnsi="Calibri"/>
          <w:b/>
          <w:sz w:val="21"/>
          <w:szCs w:val="21"/>
        </w:rPr>
      </w:pPr>
    </w:p>
    <w:p w:rsidR="005D6619" w:rsidRPr="009357E9" w:rsidRDefault="005D6619" w:rsidP="00D45E34">
      <w:pPr>
        <w:widowControl w:val="0"/>
        <w:adjustRightInd w:val="0"/>
        <w:spacing w:line="276" w:lineRule="auto"/>
        <w:jc w:val="both"/>
        <w:rPr>
          <w:rFonts w:ascii="Calibri" w:hAnsi="Calibri"/>
          <w:b/>
          <w:sz w:val="21"/>
          <w:szCs w:val="21"/>
        </w:rPr>
      </w:pPr>
    </w:p>
    <w:p w:rsidR="00D45E34" w:rsidRPr="009357E9" w:rsidRDefault="00C9276C" w:rsidP="00D45E34">
      <w:pPr>
        <w:widowControl w:val="0"/>
        <w:spacing w:line="276" w:lineRule="auto"/>
        <w:jc w:val="both"/>
        <w:rPr>
          <w:rFonts w:ascii="Calibri" w:hAnsi="Calibri" w:cs="Arial"/>
          <w:sz w:val="21"/>
          <w:szCs w:val="21"/>
        </w:rPr>
      </w:pPr>
      <w:r>
        <w:rPr>
          <w:rFonts w:ascii="Calibri" w:hAnsi="Calibri" w:cs="Arial"/>
          <w:sz w:val="21"/>
          <w:szCs w:val="21"/>
        </w:rPr>
        <w:t xml:space="preserve">Sharon A Williams </w:t>
      </w:r>
    </w:p>
    <w:p w:rsidR="00D45E34" w:rsidRPr="009357E9" w:rsidRDefault="00D45E34" w:rsidP="00D45E34">
      <w:pPr>
        <w:widowControl w:val="0"/>
        <w:spacing w:line="276" w:lineRule="auto"/>
        <w:jc w:val="both"/>
        <w:rPr>
          <w:rFonts w:ascii="Calibri" w:hAnsi="Calibri" w:cs="Arial"/>
          <w:bCs/>
          <w:spacing w:val="0"/>
          <w:sz w:val="21"/>
          <w:szCs w:val="21"/>
        </w:rPr>
      </w:pPr>
      <w:r w:rsidRPr="009357E9">
        <w:rPr>
          <w:rFonts w:ascii="Calibri" w:hAnsi="Calibri" w:cs="Arial"/>
          <w:bCs/>
          <w:spacing w:val="0"/>
          <w:sz w:val="21"/>
          <w:szCs w:val="21"/>
        </w:rPr>
        <w:t>For and on behalf of</w:t>
      </w:r>
    </w:p>
    <w:p w:rsidR="00D45E34" w:rsidRPr="009357E9" w:rsidRDefault="00D45E34" w:rsidP="00D45E34">
      <w:pPr>
        <w:widowControl w:val="0"/>
        <w:spacing w:line="276" w:lineRule="auto"/>
        <w:jc w:val="both"/>
        <w:rPr>
          <w:rFonts w:ascii="Calibri" w:hAnsi="Calibri" w:cs="Arial"/>
          <w:bCs/>
          <w:spacing w:val="0"/>
          <w:sz w:val="21"/>
          <w:szCs w:val="21"/>
        </w:rPr>
      </w:pPr>
      <w:r w:rsidRPr="009357E9">
        <w:rPr>
          <w:rFonts w:ascii="Calibri" w:hAnsi="Calibri" w:cs="Arial"/>
          <w:bCs/>
          <w:spacing w:val="0"/>
          <w:sz w:val="21"/>
          <w:szCs w:val="21"/>
        </w:rPr>
        <w:t xml:space="preserve">BNP Paribas S.A. </w:t>
      </w:r>
      <w:r w:rsidR="006B5A1B">
        <w:rPr>
          <w:rFonts w:ascii="Calibri" w:hAnsi="Calibri" w:cs="Arial"/>
          <w:bCs/>
          <w:spacing w:val="0"/>
          <w:sz w:val="21"/>
          <w:szCs w:val="21"/>
        </w:rPr>
        <w:t xml:space="preserve">Guernsey </w:t>
      </w:r>
      <w:r w:rsidRPr="009357E9">
        <w:rPr>
          <w:rFonts w:ascii="Calibri" w:hAnsi="Calibri" w:cs="Arial"/>
          <w:bCs/>
          <w:spacing w:val="0"/>
          <w:sz w:val="21"/>
          <w:szCs w:val="21"/>
        </w:rPr>
        <w:t>Branch</w:t>
      </w:r>
    </w:p>
    <w:p w:rsidR="002D0516" w:rsidRPr="009357E9" w:rsidRDefault="00D45E34" w:rsidP="005D6619">
      <w:pPr>
        <w:widowControl w:val="0"/>
        <w:spacing w:line="276" w:lineRule="auto"/>
        <w:jc w:val="both"/>
        <w:rPr>
          <w:rFonts w:ascii="Calibri" w:hAnsi="Calibri" w:cs="Arial"/>
          <w:bCs/>
          <w:spacing w:val="0"/>
          <w:sz w:val="21"/>
          <w:szCs w:val="21"/>
        </w:rPr>
      </w:pPr>
      <w:r w:rsidRPr="009357E9">
        <w:rPr>
          <w:rFonts w:ascii="Calibri" w:hAnsi="Calibri" w:cs="Arial"/>
          <w:bCs/>
          <w:spacing w:val="0"/>
          <w:sz w:val="21"/>
          <w:szCs w:val="21"/>
        </w:rPr>
        <w:t>Company Secretary</w:t>
      </w:r>
    </w:p>
    <w:sectPr w:rsidR="002D0516" w:rsidRPr="009357E9" w:rsidSect="005D6619">
      <w:headerReference w:type="even" r:id="rId7"/>
      <w:headerReference w:type="default" r:id="rId8"/>
      <w:footerReference w:type="even" r:id="rId9"/>
      <w:footerReference w:type="default" r:id="rId10"/>
      <w:headerReference w:type="first" r:id="rId11"/>
      <w:footerReference w:type="first" r:id="rId12"/>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1B" w:rsidRDefault="006B5A1B" w:rsidP="006B5A1B">
      <w:r>
        <w:separator/>
      </w:r>
    </w:p>
  </w:endnote>
  <w:endnote w:type="continuationSeparator" w:id="0">
    <w:p w:rsidR="006B5A1B" w:rsidRDefault="006B5A1B" w:rsidP="006B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6C" w:rsidRDefault="00C9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1B" w:rsidRDefault="006B5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6C" w:rsidRDefault="00C9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1B" w:rsidRDefault="006B5A1B" w:rsidP="006B5A1B">
      <w:r>
        <w:separator/>
      </w:r>
    </w:p>
  </w:footnote>
  <w:footnote w:type="continuationSeparator" w:id="0">
    <w:p w:rsidR="006B5A1B" w:rsidRDefault="006B5A1B" w:rsidP="006B5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6C" w:rsidRDefault="00C9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6C" w:rsidRDefault="00C92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6C" w:rsidRDefault="00C9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33AF"/>
    <w:multiLevelType w:val="hybridMultilevel"/>
    <w:tmpl w:val="F4FAD138"/>
    <w:lvl w:ilvl="0" w:tplc="E8049484">
      <w:start w:val="1"/>
      <w:numFmt w:val="lowerRoman"/>
      <w:lvlText w:val="(%1)"/>
      <w:lvlJc w:val="left"/>
      <w:pPr>
        <w:ind w:left="1418" w:hanging="72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 w15:restartNumberingAfterBreak="0">
    <w:nsid w:val="4FE37EA3"/>
    <w:multiLevelType w:val="hybridMultilevel"/>
    <w:tmpl w:val="49EC3E4E"/>
    <w:lvl w:ilvl="0" w:tplc="24D457D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34"/>
    <w:rsid w:val="000207FB"/>
    <w:rsid w:val="00034B80"/>
    <w:rsid w:val="00044B59"/>
    <w:rsid w:val="000625B5"/>
    <w:rsid w:val="000972B0"/>
    <w:rsid w:val="000F626D"/>
    <w:rsid w:val="00127514"/>
    <w:rsid w:val="001C4EBC"/>
    <w:rsid w:val="0020671A"/>
    <w:rsid w:val="00216BFB"/>
    <w:rsid w:val="00226A5C"/>
    <w:rsid w:val="00257AB7"/>
    <w:rsid w:val="00274663"/>
    <w:rsid w:val="002A5F5B"/>
    <w:rsid w:val="00316207"/>
    <w:rsid w:val="00325E86"/>
    <w:rsid w:val="003425D9"/>
    <w:rsid w:val="00381DAC"/>
    <w:rsid w:val="003A6ABA"/>
    <w:rsid w:val="003C463A"/>
    <w:rsid w:val="004007FD"/>
    <w:rsid w:val="004224BE"/>
    <w:rsid w:val="004309BC"/>
    <w:rsid w:val="00442B80"/>
    <w:rsid w:val="004B0B74"/>
    <w:rsid w:val="004C146B"/>
    <w:rsid w:val="00582D78"/>
    <w:rsid w:val="005906CC"/>
    <w:rsid w:val="005911C2"/>
    <w:rsid w:val="00591AB1"/>
    <w:rsid w:val="005940F7"/>
    <w:rsid w:val="00594C88"/>
    <w:rsid w:val="005A0ADA"/>
    <w:rsid w:val="005B5C28"/>
    <w:rsid w:val="005B79AE"/>
    <w:rsid w:val="005D6619"/>
    <w:rsid w:val="005F08AA"/>
    <w:rsid w:val="005F1727"/>
    <w:rsid w:val="005F5A5C"/>
    <w:rsid w:val="006029CA"/>
    <w:rsid w:val="00650D0D"/>
    <w:rsid w:val="006B0E05"/>
    <w:rsid w:val="006B5A1B"/>
    <w:rsid w:val="006C2CBF"/>
    <w:rsid w:val="006E6B03"/>
    <w:rsid w:val="006F0B15"/>
    <w:rsid w:val="00711B32"/>
    <w:rsid w:val="00713659"/>
    <w:rsid w:val="007A1428"/>
    <w:rsid w:val="007A2432"/>
    <w:rsid w:val="007D5BE7"/>
    <w:rsid w:val="007E0E79"/>
    <w:rsid w:val="00802CF2"/>
    <w:rsid w:val="0084405C"/>
    <w:rsid w:val="008445E4"/>
    <w:rsid w:val="00851DF1"/>
    <w:rsid w:val="008533A8"/>
    <w:rsid w:val="00856608"/>
    <w:rsid w:val="008601C2"/>
    <w:rsid w:val="00873492"/>
    <w:rsid w:val="00882019"/>
    <w:rsid w:val="00883796"/>
    <w:rsid w:val="008C042A"/>
    <w:rsid w:val="008C576D"/>
    <w:rsid w:val="008C6C8C"/>
    <w:rsid w:val="008C7007"/>
    <w:rsid w:val="008E1D8F"/>
    <w:rsid w:val="008E65B0"/>
    <w:rsid w:val="00904826"/>
    <w:rsid w:val="00920AB3"/>
    <w:rsid w:val="009357E9"/>
    <w:rsid w:val="00940330"/>
    <w:rsid w:val="009B086F"/>
    <w:rsid w:val="009C4F77"/>
    <w:rsid w:val="009E773E"/>
    <w:rsid w:val="00A75A48"/>
    <w:rsid w:val="00AB26AA"/>
    <w:rsid w:val="00AB33CD"/>
    <w:rsid w:val="00AD1611"/>
    <w:rsid w:val="00B274DA"/>
    <w:rsid w:val="00B36602"/>
    <w:rsid w:val="00B471B9"/>
    <w:rsid w:val="00B57A07"/>
    <w:rsid w:val="00B65230"/>
    <w:rsid w:val="00B80062"/>
    <w:rsid w:val="00B9693F"/>
    <w:rsid w:val="00BA4FC0"/>
    <w:rsid w:val="00BC673B"/>
    <w:rsid w:val="00C27B34"/>
    <w:rsid w:val="00C406E4"/>
    <w:rsid w:val="00C424BE"/>
    <w:rsid w:val="00C72235"/>
    <w:rsid w:val="00C9276C"/>
    <w:rsid w:val="00CA7F54"/>
    <w:rsid w:val="00CC58F1"/>
    <w:rsid w:val="00D45E34"/>
    <w:rsid w:val="00D9668D"/>
    <w:rsid w:val="00DA1A52"/>
    <w:rsid w:val="00DC14A6"/>
    <w:rsid w:val="00DC50D8"/>
    <w:rsid w:val="00DE2FC9"/>
    <w:rsid w:val="00DF29E9"/>
    <w:rsid w:val="00E05388"/>
    <w:rsid w:val="00E32C40"/>
    <w:rsid w:val="00E62FC8"/>
    <w:rsid w:val="00E75AFC"/>
    <w:rsid w:val="00E82885"/>
    <w:rsid w:val="00E90113"/>
    <w:rsid w:val="00EE6B00"/>
    <w:rsid w:val="00F12644"/>
    <w:rsid w:val="00F62AD8"/>
    <w:rsid w:val="00F83313"/>
    <w:rsid w:val="00FD2F9D"/>
    <w:rsid w:val="00FF240B"/>
    <w:rsid w:val="00FF33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E3A2D6F-9850-40E4-87F2-40486929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34"/>
    <w:pPr>
      <w:spacing w:after="0" w:line="240" w:lineRule="auto"/>
    </w:pPr>
    <w:rPr>
      <w:rFonts w:ascii="Times New Roman" w:eastAsia="Times New Roman" w:hAnsi="Times New Roman" w:cs="Times New Roman"/>
      <w:spacing w:val="-5"/>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E34"/>
    <w:pPr>
      <w:spacing w:after="0" w:line="240" w:lineRule="auto"/>
    </w:pPr>
  </w:style>
  <w:style w:type="paragraph" w:customStyle="1" w:styleId="Hang1">
    <w:name w:val="Hang 1"/>
    <w:basedOn w:val="Normal"/>
    <w:rsid w:val="00D45E34"/>
    <w:pPr>
      <w:autoSpaceDE w:val="0"/>
      <w:autoSpaceDN w:val="0"/>
      <w:ind w:left="720" w:hanging="720"/>
      <w:jc w:val="both"/>
    </w:pPr>
    <w:rPr>
      <w:spacing w:val="0"/>
      <w:szCs w:val="24"/>
      <w:lang w:eastAsia="en-GB"/>
    </w:rPr>
  </w:style>
  <w:style w:type="paragraph" w:styleId="ListParagraph">
    <w:name w:val="List Paragraph"/>
    <w:basedOn w:val="Normal"/>
    <w:uiPriority w:val="34"/>
    <w:qFormat/>
    <w:rsid w:val="00D45E34"/>
    <w:pPr>
      <w:ind w:left="720"/>
    </w:pPr>
  </w:style>
  <w:style w:type="paragraph" w:styleId="BodyText">
    <w:name w:val="Body Text"/>
    <w:basedOn w:val="Normal"/>
    <w:link w:val="BodyTextChar"/>
    <w:rsid w:val="00D45E34"/>
    <w:pPr>
      <w:spacing w:after="120"/>
    </w:pPr>
    <w:rPr>
      <w:lang w:val="x-none"/>
    </w:rPr>
  </w:style>
  <w:style w:type="character" w:customStyle="1" w:styleId="BodyTextChar">
    <w:name w:val="Body Text Char"/>
    <w:basedOn w:val="DefaultParagraphFont"/>
    <w:link w:val="BodyText"/>
    <w:rsid w:val="00D45E34"/>
    <w:rPr>
      <w:rFonts w:ascii="Times New Roman" w:eastAsia="Times New Roman" w:hAnsi="Times New Roman" w:cs="Times New Roman"/>
      <w:spacing w:val="-5"/>
      <w:sz w:val="24"/>
      <w:szCs w:val="20"/>
      <w:lang w:val="x-none" w:eastAsia="en-US"/>
    </w:rPr>
  </w:style>
  <w:style w:type="paragraph" w:styleId="BalloonText">
    <w:name w:val="Balloon Text"/>
    <w:basedOn w:val="Normal"/>
    <w:link w:val="BalloonTextChar"/>
    <w:uiPriority w:val="99"/>
    <w:semiHidden/>
    <w:unhideWhenUsed/>
    <w:rsid w:val="00E90113"/>
    <w:rPr>
      <w:rFonts w:ascii="Tahoma" w:hAnsi="Tahoma" w:cs="Tahoma"/>
      <w:sz w:val="16"/>
      <w:szCs w:val="16"/>
    </w:rPr>
  </w:style>
  <w:style w:type="character" w:customStyle="1" w:styleId="BalloonTextChar">
    <w:name w:val="Balloon Text Char"/>
    <w:basedOn w:val="DefaultParagraphFont"/>
    <w:link w:val="BalloonText"/>
    <w:uiPriority w:val="99"/>
    <w:semiHidden/>
    <w:rsid w:val="00E90113"/>
    <w:rPr>
      <w:rFonts w:ascii="Tahoma" w:eastAsia="Times New Roman" w:hAnsi="Tahoma" w:cs="Tahoma"/>
      <w:spacing w:val="-5"/>
      <w:sz w:val="16"/>
      <w:szCs w:val="16"/>
      <w:lang w:eastAsia="en-US"/>
    </w:rPr>
  </w:style>
  <w:style w:type="paragraph" w:styleId="Header">
    <w:name w:val="header"/>
    <w:basedOn w:val="Normal"/>
    <w:link w:val="HeaderChar"/>
    <w:uiPriority w:val="99"/>
    <w:unhideWhenUsed/>
    <w:rsid w:val="006B5A1B"/>
    <w:pPr>
      <w:tabs>
        <w:tab w:val="center" w:pos="4513"/>
        <w:tab w:val="right" w:pos="9026"/>
      </w:tabs>
    </w:pPr>
  </w:style>
  <w:style w:type="character" w:customStyle="1" w:styleId="HeaderChar">
    <w:name w:val="Header Char"/>
    <w:basedOn w:val="DefaultParagraphFont"/>
    <w:link w:val="Header"/>
    <w:uiPriority w:val="99"/>
    <w:rsid w:val="006B5A1B"/>
    <w:rPr>
      <w:rFonts w:ascii="Times New Roman" w:eastAsia="Times New Roman" w:hAnsi="Times New Roman" w:cs="Times New Roman"/>
      <w:spacing w:val="-5"/>
      <w:sz w:val="24"/>
      <w:szCs w:val="20"/>
      <w:lang w:eastAsia="en-US"/>
    </w:rPr>
  </w:style>
  <w:style w:type="paragraph" w:styleId="Footer">
    <w:name w:val="footer"/>
    <w:basedOn w:val="Normal"/>
    <w:link w:val="FooterChar"/>
    <w:uiPriority w:val="99"/>
    <w:unhideWhenUsed/>
    <w:rsid w:val="006B5A1B"/>
    <w:pPr>
      <w:tabs>
        <w:tab w:val="center" w:pos="4513"/>
        <w:tab w:val="right" w:pos="9026"/>
      </w:tabs>
    </w:pPr>
  </w:style>
  <w:style w:type="character" w:customStyle="1" w:styleId="FooterChar">
    <w:name w:val="Footer Char"/>
    <w:basedOn w:val="DefaultParagraphFont"/>
    <w:link w:val="Footer"/>
    <w:uiPriority w:val="99"/>
    <w:rsid w:val="006B5A1B"/>
    <w:rPr>
      <w:rFonts w:ascii="Times New Roman" w:eastAsia="Times New Roman" w:hAnsi="Times New Roman" w:cs="Times New Roman"/>
      <w:spacing w:val="-5"/>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LAVERY</dc:creator>
  <cp:keywords>Classification=Select Classification Level, Classification=Confidential</cp:keywords>
  <cp:lastModifiedBy>Sharon WILLIAMS</cp:lastModifiedBy>
  <cp:revision>4</cp:revision>
  <cp:lastPrinted>2023-02-28T14:24:00Z</cp:lastPrinted>
  <dcterms:created xsi:type="dcterms:W3CDTF">2022-02-10T11:09:00Z</dcterms:created>
  <dcterms:modified xsi:type="dcterms:W3CDTF">2023-02-28T14:24:00Z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c181d0b3-bc4c-4968-b606-30c8e370469b</vt:lpwstr>
  </property>
  <property fmtid="{D5CDD505-2E9C-101B-9397-08002B2CF9AE}" pid="3" name="Classification">
    <vt:lpwstr>Confidential</vt:lpwstr>
  </property>
  <property fmtid="{D5CDD505-2E9C-101B-9397-08002B2CF9AE}" pid="4" name="PIIGDPR">
    <vt:lpwstr>NotSpecified</vt:lpwstr>
  </property>
  <property fmtid="{D5CDD505-2E9C-101B-9397-08002B2CF9AE}" pid="5" name="ApplyVisualMarking">
    <vt:lpwstr>None</vt:lpwstr>
  </property>
  <property fmtid="{D5CDD505-2E9C-101B-9397-08002B2CF9AE}" pid="6" name="MSIP_Label_56a12554-321c-45c3-b2fd-7e3f55c509d9_Enabled">
    <vt:lpwstr>true</vt:lpwstr>
  </property>
  <property fmtid="{D5CDD505-2E9C-101B-9397-08002B2CF9AE}" pid="7" name="MSIP_Label_56a12554-321c-45c3-b2fd-7e3f55c509d9_SetDate">
    <vt:lpwstr>2022-11-30T15:55:47Z</vt:lpwstr>
  </property>
  <property fmtid="{D5CDD505-2E9C-101B-9397-08002B2CF9AE}" pid="8" name="MSIP_Label_56a12554-321c-45c3-b2fd-7e3f55c509d9_Method">
    <vt:lpwstr>Privileged</vt:lpwstr>
  </property>
  <property fmtid="{D5CDD505-2E9C-101B-9397-08002B2CF9AE}" pid="9" name="MSIP_Label_56a12554-321c-45c3-b2fd-7e3f55c509d9_Name">
    <vt:lpwstr>56a12554-321c-45c3-b2fd-7e3f55c509d9</vt:lpwstr>
  </property>
  <property fmtid="{D5CDD505-2E9C-101B-9397-08002B2CF9AE}" pid="10" name="MSIP_Label_56a12554-321c-45c3-b2fd-7e3f55c509d9_SiteId">
    <vt:lpwstr>614f9c25-bffa-42c7-86d8-964101f55fa2</vt:lpwstr>
  </property>
  <property fmtid="{D5CDD505-2E9C-101B-9397-08002B2CF9AE}" pid="11" name="MSIP_Label_56a12554-321c-45c3-b2fd-7e3f55c509d9_ActionId">
    <vt:lpwstr>839403c3-6eef-49f5-a241-6e2ff7dccbf6</vt:lpwstr>
  </property>
  <property fmtid="{D5CDD505-2E9C-101B-9397-08002B2CF9AE}" pid="12" name="MSIP_Label_56a12554-321c-45c3-b2fd-7e3f55c509d9_ContentBits">
    <vt:lpwstr>0</vt:lpwstr>
  </property>
</Properties>
</file>