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7CD60" w14:textId="77777777" w:rsidR="006F49C9" w:rsidRPr="00B148F9" w:rsidRDefault="006F49C9" w:rsidP="00326CD3">
      <w:pPr>
        <w:jc w:val="center"/>
        <w:rPr>
          <w:rFonts w:cs="Tahoma"/>
        </w:rPr>
      </w:pPr>
    </w:p>
    <w:p w14:paraId="1D4179B6" w14:textId="77777777" w:rsidR="00C36E83" w:rsidRDefault="00C36E83" w:rsidP="00C36E83">
      <w:pPr>
        <w:pStyle w:val="BodyText"/>
        <w:rPr>
          <w:rFonts w:asciiTheme="minorHAnsi" w:hAnsiTheme="minorHAnsi"/>
          <w:b/>
        </w:rPr>
      </w:pPr>
      <w:r>
        <w:rPr>
          <w:b/>
        </w:rPr>
        <w:t>LEI: 549300Q7EXQQH6KF7Z84</w:t>
      </w:r>
    </w:p>
    <w:p w14:paraId="214F3716" w14:textId="77777777" w:rsidR="00C36E83" w:rsidRDefault="00C36E83" w:rsidP="00C36E83">
      <w:pPr>
        <w:pStyle w:val="BodyText"/>
        <w:rPr>
          <w:b/>
        </w:rPr>
      </w:pPr>
    </w:p>
    <w:p w14:paraId="73E70152" w14:textId="45C4932E" w:rsidR="00C36E83" w:rsidRDefault="00C36E83" w:rsidP="00C36E83">
      <w:pPr>
        <w:pStyle w:val="BodyText"/>
        <w:rPr>
          <w:b/>
        </w:rPr>
      </w:pPr>
      <w:r>
        <w:rPr>
          <w:b/>
        </w:rPr>
        <w:t>22 April 2020</w:t>
      </w:r>
    </w:p>
    <w:p w14:paraId="002AAE90" w14:textId="5CF01BCB" w:rsidR="00C36E83" w:rsidRDefault="00C36E83" w:rsidP="00C36E83">
      <w:pPr>
        <w:pStyle w:val="BodyText"/>
        <w:jc w:val="center"/>
        <w:rPr>
          <w:b/>
        </w:rPr>
      </w:pPr>
      <w:r>
        <w:rPr>
          <w:b/>
        </w:rPr>
        <w:t>RTW Venture Fund Limited</w:t>
      </w:r>
    </w:p>
    <w:p w14:paraId="026730C3" w14:textId="77777777" w:rsidR="00C36E83" w:rsidRDefault="00C36E83" w:rsidP="00C36E83">
      <w:pPr>
        <w:pStyle w:val="BodyText"/>
        <w:jc w:val="center"/>
        <w:rPr>
          <w:b/>
        </w:rPr>
      </w:pPr>
    </w:p>
    <w:p w14:paraId="007782E3" w14:textId="655A8CBB" w:rsidR="00C36E83" w:rsidRDefault="00C36E83" w:rsidP="00C36E83">
      <w:pPr>
        <w:pStyle w:val="BodyText"/>
        <w:jc w:val="center"/>
        <w:rPr>
          <w:b/>
        </w:rPr>
      </w:pPr>
      <w:r>
        <w:rPr>
          <w:b/>
        </w:rPr>
        <w:t>Annual Report and Audited Financial Statements for the Year Ended 31 December 2019</w:t>
      </w:r>
    </w:p>
    <w:p w14:paraId="5DD5D027" w14:textId="77777777" w:rsidR="00C36E83" w:rsidRDefault="00C36E83" w:rsidP="00C36E83">
      <w:pPr>
        <w:pStyle w:val="BodyText"/>
        <w:jc w:val="center"/>
        <w:rPr>
          <w:b/>
        </w:rPr>
      </w:pPr>
    </w:p>
    <w:p w14:paraId="03E4F744" w14:textId="77777777" w:rsidR="00C36E83" w:rsidRDefault="00C36E83" w:rsidP="00C36E83">
      <w:pPr>
        <w:pStyle w:val="BodyText"/>
        <w:rPr>
          <w:rFonts w:cstheme="minorHAnsi"/>
          <w:color w:val="000000"/>
        </w:rPr>
      </w:pPr>
      <w:r>
        <w:rPr>
          <w:rFonts w:cstheme="minorHAnsi"/>
          <w:color w:val="000000"/>
        </w:rPr>
        <w:t>RTW Venture Fund Limited (the “</w:t>
      </w:r>
      <w:r>
        <w:rPr>
          <w:rFonts w:cstheme="minorHAnsi"/>
          <w:b/>
          <w:color w:val="000000"/>
        </w:rPr>
        <w:t>Company</w:t>
      </w:r>
      <w:r>
        <w:rPr>
          <w:rFonts w:cstheme="minorHAnsi"/>
          <w:color w:val="000000"/>
        </w:rPr>
        <w:t>”) is pleased to announce its Annual Results for the Year Ended 31 December 2019.</w:t>
      </w:r>
    </w:p>
    <w:p w14:paraId="01EEA16B" w14:textId="77777777" w:rsidR="00C36E83" w:rsidRDefault="00C36E83" w:rsidP="00C36E83">
      <w:pPr>
        <w:pStyle w:val="BodyText"/>
        <w:rPr>
          <w:rFonts w:cstheme="minorBidi"/>
          <w:szCs w:val="22"/>
        </w:rPr>
      </w:pPr>
      <w:r>
        <w:t xml:space="preserve">A video conference for analysts and investors will be held at 2 pm BST / 9 am EST today. To register for the event please follow the </w:t>
      </w:r>
      <w:hyperlink r:id="rId340" w:history="1">
        <w:r>
          <w:rPr>
            <w:rStyle w:val="Hyperlink"/>
          </w:rPr>
          <w:t>link</w:t>
        </w:r>
      </w:hyperlink>
      <w:r>
        <w:t xml:space="preserve"> or notify RTW Investments, LP, by email at </w:t>
      </w:r>
      <w:hyperlink r:id="rId341" w:history="1">
        <w:r>
          <w:rPr>
            <w:rStyle w:val="Hyperlink"/>
          </w:rPr>
          <w:t>RTWVentureFund@rtwfunds.com</w:t>
        </w:r>
      </w:hyperlink>
      <w:r>
        <w:t>.</w:t>
      </w:r>
    </w:p>
    <w:p w14:paraId="3AB33706" w14:textId="77777777" w:rsidR="00C36E83" w:rsidRPr="001A53BF" w:rsidRDefault="00C36E83" w:rsidP="00C36E83">
      <w:pPr>
        <w:pStyle w:val="BodyText"/>
        <w:rPr>
          <w:rFonts w:cstheme="minorHAnsi"/>
          <w:b/>
          <w:color w:val="000000"/>
        </w:rPr>
      </w:pPr>
      <w:r w:rsidRPr="001A53BF">
        <w:rPr>
          <w:rFonts w:cstheme="minorHAnsi"/>
          <w:b/>
          <w:color w:val="000000"/>
        </w:rPr>
        <w:t>For Further Information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551"/>
      </w:tblGrid>
      <w:tr w:rsidR="00C36E83" w:rsidRPr="001A53BF" w14:paraId="544B3531" w14:textId="77777777" w:rsidTr="00C36E83">
        <w:tc>
          <w:tcPr>
            <w:tcW w:w="6521" w:type="dxa"/>
          </w:tcPr>
          <w:p w14:paraId="0852C105" w14:textId="77777777" w:rsidR="00C36E83" w:rsidRPr="001A53BF" w:rsidRDefault="00C36E83">
            <w:pPr>
              <w:pStyle w:val="23BodyText"/>
              <w:spacing w:before="0" w:line="240" w:lineRule="auto"/>
              <w:rPr>
                <w:rFonts w:ascii="Century Gothic" w:hAnsi="Century Gothic" w:cstheme="minorHAnsi"/>
                <w:b/>
                <w:szCs w:val="20"/>
                <w:lang w:eastAsia="en-US"/>
              </w:rPr>
            </w:pPr>
            <w:r w:rsidRPr="001A53BF">
              <w:rPr>
                <w:rFonts w:ascii="Century Gothic" w:hAnsi="Century Gothic" w:cstheme="minorHAnsi"/>
                <w:b/>
                <w:szCs w:val="20"/>
                <w:lang w:eastAsia="en-US"/>
              </w:rPr>
              <w:t>RTW Investments, LP</w:t>
            </w:r>
          </w:p>
          <w:p w14:paraId="69C38D25" w14:textId="77777777" w:rsidR="00C36E83" w:rsidRPr="001A53BF" w:rsidRDefault="00C36E83" w:rsidP="00C36E83">
            <w:pPr>
              <w:pStyle w:val="23BodyText"/>
              <w:spacing w:before="0" w:line="240" w:lineRule="auto"/>
              <w:rPr>
                <w:rFonts w:ascii="Century Gothic" w:hAnsi="Century Gothic" w:cstheme="minorHAnsi"/>
                <w:szCs w:val="20"/>
                <w:lang w:eastAsia="en-US"/>
              </w:rPr>
            </w:pPr>
            <w:r w:rsidRPr="001A53BF">
              <w:rPr>
                <w:rFonts w:ascii="Century Gothic" w:hAnsi="Century Gothic" w:cstheme="minorHAnsi"/>
                <w:szCs w:val="20"/>
                <w:lang w:eastAsia="en-US"/>
              </w:rPr>
              <w:t xml:space="preserve">Stephanie Sirota, </w:t>
            </w:r>
            <w:r w:rsidRPr="001A53BF">
              <w:rPr>
                <w:rFonts w:ascii="Century Gothic" w:hAnsi="Century Gothic" w:cstheme="minorHAnsi"/>
                <w:i/>
                <w:szCs w:val="20"/>
                <w:lang w:eastAsia="en-US"/>
              </w:rPr>
              <w:t>Chief Business Officer</w:t>
            </w:r>
            <w:r w:rsidRPr="001A53BF">
              <w:rPr>
                <w:rFonts w:ascii="Century Gothic" w:hAnsi="Century Gothic" w:cstheme="minorHAnsi"/>
                <w:szCs w:val="20"/>
                <w:lang w:eastAsia="en-US"/>
              </w:rPr>
              <w:br/>
              <w:t xml:space="preserve">Alexandra Taracanova, PhD, </w:t>
            </w:r>
            <w:r w:rsidRPr="001A53BF">
              <w:rPr>
                <w:rFonts w:ascii="Century Gothic" w:hAnsi="Century Gothic" w:cstheme="minorHAnsi"/>
                <w:i/>
                <w:szCs w:val="20"/>
                <w:lang w:eastAsia="en-US"/>
              </w:rPr>
              <w:t>Director of Investor Relations</w:t>
            </w:r>
          </w:p>
          <w:p w14:paraId="0E0AA45A" w14:textId="77777777" w:rsidR="00C36E83" w:rsidRPr="001A53BF" w:rsidRDefault="00C36E83">
            <w:pPr>
              <w:pStyle w:val="23BodyText"/>
              <w:spacing w:before="0" w:line="240" w:lineRule="auto"/>
              <w:rPr>
                <w:rFonts w:ascii="Century Gothic" w:hAnsi="Century Gothic" w:cstheme="minorHAnsi"/>
                <w:szCs w:val="20"/>
                <w:lang w:eastAsia="en-US"/>
              </w:rPr>
            </w:pPr>
            <w:r w:rsidRPr="001A53BF">
              <w:rPr>
                <w:rFonts w:ascii="Century Gothic" w:hAnsi="Century Gothic" w:cstheme="minorHAnsi"/>
                <w:szCs w:val="20"/>
                <w:lang w:eastAsia="en-US"/>
              </w:rPr>
              <w:t xml:space="preserve">Julia Enright, </w:t>
            </w:r>
            <w:r w:rsidRPr="001A53BF">
              <w:rPr>
                <w:rFonts w:ascii="Century Gothic" w:hAnsi="Century Gothic" w:cstheme="minorHAnsi"/>
                <w:i/>
                <w:szCs w:val="20"/>
                <w:lang w:eastAsia="en-US"/>
              </w:rPr>
              <w:t>Business Development Associate</w:t>
            </w:r>
          </w:p>
          <w:p w14:paraId="494FD75A" w14:textId="77777777" w:rsidR="00C36E83" w:rsidRPr="001A53BF" w:rsidRDefault="00C36E83">
            <w:pPr>
              <w:pStyle w:val="23BodyText"/>
              <w:spacing w:before="0" w:line="240" w:lineRule="auto"/>
              <w:rPr>
                <w:rFonts w:ascii="Century Gothic" w:hAnsi="Century Gothic" w:cstheme="minorHAnsi"/>
                <w:i/>
                <w:szCs w:val="20"/>
                <w:lang w:eastAsia="en-US"/>
              </w:rPr>
            </w:pPr>
          </w:p>
          <w:p w14:paraId="17057C8D" w14:textId="77777777" w:rsidR="00C36E83" w:rsidRPr="001A53BF" w:rsidRDefault="00C36E83">
            <w:pPr>
              <w:pStyle w:val="23BodyText"/>
              <w:spacing w:before="0" w:line="240" w:lineRule="auto"/>
              <w:rPr>
                <w:rFonts w:ascii="Century Gothic" w:hAnsi="Century Gothic" w:cstheme="minorHAnsi"/>
                <w:b/>
                <w:szCs w:val="20"/>
                <w:lang w:eastAsia="en-US"/>
              </w:rPr>
            </w:pPr>
            <w:r w:rsidRPr="001A53BF">
              <w:rPr>
                <w:rFonts w:ascii="Century Gothic" w:hAnsi="Century Gothic" w:cstheme="minorHAnsi"/>
                <w:b/>
                <w:szCs w:val="20"/>
                <w:lang w:eastAsia="en-US"/>
              </w:rPr>
              <w:t>Ocorian (Company Secretary)</w:t>
            </w:r>
          </w:p>
          <w:p w14:paraId="4887F36E" w14:textId="77777777" w:rsidR="00C36E83" w:rsidRPr="001A53BF" w:rsidRDefault="00C36E83">
            <w:pPr>
              <w:pStyle w:val="23BodyText"/>
              <w:spacing w:before="0" w:line="240" w:lineRule="auto"/>
              <w:rPr>
                <w:rFonts w:ascii="Century Gothic" w:hAnsi="Century Gothic" w:cstheme="minorHAnsi"/>
                <w:b/>
                <w:szCs w:val="20"/>
                <w:lang w:eastAsia="en-US"/>
              </w:rPr>
            </w:pPr>
            <w:r w:rsidRPr="001A53BF">
              <w:rPr>
                <w:rFonts w:ascii="Century Gothic" w:hAnsi="Century Gothic" w:cstheme="minorHAnsi"/>
                <w:szCs w:val="20"/>
                <w:lang w:eastAsia="en-US"/>
              </w:rPr>
              <w:t>Kevin Smith</w:t>
            </w:r>
            <w:r w:rsidRPr="001A53BF">
              <w:rPr>
                <w:rFonts w:ascii="Century Gothic" w:hAnsi="Century Gothic" w:cstheme="minorHAnsi"/>
                <w:i/>
                <w:szCs w:val="20"/>
                <w:lang w:eastAsia="en-US"/>
              </w:rPr>
              <w:tab/>
            </w:r>
          </w:p>
          <w:p w14:paraId="2292A45F" w14:textId="77777777" w:rsidR="00C36E83" w:rsidRPr="001A53BF" w:rsidRDefault="00C36E83">
            <w:pPr>
              <w:pStyle w:val="23BodyText"/>
              <w:spacing w:before="0" w:line="240" w:lineRule="auto"/>
              <w:rPr>
                <w:rFonts w:ascii="Century Gothic" w:hAnsi="Century Gothic" w:cstheme="minorHAnsi"/>
                <w:b/>
                <w:szCs w:val="20"/>
                <w:lang w:eastAsia="en-US"/>
              </w:rPr>
            </w:pPr>
          </w:p>
        </w:tc>
        <w:tc>
          <w:tcPr>
            <w:tcW w:w="2551" w:type="dxa"/>
          </w:tcPr>
          <w:p w14:paraId="6EB88914" w14:textId="77777777" w:rsidR="00C36E83" w:rsidRPr="001A53BF" w:rsidRDefault="00C36E83">
            <w:pPr>
              <w:pStyle w:val="23BodyText"/>
              <w:jc w:val="right"/>
              <w:rPr>
                <w:rFonts w:ascii="Century Gothic" w:hAnsi="Century Gothic" w:cstheme="minorHAnsi"/>
                <w:b/>
                <w:szCs w:val="20"/>
                <w:lang w:eastAsia="en-US"/>
              </w:rPr>
            </w:pPr>
            <w:r w:rsidRPr="001A53BF">
              <w:rPr>
                <w:rFonts w:ascii="Century Gothic" w:hAnsi="Century Gothic" w:cstheme="minorHAnsi"/>
                <w:b/>
                <w:szCs w:val="20"/>
                <w:lang w:eastAsia="en-US"/>
              </w:rPr>
              <w:t>+1 (646) 343 9280</w:t>
            </w:r>
          </w:p>
          <w:p w14:paraId="386FC9CA" w14:textId="77777777" w:rsidR="00C36E83" w:rsidRPr="001A53BF" w:rsidRDefault="00C36E83">
            <w:pPr>
              <w:pStyle w:val="23BodyText"/>
              <w:jc w:val="right"/>
              <w:rPr>
                <w:rFonts w:ascii="Century Gothic" w:hAnsi="Century Gothic" w:cstheme="minorHAnsi"/>
                <w:b/>
                <w:szCs w:val="20"/>
                <w:lang w:eastAsia="en-US"/>
              </w:rPr>
            </w:pPr>
          </w:p>
          <w:p w14:paraId="2CB78513" w14:textId="18DDEF84" w:rsidR="00C36E83" w:rsidRPr="001A53BF" w:rsidRDefault="00C36E83">
            <w:pPr>
              <w:pStyle w:val="23BodyText"/>
              <w:ind w:right="400"/>
              <w:rPr>
                <w:rFonts w:ascii="Century Gothic" w:hAnsi="Century Gothic" w:cstheme="minorHAnsi"/>
                <w:b/>
                <w:szCs w:val="20"/>
                <w:lang w:eastAsia="en-US"/>
              </w:rPr>
            </w:pPr>
            <w:bookmarkStart w:id="0" w:name="_GoBack"/>
            <w:bookmarkEnd w:id="0"/>
          </w:p>
          <w:p w14:paraId="1778E420" w14:textId="77777777" w:rsidR="00C36E83" w:rsidRPr="001A53BF" w:rsidRDefault="00C36E83">
            <w:pPr>
              <w:pStyle w:val="23BodyText"/>
              <w:ind w:left="-251"/>
              <w:jc w:val="right"/>
              <w:rPr>
                <w:rFonts w:ascii="Century Gothic" w:hAnsi="Century Gothic" w:cstheme="minorHAnsi"/>
                <w:b/>
                <w:szCs w:val="20"/>
                <w:lang w:eastAsia="en-US"/>
              </w:rPr>
            </w:pPr>
            <w:r w:rsidRPr="001A53BF">
              <w:rPr>
                <w:rFonts w:ascii="Century Gothic" w:hAnsi="Century Gothic" w:cstheme="minorHAnsi"/>
                <w:b/>
                <w:szCs w:val="20"/>
                <w:lang w:eastAsia="en-US"/>
              </w:rPr>
              <w:t>+44 (0) 1481 742 642</w:t>
            </w:r>
          </w:p>
          <w:p w14:paraId="13D45846" w14:textId="77777777" w:rsidR="00C36E83" w:rsidRPr="001A53BF" w:rsidRDefault="00C36E83">
            <w:pPr>
              <w:pStyle w:val="23BodyText"/>
              <w:ind w:left="-393" w:right="90"/>
              <w:jc w:val="right"/>
              <w:rPr>
                <w:rFonts w:ascii="Century Gothic" w:hAnsi="Century Gothic" w:cstheme="minorHAnsi"/>
                <w:b/>
                <w:szCs w:val="20"/>
                <w:lang w:eastAsia="en-US"/>
              </w:rPr>
            </w:pPr>
          </w:p>
        </w:tc>
      </w:tr>
      <w:tr w:rsidR="00C36E83" w:rsidRPr="001A53BF" w14:paraId="2AB7CF3C" w14:textId="77777777" w:rsidTr="00C36E83">
        <w:tc>
          <w:tcPr>
            <w:tcW w:w="6521" w:type="dxa"/>
          </w:tcPr>
          <w:p w14:paraId="644488BE" w14:textId="77777777" w:rsidR="00C36E83" w:rsidRPr="001A53BF" w:rsidRDefault="00C36E83">
            <w:pPr>
              <w:pStyle w:val="23BodyText"/>
              <w:rPr>
                <w:rFonts w:ascii="Century Gothic" w:hAnsi="Century Gothic" w:cstheme="minorHAnsi"/>
                <w:b/>
                <w:color w:val="auto"/>
                <w:szCs w:val="20"/>
                <w:lang w:eastAsia="en-US"/>
              </w:rPr>
            </w:pPr>
            <w:r w:rsidRPr="001A53BF">
              <w:rPr>
                <w:rFonts w:ascii="Century Gothic" w:hAnsi="Century Gothic" w:cstheme="minorHAnsi"/>
                <w:b/>
                <w:color w:val="auto"/>
                <w:szCs w:val="20"/>
                <w:lang w:eastAsia="en-US"/>
              </w:rPr>
              <w:t>J.P. Morgan Cazenove</w:t>
            </w:r>
            <w:r w:rsidRPr="001A53BF">
              <w:rPr>
                <w:rFonts w:ascii="Century Gothic" w:hAnsi="Century Gothic" w:cstheme="minorHAnsi"/>
                <w:b/>
                <w:color w:val="auto"/>
                <w:szCs w:val="20"/>
                <w:lang w:eastAsia="en-US"/>
              </w:rPr>
              <w:tab/>
            </w:r>
            <w:r w:rsidRPr="001A53BF">
              <w:rPr>
                <w:rFonts w:ascii="Century Gothic" w:hAnsi="Century Gothic" w:cstheme="minorHAnsi"/>
                <w:b/>
                <w:color w:val="auto"/>
                <w:szCs w:val="20"/>
                <w:lang w:eastAsia="en-US"/>
              </w:rPr>
              <w:tab/>
            </w:r>
          </w:p>
          <w:p w14:paraId="343EC91A" w14:textId="77777777" w:rsidR="00C36E83" w:rsidRPr="001A53BF" w:rsidRDefault="00C36E83">
            <w:pPr>
              <w:pStyle w:val="23BodyText"/>
              <w:spacing w:before="0" w:line="240" w:lineRule="auto"/>
              <w:rPr>
                <w:rFonts w:ascii="Century Gothic" w:hAnsi="Century Gothic" w:cstheme="minorHAnsi"/>
                <w:color w:val="auto"/>
                <w:szCs w:val="20"/>
                <w:lang w:eastAsia="en-US"/>
              </w:rPr>
            </w:pPr>
            <w:r w:rsidRPr="001A53BF">
              <w:rPr>
                <w:rFonts w:ascii="Century Gothic" w:hAnsi="Century Gothic" w:cstheme="minorHAnsi"/>
                <w:color w:val="auto"/>
                <w:szCs w:val="20"/>
                <w:lang w:eastAsia="en-US"/>
              </w:rPr>
              <w:t>William Simmonds</w:t>
            </w:r>
          </w:p>
          <w:p w14:paraId="67B5A962" w14:textId="77777777" w:rsidR="00C36E83" w:rsidRPr="001A53BF" w:rsidRDefault="00C36E83">
            <w:pPr>
              <w:pStyle w:val="23BodyText"/>
              <w:spacing w:before="0" w:line="240" w:lineRule="auto"/>
              <w:rPr>
                <w:rFonts w:ascii="Century Gothic" w:hAnsi="Century Gothic" w:cstheme="minorHAnsi"/>
                <w:color w:val="auto"/>
                <w:szCs w:val="20"/>
                <w:lang w:eastAsia="en-US"/>
              </w:rPr>
            </w:pPr>
            <w:r w:rsidRPr="001A53BF">
              <w:rPr>
                <w:rFonts w:ascii="Century Gothic" w:hAnsi="Century Gothic" w:cstheme="minorHAnsi"/>
                <w:color w:val="auto"/>
                <w:szCs w:val="20"/>
                <w:lang w:eastAsia="en-US"/>
              </w:rPr>
              <w:t>Oliver Kenyon</w:t>
            </w:r>
          </w:p>
          <w:p w14:paraId="3F30049F" w14:textId="77777777" w:rsidR="00C36E83" w:rsidRPr="001A53BF" w:rsidRDefault="00C36E83">
            <w:pPr>
              <w:pStyle w:val="23BodyText"/>
              <w:spacing w:before="0" w:line="240" w:lineRule="auto"/>
              <w:rPr>
                <w:rFonts w:ascii="Century Gothic" w:hAnsi="Century Gothic" w:cstheme="minorHAnsi"/>
                <w:color w:val="auto"/>
                <w:szCs w:val="20"/>
                <w:lang w:eastAsia="en-US"/>
              </w:rPr>
            </w:pPr>
            <w:r w:rsidRPr="001A53BF">
              <w:rPr>
                <w:rFonts w:ascii="Century Gothic" w:hAnsi="Century Gothic" w:cstheme="minorHAnsi"/>
                <w:color w:val="auto"/>
                <w:szCs w:val="20"/>
                <w:lang w:eastAsia="en-US"/>
              </w:rPr>
              <w:t>James Bouverat (Sales)</w:t>
            </w:r>
          </w:p>
          <w:p w14:paraId="302E1072" w14:textId="77777777" w:rsidR="00C36E83" w:rsidRPr="001A53BF" w:rsidRDefault="00C36E83">
            <w:pPr>
              <w:pStyle w:val="23BodyText"/>
              <w:spacing w:before="0" w:line="240" w:lineRule="auto"/>
              <w:rPr>
                <w:rFonts w:ascii="Century Gothic" w:hAnsi="Century Gothic" w:cstheme="minorHAnsi"/>
                <w:color w:val="auto"/>
                <w:szCs w:val="20"/>
                <w:lang w:eastAsia="en-US"/>
              </w:rPr>
            </w:pPr>
          </w:p>
          <w:p w14:paraId="7239A03B" w14:textId="77777777" w:rsidR="00C36E83" w:rsidRPr="001A53BF" w:rsidRDefault="00C36E83">
            <w:pPr>
              <w:pStyle w:val="23BodyText"/>
              <w:spacing w:before="0" w:line="240" w:lineRule="auto"/>
              <w:rPr>
                <w:rFonts w:ascii="Century Gothic" w:hAnsi="Century Gothic" w:cstheme="minorHAnsi"/>
                <w:b/>
                <w:color w:val="auto"/>
                <w:szCs w:val="20"/>
                <w:lang w:eastAsia="en-US"/>
              </w:rPr>
            </w:pPr>
            <w:r w:rsidRPr="001A53BF">
              <w:rPr>
                <w:rFonts w:ascii="Century Gothic" w:hAnsi="Century Gothic" w:cstheme="minorHAnsi"/>
                <w:b/>
                <w:color w:val="auto"/>
                <w:szCs w:val="20"/>
                <w:lang w:eastAsia="en-US"/>
              </w:rPr>
              <w:t>Barclays</w:t>
            </w:r>
          </w:p>
          <w:p w14:paraId="27C4E7D4" w14:textId="77777777" w:rsidR="00C36E83" w:rsidRPr="001A53BF" w:rsidRDefault="00C36E83">
            <w:pPr>
              <w:pStyle w:val="23BodyText"/>
              <w:spacing w:before="0" w:line="240" w:lineRule="auto"/>
              <w:rPr>
                <w:rFonts w:ascii="Century Gothic" w:hAnsi="Century Gothic" w:cstheme="minorHAnsi"/>
                <w:color w:val="auto"/>
                <w:szCs w:val="20"/>
                <w:lang w:eastAsia="en-US"/>
              </w:rPr>
            </w:pPr>
            <w:r w:rsidRPr="001A53BF">
              <w:rPr>
                <w:rFonts w:ascii="Century Gothic" w:hAnsi="Century Gothic" w:cstheme="minorHAnsi"/>
                <w:color w:val="auto"/>
                <w:szCs w:val="20"/>
                <w:lang w:eastAsia="en-US"/>
              </w:rPr>
              <w:t>Tom Swerling</w:t>
            </w:r>
          </w:p>
          <w:p w14:paraId="47FE752D" w14:textId="77777777" w:rsidR="00C36E83" w:rsidRPr="001A53BF" w:rsidRDefault="00C36E83">
            <w:pPr>
              <w:pStyle w:val="23BodyText"/>
              <w:spacing w:before="0" w:line="240" w:lineRule="auto"/>
              <w:rPr>
                <w:rFonts w:ascii="Century Gothic" w:hAnsi="Century Gothic" w:cstheme="minorHAnsi"/>
                <w:color w:val="auto"/>
                <w:szCs w:val="20"/>
                <w:lang w:eastAsia="en-US"/>
              </w:rPr>
            </w:pPr>
            <w:r w:rsidRPr="001A53BF">
              <w:rPr>
                <w:rFonts w:ascii="Century Gothic" w:hAnsi="Century Gothic" w:cstheme="minorHAnsi"/>
                <w:color w:val="auto"/>
                <w:szCs w:val="20"/>
                <w:lang w:eastAsia="en-US"/>
              </w:rPr>
              <w:t>Andrew Tusa</w:t>
            </w:r>
          </w:p>
          <w:p w14:paraId="07E20BEE" w14:textId="77777777" w:rsidR="00C36E83" w:rsidRPr="001A53BF" w:rsidRDefault="00C36E83">
            <w:pPr>
              <w:pStyle w:val="23BodyText"/>
              <w:spacing w:before="0" w:line="240" w:lineRule="auto"/>
              <w:rPr>
                <w:rFonts w:ascii="Century Gothic" w:hAnsi="Century Gothic" w:cstheme="minorHAnsi"/>
                <w:color w:val="auto"/>
                <w:szCs w:val="20"/>
                <w:lang w:eastAsia="en-US"/>
              </w:rPr>
            </w:pPr>
            <w:r w:rsidRPr="001A53BF">
              <w:rPr>
                <w:rFonts w:ascii="Century Gothic" w:hAnsi="Century Gothic" w:cstheme="minorHAnsi"/>
                <w:color w:val="auto"/>
                <w:szCs w:val="20"/>
                <w:lang w:eastAsia="en-US"/>
              </w:rPr>
              <w:t>Alwyn Clarke</w:t>
            </w:r>
          </w:p>
          <w:p w14:paraId="05F04F01" w14:textId="77777777" w:rsidR="00C36E83" w:rsidRPr="001A53BF" w:rsidRDefault="00C36E83">
            <w:pPr>
              <w:pStyle w:val="23BodyText"/>
              <w:spacing w:before="0" w:line="240" w:lineRule="auto"/>
              <w:rPr>
                <w:rFonts w:ascii="Century Gothic" w:hAnsi="Century Gothic" w:cstheme="minorHAnsi"/>
                <w:color w:val="auto"/>
                <w:szCs w:val="20"/>
                <w:lang w:eastAsia="en-US"/>
              </w:rPr>
            </w:pPr>
            <w:r w:rsidRPr="001A53BF">
              <w:rPr>
                <w:rFonts w:ascii="Century Gothic" w:hAnsi="Century Gothic" w:cstheme="minorHAnsi"/>
                <w:color w:val="auto"/>
                <w:szCs w:val="20"/>
                <w:lang w:eastAsia="en-US"/>
              </w:rPr>
              <w:t>Ryan McCarthy</w:t>
            </w:r>
          </w:p>
        </w:tc>
        <w:tc>
          <w:tcPr>
            <w:tcW w:w="2551" w:type="dxa"/>
          </w:tcPr>
          <w:p w14:paraId="6F138CE9" w14:textId="77777777" w:rsidR="00C36E83" w:rsidRPr="001A53BF" w:rsidRDefault="00C36E83">
            <w:pPr>
              <w:pStyle w:val="23BodyText"/>
              <w:jc w:val="right"/>
              <w:rPr>
                <w:rFonts w:ascii="Century Gothic" w:hAnsi="Century Gothic" w:cstheme="minorHAnsi"/>
                <w:b/>
                <w:color w:val="auto"/>
                <w:szCs w:val="20"/>
                <w:lang w:eastAsia="en-US"/>
              </w:rPr>
            </w:pPr>
            <w:r w:rsidRPr="001A53BF">
              <w:rPr>
                <w:rFonts w:ascii="Century Gothic" w:hAnsi="Century Gothic" w:cstheme="minorHAnsi"/>
                <w:b/>
                <w:color w:val="auto"/>
                <w:szCs w:val="20"/>
                <w:lang w:eastAsia="en-US"/>
              </w:rPr>
              <w:t>+44 (0)20 7742 4000</w:t>
            </w:r>
          </w:p>
          <w:p w14:paraId="5C11C5A6" w14:textId="77777777" w:rsidR="00C36E83" w:rsidRPr="001A53BF" w:rsidRDefault="00C36E83">
            <w:pPr>
              <w:pStyle w:val="23BodyText"/>
              <w:jc w:val="right"/>
              <w:rPr>
                <w:rFonts w:ascii="Century Gothic" w:hAnsi="Century Gothic" w:cstheme="minorHAnsi"/>
                <w:b/>
                <w:color w:val="auto"/>
                <w:szCs w:val="20"/>
                <w:lang w:eastAsia="en-US"/>
              </w:rPr>
            </w:pPr>
          </w:p>
          <w:p w14:paraId="30D846A6" w14:textId="77777777" w:rsidR="00C36E83" w:rsidRPr="001A53BF" w:rsidRDefault="00C36E83">
            <w:pPr>
              <w:pStyle w:val="23BodyText"/>
              <w:jc w:val="right"/>
              <w:rPr>
                <w:rFonts w:ascii="Century Gothic" w:hAnsi="Century Gothic" w:cstheme="minorHAnsi"/>
                <w:b/>
                <w:color w:val="auto"/>
                <w:szCs w:val="20"/>
                <w:lang w:eastAsia="en-US"/>
              </w:rPr>
            </w:pPr>
          </w:p>
          <w:p w14:paraId="741B23DF" w14:textId="77777777" w:rsidR="00C36E83" w:rsidRPr="001A53BF" w:rsidRDefault="00C36E83">
            <w:pPr>
              <w:pStyle w:val="23BodyText"/>
              <w:jc w:val="right"/>
              <w:rPr>
                <w:rFonts w:ascii="Century Gothic" w:hAnsi="Century Gothic" w:cstheme="minorHAnsi"/>
                <w:b/>
                <w:color w:val="auto"/>
                <w:szCs w:val="20"/>
                <w:lang w:eastAsia="en-US"/>
              </w:rPr>
            </w:pPr>
          </w:p>
          <w:p w14:paraId="503C0C7C" w14:textId="77777777" w:rsidR="00C36E83" w:rsidRPr="001A53BF" w:rsidRDefault="00C36E83">
            <w:pPr>
              <w:pStyle w:val="23BodyText"/>
              <w:jc w:val="right"/>
              <w:rPr>
                <w:rFonts w:ascii="Century Gothic" w:hAnsi="Century Gothic" w:cstheme="minorHAnsi"/>
                <w:b/>
                <w:szCs w:val="20"/>
                <w:lang w:eastAsia="en-US"/>
              </w:rPr>
            </w:pPr>
            <w:r w:rsidRPr="001A53BF">
              <w:rPr>
                <w:rFonts w:ascii="Century Gothic" w:hAnsi="Century Gothic" w:cstheme="minorHAnsi"/>
                <w:b/>
                <w:szCs w:val="20"/>
                <w:lang w:eastAsia="en-US"/>
              </w:rPr>
              <w:t>+44 (0)20 7623 2323</w:t>
            </w:r>
            <w:r w:rsidRPr="001A53BF">
              <w:rPr>
                <w:rFonts w:ascii="Century Gothic" w:hAnsi="Century Gothic" w:cstheme="minorHAnsi"/>
                <w:b/>
                <w:szCs w:val="20"/>
                <w:lang w:eastAsia="en-US"/>
              </w:rPr>
              <w:br/>
            </w:r>
          </w:p>
        </w:tc>
      </w:tr>
    </w:tbl>
    <w:p w14:paraId="6895F0A2" w14:textId="77777777" w:rsidR="00C36E83" w:rsidRDefault="00C36E83" w:rsidP="00C36E83">
      <w:pPr>
        <w:rPr>
          <w:rFonts w:asciiTheme="minorHAnsi" w:hAnsiTheme="minorHAnsi" w:cstheme="minorHAnsi"/>
          <w:b/>
          <w:color w:val="000000"/>
        </w:rPr>
      </w:pPr>
    </w:p>
    <w:p w14:paraId="5B3D6DC3" w14:textId="77777777" w:rsidR="00C36E83" w:rsidRDefault="00C36E83" w:rsidP="00C36E83">
      <w:pPr>
        <w:rPr>
          <w:rFonts w:cstheme="minorBidi"/>
        </w:rPr>
      </w:pPr>
      <w:r>
        <w:rPr>
          <w:b/>
          <w:bCs/>
        </w:rPr>
        <w:t>About RTW Venture Fund Limited:</w:t>
      </w:r>
    </w:p>
    <w:p w14:paraId="5EA8B5CB" w14:textId="59D9224A" w:rsidR="00C36E83" w:rsidRDefault="00C36E83" w:rsidP="00C36E83">
      <w:pPr>
        <w:rPr>
          <w:lang w:val="en-US"/>
        </w:rPr>
      </w:pPr>
      <w:r>
        <w:rPr>
          <w:lang w:val="en-US"/>
        </w:rPr>
        <w:t xml:space="preserve">RTW Venture Fund Limited (LSE: RTW) is an investment fund focused on identifying transformative assets with high growth potential across the biopharmaceutical and medical technology sectors. Driven by a long-term approach to support innovative businesses, RTW Venture Fund invests in companies developing next-generation therapies and technologies that can significantly improve patients’ lives. </w:t>
      </w:r>
    </w:p>
    <w:p w14:paraId="7A054852" w14:textId="77777777" w:rsidR="00C36E83" w:rsidRDefault="00C36E83" w:rsidP="00C36E83">
      <w:pPr>
        <w:rPr>
          <w:lang w:val="en-US"/>
        </w:rPr>
      </w:pPr>
    </w:p>
    <w:p w14:paraId="0953126D" w14:textId="3E925B2D" w:rsidR="00C36E83" w:rsidRDefault="00C36E83" w:rsidP="00C36E83">
      <w:pPr>
        <w:rPr>
          <w:lang w:val="en-US"/>
        </w:rPr>
      </w:pPr>
      <w:r>
        <w:rPr>
          <w:lang w:val="en-US"/>
        </w:rPr>
        <w:t>RTW Venture Fund Limited is managed by RTW Investments, LP, a leading US healthcare investment firm with deep scientific expertise and a strong track record of supporting companies developing life-changing therapies.</w:t>
      </w:r>
    </w:p>
    <w:p w14:paraId="0FC0A94A" w14:textId="77777777" w:rsidR="00C36E83" w:rsidRDefault="00C36E83" w:rsidP="00C36E83">
      <w:pPr>
        <w:rPr>
          <w:lang w:val="en-US"/>
        </w:rPr>
      </w:pPr>
    </w:p>
    <w:p w14:paraId="7344137F" w14:textId="2BC9D941" w:rsidR="006F49C9" w:rsidRPr="00B148F9" w:rsidRDefault="00C36E83" w:rsidP="009E4CA7">
      <w:pPr>
        <w:rPr>
          <w:rFonts w:cs="Tahoma"/>
        </w:rPr>
      </w:pPr>
      <w:r>
        <w:t xml:space="preserve">Visit the RTW website at </w:t>
      </w:r>
      <w:hyperlink r:id="rId342" w:history="1">
        <w:r>
          <w:rPr>
            <w:rStyle w:val="Hyperlink"/>
          </w:rPr>
          <w:t>www.rtwfunds.com</w:t>
        </w:r>
      </w:hyperlink>
      <w:r>
        <w:t xml:space="preserve"> for more information.</w:t>
      </w:r>
    </w:p>
    <w:p w14:paraId="15ACD99D" w14:textId="77777777" w:rsidR="006F49C9" w:rsidRPr="00B148F9" w:rsidRDefault="006F49C9" w:rsidP="00326CD3">
      <w:pPr>
        <w:jc w:val="center"/>
        <w:rPr>
          <w:rFonts w:cs="Tahoma"/>
        </w:rPr>
      </w:pPr>
    </w:p>
    <w:p w14:paraId="601665EE" w14:textId="77777777" w:rsidR="006F49C9" w:rsidRPr="00B148F9" w:rsidRDefault="006F49C9" w:rsidP="00326CD3">
      <w:pPr>
        <w:jc w:val="center"/>
        <w:rPr>
          <w:rFonts w:cs="Tahoma"/>
        </w:rPr>
      </w:pPr>
    </w:p>
    <w:p w14:paraId="703CAC9B" w14:textId="530B9A32" w:rsidR="00D24305" w:rsidRPr="00B148F9" w:rsidRDefault="00D24305" w:rsidP="000D4F40">
      <w:pPr>
        <w:pStyle w:val="Heading1"/>
        <w:jc w:val="left"/>
      </w:pPr>
      <w:r w:rsidRPr="00B148F9">
        <w:rPr>
          <w:sz w:val="20"/>
        </w:rPr>
        <w:t>Chairman’s Statement</w:t>
      </w:r>
    </w:p>
    <w:p w14:paraId="3E94B91D" w14:textId="77777777" w:rsidR="004C6977" w:rsidRPr="00B148F9" w:rsidRDefault="004C6977" w:rsidP="004C6977">
      <w:pPr>
        <w:rPr>
          <w:b/>
        </w:rPr>
      </w:pPr>
    </w:p>
    <w:p w14:paraId="1A6CB507" w14:textId="5A236716" w:rsidR="008E49BC" w:rsidRPr="00B148F9" w:rsidRDefault="008E49BC" w:rsidP="008E49BC">
      <w:r w:rsidRPr="00B148F9">
        <w:t>It is with a great pleasure that I present the very first Annual Report for RTW Venture Fund Limited</w:t>
      </w:r>
      <w:r w:rsidR="00A415E7" w:rsidRPr="00B148F9">
        <w:t xml:space="preserve"> (the “Company”)</w:t>
      </w:r>
      <w:r w:rsidRPr="00B148F9">
        <w:t xml:space="preserve">. The Company was admitted to the Specialist Fund Segment of the London Stock Exchange on 30 October 2019, and I am pleased to report significant performance milestones following its debut.  </w:t>
      </w:r>
    </w:p>
    <w:p w14:paraId="4EAB36D5" w14:textId="77777777" w:rsidR="008E49BC" w:rsidRPr="00B148F9" w:rsidRDefault="008E49BC" w:rsidP="008E49BC"/>
    <w:p w14:paraId="57698D02" w14:textId="68335905" w:rsidR="008E49BC" w:rsidRPr="00B148F9" w:rsidRDefault="008E49BC" w:rsidP="008E49BC">
      <w:pPr>
        <w:rPr>
          <w:i/>
          <w:iCs/>
        </w:rPr>
      </w:pPr>
      <w:r w:rsidRPr="00B148F9">
        <w:rPr>
          <w:i/>
          <w:iCs/>
        </w:rPr>
        <w:t xml:space="preserve">2019 Overview </w:t>
      </w:r>
    </w:p>
    <w:p w14:paraId="14EB0DFA" w14:textId="77777777" w:rsidR="008E49BC" w:rsidRPr="00B148F9" w:rsidRDefault="008E49BC" w:rsidP="008E49BC">
      <w:pPr>
        <w:rPr>
          <w:i/>
          <w:iCs/>
        </w:rPr>
      </w:pPr>
    </w:p>
    <w:p w14:paraId="075359CD" w14:textId="0E44BBCF" w:rsidR="008E49BC" w:rsidRPr="00B148F9" w:rsidRDefault="008E49BC" w:rsidP="008E49BC">
      <w:r w:rsidRPr="00B148F9">
        <w:lastRenderedPageBreak/>
        <w:t xml:space="preserve">In general, 2019 proved to be an excellent year for the Company and its New York-based Investment Manager, RTW Investments, </w:t>
      </w:r>
      <w:r w:rsidR="002A7D91" w:rsidRPr="00B148F9">
        <w:t>LP</w:t>
      </w:r>
      <w:r w:rsidR="009E129E" w:rsidRPr="00B148F9">
        <w:t>,</w:t>
      </w:r>
      <w:r w:rsidRPr="00B148F9">
        <w:rPr>
          <w:rFonts w:cs="Calibri"/>
        </w:rPr>
        <w:t xml:space="preserve"> a global leader in full-lifecycle healthcare investing with a special focus on transformative scientific and medical technology assets, with the operative word being </w:t>
      </w:r>
      <w:r w:rsidRPr="00B148F9">
        <w:rPr>
          <w:rFonts w:cs="Calibri"/>
          <w:i/>
        </w:rPr>
        <w:t>transformative</w:t>
      </w:r>
      <w:r w:rsidRPr="00B148F9">
        <w:rPr>
          <w:rFonts w:cs="Calibri"/>
        </w:rPr>
        <w:t xml:space="preserve">. </w:t>
      </w:r>
      <w:r w:rsidRPr="00B148F9">
        <w:t xml:space="preserve">The RTW team maintained conviction and deployed capital during a time when many investors felt constrained by a combination of factors. These included the </w:t>
      </w:r>
      <w:r w:rsidR="00BC10B4" w:rsidRPr="00B148F9">
        <w:t>difficulties</w:t>
      </w:r>
      <w:r w:rsidRPr="00B148F9">
        <w:t xml:space="preserve"> of </w:t>
      </w:r>
      <w:r w:rsidR="00800BB4" w:rsidRPr="00B148F9">
        <w:t xml:space="preserve">funds managed by </w:t>
      </w:r>
      <w:r w:rsidRPr="00B148F9">
        <w:t>Woodford</w:t>
      </w:r>
      <w:r w:rsidR="00800BB4" w:rsidRPr="00B148F9">
        <w:t xml:space="preserve"> Investment Management</w:t>
      </w:r>
      <w:r w:rsidRPr="00B148F9">
        <w:t xml:space="preserve"> and Brexit in the UK</w:t>
      </w:r>
      <w:r w:rsidR="00F32E5D" w:rsidRPr="00B148F9">
        <w:t>,</w:t>
      </w:r>
      <w:r w:rsidRPr="00B148F9">
        <w:t xml:space="preserve"> and, more broadly, the uncertainty of looming geopolitical factors such as US-China trade wars and the upcoming US presidential election, where healthcare </w:t>
      </w:r>
      <w:r w:rsidR="0072279D" w:rsidRPr="00B148F9">
        <w:t>was</w:t>
      </w:r>
      <w:r w:rsidRPr="00B148F9">
        <w:t xml:space="preserve"> expected to be a topic of heated debate. The Investment Manager and the Company stayed the course, focusing on underlying company fundamentals and valuation, allowing the Company to build a portfolio of companies developing breakthrough science and to provide accretive financing strategies at various points in these companies’ individual life cycles. </w:t>
      </w:r>
    </w:p>
    <w:p w14:paraId="084D21B2" w14:textId="77777777" w:rsidR="008E49BC" w:rsidRPr="00B148F9" w:rsidRDefault="008E49BC" w:rsidP="008E49BC"/>
    <w:p w14:paraId="23A8B94F" w14:textId="7DE5BF6C" w:rsidR="008E49BC" w:rsidRPr="00B148F9" w:rsidRDefault="008E49BC" w:rsidP="008E49BC">
      <w:r w:rsidRPr="00B148F9">
        <w:t xml:space="preserve">The Company had a slightly different route to market than many of its peers as it was formed by combining the assets of an established Delaware fund, which was re-domiciled to Guernsey with additional capital that was subsequently raised in a public offering. The Company listed with an initial price/net asset value of </w:t>
      </w:r>
      <w:r w:rsidR="00800BB4" w:rsidRPr="00B148F9">
        <w:t xml:space="preserve">c. </w:t>
      </w:r>
      <w:r w:rsidRPr="00B148F9">
        <w:t>$1.04 per share, which reflected the strong performance of the Delaware fund portfolio in the period between re-domiciling and listing. Our first financial year has been unusually short as the Company needs to provide tax reporting for its US shareholders based upon audited calendar year</w:t>
      </w:r>
      <w:r w:rsidR="00800BB4" w:rsidRPr="00B148F9">
        <w:t>-</w:t>
      </w:r>
      <w:r w:rsidRPr="00B148F9">
        <w:t xml:space="preserve">end performance. </w:t>
      </w:r>
    </w:p>
    <w:p w14:paraId="0D6ACDCD" w14:textId="77777777" w:rsidR="008E49BC" w:rsidRPr="00B148F9" w:rsidRDefault="008E49BC" w:rsidP="008E49BC"/>
    <w:p w14:paraId="1AD9C925" w14:textId="7524C383" w:rsidR="008E49BC" w:rsidRPr="00B148F9" w:rsidRDefault="008E49BC" w:rsidP="008E49BC">
      <w:pPr>
        <w:textAlignment w:val="center"/>
        <w:rPr>
          <w:rFonts w:cs="Calibri"/>
        </w:rPr>
      </w:pPr>
      <w:r w:rsidRPr="00B148F9">
        <w:t>The Company</w:t>
      </w:r>
      <w:r w:rsidR="00BC10B4" w:rsidRPr="00B148F9">
        <w:t>’s</w:t>
      </w:r>
      <w:r w:rsidRPr="00B148F9">
        <w:t xml:space="preserve"> perform</w:t>
      </w:r>
      <w:r w:rsidR="00BC10B4" w:rsidRPr="00B148F9">
        <w:t>ance</w:t>
      </w:r>
      <w:r w:rsidRPr="00B148F9">
        <w:t xml:space="preserve"> in its brief first </w:t>
      </w:r>
      <w:r w:rsidR="00BC10B4" w:rsidRPr="00B148F9">
        <w:t>period since re-domiciliation was remarkable</w:t>
      </w:r>
      <w:r w:rsidRPr="00B148F9">
        <w:t xml:space="preserve">. In the </w:t>
      </w:r>
      <w:r w:rsidR="00BC10B4" w:rsidRPr="00B148F9">
        <w:t>period from</w:t>
      </w:r>
      <w:r w:rsidRPr="00B148F9">
        <w:t xml:space="preserve"> the IPO</w:t>
      </w:r>
      <w:r w:rsidR="00BC10B4" w:rsidRPr="00B148F9">
        <w:t xml:space="preserve"> to the year end</w:t>
      </w:r>
      <w:r w:rsidRPr="00B148F9">
        <w:t>, the NAV grew from US$168</w:t>
      </w:r>
      <w:r w:rsidR="002B71C1" w:rsidRPr="00B148F9">
        <w:t>.0</w:t>
      </w:r>
      <w:r w:rsidRPr="00B148F9">
        <w:t xml:space="preserve"> million or US$1.04 per </w:t>
      </w:r>
      <w:r w:rsidR="007E0D8C" w:rsidRPr="00B148F9">
        <w:t>O</w:t>
      </w:r>
      <w:r w:rsidR="00AE6968" w:rsidRPr="00B148F9">
        <w:t xml:space="preserve">rdinary </w:t>
      </w:r>
      <w:r w:rsidR="007E0D8C" w:rsidRPr="00B148F9">
        <w:t>S</w:t>
      </w:r>
      <w:r w:rsidRPr="00B148F9">
        <w:t>hare to US$205.7 million or US$1.27 per</w:t>
      </w:r>
      <w:r w:rsidR="00B04EA3" w:rsidRPr="00B148F9">
        <w:t xml:space="preserve"> </w:t>
      </w:r>
      <w:r w:rsidR="007E0D8C" w:rsidRPr="00B148F9">
        <w:t>O</w:t>
      </w:r>
      <w:r w:rsidR="00B04EA3" w:rsidRPr="00B148F9">
        <w:t>rdinary</w:t>
      </w:r>
      <w:r w:rsidRPr="00B148F9">
        <w:t xml:space="preserve"> </w:t>
      </w:r>
      <w:r w:rsidR="007E0D8C" w:rsidRPr="00B148F9">
        <w:t>S</w:t>
      </w:r>
      <w:r w:rsidRPr="00B148F9">
        <w:t>hare, representing an increase of 22 per cent.</w:t>
      </w:r>
      <w:r w:rsidR="00BC10B4" w:rsidRPr="00B148F9">
        <w:t xml:space="preserve"> in less than three months.</w:t>
      </w:r>
      <w:r w:rsidRPr="00B148F9">
        <w:t xml:space="preserve"> At admission, the Company launched with a seed portfolio of six investments, all of which initiated as private investments, but two of which were </w:t>
      </w:r>
      <w:r w:rsidR="00B12C6B" w:rsidRPr="00B148F9">
        <w:t xml:space="preserve">already </w:t>
      </w:r>
      <w:r w:rsidRPr="00B148F9">
        <w:t>publicly listed as at 30 October 2019</w:t>
      </w:r>
      <w:r w:rsidR="00A415E7" w:rsidRPr="00B148F9">
        <w:t>,</w:t>
      </w:r>
      <w:r w:rsidR="00B12C6B" w:rsidRPr="00B148F9">
        <w:t xml:space="preserve"> following the IPO of Frequency on 3 October</w:t>
      </w:r>
      <w:r w:rsidR="0052098D" w:rsidRPr="00B148F9">
        <w:t xml:space="preserve"> 2019</w:t>
      </w:r>
      <w:r w:rsidRPr="00B148F9">
        <w:t xml:space="preserve">. Post-admission, the Company has made one subsequent private investment. Further, </w:t>
      </w:r>
      <w:r w:rsidR="00BC10B4" w:rsidRPr="00B148F9">
        <w:t>to avoid the performance drag associated with uninvested cash awaiting deployment in private investments</w:t>
      </w:r>
      <w:r w:rsidRPr="00B148F9">
        <w:t xml:space="preserve">, the Company has invested in a portfolio of listed companies </w:t>
      </w:r>
      <w:r w:rsidR="00BC10B4" w:rsidRPr="00B148F9">
        <w:t xml:space="preserve">selected </w:t>
      </w:r>
      <w:r w:rsidRPr="00B148F9">
        <w:t xml:space="preserve">by the Investment Manager that are also held in their other investment funds.  The </w:t>
      </w:r>
      <w:r w:rsidR="00800BB4" w:rsidRPr="00B148F9">
        <w:t>remaining</w:t>
      </w:r>
      <w:r w:rsidRPr="00B148F9">
        <w:t xml:space="preserve"> </w:t>
      </w:r>
      <w:r w:rsidR="00800BB4" w:rsidRPr="00B148F9">
        <w:t xml:space="preserve">c. </w:t>
      </w:r>
      <w:r w:rsidRPr="00B148F9">
        <w:t xml:space="preserve">20 per cent. of NAV is held in cash. Significant contributors to performance include strong </w:t>
      </w:r>
      <w:r w:rsidR="00800BB4" w:rsidRPr="00B148F9">
        <w:t xml:space="preserve">share </w:t>
      </w:r>
      <w:r w:rsidRPr="00B148F9">
        <w:t xml:space="preserve">price </w:t>
      </w:r>
      <w:r w:rsidR="00800BB4" w:rsidRPr="00B148F9">
        <w:t xml:space="preserve">returns </w:t>
      </w:r>
      <w:r w:rsidRPr="00B148F9">
        <w:t xml:space="preserve">from the core position </w:t>
      </w:r>
      <w:r w:rsidR="001626C2">
        <w:t xml:space="preserve">of </w:t>
      </w:r>
      <w:r w:rsidRPr="00B148F9">
        <w:t>Rocket</w:t>
      </w:r>
      <w:r w:rsidR="001626C2">
        <w:t xml:space="preserve"> Pharmaceuticals, Inc.</w:t>
      </w:r>
      <w:r w:rsidRPr="00B148F9">
        <w:t xml:space="preserve"> (ticker: “RCKT”), the IPO of Frequency (ticker: “FREQ”), and performance of </w:t>
      </w:r>
      <w:r w:rsidR="00BC10B4" w:rsidRPr="00B148F9">
        <w:t xml:space="preserve">other </w:t>
      </w:r>
      <w:r w:rsidR="00A415E7" w:rsidRPr="00B148F9">
        <w:t>temporary public investments</w:t>
      </w:r>
      <w:r w:rsidRPr="00B148F9">
        <w:t xml:space="preserve"> </w:t>
      </w:r>
      <w:r w:rsidR="00BC10B4" w:rsidRPr="00B148F9">
        <w:t xml:space="preserve">in the </w:t>
      </w:r>
      <w:r w:rsidRPr="00B148F9">
        <w:t xml:space="preserve">cash management strategy. </w:t>
      </w:r>
    </w:p>
    <w:p w14:paraId="300641D2" w14:textId="77777777" w:rsidR="008E49BC" w:rsidRPr="00B148F9" w:rsidRDefault="008E49BC" w:rsidP="008E49BC">
      <w:pPr>
        <w:textAlignment w:val="center"/>
        <w:rPr>
          <w:rFonts w:cs="Calibri"/>
          <w:color w:val="FF0000"/>
        </w:rPr>
      </w:pPr>
    </w:p>
    <w:p w14:paraId="7B17E3A9" w14:textId="77777777" w:rsidR="008E49BC" w:rsidRPr="00B148F9" w:rsidRDefault="008E49BC" w:rsidP="008E49BC">
      <w:pPr>
        <w:textAlignment w:val="center"/>
        <w:rPr>
          <w:rFonts w:cs="Calibri"/>
          <w:i/>
          <w:iCs/>
        </w:rPr>
      </w:pPr>
      <w:r w:rsidRPr="00B148F9">
        <w:rPr>
          <w:rFonts w:cs="Calibri"/>
          <w:i/>
          <w:iCs/>
        </w:rPr>
        <w:t xml:space="preserve">Board composition and evolution </w:t>
      </w:r>
    </w:p>
    <w:p w14:paraId="5E85CA72" w14:textId="77777777" w:rsidR="008E49BC" w:rsidRPr="00B148F9" w:rsidRDefault="008E49BC" w:rsidP="008E49BC">
      <w:pPr>
        <w:textAlignment w:val="center"/>
        <w:rPr>
          <w:rFonts w:cs="Calibri"/>
        </w:rPr>
      </w:pPr>
    </w:p>
    <w:p w14:paraId="4DB46196" w14:textId="450CD106" w:rsidR="008E49BC" w:rsidRPr="00B148F9" w:rsidRDefault="008E49BC" w:rsidP="008E49BC">
      <w:pPr>
        <w:textAlignment w:val="center"/>
        <w:rPr>
          <w:rFonts w:cs="Calibri"/>
        </w:rPr>
      </w:pPr>
      <w:r w:rsidRPr="00B148F9">
        <w:rPr>
          <w:rFonts w:cs="Calibri"/>
        </w:rPr>
        <w:t xml:space="preserve">It has been an honour to serve as Chairman with fellow Guernsey-based independent </w:t>
      </w:r>
      <w:r w:rsidR="004B25BC" w:rsidRPr="00B148F9">
        <w:rPr>
          <w:rFonts w:cs="Calibri"/>
        </w:rPr>
        <w:t>D</w:t>
      </w:r>
      <w:r w:rsidRPr="00B148F9">
        <w:rPr>
          <w:rFonts w:cs="Calibri"/>
        </w:rPr>
        <w:t xml:space="preserve">irectors, </w:t>
      </w:r>
      <w:r w:rsidR="001156EF" w:rsidRPr="00B148F9">
        <w:rPr>
          <w:rFonts w:cs="Calibri"/>
        </w:rPr>
        <w:t xml:space="preserve">William </w:t>
      </w:r>
      <w:r w:rsidRPr="00B148F9">
        <w:rPr>
          <w:rFonts w:cs="Calibri"/>
        </w:rPr>
        <w:t xml:space="preserve">Scott and Paul Le Page, who collectively have </w:t>
      </w:r>
      <w:r w:rsidR="00CB28A6" w:rsidRPr="00B148F9">
        <w:rPr>
          <w:rFonts w:cs="Calibri"/>
        </w:rPr>
        <w:t>several decades</w:t>
      </w:r>
      <w:r w:rsidRPr="00B148F9">
        <w:rPr>
          <w:rFonts w:cs="Calibri"/>
        </w:rPr>
        <w:t xml:space="preserve"> of experience in the listed Investment Company sector. I am </w:t>
      </w:r>
      <w:r w:rsidRPr="00B148F9">
        <w:t>particularly</w:t>
      </w:r>
      <w:r w:rsidRPr="00B148F9" w:rsidDel="00E449FD">
        <w:rPr>
          <w:rFonts w:cs="Calibri"/>
        </w:rPr>
        <w:t xml:space="preserve"> </w:t>
      </w:r>
      <w:r w:rsidRPr="00B148F9">
        <w:rPr>
          <w:rFonts w:cs="Calibri"/>
        </w:rPr>
        <w:t>pleased that our fourth director, Stephanie Sirota, who is a principal and Chief Business Officer of the Investment Manager</w:t>
      </w:r>
      <w:r w:rsidR="00800BB4" w:rsidRPr="00B148F9">
        <w:rPr>
          <w:rFonts w:cs="Calibri"/>
        </w:rPr>
        <w:t>,</w:t>
      </w:r>
      <w:r w:rsidRPr="00B148F9">
        <w:rPr>
          <w:rFonts w:cs="Calibri"/>
        </w:rPr>
        <w:t xml:space="preserve"> is able to provide our board with specialist technical insight</w:t>
      </w:r>
      <w:r w:rsidR="00E82A01" w:rsidRPr="00B148F9">
        <w:rPr>
          <w:rFonts w:cs="Calibri"/>
        </w:rPr>
        <w:t xml:space="preserve"> and demonstrates the personal commitment to the Company by key members of the leadership team at our Investment Manager</w:t>
      </w:r>
      <w:r w:rsidRPr="00B148F9">
        <w:rPr>
          <w:rFonts w:cs="Calibri"/>
        </w:rPr>
        <w:t xml:space="preserve">. </w:t>
      </w:r>
      <w:r w:rsidR="00800BB4" w:rsidRPr="00B148F9">
        <w:rPr>
          <w:rFonts w:cs="Calibri"/>
        </w:rPr>
        <w:t>As the Company grows w</w:t>
      </w:r>
      <w:r w:rsidRPr="00B148F9">
        <w:rPr>
          <w:rFonts w:cs="Calibri"/>
        </w:rPr>
        <w:t>e may also add future directors with backgrounds in the biotech and pharmaceutical fields.</w:t>
      </w:r>
    </w:p>
    <w:p w14:paraId="1C10A018" w14:textId="51EAE65A" w:rsidR="008E49BC" w:rsidRPr="00B148F9" w:rsidRDefault="008E49BC" w:rsidP="008E49BC">
      <w:pPr>
        <w:textAlignment w:val="center"/>
        <w:rPr>
          <w:rFonts w:cs="Calibri"/>
        </w:rPr>
      </w:pPr>
    </w:p>
    <w:p w14:paraId="44DA8213" w14:textId="77777777" w:rsidR="008E49BC" w:rsidRPr="00B148F9" w:rsidRDefault="008E49BC" w:rsidP="008E49BC">
      <w:pPr>
        <w:textAlignment w:val="center"/>
        <w:rPr>
          <w:rFonts w:cs="Calibri"/>
          <w:i/>
          <w:iCs/>
        </w:rPr>
      </w:pPr>
      <w:r w:rsidRPr="00B148F9">
        <w:rPr>
          <w:rFonts w:cs="Calibri"/>
          <w:i/>
          <w:iCs/>
        </w:rPr>
        <w:t>Liquidity and Share Issuance</w:t>
      </w:r>
    </w:p>
    <w:p w14:paraId="0DBCE613" w14:textId="77777777" w:rsidR="008E49BC" w:rsidRPr="00B148F9" w:rsidRDefault="008E49BC" w:rsidP="008E49BC">
      <w:pPr>
        <w:textAlignment w:val="center"/>
        <w:rPr>
          <w:rFonts w:cs="Calibri"/>
        </w:rPr>
      </w:pPr>
    </w:p>
    <w:p w14:paraId="22D33235" w14:textId="4B9D4143" w:rsidR="008E49BC" w:rsidRPr="00B148F9" w:rsidRDefault="008E49BC" w:rsidP="008E49BC">
      <w:pPr>
        <w:textAlignment w:val="center"/>
        <w:rPr>
          <w:rFonts w:cs="Calibri"/>
        </w:rPr>
      </w:pPr>
      <w:r w:rsidRPr="00B148F9">
        <w:rPr>
          <w:rFonts w:cs="Calibri"/>
        </w:rPr>
        <w:t>Prior to admission, the Company was capitalized with US$153 million from</w:t>
      </w:r>
      <w:r w:rsidR="00E03880" w:rsidRPr="00B148F9">
        <w:rPr>
          <w:rFonts w:cs="Calibri"/>
        </w:rPr>
        <w:t xml:space="preserve"> the</w:t>
      </w:r>
      <w:r w:rsidRPr="00B148F9">
        <w:rPr>
          <w:rFonts w:cs="Calibri"/>
        </w:rPr>
        <w:t xml:space="preserve"> Investment Manager principals and Limited Partners</w:t>
      </w:r>
      <w:r w:rsidR="00B71D6A" w:rsidRPr="00B148F9">
        <w:rPr>
          <w:rFonts w:cs="Calibri"/>
        </w:rPr>
        <w:t xml:space="preserve"> </w:t>
      </w:r>
      <w:r w:rsidR="00553B7E" w:rsidRPr="00B148F9">
        <w:rPr>
          <w:rFonts w:cs="Calibri"/>
        </w:rPr>
        <w:t xml:space="preserve">referred to as </w:t>
      </w:r>
      <w:r w:rsidR="0052098D" w:rsidRPr="00B148F9">
        <w:rPr>
          <w:rFonts w:cs="Calibri"/>
        </w:rPr>
        <w:t>the ‘cornerstone</w:t>
      </w:r>
      <w:r w:rsidR="00553B7E" w:rsidRPr="00B148F9">
        <w:rPr>
          <w:rFonts w:cs="Calibri"/>
        </w:rPr>
        <w:t xml:space="preserve"> shareholders</w:t>
      </w:r>
      <w:r w:rsidR="0052098D" w:rsidRPr="00B148F9">
        <w:rPr>
          <w:rFonts w:cs="Calibri"/>
        </w:rPr>
        <w:t>’</w:t>
      </w:r>
      <w:r w:rsidRPr="00B148F9">
        <w:rPr>
          <w:rFonts w:cs="Calibri"/>
        </w:rPr>
        <w:t xml:space="preserve">. An additional US$15 million was raised in the IPO. Initially, the pre-IPO shareholders agreed </w:t>
      </w:r>
      <w:r w:rsidR="00800BB4" w:rsidRPr="00B148F9">
        <w:rPr>
          <w:rFonts w:cs="Calibri"/>
        </w:rPr>
        <w:t xml:space="preserve">not </w:t>
      </w:r>
      <w:r w:rsidRPr="00B148F9">
        <w:rPr>
          <w:rFonts w:cs="Calibri"/>
        </w:rPr>
        <w:t xml:space="preserve">to </w:t>
      </w:r>
      <w:r w:rsidR="00800BB4" w:rsidRPr="00B148F9">
        <w:rPr>
          <w:rFonts w:cs="Calibri"/>
        </w:rPr>
        <w:t xml:space="preserve">dispose of </w:t>
      </w:r>
      <w:r w:rsidRPr="00B148F9">
        <w:rPr>
          <w:rFonts w:cs="Calibri"/>
        </w:rPr>
        <w:t xml:space="preserve">their shares </w:t>
      </w:r>
      <w:r w:rsidR="00800BB4" w:rsidRPr="00B148F9">
        <w:rPr>
          <w:rFonts w:cs="Calibri"/>
        </w:rPr>
        <w:t xml:space="preserve">until </w:t>
      </w:r>
      <w:r w:rsidR="001626C2">
        <w:rPr>
          <w:rFonts w:cs="Calibri"/>
        </w:rPr>
        <w:t>29 October 2020; however,</w:t>
      </w:r>
      <w:r w:rsidRPr="00B148F9">
        <w:rPr>
          <w:rFonts w:cs="Calibri"/>
        </w:rPr>
        <w:t xml:space="preserve"> to provide additional liquidity, </w:t>
      </w:r>
      <w:r w:rsidR="009542E6" w:rsidRPr="00B148F9">
        <w:rPr>
          <w:rFonts w:cs="Calibri"/>
        </w:rPr>
        <w:t xml:space="preserve">on 25 October 2019 </w:t>
      </w:r>
      <w:r w:rsidRPr="00B148F9">
        <w:rPr>
          <w:rFonts w:cs="Calibri"/>
        </w:rPr>
        <w:t xml:space="preserve">the Board </w:t>
      </w:r>
      <w:r w:rsidR="009542E6" w:rsidRPr="00B148F9">
        <w:rPr>
          <w:rFonts w:cs="Calibri"/>
        </w:rPr>
        <w:t xml:space="preserve">and the Company’s Brokers </w:t>
      </w:r>
      <w:r w:rsidRPr="00B148F9">
        <w:rPr>
          <w:rFonts w:cs="Calibri"/>
        </w:rPr>
        <w:t xml:space="preserve">approved unlocking 22.5 per cent. of each </w:t>
      </w:r>
      <w:r w:rsidR="00FD7008" w:rsidRPr="00B148F9">
        <w:rPr>
          <w:rFonts w:cs="Calibri"/>
        </w:rPr>
        <w:t xml:space="preserve">cornerstone </w:t>
      </w:r>
      <w:r w:rsidRPr="00B148F9">
        <w:rPr>
          <w:rFonts w:cs="Calibri"/>
        </w:rPr>
        <w:t>shareholder’s holding, other than the principals and employees</w:t>
      </w:r>
      <w:r w:rsidR="00CB28A6" w:rsidRPr="00B148F9">
        <w:rPr>
          <w:rFonts w:cs="Calibri"/>
        </w:rPr>
        <w:t xml:space="preserve"> of the Investment Manager</w:t>
      </w:r>
      <w:r w:rsidRPr="00B148F9">
        <w:rPr>
          <w:rFonts w:cs="Calibri"/>
        </w:rPr>
        <w:t>.</w:t>
      </w:r>
    </w:p>
    <w:p w14:paraId="1B39E3C9" w14:textId="77777777" w:rsidR="008E49BC" w:rsidRPr="00B148F9" w:rsidRDefault="008E49BC" w:rsidP="008E49BC">
      <w:pPr>
        <w:textAlignment w:val="center"/>
        <w:rPr>
          <w:rFonts w:cs="Calibri"/>
        </w:rPr>
      </w:pPr>
    </w:p>
    <w:p w14:paraId="16E46945" w14:textId="13236A6F" w:rsidR="008E49BC" w:rsidRPr="00B148F9" w:rsidRDefault="008E49BC" w:rsidP="008E49BC">
      <w:pPr>
        <w:textAlignment w:val="center"/>
        <w:rPr>
          <w:rFonts w:cs="Calibri"/>
        </w:rPr>
      </w:pPr>
      <w:r w:rsidRPr="00B148F9">
        <w:rPr>
          <w:rFonts w:cs="Calibri"/>
        </w:rPr>
        <w:t>Corporate brokers J</w:t>
      </w:r>
      <w:r w:rsidR="000E3D4A" w:rsidRPr="00B148F9">
        <w:rPr>
          <w:rFonts w:cs="Calibri"/>
        </w:rPr>
        <w:t>.</w:t>
      </w:r>
      <w:r w:rsidRPr="00B148F9">
        <w:rPr>
          <w:rFonts w:cs="Calibri"/>
        </w:rPr>
        <w:t>P</w:t>
      </w:r>
      <w:r w:rsidR="000E3D4A" w:rsidRPr="00B148F9">
        <w:rPr>
          <w:rFonts w:cs="Calibri"/>
        </w:rPr>
        <w:t>.</w:t>
      </w:r>
      <w:r w:rsidRPr="00B148F9">
        <w:rPr>
          <w:rFonts w:cs="Calibri"/>
        </w:rPr>
        <w:t xml:space="preserve"> Morgan Cazenove and Barclays have reported demand from prospective shareholders post-admission and this has been reflected in the fact that the Company has </w:t>
      </w:r>
      <w:r w:rsidR="00E82A01" w:rsidRPr="00B148F9">
        <w:rPr>
          <w:rFonts w:cs="Calibri"/>
        </w:rPr>
        <w:t xml:space="preserve">consistently </w:t>
      </w:r>
      <w:r w:rsidRPr="00B148F9">
        <w:rPr>
          <w:rFonts w:cs="Calibri"/>
        </w:rPr>
        <w:t xml:space="preserve">traded at a premium to NAV during the first </w:t>
      </w:r>
      <w:r w:rsidR="00E82A01" w:rsidRPr="00B148F9">
        <w:rPr>
          <w:rFonts w:cs="Calibri"/>
        </w:rPr>
        <w:t xml:space="preserve">five </w:t>
      </w:r>
      <w:r w:rsidRPr="00B148F9">
        <w:rPr>
          <w:rFonts w:cs="Calibri"/>
        </w:rPr>
        <w:t xml:space="preserve">months following listing. Under UK Listing rules, the Company has the authority to issue new shares of up to 20 per cent. of the outstanding share capital without filing an updated prospectus, provided the </w:t>
      </w:r>
      <w:r w:rsidRPr="00B148F9">
        <w:rPr>
          <w:rFonts w:cs="Calibri"/>
        </w:rPr>
        <w:lastRenderedPageBreak/>
        <w:t xml:space="preserve">shares are issued on a non-dilutive basis and at a premium to NAV. </w:t>
      </w:r>
      <w:r w:rsidR="00800BB4" w:rsidRPr="00B148F9">
        <w:rPr>
          <w:rFonts w:cs="Calibri"/>
        </w:rPr>
        <w:t>In response to market demand s</w:t>
      </w:r>
      <w:r w:rsidR="00E82A01" w:rsidRPr="00B148F9">
        <w:rPr>
          <w:rFonts w:cs="Calibri"/>
        </w:rPr>
        <w:t xml:space="preserve">ince the IPO to the date of this </w:t>
      </w:r>
      <w:r w:rsidR="004A6DA1" w:rsidRPr="00B148F9">
        <w:rPr>
          <w:rFonts w:cs="Calibri"/>
        </w:rPr>
        <w:t>Annual Report</w:t>
      </w:r>
      <w:r w:rsidR="00E82A01" w:rsidRPr="00B148F9">
        <w:rPr>
          <w:rFonts w:cs="Calibri"/>
        </w:rPr>
        <w:t>, the Company has issued a further 12,424,733 shares</w:t>
      </w:r>
      <w:r w:rsidR="00800BB4" w:rsidRPr="00B148F9">
        <w:rPr>
          <w:rFonts w:cs="Calibri"/>
        </w:rPr>
        <w:t xml:space="preserve"> (representing c. 7 per cent. of opening share capital)</w:t>
      </w:r>
      <w:r w:rsidR="00E82A01" w:rsidRPr="00B148F9">
        <w:rPr>
          <w:rFonts w:cs="Calibri"/>
        </w:rPr>
        <w:t>, raising an additional US$16.8 million</w:t>
      </w:r>
      <w:r w:rsidR="005A22D7" w:rsidRPr="00B148F9">
        <w:rPr>
          <w:rFonts w:cs="Calibri"/>
        </w:rPr>
        <w:t>,</w:t>
      </w:r>
      <w:r w:rsidR="00E82A01" w:rsidRPr="00B148F9">
        <w:rPr>
          <w:rFonts w:cs="Calibri"/>
        </w:rPr>
        <w:t xml:space="preserve"> net of expenses.</w:t>
      </w:r>
    </w:p>
    <w:p w14:paraId="53A727F9" w14:textId="77777777" w:rsidR="008E49BC" w:rsidRPr="00B148F9" w:rsidRDefault="008E49BC" w:rsidP="008E49BC">
      <w:pPr>
        <w:textAlignment w:val="center"/>
        <w:rPr>
          <w:rFonts w:cs="Calibri"/>
        </w:rPr>
      </w:pPr>
    </w:p>
    <w:p w14:paraId="4EB5663B" w14:textId="77777777" w:rsidR="008E49BC" w:rsidRPr="00B148F9" w:rsidRDefault="008E49BC" w:rsidP="008E49BC">
      <w:pPr>
        <w:textAlignment w:val="center"/>
        <w:rPr>
          <w:rFonts w:cs="Calibri"/>
          <w:i/>
          <w:iCs/>
        </w:rPr>
      </w:pPr>
      <w:r w:rsidRPr="00B148F9">
        <w:rPr>
          <w:rFonts w:cs="Calibri"/>
          <w:i/>
          <w:iCs/>
        </w:rPr>
        <w:t>Outlook</w:t>
      </w:r>
    </w:p>
    <w:p w14:paraId="201FB90E" w14:textId="77777777" w:rsidR="008E49BC" w:rsidRPr="00B148F9" w:rsidRDefault="008E49BC" w:rsidP="008E49BC">
      <w:pPr>
        <w:textAlignment w:val="center"/>
        <w:rPr>
          <w:rFonts w:cs="Calibri"/>
        </w:rPr>
      </w:pPr>
    </w:p>
    <w:p w14:paraId="7C0B1CD5" w14:textId="58C24605" w:rsidR="008E49BC" w:rsidRPr="00B148F9" w:rsidRDefault="008E49BC" w:rsidP="008E49BC">
      <w:pPr>
        <w:textAlignment w:val="center"/>
      </w:pPr>
      <w:r w:rsidRPr="00B148F9">
        <w:rPr>
          <w:rFonts w:cs="Calibri"/>
        </w:rPr>
        <w:t>At the time of writing, the World Health Organization has declared a global pandemic related to COVID-19, commonly referred to as Coronavirus, and global financial markets are struggling to understand the medium and longer</w:t>
      </w:r>
      <w:r w:rsidR="001626C2">
        <w:rPr>
          <w:rFonts w:cs="Calibri"/>
        </w:rPr>
        <w:t>-</w:t>
      </w:r>
      <w:r w:rsidRPr="00B148F9">
        <w:rPr>
          <w:rFonts w:cs="Calibri"/>
        </w:rPr>
        <w:t xml:space="preserve">term implications. The Company is looking ahead to continue its work as there have been no </w:t>
      </w:r>
      <w:r w:rsidR="009E129E" w:rsidRPr="00B148F9">
        <w:rPr>
          <w:rFonts w:cs="Calibri"/>
        </w:rPr>
        <w:t xml:space="preserve">material </w:t>
      </w:r>
      <w:r w:rsidRPr="00B148F9">
        <w:rPr>
          <w:rFonts w:cs="Calibri"/>
        </w:rPr>
        <w:t>changes to the fundamentals of the underlying assets, nor any expected supply chain disruptions given the nature of the early stage of the science</w:t>
      </w:r>
      <w:r w:rsidRPr="00B148F9">
        <w:t xml:space="preserve">. </w:t>
      </w:r>
      <w:r w:rsidR="009E129E" w:rsidRPr="00B148F9">
        <w:t>There is anecdotal evidence of delays in clinical trials but the</w:t>
      </w:r>
      <w:r w:rsidR="00CB28A6" w:rsidRPr="00B148F9">
        <w:t xml:space="preserve"> portfolio</w:t>
      </w:r>
      <w:r w:rsidR="009E129E" w:rsidRPr="00B148F9">
        <w:t xml:space="preserve"> companies are sufficiently capitalised and we do</w:t>
      </w:r>
      <w:r w:rsidR="00D24157" w:rsidRPr="00B148F9">
        <w:t xml:space="preserve"> </w:t>
      </w:r>
      <w:r w:rsidR="009E129E" w:rsidRPr="00B148F9">
        <w:t>n</w:t>
      </w:r>
      <w:r w:rsidR="00D24157" w:rsidRPr="00B148F9">
        <w:t>o</w:t>
      </w:r>
      <w:r w:rsidR="009E129E" w:rsidRPr="00B148F9">
        <w:t>t anticipate</w:t>
      </w:r>
      <w:r w:rsidR="00C331EF" w:rsidRPr="00B148F9">
        <w:t xml:space="preserve"> a negative long term impact.</w:t>
      </w:r>
      <w:r w:rsidR="00E03880" w:rsidRPr="00B148F9">
        <w:t xml:space="preserve"> </w:t>
      </w:r>
      <w:r w:rsidR="006D19B9" w:rsidRPr="00B148F9">
        <w:t>It</w:t>
      </w:r>
      <w:r w:rsidR="009E129E" w:rsidRPr="00B148F9">
        <w:t xml:space="preserve"> </w:t>
      </w:r>
      <w:r w:rsidRPr="00B148F9">
        <w:t>has been reported that businesses are beginning to resume normal activity in China, but what remains unknown is the extent of the economic impact</w:t>
      </w:r>
      <w:r w:rsidR="00E51FE0" w:rsidRPr="00B148F9">
        <w:t xml:space="preserve"> </w:t>
      </w:r>
      <w:r w:rsidR="00C316DA" w:rsidRPr="00B148F9">
        <w:rPr>
          <w:rFonts w:cs="Arial"/>
        </w:rPr>
        <w:t>of the unprecedented measures that have been adopted globally to restrict the possibility of transmission of the C</w:t>
      </w:r>
      <w:r w:rsidR="00134726" w:rsidRPr="00B148F9">
        <w:rPr>
          <w:rFonts w:cs="Arial"/>
        </w:rPr>
        <w:t>OVID</w:t>
      </w:r>
      <w:r w:rsidR="00C316DA" w:rsidRPr="00B148F9">
        <w:rPr>
          <w:rFonts w:cs="Arial"/>
        </w:rPr>
        <w:t>-19 virus by limiting personal contact and international travel</w:t>
      </w:r>
      <w:r w:rsidRPr="00B148F9">
        <w:t xml:space="preserve">. In the United States, reported cases of infection </w:t>
      </w:r>
      <w:r w:rsidR="00B5505F" w:rsidRPr="00B148F9">
        <w:t xml:space="preserve">have </w:t>
      </w:r>
      <w:r w:rsidRPr="00B148F9">
        <w:t>accelerat</w:t>
      </w:r>
      <w:r w:rsidR="00B5505F" w:rsidRPr="00B148F9">
        <w:t>ed and there</w:t>
      </w:r>
      <w:r w:rsidR="00EE1A3B" w:rsidRPr="00B148F9">
        <w:t xml:space="preserve"> have been several outbreak hotspots, with New York City bearing the brunt of the impact</w:t>
      </w:r>
      <w:r w:rsidRPr="00B148F9">
        <w:t xml:space="preserve">. </w:t>
      </w:r>
      <w:r w:rsidR="00EE1A3B" w:rsidRPr="00B148F9">
        <w:t xml:space="preserve">The United States have taken a decentralised approach to physical distancing and mitigation strategies, and at the time of writing, it appears that New York </w:t>
      </w:r>
      <w:r w:rsidR="0052098D" w:rsidRPr="00B148F9">
        <w:t>may have</w:t>
      </w:r>
      <w:r w:rsidR="00EE1A3B" w:rsidRPr="00B148F9">
        <w:t xml:space="preserve"> reached its peak. </w:t>
      </w:r>
      <w:r w:rsidR="00C331EF" w:rsidRPr="00B148F9">
        <w:t xml:space="preserve">Case counts in Europe vary from country to country and we are seeing different strategies from </w:t>
      </w:r>
      <w:r w:rsidR="00CB28A6" w:rsidRPr="00B148F9">
        <w:t>aggressive mitigation</w:t>
      </w:r>
      <w:r w:rsidR="00C331EF" w:rsidRPr="00B148F9">
        <w:t xml:space="preserve"> in</w:t>
      </w:r>
      <w:r w:rsidR="00CB28A6" w:rsidRPr="00B148F9">
        <w:t xml:space="preserve"> the UK,</w:t>
      </w:r>
      <w:r w:rsidR="00C331EF" w:rsidRPr="00B148F9">
        <w:t xml:space="preserve"> Italy, Spain, and France, to a more laissez-faire approach as taken in Sweden.</w:t>
      </w:r>
    </w:p>
    <w:p w14:paraId="515E13E9" w14:textId="77777777" w:rsidR="008E49BC" w:rsidRPr="00B148F9" w:rsidRDefault="008E49BC" w:rsidP="008E49BC">
      <w:pPr>
        <w:textAlignment w:val="center"/>
      </w:pPr>
    </w:p>
    <w:p w14:paraId="212EA74A" w14:textId="02FBA493" w:rsidR="008E49BC" w:rsidRPr="00B148F9" w:rsidRDefault="008E49BC" w:rsidP="008E49BC">
      <w:pPr>
        <w:textAlignment w:val="center"/>
      </w:pPr>
      <w:r w:rsidRPr="00B148F9">
        <w:t>In other recent developments, the Company has formed and provided seed capital to Ji Xing</w:t>
      </w:r>
      <w:r w:rsidR="001626C2">
        <w:t xml:space="preserve"> Pharmaceuticals</w:t>
      </w:r>
      <w:r w:rsidRPr="00B148F9">
        <w:t>, a Shanghai-based company focused on acquiring licensing rights to innovative therapies developed in the West for distribution to the Chinese market. The Company intends to participate in a Series A financing together with the Investment Manager’s other funds in the near to medium term.</w:t>
      </w:r>
    </w:p>
    <w:p w14:paraId="15D48CF7" w14:textId="77777777" w:rsidR="008E49BC" w:rsidRPr="00B148F9" w:rsidRDefault="008E49BC" w:rsidP="008E49BC">
      <w:pPr>
        <w:textAlignment w:val="center"/>
      </w:pPr>
    </w:p>
    <w:p w14:paraId="1630935C" w14:textId="2C58E8FB" w:rsidR="008E49BC" w:rsidRPr="00B148F9" w:rsidRDefault="008E49BC" w:rsidP="008E49BC">
      <w:pPr>
        <w:textAlignment w:val="center"/>
        <w:rPr>
          <w:rFonts w:cs="Calibri"/>
          <w:i/>
          <w:iCs/>
        </w:rPr>
      </w:pPr>
      <w:r w:rsidRPr="00B148F9">
        <w:t xml:space="preserve">Despite the health and financial concerns that are dominating financial markets, the Company believes it is more critical than ever to be a source of reliable capital to support the discovery and development of scientific innovation. The Investment Manager intends </w:t>
      </w:r>
      <w:r w:rsidRPr="00B148F9">
        <w:rPr>
          <w:rFonts w:cs="Calibri"/>
        </w:rPr>
        <w:t xml:space="preserve">to grow the Company’s assets, by cultivating new shareholder demand to finance an exciting pipeline of new ideas </w:t>
      </w:r>
      <w:r w:rsidRPr="00B148F9">
        <w:t xml:space="preserve">and </w:t>
      </w:r>
      <w:r w:rsidR="00FB23C2" w:rsidRPr="00B148F9">
        <w:t>its</w:t>
      </w:r>
      <w:r w:rsidRPr="00B148F9">
        <w:t xml:space="preserve"> strategy of founding, investing and supporting companies developing next-generation therapies and technologies, which can significantly improve patients’ lives. Accordingly, I expect the Company to continue delivering strong performance over the long term and creat</w:t>
      </w:r>
      <w:r w:rsidR="00800BB4" w:rsidRPr="00B148F9">
        <w:t>ing</w:t>
      </w:r>
      <w:r w:rsidRPr="00B148F9">
        <w:t xml:space="preserve"> value for shareholders.</w:t>
      </w:r>
    </w:p>
    <w:p w14:paraId="6091E9AA" w14:textId="77777777" w:rsidR="008E49BC" w:rsidRPr="00B148F9" w:rsidRDefault="008E49BC" w:rsidP="008E49BC">
      <w:pPr>
        <w:textAlignment w:val="center"/>
        <w:rPr>
          <w:rFonts w:cs="Calibri"/>
          <w:i/>
          <w:iCs/>
        </w:rPr>
      </w:pPr>
    </w:p>
    <w:p w14:paraId="58BE1644" w14:textId="77777777" w:rsidR="008E49BC" w:rsidRPr="00B148F9" w:rsidRDefault="008E49BC" w:rsidP="008E49BC">
      <w:pPr>
        <w:textAlignment w:val="center"/>
        <w:rPr>
          <w:rFonts w:cs="Calibri"/>
          <w:i/>
          <w:iCs/>
        </w:rPr>
      </w:pPr>
      <w:r w:rsidRPr="00B148F9">
        <w:rPr>
          <w:rFonts w:cs="Calibri"/>
          <w:i/>
          <w:iCs/>
        </w:rPr>
        <w:t xml:space="preserve">AGM </w:t>
      </w:r>
    </w:p>
    <w:p w14:paraId="0F69240B" w14:textId="77777777" w:rsidR="008E49BC" w:rsidRPr="00B148F9" w:rsidRDefault="008E49BC" w:rsidP="008E49BC">
      <w:pPr>
        <w:textAlignment w:val="center"/>
        <w:rPr>
          <w:rFonts w:cs="Calibri"/>
        </w:rPr>
      </w:pPr>
    </w:p>
    <w:p w14:paraId="4F987EB4" w14:textId="1A918B32" w:rsidR="008E49BC" w:rsidRPr="00B148F9" w:rsidRDefault="008E49BC" w:rsidP="008E49BC">
      <w:pPr>
        <w:textAlignment w:val="center"/>
        <w:rPr>
          <w:rFonts w:cs="Calibri"/>
        </w:rPr>
      </w:pPr>
      <w:r w:rsidRPr="00B148F9">
        <w:rPr>
          <w:rFonts w:cs="Calibri"/>
        </w:rPr>
        <w:t xml:space="preserve">The Company will hold its Annual General Meeting (AGM) at 1.00 p.m. GMT on 25 June 2020 to review annual results and provide portfolio updates. The meeting will be hosted at Trafalgar Court, Les Banques, St Peter Port, Guernsey. We would like to dedicate a part of the meeting to address questions from our shareholders. Understandably, it might not be possible for many to attend the meeting in person, therefore please share your questions here and we will endeavour to answer as many as we can: </w:t>
      </w:r>
      <w:hyperlink r:id="rId343" w:history="1">
        <w:r w:rsidRPr="00B148F9">
          <w:rPr>
            <w:rStyle w:val="Hyperlink"/>
            <w:rFonts w:cs="Calibri"/>
          </w:rPr>
          <w:t>RTWVentureFund@rtwfunds.com</w:t>
        </w:r>
      </w:hyperlink>
      <w:r w:rsidRPr="00251CF4">
        <w:rPr>
          <w:rFonts w:cs="Calibri"/>
        </w:rPr>
        <w:t>. We are looking forward to h</w:t>
      </w:r>
      <w:r w:rsidRPr="00B148F9">
        <w:rPr>
          <w:rFonts w:cs="Calibri"/>
        </w:rPr>
        <w:t xml:space="preserve">olding our inaugural AGM and answering your questions. </w:t>
      </w:r>
    </w:p>
    <w:p w14:paraId="2841AEE3" w14:textId="77777777" w:rsidR="008E49BC" w:rsidRPr="00B148F9" w:rsidRDefault="008E49BC" w:rsidP="008E49BC">
      <w:pPr>
        <w:textAlignment w:val="center"/>
        <w:rPr>
          <w:rFonts w:cs="Calibri"/>
        </w:rPr>
      </w:pPr>
    </w:p>
    <w:p w14:paraId="658F0A73" w14:textId="6ACFF7C1" w:rsidR="00205A83" w:rsidRPr="00B148F9" w:rsidRDefault="008E49BC" w:rsidP="00205A83">
      <w:pPr>
        <w:rPr>
          <w:bCs/>
        </w:rPr>
      </w:pPr>
      <w:r w:rsidRPr="00B148F9">
        <w:rPr>
          <w:rFonts w:cs="Calibri"/>
        </w:rPr>
        <w:t>On behalf of the Board, I would like to express my gratitude for your continu</w:t>
      </w:r>
      <w:r w:rsidR="00800BB4" w:rsidRPr="00B148F9">
        <w:rPr>
          <w:rFonts w:cs="Calibri"/>
        </w:rPr>
        <w:t>ed</w:t>
      </w:r>
      <w:r w:rsidRPr="00B148F9">
        <w:rPr>
          <w:rFonts w:cs="Calibri"/>
        </w:rPr>
        <w:t xml:space="preserve"> support and </w:t>
      </w:r>
      <w:r w:rsidR="00800BB4" w:rsidRPr="00B148F9">
        <w:rPr>
          <w:rFonts w:cs="Calibri"/>
        </w:rPr>
        <w:t>I look forward to updating you further at the time of our interim results later this year</w:t>
      </w:r>
      <w:r w:rsidRPr="00B148F9">
        <w:rPr>
          <w:rFonts w:cs="Calibri"/>
        </w:rPr>
        <w:t>.</w:t>
      </w:r>
    </w:p>
    <w:p w14:paraId="7D9E2E4C" w14:textId="3AB2F43B" w:rsidR="002F5AE2" w:rsidRPr="00B148F9" w:rsidRDefault="002F5AE2" w:rsidP="001F679D">
      <w:pPr>
        <w:rPr>
          <w:b/>
        </w:rPr>
      </w:pPr>
    </w:p>
    <w:p w14:paraId="7E504BC1" w14:textId="44FCD227" w:rsidR="0064283E" w:rsidRPr="00B148F9" w:rsidRDefault="0064283E" w:rsidP="001F679D">
      <w:pPr>
        <w:rPr>
          <w:b/>
        </w:rPr>
      </w:pPr>
    </w:p>
    <w:p w14:paraId="3216F796" w14:textId="77777777" w:rsidR="0064283E" w:rsidRPr="00B148F9" w:rsidRDefault="0064283E" w:rsidP="001F679D">
      <w:pPr>
        <w:rPr>
          <w:b/>
        </w:rPr>
      </w:pPr>
    </w:p>
    <w:p w14:paraId="386312C5" w14:textId="77777777" w:rsidR="002F5AE2" w:rsidRPr="00B148F9" w:rsidRDefault="002F5AE2" w:rsidP="001F679D">
      <w:pPr>
        <w:rPr>
          <w:b/>
        </w:rPr>
      </w:pPr>
    </w:p>
    <w:p w14:paraId="4BD3DE77" w14:textId="0201E42E" w:rsidR="001F679D" w:rsidRPr="00B148F9" w:rsidRDefault="00EF0743" w:rsidP="001F679D">
      <w:pPr>
        <w:rPr>
          <w:b/>
        </w:rPr>
      </w:pPr>
      <w:r w:rsidRPr="00B148F9">
        <w:rPr>
          <w:b/>
        </w:rPr>
        <w:t>William Simpson</w:t>
      </w:r>
    </w:p>
    <w:p w14:paraId="1A0A5F56" w14:textId="10A75F83" w:rsidR="001F679D" w:rsidRPr="00B148F9" w:rsidRDefault="001F679D" w:rsidP="001F679D">
      <w:r w:rsidRPr="00B148F9">
        <w:t>Chairman</w:t>
      </w:r>
      <w:r w:rsidR="008E49BC" w:rsidRPr="00B148F9">
        <w:t xml:space="preserve"> of the Board of Directors</w:t>
      </w:r>
    </w:p>
    <w:p w14:paraId="0007D9F1" w14:textId="75E53EFC" w:rsidR="008E49BC" w:rsidRPr="00B148F9" w:rsidRDefault="008E49BC" w:rsidP="001F679D">
      <w:r w:rsidRPr="00B148F9">
        <w:t>RTW Venture Fund Limited</w:t>
      </w:r>
    </w:p>
    <w:p w14:paraId="3EDC4D07" w14:textId="356C2F13" w:rsidR="00EB6ABD" w:rsidRPr="00B148F9" w:rsidRDefault="009E4CA7" w:rsidP="00D339C1">
      <w:r>
        <w:t>21</w:t>
      </w:r>
      <w:r w:rsidR="00EF0743" w:rsidRPr="00B148F9">
        <w:t xml:space="preserve"> </w:t>
      </w:r>
      <w:r w:rsidR="005C0F23" w:rsidRPr="00B148F9">
        <w:t>April</w:t>
      </w:r>
      <w:r w:rsidR="001F679D" w:rsidRPr="00B148F9">
        <w:t xml:space="preserve"> 20</w:t>
      </w:r>
      <w:r w:rsidR="005C0F23" w:rsidRPr="00B148F9">
        <w:t>20</w:t>
      </w:r>
    </w:p>
    <w:p w14:paraId="405BC397" w14:textId="7D85E38A" w:rsidR="00D339C1" w:rsidRPr="00B148F9" w:rsidRDefault="00EB6ABD" w:rsidP="000D4F40">
      <w:pPr>
        <w:pStyle w:val="Heading1"/>
        <w:jc w:val="left"/>
      </w:pPr>
      <w:r w:rsidRPr="00B148F9">
        <w:br w:type="page"/>
      </w:r>
      <w:r w:rsidRPr="00B148F9">
        <w:rPr>
          <w:sz w:val="20"/>
        </w:rPr>
        <w:lastRenderedPageBreak/>
        <w:t xml:space="preserve">Report of the Investment </w:t>
      </w:r>
      <w:r w:rsidR="00BE05D5" w:rsidRPr="00B148F9">
        <w:rPr>
          <w:sz w:val="20"/>
        </w:rPr>
        <w:t>Manager</w:t>
      </w:r>
    </w:p>
    <w:p w14:paraId="2483E0BC" w14:textId="222BFA13" w:rsidR="00EB6ABD" w:rsidRPr="00B148F9" w:rsidRDefault="00EB6ABD" w:rsidP="00D339C1">
      <w:pPr>
        <w:rPr>
          <w:b/>
        </w:rPr>
      </w:pPr>
    </w:p>
    <w:p w14:paraId="43130A7A" w14:textId="77777777" w:rsidR="00472C31" w:rsidRPr="00B148F9" w:rsidRDefault="00472C31" w:rsidP="00472C31">
      <w:pPr>
        <w:textAlignment w:val="center"/>
        <w:rPr>
          <w:rFonts w:cstheme="minorHAnsi"/>
          <w:b/>
        </w:rPr>
      </w:pPr>
      <w:r w:rsidRPr="00B148F9">
        <w:rPr>
          <w:rFonts w:cstheme="minorHAnsi"/>
          <w:b/>
        </w:rPr>
        <w:t>31 December 2019 Highlights</w:t>
      </w:r>
    </w:p>
    <w:tbl>
      <w:tblPr>
        <w:tblStyle w:val="TableGrid"/>
        <w:tblW w:w="0" w:type="auto"/>
        <w:tblLook w:val="04A0" w:firstRow="1" w:lastRow="0" w:firstColumn="1" w:lastColumn="0" w:noHBand="0" w:noVBand="1"/>
      </w:tblPr>
      <w:tblGrid>
        <w:gridCol w:w="3009"/>
        <w:gridCol w:w="3026"/>
        <w:gridCol w:w="3027"/>
      </w:tblGrid>
      <w:tr w:rsidR="00472C31" w:rsidRPr="00B148F9" w14:paraId="10D03A6F" w14:textId="77777777" w:rsidTr="00472C31">
        <w:tc>
          <w:tcPr>
            <w:tcW w:w="3116" w:type="dxa"/>
          </w:tcPr>
          <w:p w14:paraId="4C85C4E8" w14:textId="743740EE" w:rsidR="00472C31" w:rsidRPr="00B148F9" w:rsidRDefault="00472C31" w:rsidP="00617322">
            <w:pPr>
              <w:jc w:val="left"/>
              <w:rPr>
                <w:rFonts w:cstheme="minorHAnsi"/>
                <w:bCs/>
                <w:u w:val="single"/>
              </w:rPr>
            </w:pPr>
            <w:r w:rsidRPr="00B148F9">
              <w:rPr>
                <w:rFonts w:cstheme="minorHAnsi"/>
                <w:color w:val="000000" w:themeColor="text1"/>
              </w:rPr>
              <w:t>US$205.7</w:t>
            </w:r>
            <w:r w:rsidR="002A7D91" w:rsidRPr="00B148F9">
              <w:rPr>
                <w:rFonts w:cstheme="minorHAnsi"/>
                <w:color w:val="000000" w:themeColor="text1"/>
              </w:rPr>
              <w:t xml:space="preserve"> million</w:t>
            </w:r>
            <w:r w:rsidRPr="00B148F9">
              <w:rPr>
                <w:rFonts w:cstheme="minorHAnsi"/>
                <w:color w:val="000000" w:themeColor="text1"/>
              </w:rPr>
              <w:t xml:space="preserve"> </w:t>
            </w:r>
            <w:r w:rsidR="00554E94" w:rsidRPr="00B148F9">
              <w:rPr>
                <w:rFonts w:cstheme="minorHAnsi"/>
                <w:color w:val="000000" w:themeColor="text1"/>
              </w:rPr>
              <w:t xml:space="preserve">Ordinary </w:t>
            </w:r>
            <w:r w:rsidR="002A7D91" w:rsidRPr="00B148F9">
              <w:rPr>
                <w:rFonts w:cstheme="minorHAnsi"/>
                <w:color w:val="000000" w:themeColor="text1"/>
              </w:rPr>
              <w:t>NAV</w:t>
            </w:r>
          </w:p>
        </w:tc>
        <w:tc>
          <w:tcPr>
            <w:tcW w:w="3117" w:type="dxa"/>
          </w:tcPr>
          <w:p w14:paraId="42DFE946" w14:textId="06EBD670" w:rsidR="00472C31" w:rsidRPr="00B148F9" w:rsidRDefault="00472C31" w:rsidP="00617322">
            <w:pPr>
              <w:jc w:val="left"/>
              <w:textAlignment w:val="center"/>
              <w:rPr>
                <w:rFonts w:cstheme="minorHAnsi"/>
                <w:b/>
                <w:u w:val="single"/>
              </w:rPr>
            </w:pPr>
            <w:r w:rsidRPr="00B148F9">
              <w:rPr>
                <w:rFonts w:cstheme="minorHAnsi"/>
                <w:color w:val="000000" w:themeColor="text1"/>
              </w:rPr>
              <w:t xml:space="preserve">22% </w:t>
            </w:r>
            <w:r w:rsidR="00554E94" w:rsidRPr="00B148F9">
              <w:rPr>
                <w:rFonts w:cstheme="minorHAnsi"/>
                <w:color w:val="000000" w:themeColor="text1"/>
              </w:rPr>
              <w:t xml:space="preserve">Ordinary </w:t>
            </w:r>
            <w:r w:rsidRPr="00B148F9">
              <w:rPr>
                <w:rFonts w:cstheme="minorHAnsi"/>
                <w:color w:val="000000" w:themeColor="text1"/>
              </w:rPr>
              <w:t>NAV growth in the period</w:t>
            </w:r>
          </w:p>
        </w:tc>
        <w:tc>
          <w:tcPr>
            <w:tcW w:w="3117" w:type="dxa"/>
          </w:tcPr>
          <w:p w14:paraId="2304F8F9" w14:textId="56AB6038" w:rsidR="00472C31" w:rsidRPr="00B148F9" w:rsidRDefault="00C331EF" w:rsidP="00617322">
            <w:pPr>
              <w:jc w:val="left"/>
              <w:textAlignment w:val="center"/>
              <w:rPr>
                <w:rFonts w:cstheme="minorHAnsi"/>
                <w:color w:val="000000" w:themeColor="text1"/>
              </w:rPr>
            </w:pPr>
            <w:r w:rsidRPr="00B148F9">
              <w:rPr>
                <w:rFonts w:cstheme="minorHAnsi"/>
                <w:color w:val="000000" w:themeColor="text1"/>
              </w:rPr>
              <w:t>7</w:t>
            </w:r>
            <w:r w:rsidR="00472C31" w:rsidRPr="00B148F9">
              <w:rPr>
                <w:rFonts w:cstheme="minorHAnsi"/>
                <w:color w:val="000000" w:themeColor="text1"/>
              </w:rPr>
              <w:t xml:space="preserve"> Portfolio Compan</w:t>
            </w:r>
            <w:r w:rsidR="006E413E" w:rsidRPr="00B148F9">
              <w:rPr>
                <w:rFonts w:cstheme="minorHAnsi"/>
                <w:color w:val="000000" w:themeColor="text1"/>
              </w:rPr>
              <w:t xml:space="preserve">y Investments </w:t>
            </w:r>
            <w:r w:rsidR="001626C2">
              <w:rPr>
                <w:rFonts w:cstheme="minorHAnsi"/>
                <w:color w:val="000000" w:themeColor="text1"/>
              </w:rPr>
              <w:t>:</w:t>
            </w:r>
            <w:r w:rsidR="00472C31" w:rsidRPr="00B148F9">
              <w:rPr>
                <w:rFonts w:cstheme="minorHAnsi"/>
                <w:color w:val="000000" w:themeColor="text1"/>
              </w:rPr>
              <w:t>2</w:t>
            </w:r>
            <w:r w:rsidR="006E413E" w:rsidRPr="00B148F9">
              <w:rPr>
                <w:rFonts w:cstheme="minorHAnsi"/>
                <w:color w:val="000000" w:themeColor="text1"/>
              </w:rPr>
              <w:t xml:space="preserve"> </w:t>
            </w:r>
            <w:r w:rsidR="00472C31" w:rsidRPr="00B148F9">
              <w:rPr>
                <w:rFonts w:cstheme="minorHAnsi"/>
                <w:color w:val="000000" w:themeColor="text1"/>
              </w:rPr>
              <w:t xml:space="preserve">publicly-listed and </w:t>
            </w:r>
            <w:r w:rsidRPr="00B148F9">
              <w:rPr>
                <w:rFonts w:cstheme="minorHAnsi"/>
                <w:color w:val="000000" w:themeColor="text1"/>
              </w:rPr>
              <w:t>5</w:t>
            </w:r>
            <w:r w:rsidR="00472C31" w:rsidRPr="00B148F9">
              <w:rPr>
                <w:rFonts w:cstheme="minorHAnsi"/>
                <w:color w:val="000000" w:themeColor="text1"/>
              </w:rPr>
              <w:t xml:space="preserve"> privately-held</w:t>
            </w:r>
          </w:p>
        </w:tc>
      </w:tr>
      <w:tr w:rsidR="00472C31" w:rsidRPr="00B148F9" w14:paraId="088FCB32" w14:textId="77777777" w:rsidTr="00472C31">
        <w:tc>
          <w:tcPr>
            <w:tcW w:w="3116" w:type="dxa"/>
          </w:tcPr>
          <w:p w14:paraId="1F5E5CDD" w14:textId="4DDAA6D0" w:rsidR="00472C31" w:rsidRPr="00B148F9" w:rsidRDefault="00472C31" w:rsidP="00617322">
            <w:pPr>
              <w:jc w:val="left"/>
              <w:rPr>
                <w:rFonts w:cstheme="minorHAnsi"/>
                <w:bCs/>
                <w:u w:val="single"/>
              </w:rPr>
            </w:pPr>
            <w:r w:rsidRPr="00B148F9">
              <w:rPr>
                <w:rFonts w:cstheme="minorHAnsi"/>
                <w:color w:val="000000" w:themeColor="text1"/>
              </w:rPr>
              <w:t xml:space="preserve">US$1.27 NAV per </w:t>
            </w:r>
            <w:r w:rsidR="00554E94" w:rsidRPr="00B148F9">
              <w:rPr>
                <w:rFonts w:cstheme="minorHAnsi"/>
                <w:color w:val="000000" w:themeColor="text1"/>
              </w:rPr>
              <w:t xml:space="preserve">Ordinary </w:t>
            </w:r>
            <w:r w:rsidR="0052098D" w:rsidRPr="00B148F9">
              <w:rPr>
                <w:rFonts w:cstheme="minorHAnsi"/>
                <w:color w:val="000000" w:themeColor="text1"/>
              </w:rPr>
              <w:t>s</w:t>
            </w:r>
            <w:r w:rsidRPr="00B148F9">
              <w:rPr>
                <w:rFonts w:cstheme="minorHAnsi"/>
                <w:color w:val="000000" w:themeColor="text1"/>
              </w:rPr>
              <w:t>hare</w:t>
            </w:r>
          </w:p>
        </w:tc>
        <w:tc>
          <w:tcPr>
            <w:tcW w:w="3117" w:type="dxa"/>
          </w:tcPr>
          <w:p w14:paraId="021D4808" w14:textId="7C3472D3" w:rsidR="00472C31" w:rsidRPr="00B148F9" w:rsidRDefault="00472C31" w:rsidP="00617322">
            <w:pPr>
              <w:jc w:val="left"/>
              <w:textAlignment w:val="center"/>
              <w:rPr>
                <w:rFonts w:cstheme="minorHAnsi"/>
              </w:rPr>
            </w:pPr>
            <w:r w:rsidRPr="00B148F9">
              <w:rPr>
                <w:rFonts w:cstheme="minorHAnsi"/>
              </w:rPr>
              <w:t>32% total shareholder return</w:t>
            </w:r>
            <w:r w:rsidR="00976DAE" w:rsidRPr="00B148F9">
              <w:rPr>
                <w:rFonts w:cstheme="minorHAnsi"/>
                <w:vertAlign w:val="superscript"/>
              </w:rPr>
              <w:t>*</w:t>
            </w:r>
          </w:p>
          <w:p w14:paraId="386101CB" w14:textId="77777777" w:rsidR="00472C31" w:rsidRPr="00B148F9" w:rsidRDefault="00472C31" w:rsidP="00617322">
            <w:pPr>
              <w:jc w:val="left"/>
              <w:textAlignment w:val="center"/>
              <w:rPr>
                <w:rFonts w:cstheme="minorHAnsi"/>
                <w:b/>
                <w:u w:val="single"/>
              </w:rPr>
            </w:pPr>
          </w:p>
        </w:tc>
        <w:tc>
          <w:tcPr>
            <w:tcW w:w="3117" w:type="dxa"/>
          </w:tcPr>
          <w:p w14:paraId="7C8EAD00" w14:textId="0325FA2C" w:rsidR="00472C31" w:rsidRPr="00B148F9" w:rsidRDefault="00472C31" w:rsidP="00617322">
            <w:pPr>
              <w:jc w:val="left"/>
              <w:textAlignment w:val="center"/>
              <w:rPr>
                <w:rFonts w:cstheme="minorHAnsi"/>
                <w:color w:val="000000" w:themeColor="text1"/>
              </w:rPr>
            </w:pPr>
            <w:r w:rsidRPr="00B148F9">
              <w:rPr>
                <w:rFonts w:cstheme="minorHAnsi"/>
                <w:color w:val="000000" w:themeColor="text1"/>
              </w:rPr>
              <w:t xml:space="preserve">14 /18 </w:t>
            </w:r>
            <w:r w:rsidR="00A508E7" w:rsidRPr="00B148F9">
              <w:rPr>
                <w:rFonts w:cstheme="minorHAnsi"/>
                <w:color w:val="000000" w:themeColor="text1"/>
              </w:rPr>
              <w:t>of</w:t>
            </w:r>
            <w:r w:rsidR="006E413E" w:rsidRPr="00B148F9">
              <w:rPr>
                <w:rFonts w:cstheme="minorHAnsi"/>
                <w:color w:val="000000" w:themeColor="text1"/>
              </w:rPr>
              <w:t xml:space="preserve"> portfolio compan</w:t>
            </w:r>
            <w:r w:rsidR="000300A4" w:rsidRPr="00B148F9">
              <w:rPr>
                <w:rFonts w:cstheme="minorHAnsi"/>
                <w:color w:val="000000" w:themeColor="text1"/>
              </w:rPr>
              <w:t>ies’</w:t>
            </w:r>
            <w:r w:rsidR="006E413E" w:rsidRPr="00B148F9">
              <w:rPr>
                <w:rFonts w:cstheme="minorHAnsi"/>
                <w:color w:val="000000" w:themeColor="text1"/>
              </w:rPr>
              <w:t xml:space="preserve"> </w:t>
            </w:r>
            <w:r w:rsidR="006C2513" w:rsidRPr="00B148F9">
              <w:rPr>
                <w:rFonts w:cstheme="minorHAnsi"/>
                <w:color w:val="000000" w:themeColor="text1"/>
              </w:rPr>
              <w:t xml:space="preserve">pipeline </w:t>
            </w:r>
            <w:r w:rsidR="006E413E" w:rsidRPr="00B148F9">
              <w:rPr>
                <w:rFonts w:cstheme="minorHAnsi"/>
                <w:color w:val="000000" w:themeColor="text1"/>
              </w:rPr>
              <w:t xml:space="preserve">products </w:t>
            </w:r>
            <w:r w:rsidRPr="00B148F9">
              <w:rPr>
                <w:rFonts w:cstheme="minorHAnsi"/>
                <w:color w:val="000000" w:themeColor="text1"/>
              </w:rPr>
              <w:t>are</w:t>
            </w:r>
            <w:r w:rsidR="000300A4" w:rsidRPr="00B148F9">
              <w:rPr>
                <w:rFonts w:cstheme="minorHAnsi"/>
                <w:color w:val="000000" w:themeColor="text1"/>
              </w:rPr>
              <w:t xml:space="preserve"> in</w:t>
            </w:r>
            <w:r w:rsidRPr="00B148F9">
              <w:rPr>
                <w:rFonts w:cstheme="minorHAnsi"/>
                <w:color w:val="000000" w:themeColor="text1"/>
              </w:rPr>
              <w:t xml:space="preserve"> clinical stage programs</w:t>
            </w:r>
          </w:p>
        </w:tc>
      </w:tr>
      <w:tr w:rsidR="00472C31" w:rsidRPr="00B148F9" w14:paraId="472B3C26" w14:textId="77777777" w:rsidTr="00472C31">
        <w:tc>
          <w:tcPr>
            <w:tcW w:w="3116" w:type="dxa"/>
          </w:tcPr>
          <w:p w14:paraId="0F72E9C0" w14:textId="0C597AF0" w:rsidR="00472C31" w:rsidRPr="00B148F9" w:rsidRDefault="00472C31" w:rsidP="00617322">
            <w:pPr>
              <w:jc w:val="left"/>
              <w:rPr>
                <w:rFonts w:cstheme="minorHAnsi"/>
                <w:b/>
                <w:u w:val="single"/>
              </w:rPr>
            </w:pPr>
            <w:r w:rsidRPr="00B148F9">
              <w:rPr>
                <w:rFonts w:cstheme="minorHAnsi"/>
                <w:color w:val="000000" w:themeColor="text1"/>
              </w:rPr>
              <w:t xml:space="preserve">US$1.37 price per </w:t>
            </w:r>
            <w:r w:rsidR="006374A4" w:rsidRPr="00B148F9">
              <w:rPr>
                <w:rFonts w:cstheme="minorHAnsi"/>
                <w:color w:val="000000" w:themeColor="text1"/>
              </w:rPr>
              <w:t xml:space="preserve">Ordinary </w:t>
            </w:r>
            <w:r w:rsidRPr="00B148F9">
              <w:rPr>
                <w:rFonts w:cstheme="minorHAnsi"/>
                <w:color w:val="000000" w:themeColor="text1"/>
              </w:rPr>
              <w:t xml:space="preserve">share </w:t>
            </w:r>
          </w:p>
        </w:tc>
        <w:tc>
          <w:tcPr>
            <w:tcW w:w="3117" w:type="dxa"/>
          </w:tcPr>
          <w:p w14:paraId="467E2126" w14:textId="176D6678" w:rsidR="00472C31" w:rsidRPr="00B148F9" w:rsidRDefault="00472C31" w:rsidP="00C60076">
            <w:pPr>
              <w:jc w:val="left"/>
              <w:textAlignment w:val="center"/>
              <w:rPr>
                <w:rFonts w:cstheme="minorHAnsi"/>
                <w:b/>
                <w:u w:val="single"/>
              </w:rPr>
            </w:pPr>
            <w:r w:rsidRPr="00B148F9">
              <w:rPr>
                <w:rFonts w:cstheme="minorHAnsi"/>
                <w:color w:val="000000" w:themeColor="text1"/>
              </w:rPr>
              <w:t>4</w:t>
            </w:r>
            <w:r w:rsidR="00C331EF" w:rsidRPr="00B148F9">
              <w:rPr>
                <w:rFonts w:cstheme="minorHAnsi"/>
                <w:color w:val="000000" w:themeColor="text1"/>
              </w:rPr>
              <w:t>9</w:t>
            </w:r>
            <w:r w:rsidRPr="00B148F9">
              <w:rPr>
                <w:rFonts w:cstheme="minorHAnsi"/>
                <w:color w:val="000000" w:themeColor="text1"/>
              </w:rPr>
              <w:t>% of NAV invested in portfolio</w:t>
            </w:r>
            <w:r w:rsidR="00C60076">
              <w:rPr>
                <w:rFonts w:cstheme="minorHAnsi"/>
                <w:color w:val="000000" w:themeColor="text1"/>
              </w:rPr>
              <w:t xml:space="preserve"> companies</w:t>
            </w:r>
            <w:r w:rsidR="006C2513" w:rsidRPr="00B148F9">
              <w:rPr>
                <w:rFonts w:cstheme="minorHAnsi"/>
                <w:color w:val="000000" w:themeColor="text1"/>
              </w:rPr>
              <w:t>,</w:t>
            </w:r>
            <w:r w:rsidRPr="00B148F9">
              <w:rPr>
                <w:rFonts w:cstheme="minorHAnsi"/>
                <w:color w:val="000000" w:themeColor="text1"/>
              </w:rPr>
              <w:t xml:space="preserve"> </w:t>
            </w:r>
            <w:r w:rsidR="007A7FFC" w:rsidRPr="00B148F9">
              <w:rPr>
                <w:rFonts w:cstheme="minorHAnsi"/>
                <w:color w:val="000000" w:themeColor="text1"/>
              </w:rPr>
              <w:t xml:space="preserve">LifeSci Companies </w:t>
            </w:r>
            <w:r w:rsidR="00A508E7" w:rsidRPr="00B148F9">
              <w:rPr>
                <w:rFonts w:cstheme="minorHAnsi"/>
                <w:color w:val="000000" w:themeColor="text1"/>
              </w:rPr>
              <w:t>designated in the prospectus</w:t>
            </w:r>
          </w:p>
        </w:tc>
        <w:tc>
          <w:tcPr>
            <w:tcW w:w="3117" w:type="dxa"/>
          </w:tcPr>
          <w:p w14:paraId="6FCA83B2" w14:textId="5B00CAA1" w:rsidR="00472C31" w:rsidRPr="00B148F9" w:rsidRDefault="00472C31">
            <w:pPr>
              <w:jc w:val="left"/>
              <w:textAlignment w:val="center"/>
              <w:rPr>
                <w:rFonts w:cstheme="minorHAnsi"/>
                <w:color w:val="000000" w:themeColor="text1"/>
              </w:rPr>
            </w:pPr>
            <w:r w:rsidRPr="00B148F9">
              <w:rPr>
                <w:rFonts w:cstheme="minorHAnsi"/>
                <w:color w:val="000000" w:themeColor="text1"/>
              </w:rPr>
              <w:t>US$43.</w:t>
            </w:r>
            <w:r w:rsidR="00C331EF" w:rsidRPr="00B148F9">
              <w:rPr>
                <w:rFonts w:cstheme="minorHAnsi"/>
                <w:color w:val="000000" w:themeColor="text1"/>
              </w:rPr>
              <w:t>8</w:t>
            </w:r>
            <w:r w:rsidR="00976DAE" w:rsidRPr="00B148F9">
              <w:rPr>
                <w:rFonts w:cstheme="minorHAnsi"/>
                <w:color w:val="000000" w:themeColor="text1"/>
              </w:rPr>
              <w:t xml:space="preserve"> million</w:t>
            </w:r>
            <w:r w:rsidRPr="00B148F9">
              <w:rPr>
                <w:rFonts w:cstheme="minorHAnsi"/>
                <w:color w:val="000000" w:themeColor="text1"/>
              </w:rPr>
              <w:t xml:space="preserve"> capital pool</w:t>
            </w:r>
            <w:r w:rsidR="00AC6CC3" w:rsidRPr="00B148F9">
              <w:rPr>
                <w:rFonts w:cstheme="minorHAnsi"/>
                <w:color w:val="000000" w:themeColor="text1"/>
              </w:rPr>
              <w:t xml:space="preserve"> </w:t>
            </w:r>
          </w:p>
        </w:tc>
      </w:tr>
    </w:tbl>
    <w:p w14:paraId="5AB3EE9E" w14:textId="77777777" w:rsidR="00976DAE" w:rsidRPr="00B148F9" w:rsidRDefault="00976DAE" w:rsidP="00472C31">
      <w:pPr>
        <w:textAlignment w:val="center"/>
        <w:rPr>
          <w:rFonts w:cstheme="minorHAnsi"/>
          <w:b/>
          <w:u w:val="single"/>
        </w:rPr>
      </w:pPr>
    </w:p>
    <w:p w14:paraId="42352171" w14:textId="77777777" w:rsidR="00472C31" w:rsidRPr="00B148F9" w:rsidRDefault="00472C31" w:rsidP="00472C31">
      <w:pPr>
        <w:textAlignment w:val="center"/>
        <w:rPr>
          <w:rFonts w:cstheme="minorHAnsi"/>
          <w:b/>
        </w:rPr>
      </w:pPr>
      <w:r w:rsidRPr="00B148F9">
        <w:rPr>
          <w:rFonts w:cstheme="minorHAnsi"/>
          <w:b/>
        </w:rPr>
        <w:t>Executive summary</w:t>
      </w:r>
    </w:p>
    <w:p w14:paraId="0B50BA0E" w14:textId="42D51488" w:rsidR="00472C31" w:rsidRPr="00B148F9" w:rsidRDefault="00472C31" w:rsidP="00472C31">
      <w:pPr>
        <w:textAlignment w:val="center"/>
        <w:rPr>
          <w:color w:val="000000" w:themeColor="text1"/>
        </w:rPr>
      </w:pPr>
      <w:r w:rsidRPr="00B148F9">
        <w:rPr>
          <w:color w:val="000000" w:themeColor="text1"/>
        </w:rPr>
        <w:t xml:space="preserve">It is with distinct pleasure that we share the inaugural annual results of the Company as of 31 December 2019. The Company has been publicly listed on the Specialist Fund Segment of the London Stock Exchange since 30 October 2019 and has grown by 22 per cent. from US$168.0 million NAV, or US$1.04 per Ordinary Share, to US$205.7 million, or US$1.27 per Ordinary Share, as of 31 December 2019. Since admission, the share price has been consistently trading at a premium to NAV. </w:t>
      </w:r>
    </w:p>
    <w:p w14:paraId="4054AC8F" w14:textId="77777777" w:rsidR="002A7D91" w:rsidRPr="00B148F9" w:rsidRDefault="002A7D91" w:rsidP="00472C31">
      <w:pPr>
        <w:textAlignment w:val="center"/>
        <w:rPr>
          <w:color w:val="000000" w:themeColor="text1"/>
        </w:rPr>
      </w:pPr>
    </w:p>
    <w:p w14:paraId="32FE61EF" w14:textId="4BB78F99" w:rsidR="00472C31" w:rsidRPr="00B148F9" w:rsidRDefault="00472C31" w:rsidP="00472C31">
      <w:pPr>
        <w:textAlignment w:val="center"/>
        <w:rPr>
          <w:rFonts w:cstheme="minorHAnsi"/>
          <w:i/>
          <w:color w:val="000000" w:themeColor="text1"/>
        </w:rPr>
      </w:pPr>
      <w:r w:rsidRPr="00B148F9">
        <w:rPr>
          <w:rFonts w:cstheme="minorHAnsi"/>
          <w:i/>
          <w:color w:val="000000" w:themeColor="text1"/>
        </w:rPr>
        <w:t xml:space="preserve">Table 1. </w:t>
      </w:r>
      <w:r w:rsidR="00C331EF" w:rsidRPr="00B148F9">
        <w:rPr>
          <w:rFonts w:cstheme="minorHAnsi"/>
          <w:i/>
          <w:color w:val="000000" w:themeColor="text1"/>
        </w:rPr>
        <w:t>Financial Highlights</w:t>
      </w:r>
    </w:p>
    <w:p w14:paraId="393010FD" w14:textId="77777777" w:rsidR="002A7D91" w:rsidRPr="00B148F9" w:rsidRDefault="002A7D91" w:rsidP="00472C31">
      <w:pPr>
        <w:textAlignment w:val="center"/>
        <w:rPr>
          <w:rFonts w:cstheme="minorHAnsi"/>
          <w:i/>
          <w:color w:val="000000" w:themeColor="text1"/>
        </w:rPr>
      </w:pPr>
    </w:p>
    <w:tbl>
      <w:tblPr>
        <w:tblStyle w:val="TableGrid"/>
        <w:tblW w:w="0" w:type="auto"/>
        <w:tblLook w:val="04A0" w:firstRow="1" w:lastRow="0" w:firstColumn="1" w:lastColumn="0" w:noHBand="0" w:noVBand="1"/>
      </w:tblPr>
      <w:tblGrid>
        <w:gridCol w:w="2502"/>
        <w:gridCol w:w="3134"/>
        <w:gridCol w:w="3426"/>
      </w:tblGrid>
      <w:tr w:rsidR="00472C31" w:rsidRPr="00B148F9" w14:paraId="5E514DF0" w14:textId="77777777" w:rsidTr="00C540D7">
        <w:trPr>
          <w:trHeight w:val="341"/>
        </w:trPr>
        <w:tc>
          <w:tcPr>
            <w:tcW w:w="2502" w:type="dxa"/>
          </w:tcPr>
          <w:p w14:paraId="63FFE62A" w14:textId="77777777" w:rsidR="00472C31" w:rsidRPr="00B148F9" w:rsidRDefault="00472C31" w:rsidP="00472C31">
            <w:pPr>
              <w:rPr>
                <w:rFonts w:cstheme="minorHAnsi"/>
                <w:b/>
                <w:color w:val="000000" w:themeColor="text1"/>
                <w:sz w:val="18"/>
              </w:rPr>
            </w:pPr>
            <w:r w:rsidRPr="00B148F9">
              <w:rPr>
                <w:rFonts w:cstheme="minorHAnsi"/>
                <w:b/>
                <w:color w:val="000000" w:themeColor="text1"/>
                <w:sz w:val="18"/>
              </w:rPr>
              <w:t>RTW Venture Fund Limited</w:t>
            </w:r>
          </w:p>
        </w:tc>
        <w:tc>
          <w:tcPr>
            <w:tcW w:w="3134" w:type="dxa"/>
          </w:tcPr>
          <w:p w14:paraId="6B2DB904" w14:textId="77777777" w:rsidR="00472C31" w:rsidRPr="00B148F9" w:rsidRDefault="00472C31" w:rsidP="00472C31">
            <w:pPr>
              <w:rPr>
                <w:rFonts w:cstheme="minorHAnsi"/>
                <w:b/>
                <w:color w:val="000000" w:themeColor="text1"/>
                <w:sz w:val="18"/>
              </w:rPr>
            </w:pPr>
            <w:r w:rsidRPr="00B148F9">
              <w:rPr>
                <w:rFonts w:cstheme="minorHAnsi"/>
                <w:b/>
                <w:color w:val="000000" w:themeColor="text1"/>
                <w:sz w:val="18"/>
              </w:rPr>
              <w:t>Admission (30/10/2019)</w:t>
            </w:r>
          </w:p>
        </w:tc>
        <w:tc>
          <w:tcPr>
            <w:tcW w:w="3426" w:type="dxa"/>
          </w:tcPr>
          <w:p w14:paraId="541FAD89" w14:textId="77777777" w:rsidR="00472C31" w:rsidRPr="00B148F9" w:rsidRDefault="00472C31" w:rsidP="00472C31">
            <w:pPr>
              <w:rPr>
                <w:rFonts w:cstheme="minorHAnsi"/>
                <w:b/>
                <w:color w:val="000000" w:themeColor="text1"/>
                <w:sz w:val="18"/>
              </w:rPr>
            </w:pPr>
            <w:r w:rsidRPr="00B148F9">
              <w:rPr>
                <w:rFonts w:cstheme="minorHAnsi"/>
                <w:b/>
                <w:color w:val="000000" w:themeColor="text1"/>
                <w:sz w:val="18"/>
              </w:rPr>
              <w:t>End of reporting period (31/12/2019)</w:t>
            </w:r>
          </w:p>
        </w:tc>
      </w:tr>
      <w:tr w:rsidR="00472C31" w:rsidRPr="00B148F9" w14:paraId="3ED5D921" w14:textId="77777777" w:rsidTr="00C540D7">
        <w:trPr>
          <w:trHeight w:val="243"/>
        </w:trPr>
        <w:tc>
          <w:tcPr>
            <w:tcW w:w="2502" w:type="dxa"/>
          </w:tcPr>
          <w:p w14:paraId="7027E2FA" w14:textId="71DF95E6" w:rsidR="00472C31" w:rsidRPr="00B148F9" w:rsidRDefault="00554E94" w:rsidP="00472C31">
            <w:pPr>
              <w:rPr>
                <w:rFonts w:cstheme="minorHAnsi"/>
                <w:color w:val="000000" w:themeColor="text1"/>
                <w:sz w:val="18"/>
              </w:rPr>
            </w:pPr>
            <w:r w:rsidRPr="00B148F9">
              <w:rPr>
                <w:rFonts w:cstheme="minorHAnsi"/>
                <w:color w:val="000000" w:themeColor="text1"/>
                <w:sz w:val="18"/>
              </w:rPr>
              <w:t xml:space="preserve">Ordinary </w:t>
            </w:r>
            <w:r w:rsidR="00472C31" w:rsidRPr="00B148F9">
              <w:rPr>
                <w:rFonts w:cstheme="minorHAnsi"/>
                <w:color w:val="000000" w:themeColor="text1"/>
                <w:sz w:val="18"/>
              </w:rPr>
              <w:t>NAV</w:t>
            </w:r>
          </w:p>
        </w:tc>
        <w:tc>
          <w:tcPr>
            <w:tcW w:w="3134" w:type="dxa"/>
            <w:vAlign w:val="bottom"/>
          </w:tcPr>
          <w:p w14:paraId="453B7526" w14:textId="498BE58E" w:rsidR="00472C31" w:rsidRPr="00B148F9" w:rsidRDefault="00472C31">
            <w:pPr>
              <w:jc w:val="right"/>
              <w:rPr>
                <w:rFonts w:cstheme="minorHAnsi"/>
                <w:color w:val="000000" w:themeColor="text1"/>
                <w:sz w:val="18"/>
              </w:rPr>
            </w:pPr>
            <w:r w:rsidRPr="00B148F9">
              <w:rPr>
                <w:rFonts w:cstheme="minorHAnsi"/>
                <w:color w:val="000000" w:themeColor="text1"/>
                <w:sz w:val="18"/>
              </w:rPr>
              <w:t>US$168.0</w:t>
            </w:r>
            <w:r w:rsidR="002A7D91" w:rsidRPr="00B148F9">
              <w:rPr>
                <w:rFonts w:cstheme="minorHAnsi"/>
                <w:color w:val="000000" w:themeColor="text1"/>
                <w:sz w:val="18"/>
              </w:rPr>
              <w:t xml:space="preserve"> million</w:t>
            </w:r>
          </w:p>
        </w:tc>
        <w:tc>
          <w:tcPr>
            <w:tcW w:w="3426" w:type="dxa"/>
            <w:vAlign w:val="bottom"/>
          </w:tcPr>
          <w:p w14:paraId="150A150A" w14:textId="600CBCC4" w:rsidR="00472C31" w:rsidRPr="00B148F9" w:rsidRDefault="00472C31">
            <w:pPr>
              <w:jc w:val="right"/>
              <w:rPr>
                <w:rFonts w:cstheme="minorHAnsi"/>
                <w:color w:val="000000" w:themeColor="text1"/>
                <w:sz w:val="18"/>
              </w:rPr>
            </w:pPr>
            <w:r w:rsidRPr="00B148F9">
              <w:rPr>
                <w:rFonts w:cstheme="minorHAnsi"/>
                <w:color w:val="000000" w:themeColor="text1"/>
                <w:sz w:val="18"/>
              </w:rPr>
              <w:t>US$205.7</w:t>
            </w:r>
            <w:r w:rsidR="002A7D91" w:rsidRPr="00B148F9">
              <w:rPr>
                <w:rFonts w:cstheme="minorHAnsi"/>
                <w:color w:val="000000" w:themeColor="text1"/>
                <w:sz w:val="18"/>
              </w:rPr>
              <w:t xml:space="preserve"> million</w:t>
            </w:r>
          </w:p>
        </w:tc>
      </w:tr>
      <w:tr w:rsidR="00472C31" w:rsidRPr="00B148F9" w14:paraId="62D61B47" w14:textId="77777777" w:rsidTr="00C540D7">
        <w:trPr>
          <w:trHeight w:val="243"/>
        </w:trPr>
        <w:tc>
          <w:tcPr>
            <w:tcW w:w="2502" w:type="dxa"/>
          </w:tcPr>
          <w:p w14:paraId="2CF79F2E" w14:textId="293C7763" w:rsidR="00472C31" w:rsidRPr="00B148F9" w:rsidRDefault="00472C31" w:rsidP="00472C31">
            <w:pPr>
              <w:rPr>
                <w:rFonts w:cstheme="minorHAnsi"/>
                <w:color w:val="000000" w:themeColor="text1"/>
                <w:sz w:val="18"/>
              </w:rPr>
            </w:pPr>
            <w:r w:rsidRPr="00B148F9">
              <w:rPr>
                <w:rFonts w:cstheme="minorHAnsi"/>
                <w:color w:val="000000" w:themeColor="text1"/>
                <w:sz w:val="18"/>
              </w:rPr>
              <w:t>NAV per</w:t>
            </w:r>
            <w:r w:rsidR="00554E94" w:rsidRPr="00B148F9">
              <w:rPr>
                <w:rFonts w:cstheme="minorHAnsi"/>
                <w:color w:val="000000" w:themeColor="text1"/>
                <w:sz w:val="18"/>
              </w:rPr>
              <w:t xml:space="preserve"> Ordinary</w:t>
            </w:r>
            <w:r w:rsidRPr="00B148F9">
              <w:rPr>
                <w:rFonts w:cstheme="minorHAnsi"/>
                <w:color w:val="000000" w:themeColor="text1"/>
                <w:sz w:val="18"/>
              </w:rPr>
              <w:t xml:space="preserve"> share</w:t>
            </w:r>
          </w:p>
        </w:tc>
        <w:tc>
          <w:tcPr>
            <w:tcW w:w="3134" w:type="dxa"/>
            <w:vAlign w:val="bottom"/>
          </w:tcPr>
          <w:p w14:paraId="32A27989" w14:textId="77777777" w:rsidR="00472C31" w:rsidRPr="00B148F9" w:rsidRDefault="00472C31" w:rsidP="00472C31">
            <w:pPr>
              <w:jc w:val="right"/>
              <w:rPr>
                <w:rFonts w:cstheme="minorHAnsi"/>
                <w:color w:val="000000" w:themeColor="text1"/>
                <w:sz w:val="18"/>
              </w:rPr>
            </w:pPr>
            <w:r w:rsidRPr="00B148F9">
              <w:rPr>
                <w:rFonts w:cstheme="minorHAnsi"/>
                <w:color w:val="000000" w:themeColor="text1"/>
                <w:sz w:val="18"/>
              </w:rPr>
              <w:t>US$1.04</w:t>
            </w:r>
          </w:p>
        </w:tc>
        <w:tc>
          <w:tcPr>
            <w:tcW w:w="3426" w:type="dxa"/>
            <w:vAlign w:val="bottom"/>
          </w:tcPr>
          <w:p w14:paraId="1E1D3DBC" w14:textId="77777777" w:rsidR="00472C31" w:rsidRPr="00B148F9" w:rsidRDefault="00472C31" w:rsidP="00472C31">
            <w:pPr>
              <w:jc w:val="right"/>
              <w:rPr>
                <w:rFonts w:cstheme="minorHAnsi"/>
                <w:color w:val="000000" w:themeColor="text1"/>
                <w:sz w:val="18"/>
              </w:rPr>
            </w:pPr>
            <w:r w:rsidRPr="00B148F9">
              <w:rPr>
                <w:rFonts w:cstheme="minorHAnsi"/>
                <w:color w:val="000000" w:themeColor="text1"/>
                <w:sz w:val="18"/>
              </w:rPr>
              <w:t>US$1.27</w:t>
            </w:r>
          </w:p>
        </w:tc>
      </w:tr>
      <w:tr w:rsidR="00472C31" w:rsidRPr="00B148F9" w14:paraId="5F88EE7D" w14:textId="77777777" w:rsidTr="00C540D7">
        <w:trPr>
          <w:trHeight w:val="255"/>
        </w:trPr>
        <w:tc>
          <w:tcPr>
            <w:tcW w:w="2502" w:type="dxa"/>
          </w:tcPr>
          <w:p w14:paraId="4AE165A8" w14:textId="77777777" w:rsidR="00472C31" w:rsidRPr="00B148F9" w:rsidRDefault="00A508E7" w:rsidP="00472C31">
            <w:pPr>
              <w:rPr>
                <w:rFonts w:cstheme="minorHAnsi"/>
                <w:b/>
                <w:color w:val="000000" w:themeColor="text1"/>
                <w:sz w:val="18"/>
              </w:rPr>
            </w:pPr>
            <w:r w:rsidRPr="00B148F9">
              <w:rPr>
                <w:rFonts w:cstheme="minorHAnsi"/>
                <w:b/>
                <w:color w:val="000000" w:themeColor="text1"/>
                <w:sz w:val="18"/>
              </w:rPr>
              <w:t xml:space="preserve">NAV </w:t>
            </w:r>
            <w:r w:rsidR="00472C31" w:rsidRPr="00B148F9">
              <w:rPr>
                <w:rFonts w:cstheme="minorHAnsi"/>
                <w:b/>
                <w:color w:val="000000" w:themeColor="text1"/>
                <w:sz w:val="18"/>
              </w:rPr>
              <w:t>Growth (%)</w:t>
            </w:r>
          </w:p>
        </w:tc>
        <w:tc>
          <w:tcPr>
            <w:tcW w:w="3134" w:type="dxa"/>
            <w:vAlign w:val="bottom"/>
          </w:tcPr>
          <w:p w14:paraId="4405C954" w14:textId="77777777" w:rsidR="00472C31" w:rsidRPr="00B148F9" w:rsidRDefault="00472C31" w:rsidP="00472C31">
            <w:pPr>
              <w:jc w:val="right"/>
              <w:rPr>
                <w:rFonts w:cstheme="minorHAnsi"/>
                <w:color w:val="000000" w:themeColor="text1"/>
                <w:sz w:val="18"/>
              </w:rPr>
            </w:pPr>
            <w:r w:rsidRPr="00B148F9">
              <w:rPr>
                <w:rFonts w:cstheme="minorHAnsi"/>
                <w:sz w:val="18"/>
              </w:rPr>
              <w:t>--</w:t>
            </w:r>
          </w:p>
        </w:tc>
        <w:tc>
          <w:tcPr>
            <w:tcW w:w="3426" w:type="dxa"/>
            <w:vAlign w:val="bottom"/>
          </w:tcPr>
          <w:p w14:paraId="2D09798D" w14:textId="77777777" w:rsidR="00472C31" w:rsidRPr="00B148F9" w:rsidRDefault="00472C31" w:rsidP="00472C31">
            <w:pPr>
              <w:jc w:val="right"/>
              <w:rPr>
                <w:rFonts w:cstheme="minorHAnsi"/>
                <w:b/>
                <w:color w:val="000000" w:themeColor="text1"/>
                <w:sz w:val="18"/>
              </w:rPr>
            </w:pPr>
            <w:r w:rsidRPr="00B148F9">
              <w:rPr>
                <w:rFonts w:cstheme="minorHAnsi"/>
                <w:b/>
                <w:color w:val="000000" w:themeColor="text1"/>
                <w:sz w:val="18"/>
              </w:rPr>
              <w:t>22%</w:t>
            </w:r>
          </w:p>
        </w:tc>
      </w:tr>
      <w:tr w:rsidR="00472C31" w:rsidRPr="00B148F9" w14:paraId="36851103" w14:textId="77777777" w:rsidTr="00C540D7">
        <w:trPr>
          <w:trHeight w:val="243"/>
        </w:trPr>
        <w:tc>
          <w:tcPr>
            <w:tcW w:w="2502" w:type="dxa"/>
          </w:tcPr>
          <w:p w14:paraId="23320A34" w14:textId="77777777" w:rsidR="00472C31" w:rsidRPr="00B148F9" w:rsidRDefault="00472C31" w:rsidP="00472C31">
            <w:pPr>
              <w:rPr>
                <w:rFonts w:cstheme="minorHAnsi"/>
                <w:color w:val="000000" w:themeColor="text1"/>
                <w:sz w:val="18"/>
              </w:rPr>
            </w:pPr>
            <w:r w:rsidRPr="00B148F9">
              <w:rPr>
                <w:rFonts w:cstheme="minorHAnsi"/>
                <w:color w:val="000000" w:themeColor="text1"/>
                <w:sz w:val="18"/>
              </w:rPr>
              <w:t>Price per share</w:t>
            </w:r>
          </w:p>
        </w:tc>
        <w:tc>
          <w:tcPr>
            <w:tcW w:w="3134" w:type="dxa"/>
            <w:vAlign w:val="bottom"/>
          </w:tcPr>
          <w:p w14:paraId="51BE29BB" w14:textId="77777777" w:rsidR="00472C31" w:rsidRPr="00B148F9" w:rsidRDefault="00472C31" w:rsidP="00472C31">
            <w:pPr>
              <w:jc w:val="right"/>
              <w:rPr>
                <w:rFonts w:cstheme="minorHAnsi"/>
                <w:color w:val="FF0000"/>
                <w:sz w:val="18"/>
              </w:rPr>
            </w:pPr>
            <w:r w:rsidRPr="00B148F9">
              <w:rPr>
                <w:rFonts w:cstheme="minorHAnsi"/>
                <w:color w:val="000000" w:themeColor="text1"/>
                <w:sz w:val="18"/>
              </w:rPr>
              <w:t>US$</w:t>
            </w:r>
            <w:r w:rsidRPr="00B148F9">
              <w:rPr>
                <w:rFonts w:cstheme="minorHAnsi"/>
                <w:sz w:val="18"/>
              </w:rPr>
              <w:t>1.04</w:t>
            </w:r>
          </w:p>
        </w:tc>
        <w:tc>
          <w:tcPr>
            <w:tcW w:w="3426" w:type="dxa"/>
            <w:vAlign w:val="bottom"/>
          </w:tcPr>
          <w:p w14:paraId="0753D7A9" w14:textId="77777777" w:rsidR="00472C31" w:rsidRPr="00B148F9" w:rsidRDefault="00472C31" w:rsidP="00472C31">
            <w:pPr>
              <w:jc w:val="right"/>
              <w:rPr>
                <w:rFonts w:cstheme="minorHAnsi"/>
                <w:sz w:val="18"/>
              </w:rPr>
            </w:pPr>
            <w:r w:rsidRPr="00B148F9">
              <w:rPr>
                <w:rFonts w:cstheme="minorHAnsi"/>
                <w:color w:val="000000" w:themeColor="text1"/>
                <w:sz w:val="18"/>
              </w:rPr>
              <w:t>US$</w:t>
            </w:r>
            <w:r w:rsidRPr="00B148F9">
              <w:rPr>
                <w:rFonts w:cstheme="minorHAnsi"/>
                <w:sz w:val="18"/>
              </w:rPr>
              <w:t>1.37</w:t>
            </w:r>
          </w:p>
        </w:tc>
      </w:tr>
      <w:tr w:rsidR="00472C31" w:rsidRPr="00B148F9" w14:paraId="73A864BB" w14:textId="77777777" w:rsidTr="00C540D7">
        <w:trPr>
          <w:trHeight w:val="243"/>
        </w:trPr>
        <w:tc>
          <w:tcPr>
            <w:tcW w:w="2502" w:type="dxa"/>
          </w:tcPr>
          <w:p w14:paraId="29EA76C9" w14:textId="424C1DF2" w:rsidR="00472C31" w:rsidRPr="00B148F9" w:rsidRDefault="00472C31" w:rsidP="00472C31">
            <w:pPr>
              <w:rPr>
                <w:rFonts w:cstheme="minorHAnsi"/>
                <w:color w:val="000000" w:themeColor="text1"/>
                <w:sz w:val="18"/>
              </w:rPr>
            </w:pPr>
            <w:r w:rsidRPr="00B148F9">
              <w:rPr>
                <w:rFonts w:cstheme="minorHAnsi"/>
                <w:b/>
                <w:bCs/>
                <w:color w:val="000000" w:themeColor="text1"/>
                <w:sz w:val="18"/>
              </w:rPr>
              <w:t>Share price growth</w:t>
            </w:r>
            <w:r w:rsidR="00C331EF" w:rsidRPr="00B148F9">
              <w:rPr>
                <w:rFonts w:cstheme="minorHAnsi"/>
                <w:b/>
                <w:bCs/>
                <w:color w:val="000000" w:themeColor="text1"/>
                <w:sz w:val="18"/>
              </w:rPr>
              <w:t>*</w:t>
            </w:r>
            <w:r w:rsidRPr="00B148F9">
              <w:rPr>
                <w:rFonts w:cstheme="minorHAnsi"/>
                <w:b/>
                <w:bCs/>
                <w:color w:val="000000" w:themeColor="text1"/>
                <w:sz w:val="18"/>
              </w:rPr>
              <w:t xml:space="preserve"> (%)</w:t>
            </w:r>
          </w:p>
        </w:tc>
        <w:tc>
          <w:tcPr>
            <w:tcW w:w="3134" w:type="dxa"/>
            <w:vAlign w:val="bottom"/>
          </w:tcPr>
          <w:p w14:paraId="22DBB691" w14:textId="6E290539" w:rsidR="00472C31" w:rsidRPr="00B148F9" w:rsidRDefault="003A7A29" w:rsidP="00472C31">
            <w:pPr>
              <w:jc w:val="right"/>
              <w:rPr>
                <w:rFonts w:cstheme="minorHAnsi"/>
                <w:color w:val="000000" w:themeColor="text1"/>
                <w:sz w:val="18"/>
              </w:rPr>
            </w:pPr>
            <w:r w:rsidRPr="00B148F9">
              <w:rPr>
                <w:rFonts w:cstheme="minorHAnsi"/>
                <w:sz w:val="18"/>
              </w:rPr>
              <w:t>--</w:t>
            </w:r>
          </w:p>
        </w:tc>
        <w:tc>
          <w:tcPr>
            <w:tcW w:w="3426" w:type="dxa"/>
            <w:vAlign w:val="bottom"/>
          </w:tcPr>
          <w:p w14:paraId="61F79F55" w14:textId="77777777" w:rsidR="00472C31" w:rsidRPr="00B148F9" w:rsidRDefault="00472C31" w:rsidP="00472C31">
            <w:pPr>
              <w:jc w:val="right"/>
              <w:rPr>
                <w:rFonts w:cstheme="minorHAnsi"/>
                <w:color w:val="000000" w:themeColor="text1"/>
                <w:sz w:val="18"/>
              </w:rPr>
            </w:pPr>
            <w:r w:rsidRPr="00B148F9">
              <w:rPr>
                <w:rFonts w:cstheme="minorHAnsi"/>
                <w:b/>
                <w:bCs/>
                <w:color w:val="000000" w:themeColor="text1"/>
                <w:sz w:val="18"/>
              </w:rPr>
              <w:t>32%</w:t>
            </w:r>
          </w:p>
        </w:tc>
      </w:tr>
      <w:tr w:rsidR="00472C31" w:rsidRPr="00B148F9" w14:paraId="5880AB0C" w14:textId="77777777" w:rsidTr="00C540D7">
        <w:trPr>
          <w:trHeight w:val="243"/>
        </w:trPr>
        <w:tc>
          <w:tcPr>
            <w:tcW w:w="2502" w:type="dxa"/>
          </w:tcPr>
          <w:p w14:paraId="1E2D4682" w14:textId="5C0CCA01" w:rsidR="00472C31" w:rsidRPr="00B148F9" w:rsidRDefault="00CB28A6" w:rsidP="00780DC6">
            <w:pPr>
              <w:rPr>
                <w:rFonts w:cstheme="minorHAnsi"/>
                <w:b/>
                <w:bCs/>
                <w:color w:val="000000" w:themeColor="text1"/>
                <w:sz w:val="18"/>
              </w:rPr>
            </w:pPr>
            <w:r w:rsidRPr="00B148F9">
              <w:rPr>
                <w:rFonts w:cstheme="minorHAnsi"/>
                <w:b/>
                <w:bCs/>
                <w:color w:val="000000" w:themeColor="text1"/>
                <w:sz w:val="18"/>
              </w:rPr>
              <w:t>Share price p</w:t>
            </w:r>
            <w:r w:rsidR="00472C31" w:rsidRPr="00B148F9">
              <w:rPr>
                <w:rFonts w:cstheme="minorHAnsi"/>
                <w:b/>
                <w:bCs/>
                <w:color w:val="000000" w:themeColor="text1"/>
                <w:sz w:val="18"/>
              </w:rPr>
              <w:t>remium (%)</w:t>
            </w:r>
          </w:p>
        </w:tc>
        <w:tc>
          <w:tcPr>
            <w:tcW w:w="3134" w:type="dxa"/>
            <w:vAlign w:val="bottom"/>
          </w:tcPr>
          <w:p w14:paraId="49F6A458" w14:textId="77777777" w:rsidR="00472C31" w:rsidRPr="00B148F9" w:rsidRDefault="00472C31" w:rsidP="00472C31">
            <w:pPr>
              <w:jc w:val="right"/>
              <w:rPr>
                <w:rFonts w:cstheme="minorHAnsi"/>
                <w:color w:val="FF0000"/>
                <w:sz w:val="18"/>
              </w:rPr>
            </w:pPr>
            <w:r w:rsidRPr="00B148F9">
              <w:rPr>
                <w:rFonts w:cstheme="minorHAnsi"/>
                <w:sz w:val="18"/>
              </w:rPr>
              <w:t>--</w:t>
            </w:r>
          </w:p>
        </w:tc>
        <w:tc>
          <w:tcPr>
            <w:tcW w:w="3426" w:type="dxa"/>
            <w:vAlign w:val="bottom"/>
          </w:tcPr>
          <w:p w14:paraId="160BA9E0" w14:textId="77777777" w:rsidR="00472C31" w:rsidRPr="00B148F9" w:rsidRDefault="00472C31" w:rsidP="00472C31">
            <w:pPr>
              <w:jc w:val="right"/>
              <w:rPr>
                <w:rFonts w:cstheme="minorHAnsi"/>
                <w:b/>
                <w:bCs/>
                <w:sz w:val="18"/>
              </w:rPr>
            </w:pPr>
            <w:r w:rsidRPr="00B148F9">
              <w:rPr>
                <w:rFonts w:cstheme="minorHAnsi"/>
                <w:b/>
                <w:bCs/>
                <w:sz w:val="18"/>
              </w:rPr>
              <w:t>8%</w:t>
            </w:r>
          </w:p>
        </w:tc>
      </w:tr>
      <w:tr w:rsidR="00472C31" w:rsidRPr="00B148F9" w14:paraId="304C794A" w14:textId="77777777" w:rsidTr="00C540D7">
        <w:trPr>
          <w:trHeight w:val="243"/>
        </w:trPr>
        <w:tc>
          <w:tcPr>
            <w:tcW w:w="9062" w:type="dxa"/>
            <w:gridSpan w:val="3"/>
          </w:tcPr>
          <w:p w14:paraId="5B2EDFCC" w14:textId="77777777" w:rsidR="00472C31" w:rsidRPr="00B148F9" w:rsidRDefault="00472C31" w:rsidP="00472C31">
            <w:pPr>
              <w:rPr>
                <w:rFonts w:cstheme="minorHAnsi"/>
                <w:b/>
                <w:bCs/>
                <w:sz w:val="18"/>
              </w:rPr>
            </w:pPr>
            <w:r w:rsidRPr="00B148F9">
              <w:rPr>
                <w:rFonts w:cstheme="minorHAnsi"/>
                <w:b/>
                <w:bCs/>
                <w:sz w:val="18"/>
              </w:rPr>
              <w:t>Benchmark returns (30/10/2019 – 31/12/2019)</w:t>
            </w:r>
          </w:p>
        </w:tc>
      </w:tr>
      <w:tr w:rsidR="00472C31" w:rsidRPr="00B148F9" w14:paraId="01F2CC83" w14:textId="77777777" w:rsidTr="00C540D7">
        <w:trPr>
          <w:trHeight w:val="243"/>
        </w:trPr>
        <w:tc>
          <w:tcPr>
            <w:tcW w:w="2502" w:type="dxa"/>
          </w:tcPr>
          <w:p w14:paraId="00D5E01B" w14:textId="77777777" w:rsidR="00472C31" w:rsidRPr="00B148F9" w:rsidRDefault="00472C31" w:rsidP="00472C31">
            <w:pPr>
              <w:rPr>
                <w:rFonts w:cstheme="minorHAnsi"/>
                <w:color w:val="000000" w:themeColor="text1"/>
                <w:sz w:val="18"/>
              </w:rPr>
            </w:pPr>
            <w:r w:rsidRPr="00B148F9">
              <w:rPr>
                <w:rFonts w:cstheme="minorHAnsi"/>
                <w:color w:val="000000" w:themeColor="text1"/>
                <w:sz w:val="18"/>
              </w:rPr>
              <w:t xml:space="preserve">NASDAQ Biotech </w:t>
            </w:r>
          </w:p>
        </w:tc>
        <w:tc>
          <w:tcPr>
            <w:tcW w:w="3134" w:type="dxa"/>
            <w:vAlign w:val="bottom"/>
          </w:tcPr>
          <w:p w14:paraId="28032595" w14:textId="4B4101C4" w:rsidR="00472C31" w:rsidRPr="00B148F9" w:rsidRDefault="00C331EF" w:rsidP="00472C31">
            <w:pPr>
              <w:jc w:val="right"/>
              <w:rPr>
                <w:rFonts w:cstheme="minorHAnsi"/>
                <w:sz w:val="18"/>
              </w:rPr>
            </w:pPr>
            <w:r w:rsidRPr="00B148F9">
              <w:rPr>
                <w:rFonts w:cstheme="minorHAnsi"/>
                <w:sz w:val="18"/>
              </w:rPr>
              <w:t>--</w:t>
            </w:r>
          </w:p>
        </w:tc>
        <w:tc>
          <w:tcPr>
            <w:tcW w:w="3426" w:type="dxa"/>
            <w:vAlign w:val="bottom"/>
          </w:tcPr>
          <w:p w14:paraId="1BC57A55" w14:textId="77777777" w:rsidR="00472C31" w:rsidRPr="00B148F9" w:rsidRDefault="00472C31" w:rsidP="00472C31">
            <w:pPr>
              <w:jc w:val="right"/>
              <w:rPr>
                <w:rFonts w:cstheme="minorHAnsi"/>
                <w:sz w:val="18"/>
              </w:rPr>
            </w:pPr>
            <w:r w:rsidRPr="00B148F9">
              <w:rPr>
                <w:rFonts w:cstheme="minorHAnsi"/>
                <w:sz w:val="18"/>
              </w:rPr>
              <w:t>12%</w:t>
            </w:r>
          </w:p>
        </w:tc>
      </w:tr>
      <w:tr w:rsidR="00472C31" w:rsidRPr="00B148F9" w14:paraId="6A2A9ED9" w14:textId="77777777" w:rsidTr="00C540D7">
        <w:trPr>
          <w:trHeight w:val="243"/>
        </w:trPr>
        <w:tc>
          <w:tcPr>
            <w:tcW w:w="2502" w:type="dxa"/>
          </w:tcPr>
          <w:p w14:paraId="5A9C6D35" w14:textId="77777777" w:rsidR="00472C31" w:rsidRPr="00B148F9" w:rsidRDefault="00472C31" w:rsidP="00472C31">
            <w:pPr>
              <w:rPr>
                <w:rFonts w:cstheme="minorHAnsi"/>
                <w:color w:val="000000" w:themeColor="text1"/>
                <w:sz w:val="18"/>
              </w:rPr>
            </w:pPr>
            <w:r w:rsidRPr="00B148F9">
              <w:rPr>
                <w:rFonts w:cstheme="minorHAnsi"/>
                <w:color w:val="000000" w:themeColor="text1"/>
                <w:sz w:val="18"/>
              </w:rPr>
              <w:t>Russell 2000 Biotech</w:t>
            </w:r>
          </w:p>
        </w:tc>
        <w:tc>
          <w:tcPr>
            <w:tcW w:w="3134" w:type="dxa"/>
            <w:vAlign w:val="bottom"/>
          </w:tcPr>
          <w:p w14:paraId="3E166183" w14:textId="38EE7F7B" w:rsidR="00472C31" w:rsidRPr="00B148F9" w:rsidRDefault="00C331EF" w:rsidP="00472C31">
            <w:pPr>
              <w:jc w:val="right"/>
              <w:rPr>
                <w:rFonts w:cstheme="minorHAnsi"/>
                <w:sz w:val="18"/>
              </w:rPr>
            </w:pPr>
            <w:r w:rsidRPr="00B148F9">
              <w:rPr>
                <w:rFonts w:cstheme="minorHAnsi"/>
                <w:sz w:val="18"/>
              </w:rPr>
              <w:t>--</w:t>
            </w:r>
          </w:p>
        </w:tc>
        <w:tc>
          <w:tcPr>
            <w:tcW w:w="3426" w:type="dxa"/>
            <w:vAlign w:val="bottom"/>
          </w:tcPr>
          <w:p w14:paraId="7BA7A9D1" w14:textId="77777777" w:rsidR="00472C31" w:rsidRPr="00B148F9" w:rsidRDefault="00472C31" w:rsidP="00472C31">
            <w:pPr>
              <w:jc w:val="right"/>
              <w:rPr>
                <w:rFonts w:cstheme="minorHAnsi"/>
                <w:sz w:val="18"/>
              </w:rPr>
            </w:pPr>
            <w:r w:rsidRPr="00B148F9">
              <w:rPr>
                <w:rFonts w:cstheme="minorHAnsi"/>
                <w:sz w:val="18"/>
              </w:rPr>
              <w:t>24%</w:t>
            </w:r>
          </w:p>
        </w:tc>
      </w:tr>
    </w:tbl>
    <w:p w14:paraId="001CE8A4" w14:textId="791669F5" w:rsidR="00472C31" w:rsidRPr="00B148F9" w:rsidRDefault="00C540D7" w:rsidP="00472C31">
      <w:pPr>
        <w:rPr>
          <w:rFonts w:cstheme="minorHAnsi"/>
          <w:sz w:val="16"/>
          <w:szCs w:val="16"/>
        </w:rPr>
      </w:pPr>
      <w:r w:rsidRPr="00B148F9">
        <w:rPr>
          <w:rFonts w:cstheme="minorHAnsi"/>
          <w:sz w:val="16"/>
          <w:szCs w:val="16"/>
        </w:rPr>
        <w:t>*</w:t>
      </w:r>
      <w:r w:rsidR="00472C31" w:rsidRPr="00B148F9">
        <w:rPr>
          <w:rFonts w:cstheme="minorHAnsi"/>
          <w:sz w:val="16"/>
          <w:szCs w:val="16"/>
        </w:rPr>
        <w:t>Total shareholder return is an alternative performance measure</w:t>
      </w:r>
      <w:r w:rsidRPr="00B148F9">
        <w:rPr>
          <w:rFonts w:cstheme="minorHAnsi"/>
          <w:sz w:val="16"/>
          <w:szCs w:val="16"/>
        </w:rPr>
        <w:t>.</w:t>
      </w:r>
    </w:p>
    <w:p w14:paraId="70158E14" w14:textId="77777777" w:rsidR="00472C31" w:rsidRPr="00B148F9" w:rsidRDefault="00472C31" w:rsidP="00472C31">
      <w:pPr>
        <w:rPr>
          <w:rFonts w:cstheme="minorHAnsi"/>
          <w:color w:val="000000" w:themeColor="text1"/>
        </w:rPr>
      </w:pPr>
    </w:p>
    <w:p w14:paraId="05F87F72" w14:textId="6ECD6D32" w:rsidR="00472C31" w:rsidRPr="00B148F9" w:rsidRDefault="00472C31" w:rsidP="00472C31">
      <w:pPr>
        <w:rPr>
          <w:rFonts w:cstheme="minorHAnsi"/>
          <w:color w:val="000000" w:themeColor="text1"/>
        </w:rPr>
      </w:pPr>
      <w:r w:rsidRPr="00B148F9">
        <w:rPr>
          <w:rFonts w:cstheme="minorHAnsi"/>
          <w:color w:val="000000" w:themeColor="text1"/>
        </w:rPr>
        <w:t>RTW Investments, LP (the “Investment Manager”, “us”, “we”), a leading US healthcare investment firm with a strong track record of supporting companies developing life-changing therapies</w:t>
      </w:r>
      <w:r w:rsidR="003A7A29" w:rsidRPr="00B148F9">
        <w:rPr>
          <w:rFonts w:cstheme="minorHAnsi"/>
          <w:color w:val="000000" w:themeColor="text1"/>
        </w:rPr>
        <w:t>,</w:t>
      </w:r>
      <w:r w:rsidRPr="00B148F9">
        <w:rPr>
          <w:rFonts w:cstheme="minorHAnsi"/>
          <w:color w:val="000000" w:themeColor="text1"/>
        </w:rPr>
        <w:t xml:space="preserve"> created the Company as an investment fund focused on identifying transformative assets with high growth potential across the biopharmaceutical and medical technology sectors. Driven by our deep scientific understanding and a long-term approach to supporting innovative businesses, we and the Company invest in companies developing next-generation therapies and technologies that can significantly improve patients’ lives.</w:t>
      </w:r>
    </w:p>
    <w:p w14:paraId="2CF9113E" w14:textId="77777777" w:rsidR="002A7D91" w:rsidRPr="00B148F9" w:rsidRDefault="002A7D91" w:rsidP="00472C31">
      <w:pPr>
        <w:rPr>
          <w:rFonts w:cstheme="minorHAnsi"/>
          <w:color w:val="FF0000"/>
        </w:rPr>
      </w:pPr>
    </w:p>
    <w:p w14:paraId="293DE2C0" w14:textId="1483AEB6" w:rsidR="00472C31" w:rsidRPr="00B148F9" w:rsidRDefault="00472C31" w:rsidP="00472C31">
      <w:pPr>
        <w:rPr>
          <w:rFonts w:cstheme="minorHAnsi"/>
          <w:color w:val="000000" w:themeColor="text1"/>
        </w:rPr>
      </w:pPr>
      <w:r w:rsidRPr="00B148F9">
        <w:rPr>
          <w:rFonts w:cstheme="minorHAnsi"/>
          <w:color w:val="000000" w:themeColor="text1"/>
        </w:rPr>
        <w:t>As of 31 December</w:t>
      </w:r>
      <w:r w:rsidR="00800BB4" w:rsidRPr="00B148F9">
        <w:rPr>
          <w:rFonts w:cstheme="minorHAnsi"/>
          <w:color w:val="000000" w:themeColor="text1"/>
        </w:rPr>
        <w:t xml:space="preserve"> 2019</w:t>
      </w:r>
      <w:r w:rsidRPr="00B148F9">
        <w:rPr>
          <w:rFonts w:cstheme="minorHAnsi"/>
          <w:color w:val="000000" w:themeColor="text1"/>
        </w:rPr>
        <w:t xml:space="preserve">, 49% of the </w:t>
      </w:r>
      <w:r w:rsidR="00554E94" w:rsidRPr="00B148F9">
        <w:rPr>
          <w:rFonts w:cstheme="minorHAnsi"/>
          <w:color w:val="000000" w:themeColor="text1"/>
        </w:rPr>
        <w:t xml:space="preserve">Ordinary </w:t>
      </w:r>
      <w:r w:rsidRPr="00B148F9">
        <w:rPr>
          <w:rFonts w:cstheme="minorHAnsi"/>
          <w:color w:val="000000" w:themeColor="text1"/>
        </w:rPr>
        <w:t xml:space="preserve">NAV was attributable to portfolio assets, </w:t>
      </w:r>
      <w:r w:rsidR="00D00483" w:rsidRPr="00B148F9">
        <w:rPr>
          <w:rFonts w:cstheme="minorHAnsi"/>
          <w:color w:val="000000" w:themeColor="text1"/>
        </w:rPr>
        <w:t xml:space="preserve">which had been designated in the Company’s </w:t>
      </w:r>
      <w:r w:rsidR="006C2513" w:rsidRPr="00B148F9">
        <w:rPr>
          <w:rFonts w:cstheme="minorHAnsi"/>
          <w:color w:val="000000" w:themeColor="text1"/>
        </w:rPr>
        <w:t>Prospectus</w:t>
      </w:r>
      <w:r w:rsidR="00D00483" w:rsidRPr="00B148F9">
        <w:rPr>
          <w:rFonts w:cstheme="minorHAnsi"/>
          <w:color w:val="000000" w:themeColor="text1"/>
        </w:rPr>
        <w:t xml:space="preserve"> </w:t>
      </w:r>
      <w:r w:rsidR="00800BB4" w:rsidRPr="00B148F9">
        <w:rPr>
          <w:rFonts w:cstheme="minorHAnsi"/>
          <w:color w:val="000000" w:themeColor="text1"/>
        </w:rPr>
        <w:t xml:space="preserve">and </w:t>
      </w:r>
      <w:r w:rsidRPr="00B148F9">
        <w:rPr>
          <w:rFonts w:cstheme="minorHAnsi"/>
          <w:color w:val="000000" w:themeColor="text1"/>
        </w:rPr>
        <w:t xml:space="preserve">comprised both privately-held and publicly-listed companies such as </w:t>
      </w:r>
      <w:r w:rsidR="00307BE5" w:rsidRPr="00B148F9">
        <w:rPr>
          <w:rFonts w:cstheme="minorHAnsi"/>
          <w:color w:val="000000" w:themeColor="text1"/>
        </w:rPr>
        <w:t>Rocket Pharmaceuticals, Inc.</w:t>
      </w:r>
      <w:r w:rsidR="00307BE5" w:rsidRPr="00B148F9" w:rsidDel="00307BE5">
        <w:rPr>
          <w:rFonts w:cstheme="minorHAnsi"/>
          <w:color w:val="000000" w:themeColor="text1"/>
        </w:rPr>
        <w:t xml:space="preserve"> </w:t>
      </w:r>
      <w:r w:rsidR="00C331EF" w:rsidRPr="00B148F9">
        <w:rPr>
          <w:rFonts w:cstheme="minorHAnsi"/>
          <w:color w:val="000000" w:themeColor="text1"/>
        </w:rPr>
        <w:t xml:space="preserve">(“Rocket”) </w:t>
      </w:r>
      <w:r w:rsidRPr="00B148F9">
        <w:rPr>
          <w:rFonts w:cstheme="minorHAnsi"/>
          <w:color w:val="000000" w:themeColor="text1"/>
        </w:rPr>
        <w:t xml:space="preserve">and </w:t>
      </w:r>
      <w:r w:rsidR="00307BE5" w:rsidRPr="00B148F9">
        <w:rPr>
          <w:rFonts w:cs="Calibri"/>
          <w:color w:val="000000"/>
        </w:rPr>
        <w:t>Frequency Therapeutics, Inc</w:t>
      </w:r>
      <w:r w:rsidRPr="00B148F9">
        <w:rPr>
          <w:rFonts w:cstheme="minorHAnsi"/>
          <w:color w:val="000000" w:themeColor="text1"/>
        </w:rPr>
        <w:t xml:space="preserve">.  </w:t>
      </w:r>
      <w:r w:rsidR="00C331EF" w:rsidRPr="00B148F9">
        <w:rPr>
          <w:rFonts w:cstheme="minorHAnsi"/>
          <w:color w:val="000000" w:themeColor="text1"/>
        </w:rPr>
        <w:t xml:space="preserve">(“Frequency”). </w:t>
      </w:r>
      <w:r w:rsidRPr="00B148F9">
        <w:rPr>
          <w:rFonts w:cstheme="minorHAnsi"/>
          <w:color w:val="000000" w:themeColor="text1"/>
        </w:rPr>
        <w:t xml:space="preserve">Both Rocket and Frequency were private at the time of the </w:t>
      </w:r>
      <w:r w:rsidR="001626C2">
        <w:rPr>
          <w:rFonts w:cstheme="minorHAnsi"/>
          <w:color w:val="000000" w:themeColor="text1"/>
        </w:rPr>
        <w:t xml:space="preserve">Company’s </w:t>
      </w:r>
      <w:r w:rsidRPr="00B148F9">
        <w:rPr>
          <w:rFonts w:cstheme="minorHAnsi"/>
          <w:color w:val="000000" w:themeColor="text1"/>
        </w:rPr>
        <w:t xml:space="preserve">initial investment.   </w:t>
      </w:r>
    </w:p>
    <w:p w14:paraId="7001299B" w14:textId="77777777" w:rsidR="002A7D91" w:rsidRPr="00B148F9" w:rsidRDefault="002A7D91" w:rsidP="00472C31">
      <w:pPr>
        <w:rPr>
          <w:rFonts w:cstheme="minorHAnsi"/>
          <w:color w:val="000000" w:themeColor="text1"/>
        </w:rPr>
      </w:pPr>
    </w:p>
    <w:p w14:paraId="4630AB47" w14:textId="0263353F" w:rsidR="00472C31" w:rsidRPr="00B148F9" w:rsidRDefault="00472C31" w:rsidP="00472C31">
      <w:pPr>
        <w:rPr>
          <w:rFonts w:cstheme="minorHAnsi"/>
          <w:color w:val="000000" w:themeColor="text1"/>
        </w:rPr>
      </w:pPr>
      <w:r w:rsidRPr="00B148F9">
        <w:rPr>
          <w:rFonts w:cstheme="minorHAnsi"/>
          <w:color w:val="000000" w:themeColor="text1"/>
        </w:rPr>
        <w:t>The Company also invested approximately 35 per cent. of</w:t>
      </w:r>
      <w:r w:rsidR="00AB33B7" w:rsidRPr="00B148F9">
        <w:rPr>
          <w:rFonts w:cstheme="minorHAnsi"/>
          <w:color w:val="000000" w:themeColor="text1"/>
        </w:rPr>
        <w:t xml:space="preserve"> </w:t>
      </w:r>
      <w:r w:rsidR="00800BB4" w:rsidRPr="00B148F9">
        <w:rPr>
          <w:rFonts w:cstheme="minorHAnsi"/>
          <w:color w:val="000000" w:themeColor="text1"/>
        </w:rPr>
        <w:t xml:space="preserve">its </w:t>
      </w:r>
      <w:r w:rsidR="00AB33B7" w:rsidRPr="00B148F9">
        <w:rPr>
          <w:rFonts w:cstheme="minorHAnsi"/>
          <w:color w:val="000000" w:themeColor="text1"/>
        </w:rPr>
        <w:t xml:space="preserve">Ordinary </w:t>
      </w:r>
      <w:r w:rsidRPr="00B148F9">
        <w:rPr>
          <w:rFonts w:cstheme="minorHAnsi"/>
          <w:color w:val="000000" w:themeColor="text1"/>
        </w:rPr>
        <w:t xml:space="preserve">NAV in </w:t>
      </w:r>
      <w:r w:rsidR="00D73D08" w:rsidRPr="00B148F9">
        <w:rPr>
          <w:rFonts w:cstheme="minorHAnsi"/>
          <w:color w:val="000000" w:themeColor="text1"/>
        </w:rPr>
        <w:t>t</w:t>
      </w:r>
      <w:r w:rsidR="002F3407" w:rsidRPr="00B148F9">
        <w:rPr>
          <w:rFonts w:cstheme="minorHAnsi"/>
          <w:color w:val="000000" w:themeColor="text1"/>
        </w:rPr>
        <w:t xml:space="preserve">emporary </w:t>
      </w:r>
      <w:r w:rsidR="00D73D08" w:rsidRPr="00B148F9">
        <w:rPr>
          <w:rFonts w:cstheme="minorHAnsi"/>
          <w:color w:val="000000" w:themeColor="text1"/>
        </w:rPr>
        <w:t>p</w:t>
      </w:r>
      <w:r w:rsidR="006C2513" w:rsidRPr="00B148F9">
        <w:rPr>
          <w:rFonts w:cstheme="minorHAnsi"/>
          <w:color w:val="000000" w:themeColor="text1"/>
        </w:rPr>
        <w:t xml:space="preserve">ublic </w:t>
      </w:r>
      <w:r w:rsidR="003C678B" w:rsidRPr="00B148F9">
        <w:rPr>
          <w:rFonts w:cstheme="minorHAnsi"/>
          <w:color w:val="000000" w:themeColor="text1"/>
        </w:rPr>
        <w:t>investments in</w:t>
      </w:r>
      <w:r w:rsidRPr="00B148F9">
        <w:rPr>
          <w:rFonts w:cstheme="minorHAnsi"/>
          <w:color w:val="000000" w:themeColor="text1"/>
        </w:rPr>
        <w:t xml:space="preserve"> order to mitigate cash drag during the intervening </w:t>
      </w:r>
      <w:r w:rsidR="00011B57" w:rsidRPr="00B148F9">
        <w:rPr>
          <w:rFonts w:cstheme="minorHAnsi"/>
          <w:color w:val="000000" w:themeColor="text1"/>
        </w:rPr>
        <w:t>period</w:t>
      </w:r>
      <w:r w:rsidR="006374A4" w:rsidRPr="00B148F9">
        <w:rPr>
          <w:rFonts w:cstheme="minorHAnsi"/>
          <w:color w:val="000000" w:themeColor="text1"/>
        </w:rPr>
        <w:t xml:space="preserve"> of</w:t>
      </w:r>
      <w:r w:rsidRPr="00B148F9">
        <w:rPr>
          <w:rFonts w:cstheme="minorHAnsi"/>
          <w:color w:val="000000" w:themeColor="text1"/>
        </w:rPr>
        <w:t xml:space="preserve"> </w:t>
      </w:r>
      <w:r w:rsidR="002D28C3" w:rsidRPr="00B148F9">
        <w:rPr>
          <w:rFonts w:cstheme="minorHAnsi"/>
          <w:color w:val="000000" w:themeColor="text1"/>
        </w:rPr>
        <w:t>18</w:t>
      </w:r>
      <w:r w:rsidR="00FB09F3" w:rsidRPr="00B148F9">
        <w:rPr>
          <w:rFonts w:cstheme="minorHAnsi"/>
          <w:color w:val="000000" w:themeColor="text1"/>
        </w:rPr>
        <w:t>-24</w:t>
      </w:r>
      <w:r w:rsidRPr="00B148F9">
        <w:rPr>
          <w:rFonts w:cstheme="minorHAnsi"/>
          <w:color w:val="000000" w:themeColor="text1"/>
        </w:rPr>
        <w:t xml:space="preserve"> months until </w:t>
      </w:r>
      <w:r w:rsidR="00800BB4" w:rsidRPr="00B148F9">
        <w:rPr>
          <w:rFonts w:cstheme="minorHAnsi"/>
          <w:color w:val="000000" w:themeColor="text1"/>
        </w:rPr>
        <w:t xml:space="preserve">we expect that </w:t>
      </w:r>
      <w:r w:rsidRPr="00B148F9">
        <w:rPr>
          <w:rFonts w:cstheme="minorHAnsi"/>
          <w:color w:val="000000" w:themeColor="text1"/>
        </w:rPr>
        <w:t xml:space="preserve">the portfolio </w:t>
      </w:r>
      <w:r w:rsidR="00800BB4" w:rsidRPr="00B148F9">
        <w:rPr>
          <w:rFonts w:cstheme="minorHAnsi"/>
          <w:color w:val="000000" w:themeColor="text1"/>
        </w:rPr>
        <w:t xml:space="preserve">will be </w:t>
      </w:r>
      <w:r w:rsidRPr="00B148F9">
        <w:rPr>
          <w:rFonts w:cstheme="minorHAnsi"/>
          <w:color w:val="000000" w:themeColor="text1"/>
        </w:rPr>
        <w:t xml:space="preserve">fully deployed in core opportunities. The </w:t>
      </w:r>
      <w:r w:rsidR="002D28C3" w:rsidRPr="00B148F9">
        <w:rPr>
          <w:rFonts w:cstheme="minorHAnsi"/>
          <w:color w:val="000000" w:themeColor="text1"/>
        </w:rPr>
        <w:t xml:space="preserve">temporary </w:t>
      </w:r>
      <w:r w:rsidRPr="00B148F9">
        <w:rPr>
          <w:rFonts w:cstheme="minorHAnsi"/>
          <w:color w:val="000000" w:themeColor="text1"/>
        </w:rPr>
        <w:t xml:space="preserve">public </w:t>
      </w:r>
      <w:r w:rsidR="0052098D" w:rsidRPr="00B148F9">
        <w:rPr>
          <w:rFonts w:cstheme="minorHAnsi"/>
          <w:color w:val="000000" w:themeColor="text1"/>
        </w:rPr>
        <w:t>investments have</w:t>
      </w:r>
      <w:r w:rsidR="00E82A01" w:rsidRPr="00B148F9">
        <w:rPr>
          <w:rFonts w:cstheme="minorHAnsi"/>
          <w:color w:val="000000" w:themeColor="text1"/>
        </w:rPr>
        <w:t xml:space="preserve"> been selected by the Investment Manager and are also </w:t>
      </w:r>
      <w:r w:rsidR="00C54DDA" w:rsidRPr="00B148F9">
        <w:rPr>
          <w:rFonts w:cstheme="minorHAnsi"/>
          <w:color w:val="000000" w:themeColor="text1"/>
        </w:rPr>
        <w:t>held in</w:t>
      </w:r>
      <w:r w:rsidRPr="00B148F9">
        <w:rPr>
          <w:rFonts w:cstheme="minorHAnsi"/>
          <w:color w:val="000000" w:themeColor="text1"/>
        </w:rPr>
        <w:t xml:space="preserve"> its private funds. The investments represented in that portfolio are similarly categorized as innovative biotechnology and medical technology companies developing and commercializing potentially disruptive and transformational products.</w:t>
      </w:r>
    </w:p>
    <w:p w14:paraId="1477F84C" w14:textId="77777777" w:rsidR="002A7D91" w:rsidRPr="00B148F9" w:rsidRDefault="002A7D91" w:rsidP="00472C31">
      <w:pPr>
        <w:rPr>
          <w:rFonts w:cstheme="minorHAnsi"/>
          <w:color w:val="000000" w:themeColor="text1"/>
        </w:rPr>
      </w:pPr>
    </w:p>
    <w:p w14:paraId="5427A03A" w14:textId="32FE6C68" w:rsidR="00472C31" w:rsidRPr="00B148F9" w:rsidRDefault="00472C31" w:rsidP="00472C31">
      <w:pPr>
        <w:rPr>
          <w:rFonts w:cstheme="minorHAnsi"/>
          <w:color w:val="000000" w:themeColor="text1"/>
        </w:rPr>
      </w:pPr>
      <w:r w:rsidRPr="00B148F9">
        <w:rPr>
          <w:rFonts w:cstheme="minorHAnsi"/>
          <w:color w:val="000000" w:themeColor="text1"/>
        </w:rPr>
        <w:t xml:space="preserve">Key contributors to performance were strong </w:t>
      </w:r>
      <w:r w:rsidR="00800BB4" w:rsidRPr="00B148F9">
        <w:rPr>
          <w:rFonts w:cstheme="minorHAnsi"/>
          <w:color w:val="000000" w:themeColor="text1"/>
        </w:rPr>
        <w:t xml:space="preserve">share </w:t>
      </w:r>
      <w:r w:rsidRPr="00B148F9">
        <w:rPr>
          <w:rFonts w:cstheme="minorHAnsi"/>
          <w:color w:val="000000" w:themeColor="text1"/>
        </w:rPr>
        <w:t xml:space="preserve">price </w:t>
      </w:r>
      <w:r w:rsidR="00800BB4" w:rsidRPr="00B148F9">
        <w:rPr>
          <w:rFonts w:cstheme="minorHAnsi"/>
          <w:color w:val="000000" w:themeColor="text1"/>
        </w:rPr>
        <w:t xml:space="preserve">returns </w:t>
      </w:r>
      <w:r w:rsidRPr="00B148F9">
        <w:rPr>
          <w:rFonts w:cstheme="minorHAnsi"/>
          <w:color w:val="000000" w:themeColor="text1"/>
        </w:rPr>
        <w:t xml:space="preserve">from publicly-listed Rocket and the IPO of Frequency, as well as </w:t>
      </w:r>
      <w:r w:rsidR="00CB28A6" w:rsidRPr="00B148F9">
        <w:rPr>
          <w:rFonts w:cstheme="minorHAnsi"/>
          <w:color w:val="000000" w:themeColor="text1"/>
        </w:rPr>
        <w:t xml:space="preserve">strong performance </w:t>
      </w:r>
      <w:r w:rsidRPr="00B148F9">
        <w:rPr>
          <w:rFonts w:cstheme="minorHAnsi"/>
          <w:color w:val="000000" w:themeColor="text1"/>
        </w:rPr>
        <w:t>from the cash management portfolio</w:t>
      </w:r>
      <w:r w:rsidR="00A71ABE" w:rsidRPr="00B148F9">
        <w:rPr>
          <w:rFonts w:cstheme="minorHAnsi"/>
          <w:color w:val="000000" w:themeColor="text1"/>
        </w:rPr>
        <w:t xml:space="preserve"> of temporary public investments</w:t>
      </w:r>
      <w:r w:rsidRPr="00B148F9">
        <w:rPr>
          <w:rFonts w:cstheme="minorHAnsi"/>
          <w:color w:val="000000" w:themeColor="text1"/>
        </w:rPr>
        <w:t>.</w:t>
      </w:r>
    </w:p>
    <w:p w14:paraId="2D53A6F7" w14:textId="0A81C4EF" w:rsidR="0064283E" w:rsidRPr="00B148F9" w:rsidRDefault="0052098D" w:rsidP="00472C31">
      <w:pPr>
        <w:rPr>
          <w:rFonts w:cstheme="minorHAnsi"/>
          <w:color w:val="000000" w:themeColor="text1"/>
        </w:rPr>
      </w:pPr>
      <w:r w:rsidRPr="00B148F9">
        <w:rPr>
          <w:rFonts w:cstheme="minorHAnsi"/>
          <w:color w:val="000000" w:themeColor="text1"/>
        </w:rPr>
        <w:lastRenderedPageBreak/>
        <w:tab/>
      </w:r>
    </w:p>
    <w:p w14:paraId="0F667A73" w14:textId="77777777" w:rsidR="002A7D91" w:rsidRPr="00B148F9" w:rsidRDefault="002A7D91" w:rsidP="00472C31">
      <w:pPr>
        <w:rPr>
          <w:rFonts w:cstheme="minorHAnsi"/>
          <w:b/>
          <w:bCs/>
        </w:rPr>
      </w:pPr>
    </w:p>
    <w:p w14:paraId="5BA3FCD2" w14:textId="485709BD" w:rsidR="00472C31" w:rsidRPr="00B148F9" w:rsidRDefault="00472C31" w:rsidP="00472C31">
      <w:pPr>
        <w:rPr>
          <w:rFonts w:cstheme="minorHAnsi"/>
          <w:bCs/>
          <w:i/>
        </w:rPr>
      </w:pPr>
      <w:r w:rsidRPr="00B148F9">
        <w:rPr>
          <w:rFonts w:cstheme="minorHAnsi"/>
          <w:bCs/>
          <w:i/>
        </w:rPr>
        <w:t>Table 2. Performance of private and public portfolio investments as of 31 December 2019</w:t>
      </w:r>
    </w:p>
    <w:tbl>
      <w:tblPr>
        <w:tblW w:w="9490" w:type="dxa"/>
        <w:tblLayout w:type="fixed"/>
        <w:tblLook w:val="0600" w:firstRow="0" w:lastRow="0" w:firstColumn="0" w:lastColumn="0" w:noHBand="1" w:noVBand="1"/>
      </w:tblPr>
      <w:tblGrid>
        <w:gridCol w:w="2240"/>
        <w:gridCol w:w="1805"/>
        <w:gridCol w:w="1534"/>
        <w:gridCol w:w="86"/>
        <w:gridCol w:w="1449"/>
        <w:gridCol w:w="2376"/>
      </w:tblGrid>
      <w:tr w:rsidR="00D32FC0" w:rsidRPr="00B148F9" w14:paraId="6ADA0C9A" w14:textId="77777777" w:rsidTr="00B22E35">
        <w:trPr>
          <w:trHeight w:val="776"/>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6E47F" w14:textId="77777777" w:rsidR="00472C31" w:rsidRPr="00B148F9" w:rsidRDefault="00472C31" w:rsidP="00617322">
            <w:pPr>
              <w:jc w:val="left"/>
              <w:rPr>
                <w:rFonts w:cs="Arial"/>
                <w:b/>
                <w:bCs/>
                <w:color w:val="000000"/>
              </w:rPr>
            </w:pPr>
            <w:r w:rsidRPr="00B148F9">
              <w:rPr>
                <w:rFonts w:cs="Arial"/>
                <w:b/>
                <w:bCs/>
                <w:color w:val="000000"/>
              </w:rPr>
              <w:t>Private company</w:t>
            </w:r>
          </w:p>
        </w:tc>
        <w:tc>
          <w:tcPr>
            <w:tcW w:w="1805" w:type="dxa"/>
            <w:tcBorders>
              <w:top w:val="single" w:sz="4" w:space="0" w:color="auto"/>
              <w:left w:val="nil"/>
              <w:bottom w:val="single" w:sz="4" w:space="0" w:color="auto"/>
              <w:right w:val="single" w:sz="4" w:space="0" w:color="auto"/>
            </w:tcBorders>
            <w:shd w:val="clear" w:color="auto" w:fill="auto"/>
            <w:vAlign w:val="bottom"/>
            <w:hideMark/>
          </w:tcPr>
          <w:p w14:paraId="1818BEAC" w14:textId="77777777" w:rsidR="00472C31" w:rsidRPr="00B148F9" w:rsidRDefault="00472C31" w:rsidP="00617322">
            <w:pPr>
              <w:jc w:val="left"/>
              <w:rPr>
                <w:rFonts w:cs="Arial"/>
                <w:b/>
                <w:bCs/>
                <w:color w:val="000000"/>
              </w:rPr>
            </w:pPr>
            <w:r w:rsidRPr="00B148F9">
              <w:rPr>
                <w:rFonts w:cs="Arial"/>
                <w:b/>
                <w:bCs/>
                <w:color w:val="000000"/>
              </w:rPr>
              <w:t>Initial Investment Date</w:t>
            </w:r>
          </w:p>
        </w:tc>
        <w:tc>
          <w:tcPr>
            <w:tcW w:w="1534" w:type="dxa"/>
            <w:tcBorders>
              <w:top w:val="single" w:sz="4" w:space="0" w:color="auto"/>
              <w:left w:val="nil"/>
              <w:bottom w:val="single" w:sz="4" w:space="0" w:color="auto"/>
              <w:right w:val="single" w:sz="4" w:space="0" w:color="auto"/>
            </w:tcBorders>
            <w:shd w:val="clear" w:color="auto" w:fill="auto"/>
            <w:vAlign w:val="bottom"/>
            <w:hideMark/>
          </w:tcPr>
          <w:p w14:paraId="08577A7E" w14:textId="2E2DF0C2" w:rsidR="00472C31" w:rsidRPr="00B148F9" w:rsidRDefault="00472C31" w:rsidP="00617322">
            <w:pPr>
              <w:jc w:val="left"/>
              <w:rPr>
                <w:rFonts w:cs="Arial"/>
                <w:b/>
                <w:bCs/>
                <w:color w:val="000000"/>
              </w:rPr>
            </w:pPr>
            <w:r w:rsidRPr="00B148F9">
              <w:rPr>
                <w:rFonts w:cs="Arial"/>
                <w:b/>
                <w:bCs/>
                <w:color w:val="000000"/>
              </w:rPr>
              <w:t>Gross MOC</w:t>
            </w:r>
          </w:p>
        </w:tc>
        <w:tc>
          <w:tcPr>
            <w:tcW w:w="1535" w:type="dxa"/>
            <w:gridSpan w:val="2"/>
            <w:tcBorders>
              <w:top w:val="single" w:sz="4" w:space="0" w:color="auto"/>
              <w:left w:val="nil"/>
              <w:bottom w:val="single" w:sz="4" w:space="0" w:color="auto"/>
              <w:right w:val="single" w:sz="4" w:space="0" w:color="auto"/>
            </w:tcBorders>
            <w:shd w:val="clear" w:color="auto" w:fill="auto"/>
            <w:vAlign w:val="bottom"/>
            <w:hideMark/>
          </w:tcPr>
          <w:p w14:paraId="1F02FB7B" w14:textId="337A0085" w:rsidR="00472C31" w:rsidRPr="00B148F9" w:rsidRDefault="00472C31" w:rsidP="00617322">
            <w:pPr>
              <w:jc w:val="left"/>
              <w:rPr>
                <w:rFonts w:cs="Arial"/>
                <w:b/>
                <w:bCs/>
                <w:color w:val="000000"/>
              </w:rPr>
            </w:pPr>
            <w:r w:rsidRPr="00B148F9">
              <w:rPr>
                <w:rFonts w:cs="Arial"/>
                <w:b/>
                <w:bCs/>
                <w:color w:val="000000"/>
              </w:rPr>
              <w:t>Gross XIRR</w:t>
            </w:r>
          </w:p>
        </w:tc>
        <w:tc>
          <w:tcPr>
            <w:tcW w:w="2376" w:type="dxa"/>
            <w:tcBorders>
              <w:top w:val="single" w:sz="4" w:space="0" w:color="auto"/>
              <w:left w:val="nil"/>
              <w:bottom w:val="single" w:sz="4" w:space="0" w:color="auto"/>
              <w:right w:val="single" w:sz="4" w:space="0" w:color="auto"/>
            </w:tcBorders>
            <w:shd w:val="clear" w:color="auto" w:fill="auto"/>
            <w:vAlign w:val="bottom"/>
            <w:hideMark/>
          </w:tcPr>
          <w:p w14:paraId="50767101" w14:textId="77777777" w:rsidR="00472C31" w:rsidRPr="00B148F9" w:rsidRDefault="00472C31" w:rsidP="00617322">
            <w:pPr>
              <w:jc w:val="left"/>
              <w:rPr>
                <w:rFonts w:cs="Arial"/>
                <w:b/>
                <w:bCs/>
                <w:color w:val="000000"/>
              </w:rPr>
            </w:pPr>
            <w:r w:rsidRPr="00B148F9">
              <w:rPr>
                <w:rFonts w:cs="Arial"/>
                <w:b/>
                <w:bCs/>
                <w:color w:val="000000"/>
              </w:rPr>
              <w:t>Holding Period (Years)</w:t>
            </w:r>
          </w:p>
        </w:tc>
      </w:tr>
      <w:tr w:rsidR="00D32FC0" w:rsidRPr="00B148F9" w14:paraId="467B1FB2" w14:textId="77777777" w:rsidTr="00B22E35">
        <w:trPr>
          <w:trHeight w:val="542"/>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A225699" w14:textId="77777777" w:rsidR="009602D0" w:rsidRPr="00B148F9" w:rsidRDefault="009602D0" w:rsidP="009602D0">
            <w:pPr>
              <w:rPr>
                <w:rFonts w:cs="Arial"/>
                <w:color w:val="000000"/>
              </w:rPr>
            </w:pPr>
            <w:r w:rsidRPr="00B148F9">
              <w:rPr>
                <w:rFonts w:cs="Arial"/>
                <w:color w:val="000000"/>
              </w:rPr>
              <w:t>Avidity</w:t>
            </w:r>
          </w:p>
        </w:tc>
        <w:tc>
          <w:tcPr>
            <w:tcW w:w="1805" w:type="dxa"/>
            <w:tcBorders>
              <w:top w:val="nil"/>
              <w:left w:val="nil"/>
              <w:bottom w:val="single" w:sz="4" w:space="0" w:color="auto"/>
              <w:right w:val="single" w:sz="4" w:space="0" w:color="auto"/>
            </w:tcBorders>
            <w:shd w:val="clear" w:color="auto" w:fill="auto"/>
            <w:vAlign w:val="center"/>
          </w:tcPr>
          <w:p w14:paraId="2260FFBB" w14:textId="1FA5C49F" w:rsidR="009602D0" w:rsidRPr="00B148F9" w:rsidRDefault="00800BB4">
            <w:pPr>
              <w:jc w:val="right"/>
              <w:rPr>
                <w:rFonts w:cs="Arial"/>
                <w:color w:val="FF0000"/>
              </w:rPr>
            </w:pPr>
            <w:r w:rsidRPr="00B148F9">
              <w:t>8</w:t>
            </w:r>
            <w:r w:rsidR="009602D0" w:rsidRPr="00B148F9">
              <w:t>/</w:t>
            </w:r>
            <w:r w:rsidRPr="00B148F9">
              <w:t>11</w:t>
            </w:r>
            <w:r w:rsidR="009602D0" w:rsidRPr="00B148F9">
              <w:t>/2019</w:t>
            </w:r>
          </w:p>
        </w:tc>
        <w:tc>
          <w:tcPr>
            <w:tcW w:w="1534" w:type="dxa"/>
            <w:tcBorders>
              <w:top w:val="nil"/>
              <w:left w:val="nil"/>
              <w:bottom w:val="single" w:sz="4" w:space="0" w:color="auto"/>
              <w:right w:val="single" w:sz="4" w:space="0" w:color="auto"/>
            </w:tcBorders>
            <w:shd w:val="clear" w:color="auto" w:fill="auto"/>
            <w:vAlign w:val="center"/>
          </w:tcPr>
          <w:p w14:paraId="7E3F5BBB" w14:textId="4A066039" w:rsidR="009602D0" w:rsidRPr="00B148F9" w:rsidRDefault="009602D0" w:rsidP="00617322">
            <w:pPr>
              <w:jc w:val="right"/>
              <w:rPr>
                <w:rFonts w:cs="Arial"/>
                <w:color w:val="FF0000"/>
              </w:rPr>
            </w:pPr>
            <w:r w:rsidRPr="00B148F9">
              <w:t>1.0x</w:t>
            </w:r>
          </w:p>
        </w:tc>
        <w:tc>
          <w:tcPr>
            <w:tcW w:w="1535" w:type="dxa"/>
            <w:gridSpan w:val="2"/>
            <w:tcBorders>
              <w:top w:val="nil"/>
              <w:left w:val="nil"/>
              <w:bottom w:val="single" w:sz="4" w:space="0" w:color="auto"/>
              <w:right w:val="single" w:sz="4" w:space="0" w:color="auto"/>
            </w:tcBorders>
            <w:shd w:val="clear" w:color="auto" w:fill="auto"/>
            <w:vAlign w:val="center"/>
            <w:hideMark/>
          </w:tcPr>
          <w:p w14:paraId="5FAF1AFB" w14:textId="4E1D6D74" w:rsidR="009602D0" w:rsidRPr="00B148F9" w:rsidRDefault="009602D0" w:rsidP="009037F8">
            <w:pPr>
              <w:jc w:val="right"/>
              <w:rPr>
                <w:rFonts w:cs="Arial"/>
                <w:color w:val="FF0000"/>
              </w:rPr>
            </w:pPr>
            <w:r w:rsidRPr="00B148F9">
              <w:t>0.0%</w:t>
            </w:r>
          </w:p>
        </w:tc>
        <w:tc>
          <w:tcPr>
            <w:tcW w:w="2376" w:type="dxa"/>
            <w:tcBorders>
              <w:top w:val="nil"/>
              <w:left w:val="nil"/>
              <w:bottom w:val="single" w:sz="4" w:space="0" w:color="auto"/>
              <w:right w:val="single" w:sz="4" w:space="0" w:color="auto"/>
            </w:tcBorders>
            <w:shd w:val="clear" w:color="auto" w:fill="auto"/>
            <w:vAlign w:val="center"/>
            <w:hideMark/>
          </w:tcPr>
          <w:p w14:paraId="5BAAE75F" w14:textId="59FCD427" w:rsidR="009602D0" w:rsidRPr="00B148F9" w:rsidRDefault="009602D0" w:rsidP="00C4635A">
            <w:pPr>
              <w:jc w:val="right"/>
              <w:rPr>
                <w:rFonts w:cs="Arial"/>
                <w:color w:val="FF0000"/>
              </w:rPr>
            </w:pPr>
            <w:r w:rsidRPr="00B148F9">
              <w:t xml:space="preserve">                                  0.1 </w:t>
            </w:r>
          </w:p>
        </w:tc>
      </w:tr>
      <w:tr w:rsidR="00D32FC0" w:rsidRPr="00B148F9" w14:paraId="291DE912" w14:textId="77777777" w:rsidTr="00B22E35">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C7BD6FD" w14:textId="77777777" w:rsidR="009602D0" w:rsidRPr="00B148F9" w:rsidRDefault="009602D0" w:rsidP="009602D0">
            <w:pPr>
              <w:rPr>
                <w:rFonts w:cs="Arial"/>
                <w:color w:val="000000"/>
              </w:rPr>
            </w:pPr>
            <w:r w:rsidRPr="00B148F9">
              <w:rPr>
                <w:rFonts w:cs="Arial"/>
                <w:color w:val="000000"/>
              </w:rPr>
              <w:t>Beta Bionics</w:t>
            </w:r>
          </w:p>
        </w:tc>
        <w:tc>
          <w:tcPr>
            <w:tcW w:w="1805" w:type="dxa"/>
            <w:tcBorders>
              <w:top w:val="nil"/>
              <w:left w:val="nil"/>
              <w:bottom w:val="single" w:sz="4" w:space="0" w:color="auto"/>
              <w:right w:val="single" w:sz="4" w:space="0" w:color="auto"/>
            </w:tcBorders>
            <w:shd w:val="clear" w:color="auto" w:fill="auto"/>
            <w:vAlign w:val="center"/>
          </w:tcPr>
          <w:p w14:paraId="35F39442" w14:textId="3574C9C6" w:rsidR="009602D0" w:rsidRPr="00B148F9" w:rsidRDefault="009602D0">
            <w:pPr>
              <w:jc w:val="right"/>
              <w:rPr>
                <w:rFonts w:cs="Arial"/>
                <w:color w:val="FF0000"/>
              </w:rPr>
            </w:pPr>
            <w:r w:rsidRPr="00B148F9">
              <w:t>28</w:t>
            </w:r>
            <w:r w:rsidR="00800BB4" w:rsidRPr="00B148F9">
              <w:t>/6</w:t>
            </w:r>
            <w:r w:rsidRPr="00B148F9">
              <w:t>/2019</w:t>
            </w:r>
          </w:p>
        </w:tc>
        <w:tc>
          <w:tcPr>
            <w:tcW w:w="1534" w:type="dxa"/>
            <w:tcBorders>
              <w:top w:val="nil"/>
              <w:left w:val="nil"/>
              <w:bottom w:val="single" w:sz="4" w:space="0" w:color="auto"/>
              <w:right w:val="single" w:sz="4" w:space="0" w:color="auto"/>
            </w:tcBorders>
            <w:shd w:val="clear" w:color="auto" w:fill="auto"/>
            <w:vAlign w:val="center"/>
          </w:tcPr>
          <w:p w14:paraId="5C8B74A0" w14:textId="776D2156" w:rsidR="009602D0" w:rsidRPr="00B148F9" w:rsidRDefault="009602D0" w:rsidP="00617322">
            <w:pPr>
              <w:jc w:val="right"/>
              <w:rPr>
                <w:rFonts w:cs="Arial"/>
                <w:color w:val="FF0000"/>
              </w:rPr>
            </w:pPr>
            <w:r w:rsidRPr="00B148F9">
              <w:t>1.0x</w:t>
            </w:r>
          </w:p>
        </w:tc>
        <w:tc>
          <w:tcPr>
            <w:tcW w:w="1535" w:type="dxa"/>
            <w:gridSpan w:val="2"/>
            <w:tcBorders>
              <w:top w:val="nil"/>
              <w:left w:val="nil"/>
              <w:bottom w:val="single" w:sz="4" w:space="0" w:color="auto"/>
              <w:right w:val="single" w:sz="4" w:space="0" w:color="auto"/>
            </w:tcBorders>
            <w:shd w:val="clear" w:color="auto" w:fill="auto"/>
            <w:vAlign w:val="center"/>
            <w:hideMark/>
          </w:tcPr>
          <w:p w14:paraId="6D06175B" w14:textId="5363D447" w:rsidR="009602D0" w:rsidRPr="00B148F9" w:rsidRDefault="009602D0" w:rsidP="009037F8">
            <w:pPr>
              <w:jc w:val="right"/>
              <w:rPr>
                <w:rFonts w:cs="Arial"/>
                <w:color w:val="FF0000"/>
              </w:rPr>
            </w:pPr>
            <w:r w:rsidRPr="00B148F9">
              <w:t>6.4%</w:t>
            </w:r>
          </w:p>
        </w:tc>
        <w:tc>
          <w:tcPr>
            <w:tcW w:w="2376" w:type="dxa"/>
            <w:tcBorders>
              <w:top w:val="nil"/>
              <w:left w:val="nil"/>
              <w:bottom w:val="single" w:sz="4" w:space="0" w:color="auto"/>
              <w:right w:val="single" w:sz="4" w:space="0" w:color="auto"/>
            </w:tcBorders>
            <w:shd w:val="clear" w:color="auto" w:fill="auto"/>
            <w:vAlign w:val="center"/>
            <w:hideMark/>
          </w:tcPr>
          <w:p w14:paraId="1DBAFA38" w14:textId="37D38827" w:rsidR="009602D0" w:rsidRPr="00B148F9" w:rsidRDefault="009602D0" w:rsidP="00C4635A">
            <w:pPr>
              <w:jc w:val="right"/>
              <w:rPr>
                <w:rFonts w:cs="Arial"/>
                <w:color w:val="FF0000"/>
              </w:rPr>
            </w:pPr>
            <w:r w:rsidRPr="00B148F9">
              <w:t xml:space="preserve">                                  0.5 </w:t>
            </w:r>
          </w:p>
        </w:tc>
      </w:tr>
      <w:tr w:rsidR="00D32FC0" w:rsidRPr="00B148F9" w14:paraId="7299962C" w14:textId="77777777" w:rsidTr="00B22E35">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B833040" w14:textId="77777777" w:rsidR="009602D0" w:rsidRPr="00B148F9" w:rsidRDefault="009602D0" w:rsidP="009602D0">
            <w:pPr>
              <w:rPr>
                <w:rFonts w:cs="Arial"/>
                <w:color w:val="000000"/>
              </w:rPr>
            </w:pPr>
            <w:r w:rsidRPr="00B148F9">
              <w:rPr>
                <w:rFonts w:cs="Arial"/>
                <w:color w:val="000000"/>
              </w:rPr>
              <w:t>Immunocore</w:t>
            </w:r>
          </w:p>
        </w:tc>
        <w:tc>
          <w:tcPr>
            <w:tcW w:w="1805" w:type="dxa"/>
            <w:tcBorders>
              <w:top w:val="nil"/>
              <w:left w:val="nil"/>
              <w:bottom w:val="single" w:sz="4" w:space="0" w:color="auto"/>
              <w:right w:val="single" w:sz="4" w:space="0" w:color="auto"/>
            </w:tcBorders>
            <w:shd w:val="clear" w:color="auto" w:fill="auto"/>
            <w:vAlign w:val="center"/>
          </w:tcPr>
          <w:p w14:paraId="72DF09D9" w14:textId="5C6D8BBE" w:rsidR="009602D0" w:rsidRPr="00B148F9" w:rsidRDefault="009602D0">
            <w:pPr>
              <w:jc w:val="right"/>
              <w:rPr>
                <w:rFonts w:cs="Arial"/>
                <w:color w:val="FF0000"/>
              </w:rPr>
            </w:pPr>
            <w:r w:rsidRPr="00B148F9">
              <w:t>13</w:t>
            </w:r>
            <w:r w:rsidR="00800BB4" w:rsidRPr="00B148F9">
              <w:t>/8</w:t>
            </w:r>
            <w:r w:rsidRPr="00B148F9">
              <w:t>/2019</w:t>
            </w:r>
          </w:p>
        </w:tc>
        <w:tc>
          <w:tcPr>
            <w:tcW w:w="1534" w:type="dxa"/>
            <w:tcBorders>
              <w:top w:val="nil"/>
              <w:left w:val="nil"/>
              <w:bottom w:val="single" w:sz="4" w:space="0" w:color="auto"/>
              <w:right w:val="single" w:sz="4" w:space="0" w:color="auto"/>
            </w:tcBorders>
            <w:shd w:val="clear" w:color="auto" w:fill="auto"/>
            <w:vAlign w:val="center"/>
          </w:tcPr>
          <w:p w14:paraId="7189BABF" w14:textId="4E896717" w:rsidR="009602D0" w:rsidRPr="00B148F9" w:rsidRDefault="009602D0" w:rsidP="00617322">
            <w:pPr>
              <w:jc w:val="right"/>
              <w:rPr>
                <w:rFonts w:cs="Arial"/>
                <w:color w:val="FF0000"/>
              </w:rPr>
            </w:pPr>
            <w:r w:rsidRPr="00B148F9">
              <w:t>1.1x</w:t>
            </w:r>
          </w:p>
        </w:tc>
        <w:tc>
          <w:tcPr>
            <w:tcW w:w="1535" w:type="dxa"/>
            <w:gridSpan w:val="2"/>
            <w:tcBorders>
              <w:top w:val="nil"/>
              <w:left w:val="nil"/>
              <w:bottom w:val="single" w:sz="4" w:space="0" w:color="auto"/>
              <w:right w:val="single" w:sz="4" w:space="0" w:color="auto"/>
            </w:tcBorders>
            <w:shd w:val="clear" w:color="auto" w:fill="auto"/>
            <w:vAlign w:val="center"/>
            <w:hideMark/>
          </w:tcPr>
          <w:p w14:paraId="4BCE2766" w14:textId="491B0A46" w:rsidR="009602D0" w:rsidRPr="00B148F9" w:rsidRDefault="009602D0" w:rsidP="009037F8">
            <w:pPr>
              <w:jc w:val="right"/>
              <w:rPr>
                <w:rFonts w:cs="Arial"/>
                <w:color w:val="FF0000"/>
              </w:rPr>
            </w:pPr>
            <w:r w:rsidRPr="00B148F9">
              <w:t>24.0%</w:t>
            </w:r>
          </w:p>
        </w:tc>
        <w:tc>
          <w:tcPr>
            <w:tcW w:w="2376" w:type="dxa"/>
            <w:tcBorders>
              <w:top w:val="nil"/>
              <w:left w:val="nil"/>
              <w:bottom w:val="single" w:sz="4" w:space="0" w:color="auto"/>
              <w:right w:val="single" w:sz="4" w:space="0" w:color="auto"/>
            </w:tcBorders>
            <w:shd w:val="clear" w:color="auto" w:fill="auto"/>
            <w:vAlign w:val="center"/>
            <w:hideMark/>
          </w:tcPr>
          <w:p w14:paraId="3ECA5131" w14:textId="2D65EB8F" w:rsidR="009602D0" w:rsidRPr="00B148F9" w:rsidRDefault="009602D0" w:rsidP="00C4635A">
            <w:pPr>
              <w:jc w:val="right"/>
              <w:rPr>
                <w:rFonts w:cs="Arial"/>
                <w:color w:val="FF0000"/>
              </w:rPr>
            </w:pPr>
            <w:r w:rsidRPr="00B148F9">
              <w:t xml:space="preserve">                                  0.4 </w:t>
            </w:r>
          </w:p>
        </w:tc>
      </w:tr>
      <w:tr w:rsidR="00D32FC0" w:rsidRPr="00B148F9" w14:paraId="7B64CC2C" w14:textId="77777777" w:rsidTr="00B22E35">
        <w:trPr>
          <w:trHeight w:val="542"/>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922F9DE" w14:textId="77777777" w:rsidR="009602D0" w:rsidRPr="00B148F9" w:rsidRDefault="009602D0" w:rsidP="009602D0">
            <w:pPr>
              <w:rPr>
                <w:rFonts w:cs="Arial"/>
                <w:color w:val="000000"/>
              </w:rPr>
            </w:pPr>
            <w:r w:rsidRPr="00B148F9">
              <w:rPr>
                <w:rFonts w:cs="Arial"/>
                <w:color w:val="000000"/>
              </w:rPr>
              <w:t>Orchestra BioMed</w:t>
            </w:r>
          </w:p>
        </w:tc>
        <w:tc>
          <w:tcPr>
            <w:tcW w:w="1805" w:type="dxa"/>
            <w:tcBorders>
              <w:top w:val="nil"/>
              <w:left w:val="nil"/>
              <w:bottom w:val="single" w:sz="4" w:space="0" w:color="auto"/>
              <w:right w:val="single" w:sz="4" w:space="0" w:color="auto"/>
            </w:tcBorders>
            <w:shd w:val="clear" w:color="auto" w:fill="auto"/>
            <w:vAlign w:val="center"/>
          </w:tcPr>
          <w:p w14:paraId="1DD87212" w14:textId="7196D78E" w:rsidR="009602D0" w:rsidRPr="00B148F9" w:rsidRDefault="009602D0">
            <w:pPr>
              <w:jc w:val="right"/>
              <w:rPr>
                <w:rFonts w:cs="Arial"/>
                <w:color w:val="FF0000"/>
              </w:rPr>
            </w:pPr>
            <w:r w:rsidRPr="00B148F9">
              <w:t>28</w:t>
            </w:r>
            <w:r w:rsidR="00800BB4" w:rsidRPr="00B148F9">
              <w:t>/6</w:t>
            </w:r>
            <w:r w:rsidRPr="00B148F9">
              <w:t>/2019</w:t>
            </w:r>
          </w:p>
        </w:tc>
        <w:tc>
          <w:tcPr>
            <w:tcW w:w="1534" w:type="dxa"/>
            <w:tcBorders>
              <w:top w:val="nil"/>
              <w:left w:val="nil"/>
              <w:bottom w:val="single" w:sz="4" w:space="0" w:color="auto"/>
              <w:right w:val="single" w:sz="4" w:space="0" w:color="auto"/>
            </w:tcBorders>
            <w:shd w:val="clear" w:color="auto" w:fill="auto"/>
            <w:vAlign w:val="center"/>
          </w:tcPr>
          <w:p w14:paraId="139CEDC4" w14:textId="23C92138" w:rsidR="009602D0" w:rsidRPr="00B148F9" w:rsidRDefault="009602D0" w:rsidP="00617322">
            <w:pPr>
              <w:jc w:val="right"/>
              <w:rPr>
                <w:rFonts w:cs="Arial"/>
                <w:color w:val="FF0000"/>
              </w:rPr>
            </w:pPr>
            <w:r w:rsidRPr="00B148F9">
              <w:t>1.0x</w:t>
            </w:r>
          </w:p>
        </w:tc>
        <w:tc>
          <w:tcPr>
            <w:tcW w:w="1535" w:type="dxa"/>
            <w:gridSpan w:val="2"/>
            <w:tcBorders>
              <w:top w:val="nil"/>
              <w:left w:val="nil"/>
              <w:bottom w:val="single" w:sz="4" w:space="0" w:color="auto"/>
              <w:right w:val="single" w:sz="4" w:space="0" w:color="auto"/>
            </w:tcBorders>
            <w:shd w:val="clear" w:color="auto" w:fill="auto"/>
            <w:vAlign w:val="center"/>
            <w:hideMark/>
          </w:tcPr>
          <w:p w14:paraId="065A27C9" w14:textId="3A0A9568" w:rsidR="009602D0" w:rsidRPr="00B148F9" w:rsidRDefault="009602D0" w:rsidP="009037F8">
            <w:pPr>
              <w:jc w:val="right"/>
              <w:rPr>
                <w:rFonts w:cs="Arial"/>
                <w:color w:val="FF0000"/>
              </w:rPr>
            </w:pPr>
            <w:r w:rsidRPr="00B148F9">
              <w:t>(8.2)%</w:t>
            </w:r>
          </w:p>
        </w:tc>
        <w:tc>
          <w:tcPr>
            <w:tcW w:w="2376" w:type="dxa"/>
            <w:tcBorders>
              <w:top w:val="nil"/>
              <w:left w:val="nil"/>
              <w:bottom w:val="single" w:sz="4" w:space="0" w:color="auto"/>
              <w:right w:val="single" w:sz="4" w:space="0" w:color="auto"/>
            </w:tcBorders>
            <w:shd w:val="clear" w:color="auto" w:fill="auto"/>
            <w:vAlign w:val="center"/>
            <w:hideMark/>
          </w:tcPr>
          <w:p w14:paraId="4BB50A9B" w14:textId="4312830F" w:rsidR="009602D0" w:rsidRPr="00B148F9" w:rsidRDefault="009602D0" w:rsidP="00C4635A">
            <w:pPr>
              <w:jc w:val="right"/>
              <w:rPr>
                <w:rFonts w:cs="Arial"/>
                <w:color w:val="FF0000"/>
              </w:rPr>
            </w:pPr>
            <w:r w:rsidRPr="00B148F9">
              <w:t xml:space="preserve">                                  0.5 </w:t>
            </w:r>
          </w:p>
        </w:tc>
      </w:tr>
      <w:tr w:rsidR="00D32FC0" w:rsidRPr="00B148F9" w14:paraId="503A5F5E" w14:textId="77777777" w:rsidTr="00B22E35">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4F9BB74" w14:textId="77777777" w:rsidR="009602D0" w:rsidRPr="00B148F9" w:rsidRDefault="009602D0" w:rsidP="009602D0">
            <w:pPr>
              <w:rPr>
                <w:rFonts w:cs="Arial"/>
                <w:color w:val="000000"/>
              </w:rPr>
            </w:pPr>
            <w:r w:rsidRPr="00B148F9">
              <w:rPr>
                <w:rFonts w:cs="Arial"/>
                <w:color w:val="000000"/>
              </w:rPr>
              <w:t>Landos</w:t>
            </w:r>
          </w:p>
        </w:tc>
        <w:tc>
          <w:tcPr>
            <w:tcW w:w="1805" w:type="dxa"/>
            <w:tcBorders>
              <w:top w:val="nil"/>
              <w:left w:val="nil"/>
              <w:bottom w:val="single" w:sz="4" w:space="0" w:color="auto"/>
              <w:right w:val="single" w:sz="4" w:space="0" w:color="auto"/>
            </w:tcBorders>
            <w:shd w:val="clear" w:color="auto" w:fill="auto"/>
            <w:vAlign w:val="center"/>
          </w:tcPr>
          <w:p w14:paraId="5B993A90" w14:textId="42D85321" w:rsidR="009602D0" w:rsidRPr="00B148F9" w:rsidRDefault="009602D0">
            <w:pPr>
              <w:jc w:val="right"/>
              <w:rPr>
                <w:rFonts w:cs="Arial"/>
                <w:color w:val="FF0000"/>
              </w:rPr>
            </w:pPr>
            <w:r w:rsidRPr="00B148F9">
              <w:t>9</w:t>
            </w:r>
            <w:r w:rsidR="00800BB4" w:rsidRPr="00B148F9">
              <w:t>/8</w:t>
            </w:r>
            <w:r w:rsidRPr="00B148F9">
              <w:t>/2019</w:t>
            </w:r>
          </w:p>
        </w:tc>
        <w:tc>
          <w:tcPr>
            <w:tcW w:w="1534" w:type="dxa"/>
            <w:tcBorders>
              <w:top w:val="nil"/>
              <w:left w:val="nil"/>
              <w:bottom w:val="single" w:sz="4" w:space="0" w:color="auto"/>
              <w:right w:val="single" w:sz="4" w:space="0" w:color="auto"/>
            </w:tcBorders>
            <w:shd w:val="clear" w:color="auto" w:fill="auto"/>
            <w:vAlign w:val="center"/>
          </w:tcPr>
          <w:p w14:paraId="206895F5" w14:textId="597246B0" w:rsidR="009602D0" w:rsidRPr="00B148F9" w:rsidRDefault="009602D0" w:rsidP="00617322">
            <w:pPr>
              <w:jc w:val="right"/>
              <w:rPr>
                <w:rFonts w:cs="Arial"/>
                <w:color w:val="FF0000"/>
              </w:rPr>
            </w:pPr>
            <w:r w:rsidRPr="00B148F9">
              <w:t>1.0x</w:t>
            </w:r>
          </w:p>
        </w:tc>
        <w:tc>
          <w:tcPr>
            <w:tcW w:w="1535" w:type="dxa"/>
            <w:gridSpan w:val="2"/>
            <w:tcBorders>
              <w:top w:val="nil"/>
              <w:left w:val="nil"/>
              <w:bottom w:val="single" w:sz="4" w:space="0" w:color="auto"/>
              <w:right w:val="single" w:sz="4" w:space="0" w:color="auto"/>
            </w:tcBorders>
            <w:shd w:val="clear" w:color="auto" w:fill="auto"/>
            <w:vAlign w:val="center"/>
            <w:hideMark/>
          </w:tcPr>
          <w:p w14:paraId="674DA434" w14:textId="383AACD8" w:rsidR="009602D0" w:rsidRPr="00B148F9" w:rsidRDefault="009602D0" w:rsidP="009037F8">
            <w:pPr>
              <w:jc w:val="right"/>
              <w:rPr>
                <w:rFonts w:cs="Arial"/>
                <w:color w:val="FF0000"/>
              </w:rPr>
            </w:pPr>
            <w:r w:rsidRPr="00B148F9">
              <w:t>4.2%</w:t>
            </w:r>
          </w:p>
        </w:tc>
        <w:tc>
          <w:tcPr>
            <w:tcW w:w="2376" w:type="dxa"/>
            <w:tcBorders>
              <w:top w:val="nil"/>
              <w:left w:val="nil"/>
              <w:bottom w:val="single" w:sz="4" w:space="0" w:color="auto"/>
              <w:right w:val="single" w:sz="4" w:space="0" w:color="auto"/>
            </w:tcBorders>
            <w:shd w:val="clear" w:color="auto" w:fill="auto"/>
            <w:vAlign w:val="center"/>
            <w:hideMark/>
          </w:tcPr>
          <w:p w14:paraId="28A154AE" w14:textId="3E059E81" w:rsidR="009602D0" w:rsidRPr="00B148F9" w:rsidRDefault="009602D0" w:rsidP="00C4635A">
            <w:pPr>
              <w:jc w:val="right"/>
              <w:rPr>
                <w:rFonts w:cs="Arial"/>
                <w:color w:val="FF0000"/>
              </w:rPr>
            </w:pPr>
            <w:r w:rsidRPr="00B148F9">
              <w:t xml:space="preserve">                                  0.4 </w:t>
            </w:r>
          </w:p>
        </w:tc>
      </w:tr>
      <w:tr w:rsidR="00D32FC0" w:rsidRPr="00B148F9" w14:paraId="1E027E11" w14:textId="77777777" w:rsidTr="00B22E35">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A696FEA" w14:textId="77777777" w:rsidR="009602D0" w:rsidRPr="00B148F9" w:rsidRDefault="009602D0" w:rsidP="009602D0">
            <w:pPr>
              <w:rPr>
                <w:rFonts w:cs="Arial"/>
                <w:color w:val="FF0000"/>
              </w:rPr>
            </w:pPr>
            <w:r w:rsidRPr="00B148F9">
              <w:rPr>
                <w:rFonts w:cs="Arial"/>
              </w:rPr>
              <w:t>Frequency*</w:t>
            </w:r>
          </w:p>
        </w:tc>
        <w:tc>
          <w:tcPr>
            <w:tcW w:w="1805" w:type="dxa"/>
            <w:tcBorders>
              <w:top w:val="nil"/>
              <w:left w:val="nil"/>
              <w:bottom w:val="single" w:sz="4" w:space="0" w:color="auto"/>
              <w:right w:val="single" w:sz="4" w:space="0" w:color="auto"/>
            </w:tcBorders>
            <w:shd w:val="clear" w:color="auto" w:fill="auto"/>
            <w:vAlign w:val="center"/>
          </w:tcPr>
          <w:p w14:paraId="69F74AE2" w14:textId="7FF9EC3B" w:rsidR="009602D0" w:rsidRPr="00B148F9" w:rsidRDefault="009602D0">
            <w:pPr>
              <w:jc w:val="right"/>
              <w:rPr>
                <w:rFonts w:cs="Arial"/>
                <w:color w:val="FF0000"/>
              </w:rPr>
            </w:pPr>
            <w:r w:rsidRPr="00B148F9">
              <w:t>17</w:t>
            </w:r>
            <w:r w:rsidR="00800BB4" w:rsidRPr="00B148F9">
              <w:t>/7</w:t>
            </w:r>
            <w:r w:rsidRPr="00B148F9">
              <w:t>/2019</w:t>
            </w:r>
          </w:p>
        </w:tc>
        <w:tc>
          <w:tcPr>
            <w:tcW w:w="1534" w:type="dxa"/>
            <w:tcBorders>
              <w:top w:val="nil"/>
              <w:left w:val="nil"/>
              <w:bottom w:val="single" w:sz="4" w:space="0" w:color="auto"/>
              <w:right w:val="single" w:sz="4" w:space="0" w:color="auto"/>
            </w:tcBorders>
            <w:shd w:val="clear" w:color="auto" w:fill="auto"/>
            <w:vAlign w:val="center"/>
          </w:tcPr>
          <w:p w14:paraId="4F00A900" w14:textId="24058917" w:rsidR="009602D0" w:rsidRPr="00B148F9" w:rsidRDefault="009602D0" w:rsidP="00617322">
            <w:pPr>
              <w:jc w:val="right"/>
              <w:rPr>
                <w:rFonts w:cs="Arial"/>
                <w:color w:val="FF0000"/>
              </w:rPr>
            </w:pPr>
            <w:r w:rsidRPr="00B148F9">
              <w:t>1.6x</w:t>
            </w:r>
          </w:p>
        </w:tc>
        <w:tc>
          <w:tcPr>
            <w:tcW w:w="1535" w:type="dxa"/>
            <w:gridSpan w:val="2"/>
            <w:tcBorders>
              <w:top w:val="nil"/>
              <w:left w:val="nil"/>
              <w:bottom w:val="single" w:sz="4" w:space="0" w:color="auto"/>
              <w:right w:val="single" w:sz="4" w:space="0" w:color="auto"/>
            </w:tcBorders>
            <w:shd w:val="clear" w:color="auto" w:fill="auto"/>
            <w:vAlign w:val="center"/>
            <w:hideMark/>
          </w:tcPr>
          <w:p w14:paraId="67604A3A" w14:textId="789E9200" w:rsidR="009602D0" w:rsidRPr="00B148F9" w:rsidRDefault="009602D0" w:rsidP="009037F8">
            <w:pPr>
              <w:jc w:val="right"/>
              <w:rPr>
                <w:rFonts w:cs="Arial"/>
                <w:color w:val="FF0000"/>
              </w:rPr>
            </w:pPr>
            <w:r w:rsidRPr="00B148F9">
              <w:t>160.6%</w:t>
            </w:r>
          </w:p>
        </w:tc>
        <w:tc>
          <w:tcPr>
            <w:tcW w:w="2376" w:type="dxa"/>
            <w:tcBorders>
              <w:top w:val="nil"/>
              <w:left w:val="nil"/>
              <w:bottom w:val="single" w:sz="4" w:space="0" w:color="auto"/>
              <w:right w:val="single" w:sz="4" w:space="0" w:color="auto"/>
            </w:tcBorders>
            <w:shd w:val="clear" w:color="auto" w:fill="auto"/>
            <w:vAlign w:val="center"/>
            <w:hideMark/>
          </w:tcPr>
          <w:p w14:paraId="740C7C1E" w14:textId="765413B7" w:rsidR="009602D0" w:rsidRPr="00B148F9" w:rsidRDefault="009602D0" w:rsidP="00C4635A">
            <w:pPr>
              <w:jc w:val="right"/>
              <w:rPr>
                <w:rFonts w:cs="Arial"/>
                <w:color w:val="FF0000"/>
              </w:rPr>
            </w:pPr>
            <w:r w:rsidRPr="00B148F9">
              <w:t xml:space="preserve">                                  0.5 </w:t>
            </w:r>
          </w:p>
        </w:tc>
      </w:tr>
      <w:tr w:rsidR="00D32FC0" w:rsidRPr="00B148F9" w14:paraId="7D93FEF4" w14:textId="77777777" w:rsidTr="00B22E35">
        <w:trPr>
          <w:trHeight w:val="542"/>
        </w:trPr>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0CA802" w14:textId="6A72B113" w:rsidR="009602D0" w:rsidRPr="00B148F9" w:rsidRDefault="009602D0" w:rsidP="009602D0">
            <w:pPr>
              <w:rPr>
                <w:rFonts w:cs="Arial"/>
                <w:b/>
                <w:bCs/>
                <w:color w:val="000000"/>
              </w:rPr>
            </w:pPr>
            <w:r w:rsidRPr="00B148F9">
              <w:rPr>
                <w:rFonts w:cs="Arial"/>
                <w:b/>
                <w:bCs/>
                <w:color w:val="000000"/>
              </w:rPr>
              <w:t xml:space="preserve">Average Private Positions Held </w:t>
            </w:r>
          </w:p>
        </w:tc>
        <w:tc>
          <w:tcPr>
            <w:tcW w:w="1534" w:type="dxa"/>
            <w:tcBorders>
              <w:top w:val="nil"/>
              <w:left w:val="nil"/>
              <w:bottom w:val="single" w:sz="4" w:space="0" w:color="auto"/>
              <w:right w:val="single" w:sz="4" w:space="0" w:color="auto"/>
            </w:tcBorders>
            <w:shd w:val="clear" w:color="auto" w:fill="auto"/>
            <w:vAlign w:val="center"/>
            <w:hideMark/>
          </w:tcPr>
          <w:p w14:paraId="37960C06" w14:textId="12854E4B" w:rsidR="009602D0" w:rsidRPr="00B148F9" w:rsidRDefault="009602D0" w:rsidP="009602D0">
            <w:pPr>
              <w:jc w:val="right"/>
              <w:rPr>
                <w:rFonts w:cs="Arial"/>
                <w:color w:val="FF0000"/>
              </w:rPr>
            </w:pPr>
            <w:r w:rsidRPr="00B148F9">
              <w:t>1.1x</w:t>
            </w:r>
          </w:p>
        </w:tc>
        <w:tc>
          <w:tcPr>
            <w:tcW w:w="1535" w:type="dxa"/>
            <w:gridSpan w:val="2"/>
            <w:tcBorders>
              <w:top w:val="nil"/>
              <w:left w:val="nil"/>
              <w:bottom w:val="single" w:sz="4" w:space="0" w:color="auto"/>
              <w:right w:val="single" w:sz="4" w:space="0" w:color="auto"/>
            </w:tcBorders>
            <w:shd w:val="clear" w:color="auto" w:fill="auto"/>
            <w:vAlign w:val="center"/>
            <w:hideMark/>
          </w:tcPr>
          <w:p w14:paraId="12581DF8" w14:textId="1F193BA3" w:rsidR="009602D0" w:rsidRPr="00B148F9" w:rsidRDefault="009602D0" w:rsidP="009602D0">
            <w:pPr>
              <w:jc w:val="right"/>
              <w:rPr>
                <w:rFonts w:cs="Arial"/>
                <w:color w:val="FF0000"/>
              </w:rPr>
            </w:pPr>
            <w:r w:rsidRPr="00B148F9">
              <w:t>31.2%</w:t>
            </w:r>
          </w:p>
        </w:tc>
        <w:tc>
          <w:tcPr>
            <w:tcW w:w="2376" w:type="dxa"/>
            <w:tcBorders>
              <w:top w:val="nil"/>
              <w:left w:val="nil"/>
              <w:bottom w:val="single" w:sz="4" w:space="0" w:color="auto"/>
              <w:right w:val="single" w:sz="4" w:space="0" w:color="auto"/>
            </w:tcBorders>
            <w:shd w:val="clear" w:color="auto" w:fill="auto"/>
            <w:vAlign w:val="center"/>
            <w:hideMark/>
          </w:tcPr>
          <w:p w14:paraId="59827A20" w14:textId="26118C05" w:rsidR="009602D0" w:rsidRPr="00B148F9" w:rsidRDefault="009602D0" w:rsidP="009602D0">
            <w:pPr>
              <w:jc w:val="right"/>
              <w:rPr>
                <w:rFonts w:cs="Arial"/>
                <w:color w:val="FF0000"/>
              </w:rPr>
            </w:pPr>
            <w:r w:rsidRPr="00B148F9">
              <w:t xml:space="preserve">                                  0.4 </w:t>
            </w:r>
          </w:p>
        </w:tc>
      </w:tr>
      <w:tr w:rsidR="009602D0" w:rsidRPr="00B148F9" w14:paraId="34FF1186" w14:textId="77777777" w:rsidTr="00617322">
        <w:trPr>
          <w:trHeight w:val="271"/>
        </w:trPr>
        <w:tc>
          <w:tcPr>
            <w:tcW w:w="949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1A8D4F9" w14:textId="77777777" w:rsidR="009602D0" w:rsidRPr="00B148F9" w:rsidRDefault="009602D0" w:rsidP="009602D0">
            <w:pPr>
              <w:rPr>
                <w:rFonts w:cs="Arial"/>
              </w:rPr>
            </w:pPr>
            <w:r w:rsidRPr="00B148F9">
              <w:rPr>
                <w:rFonts w:cs="Arial"/>
              </w:rPr>
              <w:t> </w:t>
            </w:r>
          </w:p>
        </w:tc>
      </w:tr>
      <w:tr w:rsidR="00D32FC0" w:rsidRPr="00B148F9" w14:paraId="7DDD454A" w14:textId="77777777" w:rsidTr="00B22E35">
        <w:trPr>
          <w:trHeight w:val="1109"/>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8501CF1" w14:textId="77777777" w:rsidR="009602D0" w:rsidRPr="00B148F9" w:rsidRDefault="009602D0" w:rsidP="00EE53BF">
            <w:pPr>
              <w:jc w:val="left"/>
              <w:rPr>
                <w:rFonts w:cs="Arial"/>
                <w:b/>
                <w:bCs/>
              </w:rPr>
            </w:pPr>
            <w:r w:rsidRPr="00B148F9">
              <w:rPr>
                <w:rFonts w:cs="Arial"/>
                <w:b/>
                <w:bCs/>
              </w:rPr>
              <w:t>Public company</w:t>
            </w:r>
          </w:p>
        </w:tc>
        <w:tc>
          <w:tcPr>
            <w:tcW w:w="3425" w:type="dxa"/>
            <w:gridSpan w:val="3"/>
            <w:tcBorders>
              <w:top w:val="nil"/>
              <w:left w:val="nil"/>
              <w:bottom w:val="single" w:sz="4" w:space="0" w:color="auto"/>
              <w:right w:val="single" w:sz="4" w:space="0" w:color="auto"/>
            </w:tcBorders>
            <w:shd w:val="clear" w:color="auto" w:fill="auto"/>
            <w:vAlign w:val="center"/>
            <w:hideMark/>
          </w:tcPr>
          <w:p w14:paraId="74732C87" w14:textId="486A75CD" w:rsidR="009602D0" w:rsidRPr="00B148F9" w:rsidRDefault="009602D0">
            <w:pPr>
              <w:jc w:val="left"/>
              <w:rPr>
                <w:rFonts w:cs="Arial"/>
                <w:b/>
                <w:bCs/>
              </w:rPr>
            </w:pPr>
            <w:r w:rsidRPr="00B148F9">
              <w:rPr>
                <w:rFonts w:cs="Arial"/>
                <w:b/>
                <w:bCs/>
              </w:rPr>
              <w:t>Price per share a</w:t>
            </w:r>
            <w:r w:rsidR="00C60076">
              <w:rPr>
                <w:rFonts w:cs="Arial"/>
                <w:b/>
                <w:bCs/>
              </w:rPr>
              <w:t>s of 29/10/20</w:t>
            </w:r>
            <w:r w:rsidR="00E938EE">
              <w:rPr>
                <w:rFonts w:cs="Arial"/>
                <w:b/>
                <w:bCs/>
              </w:rPr>
              <w:t>19</w:t>
            </w:r>
            <w:r w:rsidR="00C60076">
              <w:rPr>
                <w:rFonts w:cs="Arial"/>
                <w:b/>
                <w:bCs/>
              </w:rPr>
              <w:t xml:space="preserve"> market close</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0180353A" w14:textId="77777777" w:rsidR="009602D0" w:rsidRPr="00B148F9" w:rsidRDefault="009602D0" w:rsidP="00EE53BF">
            <w:pPr>
              <w:jc w:val="left"/>
              <w:rPr>
                <w:rFonts w:cs="Arial"/>
                <w:b/>
                <w:bCs/>
              </w:rPr>
            </w:pPr>
            <w:r w:rsidRPr="00B148F9">
              <w:rPr>
                <w:rFonts w:cs="Arial"/>
                <w:b/>
                <w:bCs/>
              </w:rPr>
              <w:t>Price per share at the end of the period (31/12/2019)</w:t>
            </w:r>
          </w:p>
        </w:tc>
        <w:tc>
          <w:tcPr>
            <w:tcW w:w="2376" w:type="dxa"/>
            <w:tcBorders>
              <w:top w:val="nil"/>
              <w:left w:val="nil"/>
              <w:bottom w:val="single" w:sz="4" w:space="0" w:color="auto"/>
              <w:right w:val="single" w:sz="4" w:space="0" w:color="auto"/>
            </w:tcBorders>
            <w:shd w:val="clear" w:color="auto" w:fill="auto"/>
            <w:noWrap/>
            <w:vAlign w:val="center"/>
            <w:hideMark/>
          </w:tcPr>
          <w:p w14:paraId="2E86A10D" w14:textId="77777777" w:rsidR="009602D0" w:rsidRPr="00B148F9" w:rsidRDefault="009602D0" w:rsidP="00EE53BF">
            <w:pPr>
              <w:jc w:val="left"/>
              <w:rPr>
                <w:rFonts w:cs="Arial"/>
                <w:b/>
                <w:bCs/>
              </w:rPr>
            </w:pPr>
            <w:r w:rsidRPr="00B148F9">
              <w:rPr>
                <w:rFonts w:cs="Arial"/>
                <w:b/>
                <w:bCs/>
              </w:rPr>
              <w:t>% return</w:t>
            </w:r>
          </w:p>
        </w:tc>
      </w:tr>
      <w:tr w:rsidR="00D32FC0" w:rsidRPr="00B148F9" w14:paraId="14BD852C" w14:textId="77777777" w:rsidTr="00B22E35">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CB81DDC" w14:textId="77777777" w:rsidR="009602D0" w:rsidRPr="00B148F9" w:rsidRDefault="009602D0" w:rsidP="009602D0">
            <w:pPr>
              <w:rPr>
                <w:rFonts w:cs="Arial"/>
              </w:rPr>
            </w:pPr>
            <w:r w:rsidRPr="00B148F9">
              <w:rPr>
                <w:rFonts w:cs="Arial"/>
              </w:rPr>
              <w:t>Rocket</w:t>
            </w:r>
          </w:p>
        </w:tc>
        <w:tc>
          <w:tcPr>
            <w:tcW w:w="3425" w:type="dxa"/>
            <w:gridSpan w:val="3"/>
            <w:tcBorders>
              <w:top w:val="nil"/>
              <w:left w:val="nil"/>
              <w:bottom w:val="single" w:sz="4" w:space="0" w:color="auto"/>
              <w:right w:val="single" w:sz="4" w:space="0" w:color="auto"/>
            </w:tcBorders>
            <w:shd w:val="clear" w:color="auto" w:fill="auto"/>
            <w:noWrap/>
            <w:vAlign w:val="bottom"/>
            <w:hideMark/>
          </w:tcPr>
          <w:p w14:paraId="2E5E476E" w14:textId="1198DF58" w:rsidR="009602D0" w:rsidRPr="00B148F9" w:rsidRDefault="009602D0" w:rsidP="009602D0">
            <w:pPr>
              <w:jc w:val="right"/>
              <w:rPr>
                <w:rFonts w:cs="Arial"/>
              </w:rPr>
            </w:pPr>
            <w:r w:rsidRPr="00B148F9">
              <w:rPr>
                <w:rFonts w:cs="Arial"/>
              </w:rPr>
              <w:t>US$14.0</w:t>
            </w:r>
            <w:r w:rsidR="00F12A5F" w:rsidRPr="00B148F9">
              <w:rPr>
                <w:rFonts w:cs="Arial"/>
              </w:rPr>
              <w:t>0</w:t>
            </w:r>
            <w:r w:rsidRPr="00B148F9">
              <w:rPr>
                <w:rFonts w:cs="Arial"/>
              </w:rPr>
              <w:t xml:space="preserve"> </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71E71DE0" w14:textId="77777777" w:rsidR="009602D0" w:rsidRPr="00B148F9" w:rsidRDefault="009602D0" w:rsidP="009602D0">
            <w:pPr>
              <w:jc w:val="right"/>
              <w:rPr>
                <w:rFonts w:cs="Arial"/>
              </w:rPr>
            </w:pPr>
            <w:r w:rsidRPr="00B148F9">
              <w:rPr>
                <w:rFonts w:cs="Arial"/>
              </w:rPr>
              <w:t xml:space="preserve">US$ 22.76 </w:t>
            </w:r>
          </w:p>
        </w:tc>
        <w:tc>
          <w:tcPr>
            <w:tcW w:w="2376" w:type="dxa"/>
            <w:tcBorders>
              <w:top w:val="nil"/>
              <w:left w:val="nil"/>
              <w:bottom w:val="single" w:sz="4" w:space="0" w:color="auto"/>
              <w:right w:val="single" w:sz="4" w:space="0" w:color="auto"/>
            </w:tcBorders>
            <w:shd w:val="clear" w:color="auto" w:fill="auto"/>
            <w:vAlign w:val="bottom"/>
            <w:hideMark/>
          </w:tcPr>
          <w:p w14:paraId="4A720F30" w14:textId="5AFB2869" w:rsidR="009602D0" w:rsidRPr="00B148F9" w:rsidRDefault="009602D0" w:rsidP="009602D0">
            <w:pPr>
              <w:jc w:val="right"/>
              <w:rPr>
                <w:rFonts w:cs="Arial"/>
              </w:rPr>
            </w:pPr>
            <w:r w:rsidRPr="00B148F9">
              <w:rPr>
                <w:rFonts w:cs="Arial"/>
              </w:rPr>
              <w:t>6</w:t>
            </w:r>
            <w:r w:rsidR="00F12A5F" w:rsidRPr="00B148F9">
              <w:rPr>
                <w:rFonts w:cs="Arial"/>
              </w:rPr>
              <w:t>3</w:t>
            </w:r>
            <w:r w:rsidRPr="00B148F9">
              <w:rPr>
                <w:rFonts w:cs="Arial"/>
              </w:rPr>
              <w:t>%</w:t>
            </w:r>
          </w:p>
        </w:tc>
      </w:tr>
    </w:tbl>
    <w:p w14:paraId="45AAAF91" w14:textId="4D002009" w:rsidR="00472C31" w:rsidRPr="00B148F9" w:rsidRDefault="00472C31" w:rsidP="00472C31">
      <w:pPr>
        <w:rPr>
          <w:rFonts w:cstheme="minorHAnsi"/>
          <w:color w:val="000000" w:themeColor="text1"/>
          <w:sz w:val="16"/>
          <w:szCs w:val="16"/>
        </w:rPr>
      </w:pPr>
      <w:r w:rsidRPr="00B148F9">
        <w:rPr>
          <w:rFonts w:cstheme="minorHAnsi"/>
          <w:color w:val="000000" w:themeColor="text1"/>
          <w:sz w:val="16"/>
          <w:szCs w:val="16"/>
        </w:rPr>
        <w:t xml:space="preserve">*Under </w:t>
      </w:r>
      <w:r w:rsidR="005639DF" w:rsidRPr="00B148F9">
        <w:rPr>
          <w:rFonts w:cstheme="minorHAnsi"/>
          <w:color w:val="000000" w:themeColor="text1"/>
          <w:sz w:val="16"/>
          <w:szCs w:val="16"/>
        </w:rPr>
        <w:t>180-day</w:t>
      </w:r>
      <w:r w:rsidR="00C540D7" w:rsidRPr="00B148F9">
        <w:rPr>
          <w:rFonts w:cstheme="minorHAnsi"/>
          <w:color w:val="000000" w:themeColor="text1"/>
          <w:sz w:val="16"/>
          <w:szCs w:val="16"/>
        </w:rPr>
        <w:t xml:space="preserve"> </w:t>
      </w:r>
      <w:r w:rsidRPr="00B148F9">
        <w:rPr>
          <w:rFonts w:cstheme="minorHAnsi"/>
          <w:color w:val="000000" w:themeColor="text1"/>
          <w:sz w:val="16"/>
          <w:szCs w:val="16"/>
        </w:rPr>
        <w:t>lock-up provision</w:t>
      </w:r>
    </w:p>
    <w:p w14:paraId="653ECBDC" w14:textId="77777777" w:rsidR="002A7D91" w:rsidRPr="00B148F9" w:rsidRDefault="002A7D91" w:rsidP="00472C31">
      <w:pPr>
        <w:textAlignment w:val="center"/>
        <w:rPr>
          <w:rFonts w:cstheme="minorHAnsi"/>
          <w:color w:val="000000" w:themeColor="text1"/>
        </w:rPr>
      </w:pPr>
    </w:p>
    <w:p w14:paraId="401E2B90" w14:textId="05036491" w:rsidR="00472C31" w:rsidRPr="00B148F9" w:rsidRDefault="00472C31" w:rsidP="00472C31">
      <w:pPr>
        <w:textAlignment w:val="center"/>
        <w:rPr>
          <w:rFonts w:cstheme="minorHAnsi"/>
          <w:color w:val="000000" w:themeColor="text1"/>
        </w:rPr>
      </w:pPr>
      <w:r w:rsidRPr="00B148F9">
        <w:rPr>
          <w:rFonts w:cstheme="minorHAnsi"/>
          <w:color w:val="000000" w:themeColor="text1"/>
        </w:rPr>
        <w:t xml:space="preserve">At admission, the Company’s portfolio included six companies, four of which are developing clinical-stage therapeutics and two med tech companies developing transformative devices. </w:t>
      </w:r>
    </w:p>
    <w:p w14:paraId="6E35C1ED" w14:textId="77777777" w:rsidR="002A7D91" w:rsidRPr="00B148F9" w:rsidRDefault="002A7D91" w:rsidP="00472C31">
      <w:pPr>
        <w:textAlignment w:val="center"/>
        <w:rPr>
          <w:rFonts w:cstheme="minorHAnsi"/>
          <w:color w:val="000000" w:themeColor="text1"/>
        </w:rPr>
      </w:pPr>
    </w:p>
    <w:p w14:paraId="6079FDA4" w14:textId="233DC741" w:rsidR="00472C31" w:rsidRPr="00B148F9" w:rsidRDefault="00472C31" w:rsidP="00472C31">
      <w:pPr>
        <w:textAlignment w:val="center"/>
        <w:rPr>
          <w:rFonts w:cstheme="minorHAnsi"/>
        </w:rPr>
      </w:pPr>
      <w:r w:rsidRPr="00B148F9">
        <w:rPr>
          <w:rFonts w:cstheme="minorHAnsi"/>
          <w:color w:val="000000" w:themeColor="text1"/>
        </w:rPr>
        <w:t xml:space="preserve">Since admission we have </w:t>
      </w:r>
      <w:r w:rsidRPr="00B148F9">
        <w:rPr>
          <w:rFonts w:cstheme="minorHAnsi"/>
        </w:rPr>
        <w:t xml:space="preserve">added one </w:t>
      </w:r>
      <w:r w:rsidRPr="00B148F9">
        <w:rPr>
          <w:rFonts w:cstheme="minorHAnsi"/>
          <w:color w:val="000000" w:themeColor="text1"/>
        </w:rPr>
        <w:t>more asset to the Company’s portfolio: Avidity</w:t>
      </w:r>
      <w:r w:rsidR="001626C2">
        <w:rPr>
          <w:rFonts w:cstheme="minorHAnsi"/>
          <w:color w:val="000000" w:themeColor="text1"/>
        </w:rPr>
        <w:t xml:space="preserve"> Biosciences</w:t>
      </w:r>
      <w:r w:rsidRPr="00B148F9">
        <w:rPr>
          <w:rFonts w:cstheme="minorHAnsi"/>
          <w:color w:val="000000" w:themeColor="text1"/>
        </w:rPr>
        <w:t>, a biotechnology company pioneering Antibody-Oligonucleotide Conjugates (AOCs™) for the treatment of rare muscle disorders and other serious diseases</w:t>
      </w:r>
      <w:r w:rsidRPr="00B148F9">
        <w:rPr>
          <w:rFonts w:cstheme="minorHAnsi"/>
        </w:rPr>
        <w:t xml:space="preserve">. </w:t>
      </w:r>
    </w:p>
    <w:p w14:paraId="2CEBCF79" w14:textId="77777777" w:rsidR="002A7D91" w:rsidRPr="00B148F9" w:rsidRDefault="002A7D91" w:rsidP="00472C31">
      <w:pPr>
        <w:textAlignment w:val="center"/>
        <w:rPr>
          <w:rFonts w:cstheme="minorHAnsi"/>
        </w:rPr>
      </w:pPr>
    </w:p>
    <w:p w14:paraId="43045D9C" w14:textId="6174CF81" w:rsidR="00472C31" w:rsidRPr="00B148F9" w:rsidRDefault="006279CE" w:rsidP="00472C31">
      <w:pPr>
        <w:textAlignment w:val="center"/>
        <w:rPr>
          <w:rFonts w:cstheme="minorHAnsi"/>
        </w:rPr>
      </w:pPr>
      <w:r w:rsidRPr="00B148F9">
        <w:rPr>
          <w:rFonts w:cstheme="minorHAnsi"/>
        </w:rPr>
        <w:t>F</w:t>
      </w:r>
      <w:r w:rsidR="00472C31" w:rsidRPr="00B148F9">
        <w:rPr>
          <w:rFonts w:cstheme="minorHAnsi"/>
        </w:rPr>
        <w:t xml:space="preserve">ollowing </w:t>
      </w:r>
      <w:r w:rsidRPr="00B148F9">
        <w:rPr>
          <w:rFonts w:cstheme="minorHAnsi"/>
        </w:rPr>
        <w:t>the period end</w:t>
      </w:r>
      <w:r w:rsidR="00472C31" w:rsidRPr="00B148F9">
        <w:rPr>
          <w:rFonts w:cstheme="minorHAnsi"/>
        </w:rPr>
        <w:t>, the Company invested in Ji Xing</w:t>
      </w:r>
      <w:r w:rsidR="001626C2">
        <w:rPr>
          <w:rFonts w:cstheme="minorHAnsi"/>
        </w:rPr>
        <w:t xml:space="preserve"> Pharmaceuticals</w:t>
      </w:r>
      <w:r w:rsidR="00472C31" w:rsidRPr="00B148F9">
        <w:rPr>
          <w:rFonts w:cstheme="minorHAnsi"/>
        </w:rPr>
        <w:t>, a new</w:t>
      </w:r>
      <w:r w:rsidR="00C331EF" w:rsidRPr="00B148F9">
        <w:rPr>
          <w:rFonts w:cstheme="minorHAnsi"/>
        </w:rPr>
        <w:t>ly created</w:t>
      </w:r>
      <w:r w:rsidR="00472C31" w:rsidRPr="00B148F9">
        <w:rPr>
          <w:rFonts w:cstheme="minorHAnsi"/>
        </w:rPr>
        <w:t xml:space="preserve"> company formed by the Investment Manager. Ji Xing is a China-based specialty pharmaceutical company focused on the distribution of innovative US and European drugs</w:t>
      </w:r>
      <w:r w:rsidR="007979DB" w:rsidRPr="00B148F9">
        <w:rPr>
          <w:rFonts w:cstheme="minorHAnsi"/>
        </w:rPr>
        <w:t xml:space="preserve"> in the Chinese market</w:t>
      </w:r>
      <w:r w:rsidR="00472C31" w:rsidRPr="00B148F9">
        <w:rPr>
          <w:rFonts w:cstheme="minorHAnsi"/>
        </w:rPr>
        <w:t xml:space="preserve">. The Company participated alongside other RTW managed vehicles in the initial seed fund raise. The intent </w:t>
      </w:r>
      <w:r w:rsidR="00C331EF" w:rsidRPr="00B148F9">
        <w:rPr>
          <w:rFonts w:cstheme="minorHAnsi"/>
        </w:rPr>
        <w:t xml:space="preserve">to seed the company </w:t>
      </w:r>
      <w:r w:rsidR="00472C31" w:rsidRPr="00B148F9">
        <w:rPr>
          <w:rFonts w:cstheme="minorHAnsi"/>
        </w:rPr>
        <w:t>was noted in the prospectus as a near-to-medium term pipeline investment.</w:t>
      </w:r>
    </w:p>
    <w:p w14:paraId="565FE9C1" w14:textId="77777777" w:rsidR="002A7D91" w:rsidRPr="00B148F9" w:rsidRDefault="002A7D91" w:rsidP="00472C31">
      <w:pPr>
        <w:textAlignment w:val="center"/>
        <w:rPr>
          <w:rFonts w:cstheme="minorHAnsi"/>
        </w:rPr>
      </w:pPr>
    </w:p>
    <w:p w14:paraId="19880C21" w14:textId="0E4AC7A4" w:rsidR="00472C31" w:rsidRPr="00B148F9" w:rsidRDefault="006279CE" w:rsidP="00472C31">
      <w:pPr>
        <w:textAlignment w:val="center"/>
        <w:rPr>
          <w:rFonts w:cstheme="minorHAnsi"/>
          <w:color w:val="000000" w:themeColor="text1"/>
        </w:rPr>
      </w:pPr>
      <w:r w:rsidRPr="00B148F9">
        <w:rPr>
          <w:rFonts w:cstheme="minorHAnsi"/>
          <w:color w:val="000000" w:themeColor="text1"/>
        </w:rPr>
        <w:t>T</w:t>
      </w:r>
      <w:r w:rsidR="00C331EF" w:rsidRPr="00B148F9">
        <w:rPr>
          <w:rFonts w:cstheme="minorHAnsi"/>
          <w:color w:val="000000" w:themeColor="text1"/>
        </w:rPr>
        <w:t>he p</w:t>
      </w:r>
      <w:r w:rsidR="00472C31" w:rsidRPr="00B148F9">
        <w:rPr>
          <w:rFonts w:cstheme="minorHAnsi"/>
          <w:color w:val="000000" w:themeColor="text1"/>
        </w:rPr>
        <w:t>ortfolio</w:t>
      </w:r>
      <w:r w:rsidRPr="00B148F9">
        <w:rPr>
          <w:rFonts w:cstheme="minorHAnsi"/>
          <w:color w:val="000000" w:themeColor="text1"/>
        </w:rPr>
        <w:t xml:space="preserve"> now</w:t>
      </w:r>
      <w:r w:rsidR="00472C31" w:rsidRPr="00B148F9">
        <w:rPr>
          <w:rFonts w:cstheme="minorHAnsi"/>
          <w:color w:val="000000" w:themeColor="text1"/>
        </w:rPr>
        <w:t xml:space="preserve"> includes eight assets that are diversified across treatment modalities, therapeutic focus and clinical stage of the programs (Figure 1A-C). While the portfolio remains dominated by US-based companies (Figure 1D), we are committed to adding UK and EU-based companies in an effort to support</w:t>
      </w:r>
      <w:r w:rsidR="00C331EF" w:rsidRPr="00B148F9">
        <w:rPr>
          <w:rFonts w:cstheme="minorHAnsi"/>
          <w:color w:val="000000" w:themeColor="text1"/>
        </w:rPr>
        <w:t xml:space="preserve"> the best assets globally and support</w:t>
      </w:r>
      <w:r w:rsidR="00472C31" w:rsidRPr="00B148F9">
        <w:rPr>
          <w:rFonts w:cstheme="minorHAnsi"/>
          <w:color w:val="000000" w:themeColor="text1"/>
        </w:rPr>
        <w:t xml:space="preserve"> local biotech ecosystems. </w:t>
      </w:r>
    </w:p>
    <w:p w14:paraId="0A655704" w14:textId="77777777" w:rsidR="00DA63CF" w:rsidRPr="00B148F9" w:rsidRDefault="00DA63CF" w:rsidP="00472C31">
      <w:pPr>
        <w:textAlignment w:val="center"/>
        <w:rPr>
          <w:rFonts w:cstheme="minorHAnsi"/>
          <w:color w:val="000000" w:themeColor="text1"/>
        </w:rPr>
      </w:pPr>
    </w:p>
    <w:p w14:paraId="32D0EC62" w14:textId="5CA423AD" w:rsidR="00F81AA7" w:rsidRPr="00B148F9" w:rsidRDefault="00F81AA7" w:rsidP="00472C31">
      <w:pPr>
        <w:textAlignment w:val="center"/>
        <w:rPr>
          <w:rFonts w:cstheme="minorHAnsi"/>
          <w:color w:val="000000" w:themeColor="text1"/>
        </w:rPr>
      </w:pPr>
    </w:p>
    <w:p w14:paraId="1FF99AFC" w14:textId="2421E9C7" w:rsidR="00F81AA7" w:rsidRPr="00B148F9" w:rsidRDefault="00F81AA7" w:rsidP="00472C31">
      <w:pPr>
        <w:textAlignment w:val="center"/>
        <w:rPr>
          <w:rFonts w:cstheme="minorHAnsi"/>
          <w:color w:val="000000" w:themeColor="text1"/>
        </w:rPr>
      </w:pPr>
    </w:p>
    <w:p w14:paraId="44124B10" w14:textId="59849C6C" w:rsidR="00F81AA7" w:rsidRPr="00B148F9" w:rsidRDefault="00F81AA7" w:rsidP="00472C31">
      <w:pPr>
        <w:textAlignment w:val="center"/>
        <w:rPr>
          <w:rFonts w:cstheme="minorHAnsi"/>
          <w:color w:val="000000" w:themeColor="text1"/>
        </w:rPr>
      </w:pPr>
    </w:p>
    <w:p w14:paraId="4F71C52F" w14:textId="2335F711" w:rsidR="00F81AA7" w:rsidRPr="00B148F9" w:rsidRDefault="00F81AA7" w:rsidP="00472C31">
      <w:pPr>
        <w:textAlignment w:val="center"/>
        <w:rPr>
          <w:rFonts w:cstheme="minorHAnsi"/>
          <w:color w:val="000000" w:themeColor="text1"/>
        </w:rPr>
      </w:pPr>
    </w:p>
    <w:p w14:paraId="68540524" w14:textId="78E0AEB5" w:rsidR="00F81AA7" w:rsidRPr="00B148F9" w:rsidRDefault="00F81AA7" w:rsidP="00472C31">
      <w:pPr>
        <w:textAlignment w:val="center"/>
        <w:rPr>
          <w:rFonts w:cstheme="minorHAnsi"/>
          <w:color w:val="000000" w:themeColor="text1"/>
        </w:rPr>
      </w:pPr>
    </w:p>
    <w:p w14:paraId="5E9B3E0D" w14:textId="3B2C5B2F" w:rsidR="00F81AA7" w:rsidRPr="00B148F9" w:rsidRDefault="00F81AA7" w:rsidP="00472C31">
      <w:pPr>
        <w:textAlignment w:val="center"/>
        <w:rPr>
          <w:rFonts w:cstheme="minorHAnsi"/>
          <w:color w:val="000000" w:themeColor="text1"/>
        </w:rPr>
      </w:pPr>
    </w:p>
    <w:p w14:paraId="2FB2F1BE" w14:textId="6E691F1B" w:rsidR="00F81AA7" w:rsidRPr="00B148F9" w:rsidRDefault="00F81AA7" w:rsidP="00472C31">
      <w:pPr>
        <w:textAlignment w:val="center"/>
        <w:rPr>
          <w:rFonts w:cstheme="minorHAnsi"/>
          <w:color w:val="000000" w:themeColor="text1"/>
        </w:rPr>
      </w:pPr>
    </w:p>
    <w:p w14:paraId="51DB49B1" w14:textId="6CC2F050" w:rsidR="00F81AA7" w:rsidRPr="00B148F9" w:rsidRDefault="00F81AA7" w:rsidP="00472C31">
      <w:pPr>
        <w:textAlignment w:val="center"/>
        <w:rPr>
          <w:rFonts w:cstheme="minorHAnsi"/>
          <w:color w:val="000000" w:themeColor="text1"/>
        </w:rPr>
      </w:pPr>
    </w:p>
    <w:p w14:paraId="74D90287" w14:textId="77777777" w:rsidR="002A7D91" w:rsidRPr="00B148F9" w:rsidRDefault="002A7D91" w:rsidP="00472C31">
      <w:pPr>
        <w:textAlignment w:val="center"/>
        <w:rPr>
          <w:rFonts w:cstheme="minorHAnsi"/>
        </w:rPr>
      </w:pPr>
    </w:p>
    <w:p w14:paraId="13461B64" w14:textId="5EA836B7" w:rsidR="00472C31" w:rsidRDefault="00472C31" w:rsidP="00472C31">
      <w:pPr>
        <w:rPr>
          <w:rFonts w:cstheme="minorHAnsi"/>
          <w:bCs/>
          <w:i/>
          <w:color w:val="000000" w:themeColor="text1"/>
        </w:rPr>
      </w:pPr>
      <w:r w:rsidRPr="00B148F9">
        <w:rPr>
          <w:rFonts w:cstheme="minorHAnsi"/>
          <w:bCs/>
          <w:i/>
          <w:color w:val="000000" w:themeColor="text1"/>
        </w:rPr>
        <w:t>Figure 1. Portfolio</w:t>
      </w:r>
      <w:r w:rsidR="00E03880" w:rsidRPr="00B148F9">
        <w:rPr>
          <w:rFonts w:cstheme="minorHAnsi"/>
          <w:bCs/>
          <w:i/>
          <w:color w:val="000000" w:themeColor="text1"/>
        </w:rPr>
        <w:t>*</w:t>
      </w:r>
      <w:r w:rsidRPr="00B148F9">
        <w:rPr>
          <w:rFonts w:cstheme="minorHAnsi"/>
          <w:bCs/>
          <w:i/>
          <w:color w:val="000000" w:themeColor="text1"/>
        </w:rPr>
        <w:t xml:space="preserve"> breakdown</w:t>
      </w:r>
      <w:r w:rsidR="00172A4B" w:rsidRPr="00B148F9">
        <w:rPr>
          <w:rFonts w:cstheme="minorHAnsi"/>
          <w:bCs/>
          <w:i/>
          <w:color w:val="000000" w:themeColor="text1"/>
        </w:rPr>
        <w:t>,</w:t>
      </w:r>
      <w:r w:rsidR="00935AC0" w:rsidRPr="00B148F9">
        <w:rPr>
          <w:rFonts w:cstheme="minorHAnsi"/>
          <w:bCs/>
          <w:i/>
          <w:color w:val="000000" w:themeColor="text1"/>
        </w:rPr>
        <w:t xml:space="preserve"> </w:t>
      </w:r>
      <w:r w:rsidRPr="00B148F9">
        <w:rPr>
          <w:rFonts w:cstheme="minorHAnsi"/>
          <w:bCs/>
          <w:i/>
          <w:color w:val="000000" w:themeColor="text1"/>
        </w:rPr>
        <w:t xml:space="preserve">by (A) modality, (B) therapeutic focus, (C) clinical stage and (D) </w:t>
      </w:r>
      <w:r w:rsidR="0009415B" w:rsidRPr="00B148F9">
        <w:rPr>
          <w:rFonts w:cstheme="minorHAnsi"/>
          <w:bCs/>
          <w:i/>
          <w:color w:val="000000" w:themeColor="text1"/>
        </w:rPr>
        <w:t>geography as</w:t>
      </w:r>
      <w:r w:rsidR="006C2513" w:rsidRPr="00B148F9">
        <w:rPr>
          <w:rFonts w:cstheme="minorHAnsi"/>
          <w:bCs/>
          <w:i/>
          <w:color w:val="000000" w:themeColor="text1"/>
        </w:rPr>
        <w:t xml:space="preserve"> at </w:t>
      </w:r>
      <w:r w:rsidR="00CE74BE" w:rsidRPr="00B148F9">
        <w:rPr>
          <w:rFonts w:cstheme="minorHAnsi"/>
          <w:bCs/>
          <w:i/>
          <w:color w:val="000000" w:themeColor="text1"/>
        </w:rPr>
        <w:t xml:space="preserve">31 </w:t>
      </w:r>
      <w:r w:rsidR="006C2513" w:rsidRPr="00B148F9">
        <w:rPr>
          <w:rFonts w:cstheme="minorHAnsi"/>
          <w:bCs/>
          <w:i/>
          <w:color w:val="000000" w:themeColor="text1"/>
        </w:rPr>
        <w:t>Dec</w:t>
      </w:r>
      <w:r w:rsidR="00C903CC" w:rsidRPr="00B148F9">
        <w:rPr>
          <w:rFonts w:cstheme="minorHAnsi"/>
          <w:bCs/>
          <w:i/>
          <w:color w:val="000000" w:themeColor="text1"/>
        </w:rPr>
        <w:t>ember</w:t>
      </w:r>
      <w:r w:rsidR="006C2513" w:rsidRPr="00B148F9">
        <w:rPr>
          <w:rFonts w:cstheme="minorHAnsi"/>
          <w:bCs/>
          <w:i/>
          <w:color w:val="000000" w:themeColor="text1"/>
        </w:rPr>
        <w:t xml:space="preserve"> 2019</w:t>
      </w:r>
    </w:p>
    <w:p w14:paraId="7647FFBE" w14:textId="7B169CB1" w:rsidR="009E4CA7" w:rsidRDefault="009E4CA7" w:rsidP="00472C31">
      <w:pPr>
        <w:rPr>
          <w:rFonts w:cstheme="minorHAnsi"/>
          <w:bCs/>
          <w:i/>
          <w:color w:val="000000" w:themeColor="text1"/>
        </w:rPr>
      </w:pPr>
    </w:p>
    <w:p w14:paraId="2D8634AD" w14:textId="109FACCA" w:rsidR="009E4CA7" w:rsidRDefault="009E4CA7" w:rsidP="00472C31">
      <w:pPr>
        <w:rPr>
          <w:rFonts w:cstheme="minorHAnsi"/>
          <w:bCs/>
          <w:i/>
          <w:color w:val="000000" w:themeColor="text1"/>
        </w:rPr>
      </w:pPr>
    </w:p>
    <w:p w14:paraId="58B46FFD" w14:textId="19AF076E" w:rsidR="009E4CA7" w:rsidRPr="009E4CA7" w:rsidRDefault="009E4CA7" w:rsidP="00472C31">
      <w:pPr>
        <w:rPr>
          <w:rFonts w:cstheme="minorHAnsi"/>
          <w:bCs/>
          <w:color w:val="000000" w:themeColor="text1"/>
        </w:rPr>
      </w:pPr>
      <w:r>
        <w:rPr>
          <w:rFonts w:cstheme="minorHAnsi"/>
          <w:bCs/>
          <w:color w:val="000000" w:themeColor="text1"/>
        </w:rPr>
        <w:t>[chart]</w:t>
      </w:r>
    </w:p>
    <w:p w14:paraId="03959729" w14:textId="54CB2F84" w:rsidR="00472C31" w:rsidRPr="00251CF4" w:rsidRDefault="00472C31" w:rsidP="00472C31">
      <w:pPr>
        <w:rPr>
          <w:rFonts w:cstheme="minorHAnsi"/>
          <w:b/>
          <w:bCs/>
          <w:color w:val="000000" w:themeColor="text1"/>
        </w:rPr>
      </w:pPr>
    </w:p>
    <w:p w14:paraId="2EAE9427" w14:textId="04C872DD" w:rsidR="00E03880" w:rsidRPr="00B148F9" w:rsidRDefault="00E03880" w:rsidP="00472C31">
      <w:pPr>
        <w:rPr>
          <w:rFonts w:cstheme="minorHAnsi"/>
          <w:color w:val="000000" w:themeColor="text1"/>
          <w:sz w:val="16"/>
          <w:szCs w:val="16"/>
        </w:rPr>
      </w:pPr>
      <w:r w:rsidRPr="00B148F9">
        <w:rPr>
          <w:rFonts w:cstheme="minorHAnsi"/>
          <w:color w:val="000000" w:themeColor="text1"/>
          <w:sz w:val="16"/>
          <w:szCs w:val="16"/>
        </w:rPr>
        <w:t>*Including Ji Xing, where applicable</w:t>
      </w:r>
    </w:p>
    <w:p w14:paraId="1CD4AC7B" w14:textId="211A436E" w:rsidR="00472C31" w:rsidRPr="00B148F9" w:rsidRDefault="00E03880" w:rsidP="00472C31">
      <w:pPr>
        <w:rPr>
          <w:rFonts w:cstheme="minorHAnsi"/>
          <w:color w:val="000000" w:themeColor="text1"/>
          <w:sz w:val="16"/>
          <w:szCs w:val="16"/>
        </w:rPr>
      </w:pPr>
      <w:r w:rsidRPr="00B148F9">
        <w:rPr>
          <w:rFonts w:cstheme="minorHAnsi"/>
          <w:color w:val="000000" w:themeColor="text1"/>
          <w:sz w:val="16"/>
          <w:szCs w:val="16"/>
        </w:rPr>
        <w:lastRenderedPageBreak/>
        <w:t>*</w:t>
      </w:r>
      <w:r w:rsidR="00472C31" w:rsidRPr="00B148F9">
        <w:rPr>
          <w:rFonts w:cstheme="minorHAnsi"/>
          <w:color w:val="000000" w:themeColor="text1"/>
          <w:sz w:val="16"/>
          <w:szCs w:val="16"/>
        </w:rPr>
        <w:t>*Genetic medicine includes gene therapy and RNA medicines</w:t>
      </w:r>
    </w:p>
    <w:p w14:paraId="711E88B0" w14:textId="77777777" w:rsidR="002A7D91" w:rsidRPr="00B148F9" w:rsidRDefault="002A7D91" w:rsidP="00472C31">
      <w:pPr>
        <w:textAlignment w:val="center"/>
        <w:rPr>
          <w:rFonts w:cstheme="minorHAnsi"/>
          <w:b/>
          <w:color w:val="000000" w:themeColor="text1"/>
        </w:rPr>
      </w:pPr>
    </w:p>
    <w:p w14:paraId="25E9A115" w14:textId="746A7A7C" w:rsidR="00472C31" w:rsidRPr="00B148F9" w:rsidRDefault="00472C31" w:rsidP="00472C31">
      <w:pPr>
        <w:textAlignment w:val="center"/>
        <w:rPr>
          <w:rFonts w:cstheme="minorHAnsi"/>
          <w:b/>
        </w:rPr>
      </w:pPr>
      <w:r w:rsidRPr="00B148F9">
        <w:rPr>
          <w:rFonts w:cstheme="minorHAnsi"/>
          <w:b/>
          <w:color w:val="000000" w:themeColor="text1"/>
        </w:rPr>
        <w:t>Key cli</w:t>
      </w:r>
      <w:r w:rsidRPr="00B148F9">
        <w:rPr>
          <w:rFonts w:cstheme="minorHAnsi"/>
          <w:b/>
        </w:rPr>
        <w:t>nical updates for Portfolio Companies</w:t>
      </w:r>
      <w:r w:rsidR="00780DC6" w:rsidRPr="00B148F9">
        <w:rPr>
          <w:rFonts w:cstheme="minorHAnsi"/>
          <w:b/>
        </w:rPr>
        <w:t xml:space="preserve"> in the period since IPO</w:t>
      </w:r>
      <w:r w:rsidRPr="00B148F9">
        <w:rPr>
          <w:rFonts w:cstheme="minorHAnsi"/>
          <w:b/>
        </w:rPr>
        <w:t>:</w:t>
      </w:r>
    </w:p>
    <w:p w14:paraId="53E18C45" w14:textId="77777777" w:rsidR="002A7D91" w:rsidRPr="00B148F9" w:rsidRDefault="002A7D91" w:rsidP="00472C31">
      <w:pPr>
        <w:textAlignment w:val="center"/>
        <w:rPr>
          <w:rFonts w:cstheme="minorHAnsi"/>
          <w:b/>
        </w:rPr>
      </w:pPr>
    </w:p>
    <w:p w14:paraId="0ED57787" w14:textId="77777777" w:rsidR="00472C31" w:rsidRPr="00B148F9" w:rsidRDefault="00472C31" w:rsidP="00A94612">
      <w:pPr>
        <w:pStyle w:val="ListParagraph"/>
        <w:numPr>
          <w:ilvl w:val="0"/>
          <w:numId w:val="18"/>
        </w:numPr>
        <w:spacing w:after="160"/>
        <w:contextualSpacing/>
        <w:textAlignment w:val="center"/>
        <w:rPr>
          <w:rFonts w:cstheme="minorHAnsi"/>
        </w:rPr>
      </w:pPr>
      <w:r w:rsidRPr="00B148F9">
        <w:rPr>
          <w:rFonts w:cstheme="minorHAnsi"/>
          <w:b/>
        </w:rPr>
        <w:t>Rocket’s</w:t>
      </w:r>
      <w:r w:rsidRPr="00B148F9">
        <w:rPr>
          <w:rFonts w:cstheme="minorHAnsi"/>
        </w:rPr>
        <w:t xml:space="preserve"> preliminary data demonstrated early evidence of efficacy from its Phase 1/2 clinical trial of RP-L201, a lentiviral vector (LVV)-based gene therapy for the treatment of Leukocyte Adhesion Deficiency-I. Additionally, Rocket reported encouraging preliminary results from its Phase 1 trial of commercial-grade RP-L102 “Process B” for Fanconi Anemia, for which it was granted PRIority MEdicines (PRIME) eligibility from EMA. To be accepted for PRIME, a medicine must show its potential to benefit patients with unmet medical needs based on early clinical data.</w:t>
      </w:r>
    </w:p>
    <w:p w14:paraId="2E5721CD" w14:textId="1B7CC474" w:rsidR="00472C31" w:rsidRPr="00B148F9" w:rsidRDefault="00472C31" w:rsidP="00A94612">
      <w:pPr>
        <w:pStyle w:val="ListParagraph"/>
        <w:numPr>
          <w:ilvl w:val="0"/>
          <w:numId w:val="18"/>
        </w:numPr>
        <w:spacing w:after="160"/>
        <w:contextualSpacing/>
        <w:textAlignment w:val="center"/>
        <w:rPr>
          <w:rFonts w:cstheme="minorHAnsi"/>
        </w:rPr>
      </w:pPr>
      <w:r w:rsidRPr="00B148F9">
        <w:rPr>
          <w:rFonts w:cstheme="minorHAnsi"/>
          <w:b/>
        </w:rPr>
        <w:t xml:space="preserve">Frequency </w:t>
      </w:r>
      <w:r w:rsidRPr="00B148F9">
        <w:rPr>
          <w:rFonts w:cstheme="minorHAnsi"/>
        </w:rPr>
        <w:t>reported that its disease modifying therapy for hearing loss is in Phase 2a development. Phase 1/2 results provided evidence of hearing restoration with a favourable safety profile and was granted FDA Fast Track designation, a process designed to facilitate the development, expedite the review of drugs to treat serious conditions and fill an unmet medical need.</w:t>
      </w:r>
    </w:p>
    <w:p w14:paraId="5FB8924F" w14:textId="4BAF0414" w:rsidR="00472C31" w:rsidRPr="00B148F9" w:rsidRDefault="00472C31" w:rsidP="00A94612">
      <w:pPr>
        <w:pStyle w:val="ListParagraph"/>
        <w:numPr>
          <w:ilvl w:val="0"/>
          <w:numId w:val="18"/>
        </w:numPr>
        <w:spacing w:after="160"/>
        <w:contextualSpacing/>
        <w:textAlignment w:val="center"/>
        <w:rPr>
          <w:rFonts w:cstheme="minorHAnsi"/>
          <w:color w:val="000000" w:themeColor="text1"/>
        </w:rPr>
      </w:pPr>
      <w:r w:rsidRPr="00B148F9">
        <w:rPr>
          <w:rFonts w:cstheme="minorHAnsi"/>
          <w:b/>
          <w:color w:val="000000" w:themeColor="text1"/>
        </w:rPr>
        <w:t>Beta Bionics</w:t>
      </w:r>
      <w:r w:rsidRPr="00B148F9">
        <w:rPr>
          <w:rFonts w:cstheme="minorHAnsi"/>
          <w:color w:val="000000" w:themeColor="text1"/>
        </w:rPr>
        <w:t xml:space="preserve"> received FDA Breakthrough Device Designation for the iLet™ Bionic Pancreas System and announced encouraging results from a pilot study testing the bionic pancreas in cystic fibrosis-related diabetes. Breakthrough Device Designation is </w:t>
      </w:r>
      <w:r w:rsidRPr="00B148F9">
        <w:rPr>
          <w:rFonts w:cstheme="minorHAnsi"/>
        </w:rPr>
        <w:t>a process designed to facilitate the development and expedite the review of the device</w:t>
      </w:r>
      <w:r w:rsidR="00485A2B">
        <w:rPr>
          <w:rFonts w:cstheme="minorHAnsi"/>
        </w:rPr>
        <w:t>s</w:t>
      </w:r>
      <w:r w:rsidRPr="00B148F9">
        <w:rPr>
          <w:rFonts w:cstheme="minorHAnsi"/>
        </w:rPr>
        <w:t xml:space="preserve"> that provide a more effective treatment or diagnosis of life-threatening or irreversibly debilitating human disease</w:t>
      </w:r>
      <w:r w:rsidR="00485A2B">
        <w:rPr>
          <w:rFonts w:cstheme="minorHAnsi"/>
        </w:rPr>
        <w:t>s</w:t>
      </w:r>
      <w:r w:rsidRPr="00B148F9">
        <w:rPr>
          <w:rFonts w:cstheme="minorHAnsi"/>
        </w:rPr>
        <w:t xml:space="preserve"> or conditions.</w:t>
      </w:r>
    </w:p>
    <w:p w14:paraId="46D1BC90" w14:textId="67C5DDB8" w:rsidR="00472C31" w:rsidRPr="00B148F9" w:rsidRDefault="00472C31" w:rsidP="00A94612">
      <w:pPr>
        <w:pStyle w:val="ListParagraph"/>
        <w:numPr>
          <w:ilvl w:val="0"/>
          <w:numId w:val="18"/>
        </w:numPr>
        <w:spacing w:after="160"/>
        <w:contextualSpacing/>
        <w:textAlignment w:val="center"/>
        <w:rPr>
          <w:rFonts w:cstheme="minorHAnsi"/>
        </w:rPr>
      </w:pPr>
      <w:r w:rsidRPr="00B148F9">
        <w:rPr>
          <w:rFonts w:cstheme="minorHAnsi"/>
          <w:b/>
        </w:rPr>
        <w:t>Immunocore</w:t>
      </w:r>
      <w:r w:rsidRPr="00B148F9">
        <w:rPr>
          <w:rFonts w:cstheme="minorHAnsi"/>
        </w:rPr>
        <w:t xml:space="preserve"> dosed its first patient with third ImmTAC® bispecific, the first</w:t>
      </w:r>
      <w:r w:rsidR="00485A2B">
        <w:rPr>
          <w:rFonts w:cstheme="minorHAnsi"/>
        </w:rPr>
        <w:t xml:space="preserve"> </w:t>
      </w:r>
      <w:r w:rsidRPr="00B148F9">
        <w:rPr>
          <w:rFonts w:cstheme="minorHAnsi"/>
        </w:rPr>
        <w:t>in-human clinical trial of IMC-C103 targeting tumours that express the protein MAGE-A4 (Melanoma-Associated Antigen A4) and is being developed in partnership with Genentech, a member of the Roche Group.</w:t>
      </w:r>
    </w:p>
    <w:p w14:paraId="773BAE4F" w14:textId="2E460214" w:rsidR="00472C31" w:rsidRPr="00B148F9" w:rsidRDefault="00472C31" w:rsidP="00A94612">
      <w:pPr>
        <w:pStyle w:val="ListParagraph"/>
        <w:numPr>
          <w:ilvl w:val="0"/>
          <w:numId w:val="17"/>
        </w:numPr>
        <w:spacing w:after="160"/>
        <w:contextualSpacing/>
        <w:textAlignment w:val="center"/>
        <w:rPr>
          <w:rFonts w:cstheme="minorHAnsi"/>
        </w:rPr>
      </w:pPr>
      <w:r w:rsidRPr="00B148F9">
        <w:rPr>
          <w:rFonts w:cstheme="minorHAnsi"/>
          <w:b/>
        </w:rPr>
        <w:t>Orchestra BioMed</w:t>
      </w:r>
      <w:r w:rsidRPr="00B148F9">
        <w:rPr>
          <w:rFonts w:cstheme="minorHAnsi"/>
        </w:rPr>
        <w:t xml:space="preserve"> presented at the Innovation in Cardiovascular Interventions (ICI) meeting in Tel Aviv, Israel, on the Virtue® Sirolimus-Eluting Balloon, which has Breakthrough Device Designation from the FDA for the treatment of below-the-knee disease and coronary in-stent restenosis, and on BackBeat™ Cardiac Neuromodulation Therapy, for which</w:t>
      </w:r>
      <w:r w:rsidR="00485A2B">
        <w:rPr>
          <w:rFonts w:cstheme="minorHAnsi"/>
        </w:rPr>
        <w:t xml:space="preserve"> it</w:t>
      </w:r>
      <w:r w:rsidRPr="00B148F9">
        <w:rPr>
          <w:rFonts w:cstheme="minorHAnsi"/>
        </w:rPr>
        <w:t xml:space="preserve"> recently presented double-blind, randomized clinical results that demonstrated a statistically significant reduction of 24-hour ambulatory systolic blood pressure.</w:t>
      </w:r>
    </w:p>
    <w:p w14:paraId="479B1046" w14:textId="77777777" w:rsidR="00472C31" w:rsidRPr="00B148F9" w:rsidRDefault="00472C31" w:rsidP="00472C31">
      <w:pPr>
        <w:textAlignment w:val="center"/>
        <w:rPr>
          <w:rFonts w:cstheme="minorHAnsi"/>
        </w:rPr>
      </w:pPr>
    </w:p>
    <w:p w14:paraId="22CC25C6" w14:textId="25C8D127" w:rsidR="00472C31" w:rsidRPr="00B148F9" w:rsidRDefault="00472C31" w:rsidP="00472C31">
      <w:pPr>
        <w:textAlignment w:val="center"/>
        <w:rPr>
          <w:rFonts w:cstheme="minorHAnsi"/>
          <w:b/>
        </w:rPr>
      </w:pPr>
      <w:r w:rsidRPr="00B148F9">
        <w:rPr>
          <w:rFonts w:cstheme="minorHAnsi"/>
          <w:b/>
        </w:rPr>
        <w:t>Outlook on 2020</w:t>
      </w:r>
    </w:p>
    <w:p w14:paraId="240C9C29" w14:textId="77777777" w:rsidR="002A7D91" w:rsidRPr="00B148F9" w:rsidRDefault="002A7D91" w:rsidP="00472C31">
      <w:pPr>
        <w:textAlignment w:val="center"/>
        <w:rPr>
          <w:rFonts w:cstheme="minorHAnsi"/>
          <w:b/>
        </w:rPr>
      </w:pPr>
    </w:p>
    <w:p w14:paraId="0CD1D654" w14:textId="54252313" w:rsidR="00472C31" w:rsidRPr="00B148F9" w:rsidRDefault="00472C31" w:rsidP="00472C31">
      <w:pPr>
        <w:rPr>
          <w:rFonts w:cstheme="minorHAnsi"/>
        </w:rPr>
      </w:pPr>
      <w:r w:rsidRPr="00B148F9">
        <w:rPr>
          <w:rFonts w:cstheme="minorHAnsi"/>
        </w:rPr>
        <w:t xml:space="preserve">We are ardent believers that true value from transformative products takes time, and in order to capture that value, it is critical to be involved and invested in such companies throughout the various seasons of their development and ultimately distribution to patients. Scientific development does not follow a linear path and nor do we, which is why we are always thinking about the optimal way to support a company, </w:t>
      </w:r>
      <w:r w:rsidR="00485A2B">
        <w:rPr>
          <w:rFonts w:cstheme="minorHAnsi"/>
        </w:rPr>
        <w:t xml:space="preserve">whether that </w:t>
      </w:r>
      <w:r w:rsidRPr="00B148F9">
        <w:rPr>
          <w:rFonts w:cstheme="minorHAnsi"/>
        </w:rPr>
        <w:t xml:space="preserve">may be through providing growth capital, capital markets expertise, or guidance through investing our time and sharing our collective experience as directors and stewards of tomorrow’s most exciting and disruptive companies. </w:t>
      </w:r>
    </w:p>
    <w:p w14:paraId="584281FB" w14:textId="77777777" w:rsidR="002A7D91" w:rsidRPr="00B148F9" w:rsidRDefault="002A7D91" w:rsidP="00472C31">
      <w:pPr>
        <w:rPr>
          <w:rFonts w:cstheme="minorHAnsi"/>
        </w:rPr>
      </w:pPr>
    </w:p>
    <w:p w14:paraId="69180D3C" w14:textId="66B38868" w:rsidR="00472C31" w:rsidRPr="00B148F9" w:rsidRDefault="00472C31" w:rsidP="00472C31">
      <w:pPr>
        <w:rPr>
          <w:rFonts w:cstheme="minorHAnsi"/>
        </w:rPr>
      </w:pPr>
      <w:r w:rsidRPr="00B148F9">
        <w:rPr>
          <w:rFonts w:cstheme="minorHAnsi"/>
        </w:rPr>
        <w:t xml:space="preserve">As we look ahead to </w:t>
      </w:r>
      <w:r w:rsidR="006279CE" w:rsidRPr="00B148F9">
        <w:rPr>
          <w:rFonts w:cstheme="minorHAnsi"/>
        </w:rPr>
        <w:t xml:space="preserve">the rest of </w:t>
      </w:r>
      <w:r w:rsidRPr="00B148F9">
        <w:rPr>
          <w:rFonts w:cstheme="minorHAnsi"/>
        </w:rPr>
        <w:t>2020, based on the breadth of opportunities we have been seeing and continue to see, we expect our efforts will translate into new capital commitments. Primary areas of focus remain in the genetic medicines space (including gene therapy and RNA medicines), small molecule, antibody and next generation antibody therapies, rare diseases, oncology, and medical technologies. We are excited by advancements we are witnessing in eye diseases, brain disorders, liver</w:t>
      </w:r>
      <w:r w:rsidR="00485A2B">
        <w:rPr>
          <w:rFonts w:cstheme="minorHAnsi"/>
        </w:rPr>
        <w:t xml:space="preserve"> diseases</w:t>
      </w:r>
      <w:r w:rsidRPr="00B148F9">
        <w:rPr>
          <w:rFonts w:cstheme="minorHAnsi"/>
        </w:rPr>
        <w:t xml:space="preserve">, muscular dystrophies, and </w:t>
      </w:r>
      <w:r w:rsidR="00C331EF" w:rsidRPr="00B148F9">
        <w:rPr>
          <w:rFonts w:cstheme="minorHAnsi"/>
        </w:rPr>
        <w:t>c</w:t>
      </w:r>
      <w:r w:rsidRPr="00B148F9">
        <w:rPr>
          <w:rFonts w:cstheme="minorHAnsi"/>
        </w:rPr>
        <w:t xml:space="preserve">ardiovascular and </w:t>
      </w:r>
      <w:r w:rsidR="00C331EF" w:rsidRPr="00B148F9">
        <w:rPr>
          <w:rFonts w:cstheme="minorHAnsi"/>
        </w:rPr>
        <w:t>p</w:t>
      </w:r>
      <w:r w:rsidRPr="00B148F9">
        <w:rPr>
          <w:rFonts w:cstheme="minorHAnsi"/>
        </w:rPr>
        <w:t xml:space="preserve">ulmonary diseases. </w:t>
      </w:r>
    </w:p>
    <w:p w14:paraId="4A1046C3" w14:textId="77777777" w:rsidR="002A7D91" w:rsidRPr="00B148F9" w:rsidRDefault="002A7D91" w:rsidP="00472C31">
      <w:pPr>
        <w:rPr>
          <w:rFonts w:cstheme="minorHAnsi"/>
        </w:rPr>
      </w:pPr>
    </w:p>
    <w:p w14:paraId="5AC0A3E4" w14:textId="2E813BE9" w:rsidR="00472C31" w:rsidRPr="00B148F9" w:rsidRDefault="00472C31" w:rsidP="00472C31">
      <w:pPr>
        <w:rPr>
          <w:rFonts w:cstheme="minorHAnsi"/>
        </w:rPr>
      </w:pPr>
      <w:r w:rsidRPr="00B148F9">
        <w:rPr>
          <w:rFonts w:cstheme="minorHAnsi"/>
        </w:rPr>
        <w:t xml:space="preserve">We have always emphasized the important point that exciting innovation is taking place globally. We are as keen on exploring scientific programs coming out of the UK and Europe as we are for those discovered and developed in US labs. We intend to continue to build inroads and have been actively cultivating deeper relationships in the UK. We also see emerging opportunities in China and anticipate spending more time exploring the region. </w:t>
      </w:r>
    </w:p>
    <w:p w14:paraId="2EE422DA" w14:textId="77777777" w:rsidR="002A7D91" w:rsidRPr="00B148F9" w:rsidRDefault="002A7D91" w:rsidP="00472C31">
      <w:pPr>
        <w:rPr>
          <w:rFonts w:cstheme="minorHAnsi"/>
        </w:rPr>
      </w:pPr>
    </w:p>
    <w:p w14:paraId="2B5C4DA7" w14:textId="1084FA17" w:rsidR="00472C31" w:rsidRPr="00B148F9" w:rsidRDefault="00472C31" w:rsidP="00472C31">
      <w:pPr>
        <w:rPr>
          <w:rFonts w:cstheme="minorHAnsi"/>
        </w:rPr>
      </w:pPr>
      <w:r w:rsidRPr="00B148F9">
        <w:rPr>
          <w:rFonts w:cstheme="minorHAnsi"/>
        </w:rPr>
        <w:t>We expect to deploy the remaining capital on our balance sheet within 18-24 months, in line with guidance we have provided since the IPO.  We expect the split to remain close to eighty per cent. biopharmaceutical assets and twenty per cent</w:t>
      </w:r>
      <w:r w:rsidR="00485A2B">
        <w:rPr>
          <w:rFonts w:cstheme="minorHAnsi"/>
        </w:rPr>
        <w:t>.</w:t>
      </w:r>
      <w:r w:rsidRPr="00B148F9">
        <w:rPr>
          <w:rFonts w:cstheme="minorHAnsi"/>
        </w:rPr>
        <w:t xml:space="preserve"> across medical technology assets. </w:t>
      </w:r>
      <w:r w:rsidRPr="00B148F9">
        <w:rPr>
          <w:rFonts w:cstheme="minorHAnsi"/>
        </w:rPr>
        <w:lastRenderedPageBreak/>
        <w:t xml:space="preserve">Also, in line with prior guidance, we anticipate two-thirds of the investments will be made in mid to later stage venture companies and one-third of the investments focused on active company building around the discovery and development or licensing and distribution of promising assets. </w:t>
      </w:r>
    </w:p>
    <w:p w14:paraId="0F1BC1C2" w14:textId="77777777" w:rsidR="00472C31" w:rsidRPr="00B148F9" w:rsidRDefault="00472C31" w:rsidP="00472C31">
      <w:pPr>
        <w:rPr>
          <w:rFonts w:cstheme="minorHAnsi"/>
          <w:b/>
          <w:u w:val="single"/>
        </w:rPr>
      </w:pPr>
    </w:p>
    <w:p w14:paraId="36E4EAE5" w14:textId="1711CD34" w:rsidR="00472C31" w:rsidRPr="00B148F9" w:rsidRDefault="00472C31" w:rsidP="00472C31">
      <w:pPr>
        <w:rPr>
          <w:rFonts w:cstheme="minorHAnsi"/>
          <w:b/>
        </w:rPr>
      </w:pPr>
      <w:r w:rsidRPr="00B148F9">
        <w:rPr>
          <w:rFonts w:cstheme="minorHAnsi"/>
          <w:b/>
        </w:rPr>
        <w:t>Sector review</w:t>
      </w:r>
    </w:p>
    <w:p w14:paraId="20F9FAAA" w14:textId="77777777" w:rsidR="002A7D91" w:rsidRPr="00B148F9" w:rsidRDefault="002A7D91" w:rsidP="00472C31">
      <w:pPr>
        <w:rPr>
          <w:rFonts w:cstheme="minorHAnsi"/>
          <w:b/>
        </w:rPr>
      </w:pPr>
    </w:p>
    <w:p w14:paraId="07142E9C" w14:textId="3151ABE2" w:rsidR="00472C31" w:rsidRPr="00B148F9" w:rsidRDefault="00472C31" w:rsidP="00472C31">
      <w:pPr>
        <w:rPr>
          <w:rFonts w:cstheme="minorHAnsi"/>
          <w:i/>
        </w:rPr>
      </w:pPr>
      <w:r w:rsidRPr="00B148F9">
        <w:rPr>
          <w:rFonts w:cstheme="minorHAnsi"/>
          <w:i/>
        </w:rPr>
        <w:t>There are opportunities for value creation as the global life sciences market experiences rapid growth as a result of technological and scientific advances.</w:t>
      </w:r>
    </w:p>
    <w:p w14:paraId="253BBA3F" w14:textId="77777777" w:rsidR="002A7D91" w:rsidRPr="00B148F9" w:rsidRDefault="002A7D91" w:rsidP="00472C31">
      <w:pPr>
        <w:rPr>
          <w:rFonts w:cstheme="minorHAnsi"/>
          <w:i/>
        </w:rPr>
      </w:pPr>
    </w:p>
    <w:p w14:paraId="2C4CBADD" w14:textId="797B57D9" w:rsidR="00472C31" w:rsidRPr="00B148F9" w:rsidRDefault="00472C31" w:rsidP="00472C31">
      <w:pPr>
        <w:rPr>
          <w:rFonts w:cstheme="minorHAnsi"/>
        </w:rPr>
      </w:pPr>
      <w:r w:rsidRPr="00B148F9">
        <w:rPr>
          <w:rFonts w:cstheme="minorHAnsi"/>
        </w:rPr>
        <w:t xml:space="preserve">The life sciences sector is currently experiencing a period of rapid growth, which is expected to continue. The global biotech market is expected to grow with a compound annual growth rate, or CAGR, of between 8.1 per cent. and 10.5 per cent. from 2017 to 2025 (Global Information, Inc. and Research and Markets). </w:t>
      </w:r>
    </w:p>
    <w:p w14:paraId="0BE623C9" w14:textId="77777777" w:rsidR="002A7D91" w:rsidRPr="00B148F9" w:rsidRDefault="002A7D91" w:rsidP="00472C31">
      <w:pPr>
        <w:rPr>
          <w:rFonts w:cstheme="minorHAnsi"/>
        </w:rPr>
      </w:pPr>
    </w:p>
    <w:p w14:paraId="16A97FDD" w14:textId="02ABE4EC" w:rsidR="00472C31" w:rsidRPr="00B148F9" w:rsidRDefault="00472C31" w:rsidP="00472C31">
      <w:pPr>
        <w:rPr>
          <w:rFonts w:cstheme="minorHAnsi"/>
        </w:rPr>
      </w:pPr>
      <w:r w:rsidRPr="00B148F9">
        <w:rPr>
          <w:rFonts w:cstheme="minorHAnsi"/>
        </w:rPr>
        <w:t>At the beginning of 2013, there were five publicly traded gene therapy companies with a total market capitalization of approximately US$1.1 billion, while at the end of 2019 there were 30 publicly traded gene therapy companies with a total market capitalization of approximately US$52 billion, which includes the amount paid by Novartis to acquire AveXis (Capital IQ). During the same six-year period, the number of publicly-traded RNA medicine companies grew from eight companies with a total capitalization of approximately US$3.8 billion to 21 companies with a total market capitalization of approximately US$65 billion</w:t>
      </w:r>
      <w:r w:rsidR="00E03880" w:rsidRPr="00B148F9">
        <w:rPr>
          <w:rFonts w:cstheme="minorHAnsi"/>
        </w:rPr>
        <w:t>,</w:t>
      </w:r>
      <w:r w:rsidRPr="00B148F9">
        <w:rPr>
          <w:rFonts w:cstheme="minorHAnsi"/>
        </w:rPr>
        <w:t xml:space="preserve"> which includes the amount paid by Novartis to acquire The Medicine</w:t>
      </w:r>
      <w:r w:rsidR="00C76BFB" w:rsidRPr="00B148F9">
        <w:rPr>
          <w:rFonts w:cstheme="minorHAnsi"/>
        </w:rPr>
        <w:t>s</w:t>
      </w:r>
      <w:r w:rsidRPr="00B148F9">
        <w:rPr>
          <w:rFonts w:cstheme="minorHAnsi"/>
        </w:rPr>
        <w:t xml:space="preserve"> Company (Capital IQ). </w:t>
      </w:r>
    </w:p>
    <w:p w14:paraId="50962760" w14:textId="77777777" w:rsidR="002A7D91" w:rsidRPr="00B148F9" w:rsidRDefault="002A7D91" w:rsidP="00472C31">
      <w:pPr>
        <w:rPr>
          <w:rFonts w:cstheme="minorHAnsi"/>
        </w:rPr>
      </w:pPr>
    </w:p>
    <w:p w14:paraId="7F9AF103" w14:textId="76CD99EF" w:rsidR="00472C31" w:rsidRPr="00B148F9" w:rsidRDefault="00472C31" w:rsidP="00472C31">
      <w:pPr>
        <w:rPr>
          <w:rFonts w:cstheme="minorHAnsi"/>
        </w:rPr>
      </w:pPr>
      <w:r w:rsidRPr="00B148F9">
        <w:rPr>
          <w:rFonts w:cstheme="minorHAnsi"/>
        </w:rPr>
        <w:t xml:space="preserve">This growth is fuelled by technological and scientific advances, which are generating disruptive therapeutic alternatives and creating new efficiencies. Validated new therapeutic modalities, such as those derived from DNA (deoxyribonucleic acid) and RNA (ribonucleic acid) science can now effectively generate therapies for patients with a broad range of disease types, creating companies with highly efficient development engines. Although genetically-validated targets can sometimes be addressed by traditional approaches (such as small molecules and antibodies), in specific tissues the speed and ease in which DNA and RNA based medicines can be developed has increased the pace of drug discovery. Gene therapies also carry the potential for a one-time curative treatment, especially impactful across hundreds, if not thousands of paediatric diseases. RNA medicines are also potentially disruptive using infrequent injections resulting in superior disease management and significant, if not total, reduction in disease progression. </w:t>
      </w:r>
    </w:p>
    <w:p w14:paraId="48976FEB" w14:textId="77777777" w:rsidR="002A7D91" w:rsidRPr="00B148F9" w:rsidRDefault="002A7D91" w:rsidP="00472C31">
      <w:pPr>
        <w:rPr>
          <w:rFonts w:cstheme="minorHAnsi"/>
        </w:rPr>
      </w:pPr>
    </w:p>
    <w:p w14:paraId="761CF4FA" w14:textId="4A391167" w:rsidR="00472C31" w:rsidRPr="00B148F9" w:rsidRDefault="00472C31" w:rsidP="00472C31">
      <w:pPr>
        <w:rPr>
          <w:rFonts w:cstheme="minorHAnsi"/>
        </w:rPr>
      </w:pPr>
      <w:r w:rsidRPr="00B148F9">
        <w:rPr>
          <w:rFonts w:cstheme="minorHAnsi"/>
        </w:rPr>
        <w:t xml:space="preserve">The environment for innovation is supported by several factors, including: </w:t>
      </w:r>
    </w:p>
    <w:p w14:paraId="0A5D82B3" w14:textId="77777777" w:rsidR="002A7D91" w:rsidRPr="00B148F9" w:rsidRDefault="002A7D91" w:rsidP="00472C31">
      <w:pPr>
        <w:rPr>
          <w:rFonts w:cstheme="minorHAnsi"/>
        </w:rPr>
      </w:pPr>
    </w:p>
    <w:p w14:paraId="4FEF0272" w14:textId="77777777" w:rsidR="00472C31" w:rsidRPr="00B148F9" w:rsidRDefault="00472C31" w:rsidP="00A94612">
      <w:pPr>
        <w:pStyle w:val="ListParagraph"/>
        <w:numPr>
          <w:ilvl w:val="0"/>
          <w:numId w:val="17"/>
        </w:numPr>
        <w:spacing w:after="160" w:line="259" w:lineRule="auto"/>
        <w:contextualSpacing/>
        <w:rPr>
          <w:rFonts w:cstheme="minorHAnsi"/>
        </w:rPr>
      </w:pPr>
      <w:r w:rsidRPr="00B148F9">
        <w:rPr>
          <w:rFonts w:cstheme="minorHAnsi"/>
        </w:rPr>
        <w:t xml:space="preserve">The development of inexpensive human genome sequencing (from US$3 billion in 2001 to below US$1,000 in 2019) is revolutionizing the discovery process and producing validated drug targets at an unprecedented rate (National Human Genome Research Institute). </w:t>
      </w:r>
    </w:p>
    <w:p w14:paraId="1F3DB159" w14:textId="77777777" w:rsidR="00472C31" w:rsidRPr="00B148F9" w:rsidRDefault="00472C31" w:rsidP="00A94612">
      <w:pPr>
        <w:pStyle w:val="ListParagraph"/>
        <w:numPr>
          <w:ilvl w:val="0"/>
          <w:numId w:val="17"/>
        </w:numPr>
        <w:spacing w:after="160" w:line="259" w:lineRule="auto"/>
        <w:contextualSpacing/>
        <w:rPr>
          <w:rFonts w:cstheme="minorHAnsi"/>
        </w:rPr>
      </w:pPr>
      <w:r w:rsidRPr="00B148F9">
        <w:rPr>
          <w:rFonts w:cstheme="minorHAnsi"/>
        </w:rPr>
        <w:t>By January 2019, the FDA reported a surge in investigational new drug (“IND”) applications for cell and gene therapy products. They reported there were currently more than 800 such applications on file, and that they anticipate that they will be receiving more than 200 IND applications annually. Further, the FDA predicted that based on these stated numbers, it could potentially approve ten to twenty cell and gene therapy products per year by 2025, representing fifteen to thirty per cent of all new drug approvals. We expect this trend to continue, and for genetically targeted therapies to become a substantial if not majority of new therapies over the next decade.</w:t>
      </w:r>
    </w:p>
    <w:p w14:paraId="1CC96652" w14:textId="778B4343" w:rsidR="00472C31" w:rsidRPr="00B148F9" w:rsidRDefault="00472C31" w:rsidP="00A94612">
      <w:pPr>
        <w:pStyle w:val="ListParagraph"/>
        <w:numPr>
          <w:ilvl w:val="0"/>
          <w:numId w:val="17"/>
        </w:numPr>
        <w:spacing w:after="160" w:line="259" w:lineRule="auto"/>
        <w:contextualSpacing/>
        <w:rPr>
          <w:rFonts w:cstheme="minorHAnsi"/>
        </w:rPr>
      </w:pPr>
      <w:r w:rsidRPr="00B148F9">
        <w:rPr>
          <w:rFonts w:cstheme="minorHAnsi"/>
        </w:rPr>
        <w:t xml:space="preserve">A supportive regulatory environment allows pipelines to advance faster. In 2019, the FDA approved 48 new drugs, while down from </w:t>
      </w:r>
      <w:r w:rsidR="00C331EF" w:rsidRPr="00B148F9">
        <w:rPr>
          <w:rFonts w:cstheme="minorHAnsi"/>
        </w:rPr>
        <w:t xml:space="preserve">its </w:t>
      </w:r>
      <w:r w:rsidRPr="00B148F9">
        <w:rPr>
          <w:rFonts w:cstheme="minorHAnsi"/>
        </w:rPr>
        <w:t xml:space="preserve">2018 record of 59, it ranked third in the last 25 years, with nineteen per cent (n=9) of the approved drugs being genetically targeted. The FDA has been working to improve and streamline the way products are reviewed and introduce flexibility in the way they look at datasets. </w:t>
      </w:r>
    </w:p>
    <w:p w14:paraId="75671A19" w14:textId="77777777" w:rsidR="00472C31" w:rsidRPr="00B148F9" w:rsidRDefault="00472C31" w:rsidP="00A94612">
      <w:pPr>
        <w:pStyle w:val="ListParagraph"/>
        <w:numPr>
          <w:ilvl w:val="0"/>
          <w:numId w:val="17"/>
        </w:numPr>
        <w:spacing w:after="160" w:line="259" w:lineRule="auto"/>
        <w:contextualSpacing/>
        <w:rPr>
          <w:rFonts w:cstheme="minorHAnsi"/>
        </w:rPr>
      </w:pPr>
      <w:r w:rsidRPr="00B148F9">
        <w:rPr>
          <w:rFonts w:cstheme="minorHAnsi"/>
        </w:rPr>
        <w:t xml:space="preserve">While the United States leads the way in healthcare innovation, regulatory bodies across the UK, Europe, Japan, and recently China are also enabling accelerated review programs resulting in faster approvals for therapies for conditions with unmet needs. Companies that own technology early are expected to dominate in the long </w:t>
      </w:r>
      <w:r w:rsidRPr="00B148F9">
        <w:rPr>
          <w:rFonts w:cstheme="minorHAnsi"/>
        </w:rPr>
        <w:lastRenderedPageBreak/>
        <w:t>term, creating the opportunity to offer sizeable risk-adjusted returns to shareholders by building and investing with a long term lens. We believe gene therapy and RNA medicines companies will benefit from capitalization, proactive skilled management, and supportive and sustainable governance practices. Recent M&amp;A activity supports this thesis as large pharmaceutical companies have turned their attention to acquiring early-stage biotech companies at significant deal premiums (&gt;60 per cent. 1-day premium in the majority of transactions). Novartis’ acquisition of AveXis, Eli Lilly’s acquisition of Loxo Oncology, Roche’s acquisition of Spark Therapeutics, and Astellas’ acquisition of Audentes are a few recent examples. The trend is expected to continue as technologies become optimized and regulatory/commercial models take shape.</w:t>
      </w:r>
    </w:p>
    <w:p w14:paraId="0F6127C6" w14:textId="77777777" w:rsidR="00472C31" w:rsidRPr="00B148F9" w:rsidRDefault="00472C31" w:rsidP="00472C31">
      <w:pPr>
        <w:rPr>
          <w:rFonts w:cstheme="minorHAnsi"/>
          <w:b/>
          <w:bCs/>
        </w:rPr>
      </w:pPr>
    </w:p>
    <w:p w14:paraId="1D3F7F9E" w14:textId="28BA5F70" w:rsidR="00472C31" w:rsidRPr="00B148F9" w:rsidRDefault="00472C31" w:rsidP="00472C31">
      <w:pPr>
        <w:textAlignment w:val="center"/>
        <w:rPr>
          <w:rFonts w:cstheme="minorHAnsi"/>
        </w:rPr>
      </w:pPr>
      <w:r w:rsidRPr="00B148F9">
        <w:rPr>
          <w:rFonts w:cstheme="minorHAnsi"/>
        </w:rPr>
        <w:t>We continue to expect genetically targeted therapies to become</w:t>
      </w:r>
      <w:r w:rsidR="00C331EF" w:rsidRPr="00B148F9">
        <w:rPr>
          <w:rFonts w:cstheme="minorHAnsi"/>
        </w:rPr>
        <w:t xml:space="preserve"> a significant proportion if not</w:t>
      </w:r>
      <w:r w:rsidRPr="00B148F9">
        <w:rPr>
          <w:rFonts w:cstheme="minorHAnsi"/>
        </w:rPr>
        <w:t xml:space="preserve"> the majority of new therapies over the next decade and are excited to see trends in the data starting to reflect the promise of this new era of medicine.  </w:t>
      </w:r>
    </w:p>
    <w:p w14:paraId="280F9C14" w14:textId="77777777" w:rsidR="00472C31" w:rsidRPr="00B148F9" w:rsidRDefault="00472C31" w:rsidP="00472C31">
      <w:pPr>
        <w:rPr>
          <w:rFonts w:cstheme="minorHAnsi"/>
          <w:b/>
          <w:bCs/>
        </w:rPr>
      </w:pPr>
    </w:p>
    <w:p w14:paraId="79E37045" w14:textId="77777777" w:rsidR="00472C31" w:rsidRPr="00B148F9" w:rsidRDefault="00472C31" w:rsidP="00472C31">
      <w:pPr>
        <w:rPr>
          <w:rFonts w:cstheme="minorHAnsi"/>
          <w:b/>
          <w:bCs/>
        </w:rPr>
      </w:pPr>
      <w:r w:rsidRPr="00B148F9">
        <w:rPr>
          <w:rFonts w:cstheme="minorHAnsi"/>
          <w:b/>
          <w:bCs/>
        </w:rPr>
        <w:t>Market and political environment</w:t>
      </w:r>
    </w:p>
    <w:p w14:paraId="27D91DA2" w14:textId="77777777" w:rsidR="002F0D45" w:rsidRPr="00B148F9" w:rsidRDefault="002F0D45" w:rsidP="002F0D45">
      <w:pPr>
        <w:rPr>
          <w:rFonts w:cstheme="minorHAnsi"/>
        </w:rPr>
      </w:pPr>
    </w:p>
    <w:p w14:paraId="1E0ABF0E" w14:textId="3742F93B" w:rsidR="002F0D45" w:rsidRPr="00B148F9" w:rsidRDefault="002F0D45" w:rsidP="002F0D45">
      <w:pPr>
        <w:rPr>
          <w:bCs/>
        </w:rPr>
      </w:pPr>
      <w:r w:rsidRPr="00B148F9">
        <w:rPr>
          <w:rFonts w:cstheme="minorHAnsi"/>
        </w:rPr>
        <w:t xml:space="preserve">In the post-reporting period, the COVID-19 outbreak dominated the news as it was declared a pandemic by the World Health Organisation and created turmoil in the global markets. The full extent of impact on Gross Domestic Product is yet to be seen but we continue to expect volatility in the markets until </w:t>
      </w:r>
      <w:r w:rsidR="007979DB" w:rsidRPr="00B148F9">
        <w:rPr>
          <w:rFonts w:cstheme="minorHAnsi"/>
        </w:rPr>
        <w:t xml:space="preserve">a path to successful suppression of the virus and </w:t>
      </w:r>
      <w:r w:rsidRPr="00B148F9">
        <w:rPr>
          <w:rFonts w:cstheme="minorHAnsi"/>
        </w:rPr>
        <w:t>economic stimulus packages take effect. However, we remain confident in the portfolio fundamentals; our portfolio companies are well capitalized and have enough cash reserves to fund their efforts well past 2020. We expect some minor delays in clinical trials and modest sales impacts from disruptions in sales forces and physician visits. Once the acute phase of the outbreak passes, we are hopeful the vast majority of medical care should resume normal operations. That said, we expect to grow the Company and will remain a reliable partner to innovative LifeSci companies by executing on our investment strategy in 2020</w:t>
      </w:r>
      <w:r w:rsidR="006374A4" w:rsidRPr="00B148F9">
        <w:rPr>
          <w:rFonts w:cstheme="minorHAnsi"/>
        </w:rPr>
        <w:t xml:space="preserve"> and beyond</w:t>
      </w:r>
      <w:r w:rsidRPr="00B148F9">
        <w:rPr>
          <w:rFonts w:cstheme="minorHAnsi"/>
        </w:rPr>
        <w:t>.</w:t>
      </w:r>
    </w:p>
    <w:p w14:paraId="2557126F" w14:textId="77777777" w:rsidR="00472C31" w:rsidRPr="00B148F9" w:rsidRDefault="00472C31" w:rsidP="00617322">
      <w:pPr>
        <w:rPr>
          <w:rFonts w:cstheme="minorHAnsi"/>
        </w:rPr>
      </w:pPr>
    </w:p>
    <w:p w14:paraId="5DC16767" w14:textId="78D53A56" w:rsidR="00C67FE3" w:rsidRPr="00B148F9" w:rsidRDefault="00187A56" w:rsidP="00472C31">
      <w:pPr>
        <w:textAlignment w:val="center"/>
        <w:rPr>
          <w:rFonts w:cstheme="minorHAnsi"/>
        </w:rPr>
      </w:pPr>
      <w:r w:rsidRPr="00B148F9">
        <w:rPr>
          <w:rFonts w:cstheme="minorHAnsi"/>
        </w:rPr>
        <w:t xml:space="preserve">The healthcare debate during the </w:t>
      </w:r>
      <w:r w:rsidR="00DA63CF" w:rsidRPr="00B148F9">
        <w:rPr>
          <w:rFonts w:cstheme="minorHAnsi"/>
        </w:rPr>
        <w:t xml:space="preserve">US </w:t>
      </w:r>
      <w:r w:rsidRPr="00B148F9">
        <w:rPr>
          <w:rFonts w:cstheme="minorHAnsi"/>
        </w:rPr>
        <w:t xml:space="preserve">democratic primaries focused on re-testing Americans’ interest in a single payer system and did not succeed in developing the concept into a mainstay of the democratic platform. With Joe Biden as the nominee, it remains likely the American system will retain its blend of public and private insurance even under an administration change. </w:t>
      </w:r>
      <w:r w:rsidR="007979DB" w:rsidRPr="00B148F9">
        <w:rPr>
          <w:rFonts w:cstheme="minorHAnsi"/>
        </w:rPr>
        <w:t>We are also interested to see how t</w:t>
      </w:r>
      <w:r w:rsidRPr="00B148F9">
        <w:rPr>
          <w:rFonts w:cstheme="minorHAnsi"/>
        </w:rPr>
        <w:t xml:space="preserve">he pandemic </w:t>
      </w:r>
      <w:r w:rsidR="007979DB" w:rsidRPr="00B148F9">
        <w:rPr>
          <w:rFonts w:cstheme="minorHAnsi"/>
        </w:rPr>
        <w:t>may shift</w:t>
      </w:r>
      <w:r w:rsidRPr="00B148F9">
        <w:rPr>
          <w:rFonts w:cstheme="minorHAnsi"/>
        </w:rPr>
        <w:t xml:space="preserve"> the discourse, </w:t>
      </w:r>
      <w:r w:rsidR="007979DB" w:rsidRPr="00B148F9">
        <w:rPr>
          <w:rFonts w:cstheme="minorHAnsi"/>
        </w:rPr>
        <w:t xml:space="preserve">specifically public perception of drug development, </w:t>
      </w:r>
      <w:r w:rsidRPr="00B148F9">
        <w:rPr>
          <w:rFonts w:cstheme="minorHAnsi"/>
        </w:rPr>
        <w:t xml:space="preserve">and </w:t>
      </w:r>
      <w:r w:rsidR="007979DB" w:rsidRPr="00B148F9">
        <w:rPr>
          <w:rFonts w:cstheme="minorHAnsi"/>
        </w:rPr>
        <w:t>whether</w:t>
      </w:r>
      <w:r w:rsidRPr="00B148F9">
        <w:rPr>
          <w:rFonts w:cstheme="minorHAnsi"/>
        </w:rPr>
        <w:t xml:space="preserve"> drug pricing </w:t>
      </w:r>
      <w:r w:rsidR="007979DB" w:rsidRPr="00B148F9">
        <w:rPr>
          <w:rFonts w:cstheme="minorHAnsi"/>
        </w:rPr>
        <w:t>will</w:t>
      </w:r>
      <w:r w:rsidRPr="00B148F9">
        <w:rPr>
          <w:rFonts w:cstheme="minorHAnsi"/>
        </w:rPr>
        <w:t xml:space="preserve"> remain a central issue. The COVID-19 crisis has exposed </w:t>
      </w:r>
      <w:r w:rsidR="007979DB" w:rsidRPr="00B148F9">
        <w:rPr>
          <w:rFonts w:cstheme="minorHAnsi"/>
        </w:rPr>
        <w:t>coordination weaknesses</w:t>
      </w:r>
      <w:r w:rsidRPr="00B148F9">
        <w:rPr>
          <w:rFonts w:cstheme="minorHAnsi"/>
        </w:rPr>
        <w:t xml:space="preserve"> and the overall preparedness of the United States</w:t>
      </w:r>
      <w:r w:rsidR="007979DB" w:rsidRPr="00B148F9">
        <w:rPr>
          <w:rFonts w:cstheme="minorHAnsi"/>
        </w:rPr>
        <w:t xml:space="preserve"> at a federal level, while at the same time highlighted some of the strengths of the private sector and regional local governments</w:t>
      </w:r>
      <w:r w:rsidRPr="00B148F9">
        <w:rPr>
          <w:rFonts w:cstheme="minorHAnsi"/>
        </w:rPr>
        <w:t xml:space="preserve">. The silver lining should be support for innovation across therapeutic areas, preventative vaccines, testing and </w:t>
      </w:r>
      <w:r w:rsidR="007979DB" w:rsidRPr="00B148F9">
        <w:rPr>
          <w:rFonts w:cstheme="minorHAnsi"/>
        </w:rPr>
        <w:t>tracing</w:t>
      </w:r>
      <w:r w:rsidRPr="00B148F9">
        <w:rPr>
          <w:rFonts w:cstheme="minorHAnsi"/>
        </w:rPr>
        <w:t xml:space="preserve"> (healthcare IT), allowing innovative companies to attract capital through both private and public financings. Therefore, the Company expects to be able to execute its investment strategy in 2020 without disruption</w:t>
      </w:r>
      <w:r w:rsidR="00C67FE3" w:rsidRPr="00B148F9">
        <w:rPr>
          <w:rFonts w:cstheme="minorHAnsi"/>
        </w:rPr>
        <w:t>.</w:t>
      </w:r>
    </w:p>
    <w:p w14:paraId="37A704D9" w14:textId="77777777" w:rsidR="00523B4E" w:rsidRPr="00B148F9" w:rsidRDefault="00523B4E" w:rsidP="002A7D91">
      <w:pPr>
        <w:textAlignment w:val="center"/>
        <w:rPr>
          <w:rFonts w:cstheme="minorHAnsi"/>
          <w:b/>
        </w:rPr>
      </w:pPr>
    </w:p>
    <w:p w14:paraId="2D5A0853" w14:textId="735FA76D" w:rsidR="002A7D91" w:rsidRPr="00B148F9" w:rsidRDefault="002A7D91" w:rsidP="002A7D91">
      <w:pPr>
        <w:textAlignment w:val="center"/>
        <w:rPr>
          <w:rFonts w:cstheme="minorHAnsi"/>
          <w:b/>
        </w:rPr>
      </w:pPr>
      <w:r w:rsidRPr="00B148F9">
        <w:rPr>
          <w:rFonts w:cstheme="minorHAnsi"/>
          <w:b/>
        </w:rPr>
        <w:t>Portfolio performance and updates</w:t>
      </w:r>
    </w:p>
    <w:p w14:paraId="7C337D9A" w14:textId="77777777" w:rsidR="002A7D91" w:rsidRPr="00B148F9" w:rsidRDefault="002A7D91" w:rsidP="002A7D91">
      <w:pPr>
        <w:textAlignment w:val="center"/>
        <w:rPr>
          <w:rFonts w:cstheme="minorHAnsi"/>
        </w:rPr>
      </w:pPr>
    </w:p>
    <w:p w14:paraId="71FE307D" w14:textId="5E6E7D8C" w:rsidR="002A7D91" w:rsidRPr="00B148F9" w:rsidRDefault="002A7D91" w:rsidP="002A7D91">
      <w:pPr>
        <w:textAlignment w:val="center"/>
        <w:rPr>
          <w:rFonts w:cstheme="minorHAnsi"/>
        </w:rPr>
      </w:pPr>
      <w:r w:rsidRPr="00B148F9">
        <w:rPr>
          <w:rFonts w:cstheme="minorHAnsi"/>
        </w:rPr>
        <w:t>The Company’s share price consistently traded at a premium to NAV</w:t>
      </w:r>
      <w:r w:rsidR="00326813" w:rsidRPr="00B148F9">
        <w:rPr>
          <w:rFonts w:cstheme="minorHAnsi"/>
        </w:rPr>
        <w:t xml:space="preserve"> through the period</w:t>
      </w:r>
      <w:r w:rsidRPr="00B148F9">
        <w:rPr>
          <w:rFonts w:cstheme="minorHAnsi"/>
        </w:rPr>
        <w:t xml:space="preserve"> (Figure 2A) </w:t>
      </w:r>
      <w:r w:rsidR="00326813" w:rsidRPr="00B148F9">
        <w:rPr>
          <w:rFonts w:cstheme="minorHAnsi"/>
        </w:rPr>
        <w:t xml:space="preserve">and its </w:t>
      </w:r>
      <w:r w:rsidRPr="00B148F9">
        <w:rPr>
          <w:rFonts w:cstheme="minorHAnsi"/>
        </w:rPr>
        <w:t>market capitalization of US$221 million on 31 December 2019, represent</w:t>
      </w:r>
      <w:r w:rsidR="00326813" w:rsidRPr="00B148F9">
        <w:rPr>
          <w:rFonts w:cstheme="minorHAnsi"/>
        </w:rPr>
        <w:t>ed</w:t>
      </w:r>
      <w:r w:rsidRPr="00B148F9">
        <w:rPr>
          <w:rFonts w:cstheme="minorHAnsi"/>
        </w:rPr>
        <w:t xml:space="preserve"> an eight per cent. premium to NAV. The Company’s overall returns outperformed biotech benchmarks, generating an overall return of 3</w:t>
      </w:r>
      <w:r w:rsidR="001239F3" w:rsidRPr="00B148F9">
        <w:rPr>
          <w:rFonts w:cstheme="minorHAnsi"/>
        </w:rPr>
        <w:t>2</w:t>
      </w:r>
      <w:r w:rsidRPr="00B148F9">
        <w:rPr>
          <w:rFonts w:cstheme="minorHAnsi"/>
        </w:rPr>
        <w:t xml:space="preserve"> per cent vs 12 per cent by the NASDAQ Biotechnology Index and 2</w:t>
      </w:r>
      <w:r w:rsidR="001239F3" w:rsidRPr="00B148F9">
        <w:rPr>
          <w:rFonts w:cstheme="minorHAnsi"/>
        </w:rPr>
        <w:t>4</w:t>
      </w:r>
      <w:r w:rsidRPr="00B148F9">
        <w:rPr>
          <w:rFonts w:cstheme="minorHAnsi"/>
        </w:rPr>
        <w:t xml:space="preserve"> per cent by the Russell 2000 Biotechnology Index (Figure 2B </w:t>
      </w:r>
      <w:r w:rsidRPr="00B148F9">
        <w:rPr>
          <w:rFonts w:cstheme="minorHAnsi"/>
          <w:i/>
        </w:rPr>
        <w:t>note: the reporting period is 30 October 2019 to 31 December 2019</w:t>
      </w:r>
      <w:r w:rsidRPr="00B148F9">
        <w:rPr>
          <w:rFonts w:cstheme="minorHAnsi"/>
        </w:rPr>
        <w:t xml:space="preserve">). </w:t>
      </w:r>
      <w:r w:rsidRPr="00B148F9">
        <w:rPr>
          <w:rFonts w:cstheme="minorHAnsi"/>
          <w:i/>
        </w:rPr>
        <w:t>Source Capital IQ.</w:t>
      </w:r>
    </w:p>
    <w:p w14:paraId="3F973188" w14:textId="77777777" w:rsidR="002A7D91" w:rsidRPr="00B148F9" w:rsidRDefault="002A7D91" w:rsidP="002A7D91">
      <w:pPr>
        <w:textAlignment w:val="center"/>
        <w:rPr>
          <w:rFonts w:cstheme="minorHAnsi"/>
          <w:b/>
        </w:rPr>
      </w:pPr>
    </w:p>
    <w:p w14:paraId="26540DA4" w14:textId="254EB92F" w:rsidR="002A7D91" w:rsidRPr="00251CF4" w:rsidRDefault="002A7D91" w:rsidP="002A7D91">
      <w:pPr>
        <w:textAlignment w:val="center"/>
        <w:rPr>
          <w:rFonts w:cstheme="minorHAnsi"/>
          <w:i/>
        </w:rPr>
      </w:pPr>
      <w:r w:rsidRPr="00251CF4">
        <w:rPr>
          <w:rFonts w:cstheme="minorHAnsi"/>
          <w:i/>
        </w:rPr>
        <w:t>Figure 2. RTW.L share price performance (A) and returns (B)</w:t>
      </w:r>
    </w:p>
    <w:p w14:paraId="019C2140" w14:textId="785DDDE4" w:rsidR="002A7D91" w:rsidRPr="00251CF4" w:rsidRDefault="009E4CA7" w:rsidP="002A7D91">
      <w:pPr>
        <w:textAlignment w:val="center"/>
        <w:rPr>
          <w:rFonts w:cstheme="minorHAnsi"/>
          <w:b/>
        </w:rPr>
      </w:pPr>
      <w:r>
        <w:rPr>
          <w:rFonts w:cstheme="minorHAnsi"/>
          <w:noProof/>
          <w:lang w:eastAsia="zh-CN"/>
        </w:rPr>
        <w:t>[chart]</w:t>
      </w:r>
    </w:p>
    <w:p w14:paraId="5DB45177" w14:textId="77777777" w:rsidR="002A7D91" w:rsidRPr="00B148F9" w:rsidRDefault="002A7D91" w:rsidP="002A7D91">
      <w:pPr>
        <w:textAlignment w:val="center"/>
        <w:rPr>
          <w:rFonts w:cstheme="minorHAnsi"/>
        </w:rPr>
      </w:pPr>
    </w:p>
    <w:p w14:paraId="69A62B6E" w14:textId="1CC99961" w:rsidR="002A7D91" w:rsidRPr="00B148F9" w:rsidRDefault="002A7D91" w:rsidP="002A7D91">
      <w:pPr>
        <w:rPr>
          <w:rFonts w:cstheme="minorHAnsi"/>
          <w:color w:val="000000" w:themeColor="text1"/>
        </w:rPr>
      </w:pPr>
      <w:r w:rsidRPr="00B148F9">
        <w:rPr>
          <w:rFonts w:cstheme="minorHAnsi"/>
          <w:color w:val="000000" w:themeColor="text1"/>
        </w:rPr>
        <w:t xml:space="preserve">Performance drivers stemmed from </w:t>
      </w:r>
      <w:r w:rsidR="006279CE" w:rsidRPr="00B148F9">
        <w:rPr>
          <w:rFonts w:cstheme="minorHAnsi"/>
          <w:color w:val="000000" w:themeColor="text1"/>
        </w:rPr>
        <w:t xml:space="preserve">share </w:t>
      </w:r>
      <w:r w:rsidRPr="00B148F9">
        <w:rPr>
          <w:rFonts w:cstheme="minorHAnsi"/>
          <w:color w:val="000000" w:themeColor="text1"/>
        </w:rPr>
        <w:t xml:space="preserve">price </w:t>
      </w:r>
      <w:r w:rsidR="006279CE" w:rsidRPr="00B148F9">
        <w:rPr>
          <w:rFonts w:cstheme="minorHAnsi"/>
          <w:color w:val="000000" w:themeColor="text1"/>
        </w:rPr>
        <w:t xml:space="preserve">returns </w:t>
      </w:r>
      <w:r w:rsidRPr="00B148F9">
        <w:rPr>
          <w:rFonts w:cstheme="minorHAnsi"/>
          <w:color w:val="000000" w:themeColor="text1"/>
        </w:rPr>
        <w:t>in Rocket and the IPO of Frequency, as well as an active cash management program for undeployed capital.</w:t>
      </w:r>
    </w:p>
    <w:p w14:paraId="55F2E459" w14:textId="77777777" w:rsidR="002A7D91" w:rsidRPr="00B148F9" w:rsidRDefault="002A7D91" w:rsidP="002A7D91">
      <w:pPr>
        <w:rPr>
          <w:rFonts w:cstheme="minorHAnsi"/>
          <w:color w:val="000000" w:themeColor="text1"/>
        </w:rPr>
      </w:pPr>
    </w:p>
    <w:p w14:paraId="26DD012A" w14:textId="3509BEFE" w:rsidR="002A7D91" w:rsidRPr="00B148F9" w:rsidRDefault="002A7D91" w:rsidP="002A7D91">
      <w:pPr>
        <w:rPr>
          <w:rFonts w:cstheme="minorHAnsi"/>
          <w:color w:val="000000" w:themeColor="text1"/>
        </w:rPr>
      </w:pPr>
      <w:r w:rsidRPr="00B148F9">
        <w:rPr>
          <w:rFonts w:cstheme="minorHAnsi"/>
          <w:color w:val="000000" w:themeColor="text1"/>
        </w:rPr>
        <w:t xml:space="preserve">In December 2019, Rocket presented positive clinical data for Fanconi Anemia and Leukocyte Adhesion Deficiency (LAD), two of its four clinical stage programs. The Fanconi data suggest patients could potentially delay bone marrow failure by over a decade. The first treated LAD </w:t>
      </w:r>
      <w:r w:rsidRPr="00B148F9">
        <w:rPr>
          <w:rFonts w:cstheme="minorHAnsi"/>
          <w:color w:val="000000" w:themeColor="text1"/>
        </w:rPr>
        <w:lastRenderedPageBreak/>
        <w:t xml:space="preserve">patient’s dramatic increase in expression of </w:t>
      </w:r>
      <w:r w:rsidR="00C331EF" w:rsidRPr="00B148F9">
        <w:rPr>
          <w:rFonts w:cstheme="minorHAnsi"/>
          <w:color w:val="000000" w:themeColor="text1"/>
        </w:rPr>
        <w:t xml:space="preserve">the </w:t>
      </w:r>
      <w:r w:rsidRPr="00B148F9">
        <w:rPr>
          <w:rFonts w:cstheme="minorHAnsi"/>
          <w:color w:val="000000" w:themeColor="text1"/>
        </w:rPr>
        <w:t xml:space="preserve">missing CD18 protein </w:t>
      </w:r>
      <w:r w:rsidR="00C331EF" w:rsidRPr="00B148F9">
        <w:rPr>
          <w:rFonts w:cstheme="minorHAnsi"/>
          <w:color w:val="000000" w:themeColor="text1"/>
        </w:rPr>
        <w:t xml:space="preserve">is </w:t>
      </w:r>
      <w:r w:rsidRPr="00B148F9">
        <w:rPr>
          <w:rFonts w:cstheme="minorHAnsi"/>
          <w:color w:val="000000" w:themeColor="text1"/>
        </w:rPr>
        <w:t xml:space="preserve">suggestive of a cure. We are extraordinarily proud that Rocket’s CEO Gaurav </w:t>
      </w:r>
      <w:r w:rsidR="00BE7506" w:rsidRPr="00B148F9">
        <w:rPr>
          <w:rFonts w:cstheme="minorHAnsi"/>
          <w:color w:val="000000" w:themeColor="text1"/>
        </w:rPr>
        <w:t>Shah</w:t>
      </w:r>
      <w:r w:rsidR="00330334" w:rsidRPr="00B148F9">
        <w:rPr>
          <w:rFonts w:cstheme="minorHAnsi"/>
          <w:color w:val="000000" w:themeColor="text1"/>
        </w:rPr>
        <w:t>, MD</w:t>
      </w:r>
      <w:r w:rsidR="00001D0A" w:rsidRPr="00B148F9">
        <w:rPr>
          <w:rFonts w:cstheme="minorHAnsi"/>
          <w:color w:val="000000" w:themeColor="text1"/>
        </w:rPr>
        <w:t>,</w:t>
      </w:r>
      <w:r w:rsidR="00BE7506" w:rsidRPr="00B148F9">
        <w:rPr>
          <w:rFonts w:cstheme="minorHAnsi"/>
          <w:color w:val="000000" w:themeColor="text1"/>
        </w:rPr>
        <w:t xml:space="preserve"> </w:t>
      </w:r>
      <w:r w:rsidRPr="00B148F9">
        <w:rPr>
          <w:rFonts w:cstheme="minorHAnsi"/>
          <w:color w:val="000000" w:themeColor="text1"/>
        </w:rPr>
        <w:t xml:space="preserve">has grown Rocket into the sixth largest gene therapy company in the world, </w:t>
      </w:r>
      <w:r w:rsidR="00C331EF" w:rsidRPr="00B148F9">
        <w:rPr>
          <w:rFonts w:cstheme="minorHAnsi"/>
          <w:color w:val="000000" w:themeColor="text1"/>
        </w:rPr>
        <w:t xml:space="preserve">and has done so in </w:t>
      </w:r>
      <w:r w:rsidRPr="00B148F9">
        <w:rPr>
          <w:rFonts w:cstheme="minorHAnsi"/>
          <w:color w:val="000000" w:themeColor="text1"/>
        </w:rPr>
        <w:t>less than five years after the company’s inception.</w:t>
      </w:r>
    </w:p>
    <w:p w14:paraId="6F8698BC" w14:textId="77777777" w:rsidR="002A7D91" w:rsidRPr="00B148F9" w:rsidRDefault="002A7D91" w:rsidP="002A7D91">
      <w:pPr>
        <w:rPr>
          <w:rFonts w:cstheme="minorHAnsi"/>
          <w:color w:val="000000" w:themeColor="text1"/>
        </w:rPr>
      </w:pPr>
    </w:p>
    <w:p w14:paraId="33615ACB" w14:textId="0C9A52D9" w:rsidR="002A7D91" w:rsidRPr="00B148F9" w:rsidRDefault="002A7D91" w:rsidP="002A7D91">
      <w:pPr>
        <w:rPr>
          <w:rFonts w:cstheme="minorHAnsi"/>
          <w:color w:val="000000" w:themeColor="text1"/>
        </w:rPr>
      </w:pPr>
      <w:r w:rsidRPr="00B148F9">
        <w:rPr>
          <w:rFonts w:cstheme="minorHAnsi"/>
          <w:color w:val="000000" w:themeColor="text1"/>
        </w:rPr>
        <w:t xml:space="preserve">Frequency concluded a successful IPO in October 2019, </w:t>
      </w:r>
      <w:r w:rsidR="007979DB" w:rsidRPr="00B148F9">
        <w:rPr>
          <w:rFonts w:cstheme="minorHAnsi"/>
        </w:rPr>
        <w:t>raising</w:t>
      </w:r>
      <w:r w:rsidRPr="00B148F9">
        <w:rPr>
          <w:rFonts w:cstheme="minorHAnsi"/>
        </w:rPr>
        <w:t xml:space="preserve"> US$244.5 million in cash</w:t>
      </w:r>
      <w:r w:rsidR="006279CE" w:rsidRPr="00B148F9">
        <w:rPr>
          <w:rFonts w:cstheme="minorHAnsi"/>
        </w:rPr>
        <w:t xml:space="preserve"> </w:t>
      </w:r>
      <w:r w:rsidRPr="00B148F9">
        <w:rPr>
          <w:rFonts w:cstheme="minorHAnsi"/>
        </w:rPr>
        <w:t xml:space="preserve">inclusive of net IPO proceeds. </w:t>
      </w:r>
      <w:r w:rsidRPr="00B148F9">
        <w:rPr>
          <w:rFonts w:cstheme="minorHAnsi"/>
          <w:color w:val="000000" w:themeColor="text1"/>
        </w:rPr>
        <w:t>Following Frequency’s IPO, the preferred shares were converted to common</w:t>
      </w:r>
      <w:r w:rsidR="007979DB" w:rsidRPr="00B148F9">
        <w:rPr>
          <w:rFonts w:cstheme="minorHAnsi"/>
          <w:color w:val="000000" w:themeColor="text1"/>
        </w:rPr>
        <w:t xml:space="preserve"> shares under the ticker “FREQ”,</w:t>
      </w:r>
      <w:r w:rsidRPr="00B148F9">
        <w:rPr>
          <w:rFonts w:cstheme="minorHAnsi"/>
          <w:color w:val="000000" w:themeColor="text1"/>
        </w:rPr>
        <w:t xml:space="preserve"> </w:t>
      </w:r>
      <w:r w:rsidR="007979DB" w:rsidRPr="00B148F9">
        <w:rPr>
          <w:rFonts w:cstheme="minorHAnsi"/>
          <w:color w:val="000000" w:themeColor="text1"/>
        </w:rPr>
        <w:t>and are</w:t>
      </w:r>
      <w:r w:rsidRPr="00B148F9">
        <w:rPr>
          <w:rFonts w:cstheme="minorHAnsi"/>
          <w:color w:val="000000" w:themeColor="text1"/>
        </w:rPr>
        <w:t xml:space="preserve"> restricted under Rule 144 for a period of six months from the IPO date. In line with our valuation protocol, a discount is applied to companies under restriction reflecting trading illiquidity. Factors considered when determining the illiquidity discount rate include, but are not limited to, the length of the remaining lock-up period, stock trading volume, stock price volatility, historical transactions, as well as the </w:t>
      </w:r>
      <w:r w:rsidR="00C331EF" w:rsidRPr="00B148F9">
        <w:rPr>
          <w:rFonts w:cstheme="minorHAnsi"/>
          <w:color w:val="000000" w:themeColor="text1"/>
        </w:rPr>
        <w:t>Independent Valuer’s</w:t>
      </w:r>
      <w:r w:rsidRPr="00B148F9">
        <w:rPr>
          <w:rFonts w:cstheme="minorHAnsi"/>
          <w:color w:val="000000" w:themeColor="text1"/>
        </w:rPr>
        <w:t xml:space="preserve"> valuation report.</w:t>
      </w:r>
    </w:p>
    <w:p w14:paraId="3D194F88" w14:textId="77777777" w:rsidR="00C331EF" w:rsidRPr="00B148F9" w:rsidRDefault="00C331EF" w:rsidP="002A7D91">
      <w:pPr>
        <w:rPr>
          <w:rFonts w:cstheme="minorHAnsi"/>
        </w:rPr>
      </w:pPr>
    </w:p>
    <w:p w14:paraId="38E4DD10" w14:textId="5EE3EF8A" w:rsidR="002A7D91" w:rsidRPr="00B148F9" w:rsidRDefault="002A7D91" w:rsidP="002A7D91">
      <w:pPr>
        <w:rPr>
          <w:rFonts w:cstheme="minorHAnsi"/>
          <w:bCs/>
          <w:i/>
        </w:rPr>
      </w:pPr>
      <w:r w:rsidRPr="00B148F9">
        <w:rPr>
          <w:rFonts w:cstheme="minorHAnsi"/>
          <w:bCs/>
          <w:i/>
        </w:rPr>
        <w:t>Table 3. Performance of private and public portfolio investments as of 31 December 2019</w:t>
      </w:r>
    </w:p>
    <w:tbl>
      <w:tblPr>
        <w:tblW w:w="9317" w:type="dxa"/>
        <w:tblLook w:val="0600" w:firstRow="0" w:lastRow="0" w:firstColumn="0" w:lastColumn="0" w:noHBand="1" w:noVBand="1"/>
      </w:tblPr>
      <w:tblGrid>
        <w:gridCol w:w="2240"/>
        <w:gridCol w:w="1805"/>
        <w:gridCol w:w="1337"/>
        <w:gridCol w:w="1559"/>
        <w:gridCol w:w="2376"/>
      </w:tblGrid>
      <w:tr w:rsidR="009602D0" w:rsidRPr="00B148F9" w14:paraId="6654B6B8" w14:textId="77777777" w:rsidTr="009602D0">
        <w:trPr>
          <w:trHeight w:val="776"/>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70180" w14:textId="77777777" w:rsidR="009602D0" w:rsidRPr="00B148F9" w:rsidRDefault="009602D0" w:rsidP="009602D0">
            <w:pPr>
              <w:rPr>
                <w:rFonts w:cs="Arial"/>
                <w:b/>
                <w:bCs/>
                <w:color w:val="000000"/>
              </w:rPr>
            </w:pPr>
            <w:r w:rsidRPr="00B148F9">
              <w:rPr>
                <w:rFonts w:cs="Arial"/>
                <w:b/>
                <w:bCs/>
                <w:color w:val="000000"/>
              </w:rPr>
              <w:t>Private company</w:t>
            </w:r>
          </w:p>
        </w:tc>
        <w:tc>
          <w:tcPr>
            <w:tcW w:w="1805" w:type="dxa"/>
            <w:tcBorders>
              <w:top w:val="single" w:sz="4" w:space="0" w:color="auto"/>
              <w:left w:val="nil"/>
              <w:bottom w:val="single" w:sz="4" w:space="0" w:color="auto"/>
              <w:right w:val="single" w:sz="4" w:space="0" w:color="auto"/>
            </w:tcBorders>
            <w:shd w:val="clear" w:color="auto" w:fill="auto"/>
            <w:vAlign w:val="bottom"/>
            <w:hideMark/>
          </w:tcPr>
          <w:p w14:paraId="56F16BA2" w14:textId="77777777" w:rsidR="009602D0" w:rsidRPr="00B148F9" w:rsidRDefault="009602D0" w:rsidP="009602D0">
            <w:pPr>
              <w:rPr>
                <w:rFonts w:cs="Arial"/>
                <w:b/>
                <w:bCs/>
                <w:color w:val="000000"/>
              </w:rPr>
            </w:pPr>
            <w:r w:rsidRPr="00B148F9">
              <w:rPr>
                <w:rFonts w:cs="Arial"/>
                <w:b/>
                <w:bCs/>
                <w:color w:val="000000"/>
              </w:rPr>
              <w:t>Initial Investment Date</w:t>
            </w:r>
          </w:p>
        </w:tc>
        <w:tc>
          <w:tcPr>
            <w:tcW w:w="1337" w:type="dxa"/>
            <w:tcBorders>
              <w:top w:val="single" w:sz="4" w:space="0" w:color="auto"/>
              <w:left w:val="nil"/>
              <w:bottom w:val="single" w:sz="4" w:space="0" w:color="auto"/>
              <w:right w:val="single" w:sz="4" w:space="0" w:color="auto"/>
            </w:tcBorders>
            <w:shd w:val="clear" w:color="auto" w:fill="auto"/>
            <w:vAlign w:val="bottom"/>
            <w:hideMark/>
          </w:tcPr>
          <w:p w14:paraId="06BB016B" w14:textId="77777777" w:rsidR="009602D0" w:rsidRPr="00B148F9" w:rsidRDefault="009602D0" w:rsidP="009602D0">
            <w:pPr>
              <w:rPr>
                <w:rFonts w:cs="Arial"/>
                <w:b/>
                <w:bCs/>
                <w:color w:val="000000"/>
              </w:rPr>
            </w:pPr>
            <w:r w:rsidRPr="00B148F9">
              <w:rPr>
                <w:rFonts w:cs="Arial"/>
                <w:b/>
                <w:bCs/>
                <w:color w:val="000000"/>
              </w:rPr>
              <w:t xml:space="preserve">Gross MOC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F3217FF" w14:textId="77777777" w:rsidR="009602D0" w:rsidRPr="00B148F9" w:rsidRDefault="009602D0" w:rsidP="009602D0">
            <w:pPr>
              <w:rPr>
                <w:rFonts w:cs="Arial"/>
                <w:b/>
                <w:bCs/>
                <w:color w:val="000000"/>
              </w:rPr>
            </w:pPr>
            <w:r w:rsidRPr="00B148F9">
              <w:rPr>
                <w:rFonts w:cs="Arial"/>
                <w:b/>
                <w:bCs/>
                <w:color w:val="000000"/>
              </w:rPr>
              <w:t xml:space="preserve">Gross XIRR </w:t>
            </w:r>
          </w:p>
        </w:tc>
        <w:tc>
          <w:tcPr>
            <w:tcW w:w="2376" w:type="dxa"/>
            <w:tcBorders>
              <w:top w:val="single" w:sz="4" w:space="0" w:color="auto"/>
              <w:left w:val="nil"/>
              <w:bottom w:val="single" w:sz="4" w:space="0" w:color="auto"/>
              <w:right w:val="single" w:sz="4" w:space="0" w:color="auto"/>
            </w:tcBorders>
            <w:shd w:val="clear" w:color="auto" w:fill="auto"/>
            <w:vAlign w:val="bottom"/>
            <w:hideMark/>
          </w:tcPr>
          <w:p w14:paraId="4FCF7F55" w14:textId="77777777" w:rsidR="009602D0" w:rsidRPr="00B148F9" w:rsidRDefault="009602D0" w:rsidP="009602D0">
            <w:pPr>
              <w:rPr>
                <w:rFonts w:cs="Arial"/>
                <w:b/>
                <w:bCs/>
                <w:color w:val="000000"/>
              </w:rPr>
            </w:pPr>
            <w:r w:rsidRPr="00B148F9">
              <w:rPr>
                <w:rFonts w:cs="Arial"/>
                <w:b/>
                <w:bCs/>
                <w:color w:val="000000"/>
              </w:rPr>
              <w:t>Holding Period (Years)</w:t>
            </w:r>
          </w:p>
        </w:tc>
      </w:tr>
      <w:tr w:rsidR="009602D0" w:rsidRPr="00B148F9" w14:paraId="6258A509" w14:textId="77777777" w:rsidTr="009602D0">
        <w:trPr>
          <w:trHeight w:val="542"/>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AF29EB0" w14:textId="77777777" w:rsidR="009602D0" w:rsidRPr="00B148F9" w:rsidRDefault="009602D0" w:rsidP="009602D0">
            <w:pPr>
              <w:rPr>
                <w:rFonts w:cs="Arial"/>
                <w:color w:val="000000"/>
              </w:rPr>
            </w:pPr>
            <w:r w:rsidRPr="00B148F9">
              <w:rPr>
                <w:rFonts w:cs="Arial"/>
                <w:color w:val="000000"/>
              </w:rPr>
              <w:t>Avidity</w:t>
            </w:r>
          </w:p>
        </w:tc>
        <w:tc>
          <w:tcPr>
            <w:tcW w:w="1805" w:type="dxa"/>
            <w:tcBorders>
              <w:top w:val="nil"/>
              <w:left w:val="nil"/>
              <w:bottom w:val="single" w:sz="4" w:space="0" w:color="auto"/>
              <w:right w:val="single" w:sz="4" w:space="0" w:color="auto"/>
            </w:tcBorders>
            <w:shd w:val="clear" w:color="auto" w:fill="auto"/>
            <w:vAlign w:val="center"/>
          </w:tcPr>
          <w:p w14:paraId="28BEAAB8" w14:textId="17690D06" w:rsidR="009602D0" w:rsidRPr="00B148F9" w:rsidRDefault="009602D0">
            <w:pPr>
              <w:rPr>
                <w:rFonts w:cs="Arial"/>
                <w:color w:val="FF0000"/>
              </w:rPr>
            </w:pPr>
            <w:r w:rsidRPr="00B148F9">
              <w:t>8</w:t>
            </w:r>
            <w:r w:rsidR="006279CE" w:rsidRPr="00B148F9">
              <w:t>/11</w:t>
            </w:r>
            <w:r w:rsidRPr="00B148F9">
              <w:t>/2019</w:t>
            </w:r>
          </w:p>
        </w:tc>
        <w:tc>
          <w:tcPr>
            <w:tcW w:w="1337" w:type="dxa"/>
            <w:tcBorders>
              <w:top w:val="nil"/>
              <w:left w:val="nil"/>
              <w:bottom w:val="single" w:sz="4" w:space="0" w:color="auto"/>
              <w:right w:val="single" w:sz="4" w:space="0" w:color="auto"/>
            </w:tcBorders>
            <w:shd w:val="clear" w:color="auto" w:fill="auto"/>
            <w:vAlign w:val="center"/>
          </w:tcPr>
          <w:p w14:paraId="35A81416" w14:textId="77777777" w:rsidR="009602D0" w:rsidRPr="00B148F9" w:rsidRDefault="009602D0" w:rsidP="009602D0">
            <w:pPr>
              <w:rPr>
                <w:rFonts w:cs="Arial"/>
                <w:color w:val="FF0000"/>
              </w:rPr>
            </w:pPr>
            <w:r w:rsidRPr="00B148F9">
              <w:t>1.0x</w:t>
            </w:r>
          </w:p>
        </w:tc>
        <w:tc>
          <w:tcPr>
            <w:tcW w:w="1559" w:type="dxa"/>
            <w:tcBorders>
              <w:top w:val="nil"/>
              <w:left w:val="nil"/>
              <w:bottom w:val="single" w:sz="4" w:space="0" w:color="auto"/>
              <w:right w:val="single" w:sz="4" w:space="0" w:color="auto"/>
            </w:tcBorders>
            <w:shd w:val="clear" w:color="auto" w:fill="auto"/>
            <w:vAlign w:val="center"/>
            <w:hideMark/>
          </w:tcPr>
          <w:p w14:paraId="0C174F29" w14:textId="77777777" w:rsidR="009602D0" w:rsidRPr="00B148F9" w:rsidRDefault="009602D0" w:rsidP="009602D0">
            <w:pPr>
              <w:jc w:val="right"/>
              <w:rPr>
                <w:rFonts w:cs="Arial"/>
                <w:color w:val="FF0000"/>
              </w:rPr>
            </w:pPr>
            <w:r w:rsidRPr="00B148F9">
              <w:t>0.0%</w:t>
            </w:r>
          </w:p>
        </w:tc>
        <w:tc>
          <w:tcPr>
            <w:tcW w:w="2376" w:type="dxa"/>
            <w:tcBorders>
              <w:top w:val="nil"/>
              <w:left w:val="nil"/>
              <w:bottom w:val="single" w:sz="4" w:space="0" w:color="auto"/>
              <w:right w:val="single" w:sz="4" w:space="0" w:color="auto"/>
            </w:tcBorders>
            <w:shd w:val="clear" w:color="auto" w:fill="auto"/>
            <w:vAlign w:val="center"/>
            <w:hideMark/>
          </w:tcPr>
          <w:p w14:paraId="75449016" w14:textId="77777777" w:rsidR="009602D0" w:rsidRPr="00B148F9" w:rsidRDefault="009602D0" w:rsidP="009602D0">
            <w:pPr>
              <w:jc w:val="right"/>
              <w:rPr>
                <w:rFonts w:cs="Arial"/>
                <w:color w:val="FF0000"/>
              </w:rPr>
            </w:pPr>
            <w:r w:rsidRPr="00B148F9">
              <w:t xml:space="preserve">                                  0.1 </w:t>
            </w:r>
          </w:p>
        </w:tc>
      </w:tr>
      <w:tr w:rsidR="009602D0" w:rsidRPr="00B148F9" w14:paraId="4753BE56" w14:textId="77777777" w:rsidTr="009602D0">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DC02CA6" w14:textId="77777777" w:rsidR="009602D0" w:rsidRPr="00B148F9" w:rsidRDefault="009602D0" w:rsidP="009602D0">
            <w:pPr>
              <w:rPr>
                <w:rFonts w:cs="Arial"/>
                <w:color w:val="000000"/>
              </w:rPr>
            </w:pPr>
            <w:r w:rsidRPr="00B148F9">
              <w:rPr>
                <w:rFonts w:cs="Arial"/>
                <w:color w:val="000000"/>
              </w:rPr>
              <w:t>Beta Bionics</w:t>
            </w:r>
          </w:p>
        </w:tc>
        <w:tc>
          <w:tcPr>
            <w:tcW w:w="1805" w:type="dxa"/>
            <w:tcBorders>
              <w:top w:val="nil"/>
              <w:left w:val="nil"/>
              <w:bottom w:val="single" w:sz="4" w:space="0" w:color="auto"/>
              <w:right w:val="single" w:sz="4" w:space="0" w:color="auto"/>
            </w:tcBorders>
            <w:shd w:val="clear" w:color="auto" w:fill="auto"/>
            <w:vAlign w:val="center"/>
          </w:tcPr>
          <w:p w14:paraId="507DC91A" w14:textId="34256FE1" w:rsidR="009602D0" w:rsidRPr="00B148F9" w:rsidRDefault="009602D0">
            <w:pPr>
              <w:rPr>
                <w:rFonts w:cs="Arial"/>
                <w:color w:val="FF0000"/>
              </w:rPr>
            </w:pPr>
            <w:r w:rsidRPr="00B148F9">
              <w:t>28</w:t>
            </w:r>
            <w:r w:rsidR="006279CE" w:rsidRPr="00B148F9">
              <w:t>/6</w:t>
            </w:r>
            <w:r w:rsidRPr="00B148F9">
              <w:t>/2019</w:t>
            </w:r>
          </w:p>
        </w:tc>
        <w:tc>
          <w:tcPr>
            <w:tcW w:w="1337" w:type="dxa"/>
            <w:tcBorders>
              <w:top w:val="nil"/>
              <w:left w:val="nil"/>
              <w:bottom w:val="single" w:sz="4" w:space="0" w:color="auto"/>
              <w:right w:val="single" w:sz="4" w:space="0" w:color="auto"/>
            </w:tcBorders>
            <w:shd w:val="clear" w:color="auto" w:fill="auto"/>
            <w:vAlign w:val="center"/>
          </w:tcPr>
          <w:p w14:paraId="0498BA66" w14:textId="77777777" w:rsidR="009602D0" w:rsidRPr="00B148F9" w:rsidRDefault="009602D0" w:rsidP="009602D0">
            <w:pPr>
              <w:rPr>
                <w:rFonts w:cs="Arial"/>
                <w:color w:val="FF0000"/>
              </w:rPr>
            </w:pPr>
            <w:r w:rsidRPr="00B148F9">
              <w:t>1.0x</w:t>
            </w:r>
          </w:p>
        </w:tc>
        <w:tc>
          <w:tcPr>
            <w:tcW w:w="1559" w:type="dxa"/>
            <w:tcBorders>
              <w:top w:val="nil"/>
              <w:left w:val="nil"/>
              <w:bottom w:val="single" w:sz="4" w:space="0" w:color="auto"/>
              <w:right w:val="single" w:sz="4" w:space="0" w:color="auto"/>
            </w:tcBorders>
            <w:shd w:val="clear" w:color="auto" w:fill="auto"/>
            <w:vAlign w:val="center"/>
            <w:hideMark/>
          </w:tcPr>
          <w:p w14:paraId="72338742" w14:textId="77777777" w:rsidR="009602D0" w:rsidRPr="00B148F9" w:rsidRDefault="009602D0" w:rsidP="009602D0">
            <w:pPr>
              <w:jc w:val="right"/>
              <w:rPr>
                <w:rFonts w:cs="Arial"/>
                <w:color w:val="FF0000"/>
              </w:rPr>
            </w:pPr>
            <w:r w:rsidRPr="00B148F9">
              <w:t>6.4%</w:t>
            </w:r>
          </w:p>
        </w:tc>
        <w:tc>
          <w:tcPr>
            <w:tcW w:w="2376" w:type="dxa"/>
            <w:tcBorders>
              <w:top w:val="nil"/>
              <w:left w:val="nil"/>
              <w:bottom w:val="single" w:sz="4" w:space="0" w:color="auto"/>
              <w:right w:val="single" w:sz="4" w:space="0" w:color="auto"/>
            </w:tcBorders>
            <w:shd w:val="clear" w:color="auto" w:fill="auto"/>
            <w:vAlign w:val="center"/>
            <w:hideMark/>
          </w:tcPr>
          <w:p w14:paraId="3DD8F5A0" w14:textId="77777777" w:rsidR="009602D0" w:rsidRPr="00B148F9" w:rsidRDefault="009602D0" w:rsidP="009602D0">
            <w:pPr>
              <w:jc w:val="right"/>
              <w:rPr>
                <w:rFonts w:cs="Arial"/>
                <w:color w:val="FF0000"/>
              </w:rPr>
            </w:pPr>
            <w:r w:rsidRPr="00B148F9">
              <w:t xml:space="preserve">                                  0.5 </w:t>
            </w:r>
          </w:p>
        </w:tc>
      </w:tr>
      <w:tr w:rsidR="009602D0" w:rsidRPr="00B148F9" w14:paraId="0935E5AB" w14:textId="77777777" w:rsidTr="009602D0">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B9C075" w14:textId="77777777" w:rsidR="009602D0" w:rsidRPr="00B148F9" w:rsidRDefault="009602D0" w:rsidP="009602D0">
            <w:pPr>
              <w:rPr>
                <w:rFonts w:cs="Arial"/>
                <w:color w:val="000000"/>
              </w:rPr>
            </w:pPr>
            <w:r w:rsidRPr="00B148F9">
              <w:rPr>
                <w:rFonts w:cs="Arial"/>
                <w:color w:val="000000"/>
              </w:rPr>
              <w:t>Immunocore</w:t>
            </w:r>
          </w:p>
        </w:tc>
        <w:tc>
          <w:tcPr>
            <w:tcW w:w="1805" w:type="dxa"/>
            <w:tcBorders>
              <w:top w:val="nil"/>
              <w:left w:val="nil"/>
              <w:bottom w:val="single" w:sz="4" w:space="0" w:color="auto"/>
              <w:right w:val="single" w:sz="4" w:space="0" w:color="auto"/>
            </w:tcBorders>
            <w:shd w:val="clear" w:color="auto" w:fill="auto"/>
            <w:vAlign w:val="center"/>
          </w:tcPr>
          <w:p w14:paraId="5B1932D3" w14:textId="1B41D645" w:rsidR="009602D0" w:rsidRPr="00B148F9" w:rsidRDefault="009602D0">
            <w:pPr>
              <w:rPr>
                <w:rFonts w:cs="Arial"/>
                <w:color w:val="FF0000"/>
              </w:rPr>
            </w:pPr>
            <w:r w:rsidRPr="00B148F9">
              <w:t>13</w:t>
            </w:r>
            <w:r w:rsidR="006279CE" w:rsidRPr="00B148F9">
              <w:t>/8</w:t>
            </w:r>
            <w:r w:rsidRPr="00B148F9">
              <w:t>/2019</w:t>
            </w:r>
          </w:p>
        </w:tc>
        <w:tc>
          <w:tcPr>
            <w:tcW w:w="1337" w:type="dxa"/>
            <w:tcBorders>
              <w:top w:val="nil"/>
              <w:left w:val="nil"/>
              <w:bottom w:val="single" w:sz="4" w:space="0" w:color="auto"/>
              <w:right w:val="single" w:sz="4" w:space="0" w:color="auto"/>
            </w:tcBorders>
            <w:shd w:val="clear" w:color="auto" w:fill="auto"/>
            <w:vAlign w:val="center"/>
          </w:tcPr>
          <w:p w14:paraId="70BFBF43" w14:textId="77777777" w:rsidR="009602D0" w:rsidRPr="00B148F9" w:rsidRDefault="009602D0" w:rsidP="009602D0">
            <w:pPr>
              <w:rPr>
                <w:rFonts w:cs="Arial"/>
                <w:color w:val="FF0000"/>
              </w:rPr>
            </w:pPr>
            <w:r w:rsidRPr="00B148F9">
              <w:t>1.1x</w:t>
            </w:r>
          </w:p>
        </w:tc>
        <w:tc>
          <w:tcPr>
            <w:tcW w:w="1559" w:type="dxa"/>
            <w:tcBorders>
              <w:top w:val="nil"/>
              <w:left w:val="nil"/>
              <w:bottom w:val="single" w:sz="4" w:space="0" w:color="auto"/>
              <w:right w:val="single" w:sz="4" w:space="0" w:color="auto"/>
            </w:tcBorders>
            <w:shd w:val="clear" w:color="auto" w:fill="auto"/>
            <w:vAlign w:val="center"/>
            <w:hideMark/>
          </w:tcPr>
          <w:p w14:paraId="07195BCA" w14:textId="77777777" w:rsidR="009602D0" w:rsidRPr="00B148F9" w:rsidRDefault="009602D0" w:rsidP="009602D0">
            <w:pPr>
              <w:jc w:val="right"/>
              <w:rPr>
                <w:rFonts w:cs="Arial"/>
                <w:color w:val="FF0000"/>
              </w:rPr>
            </w:pPr>
            <w:r w:rsidRPr="00B148F9">
              <w:t>24.0%</w:t>
            </w:r>
          </w:p>
        </w:tc>
        <w:tc>
          <w:tcPr>
            <w:tcW w:w="2376" w:type="dxa"/>
            <w:tcBorders>
              <w:top w:val="nil"/>
              <w:left w:val="nil"/>
              <w:bottom w:val="single" w:sz="4" w:space="0" w:color="auto"/>
              <w:right w:val="single" w:sz="4" w:space="0" w:color="auto"/>
            </w:tcBorders>
            <w:shd w:val="clear" w:color="auto" w:fill="auto"/>
            <w:vAlign w:val="center"/>
            <w:hideMark/>
          </w:tcPr>
          <w:p w14:paraId="72E2FDF7" w14:textId="77777777" w:rsidR="009602D0" w:rsidRPr="00B148F9" w:rsidRDefault="009602D0" w:rsidP="009602D0">
            <w:pPr>
              <w:jc w:val="right"/>
              <w:rPr>
                <w:rFonts w:cs="Arial"/>
                <w:color w:val="FF0000"/>
              </w:rPr>
            </w:pPr>
            <w:r w:rsidRPr="00B148F9">
              <w:t xml:space="preserve">                                  0.4 </w:t>
            </w:r>
          </w:p>
        </w:tc>
      </w:tr>
      <w:tr w:rsidR="009602D0" w:rsidRPr="00B148F9" w14:paraId="634CB2D2" w14:textId="77777777" w:rsidTr="009602D0">
        <w:trPr>
          <w:trHeight w:val="542"/>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3B88B30" w14:textId="77777777" w:rsidR="009602D0" w:rsidRPr="00B148F9" w:rsidRDefault="009602D0" w:rsidP="009602D0">
            <w:pPr>
              <w:rPr>
                <w:rFonts w:cs="Arial"/>
                <w:color w:val="000000"/>
              </w:rPr>
            </w:pPr>
            <w:r w:rsidRPr="00B148F9">
              <w:rPr>
                <w:rFonts w:cs="Arial"/>
                <w:color w:val="000000"/>
              </w:rPr>
              <w:t>Orchestra BioMed</w:t>
            </w:r>
          </w:p>
        </w:tc>
        <w:tc>
          <w:tcPr>
            <w:tcW w:w="1805" w:type="dxa"/>
            <w:tcBorders>
              <w:top w:val="nil"/>
              <w:left w:val="nil"/>
              <w:bottom w:val="single" w:sz="4" w:space="0" w:color="auto"/>
              <w:right w:val="single" w:sz="4" w:space="0" w:color="auto"/>
            </w:tcBorders>
            <w:shd w:val="clear" w:color="auto" w:fill="auto"/>
            <w:vAlign w:val="center"/>
          </w:tcPr>
          <w:p w14:paraId="09C0A7E0" w14:textId="47C5CC23" w:rsidR="009602D0" w:rsidRPr="00B148F9" w:rsidRDefault="009602D0">
            <w:pPr>
              <w:rPr>
                <w:rFonts w:cs="Arial"/>
                <w:color w:val="FF0000"/>
              </w:rPr>
            </w:pPr>
            <w:r w:rsidRPr="00B148F9">
              <w:t>28</w:t>
            </w:r>
            <w:r w:rsidR="006279CE" w:rsidRPr="00B148F9">
              <w:t>/6</w:t>
            </w:r>
            <w:r w:rsidRPr="00B148F9">
              <w:t>/2019</w:t>
            </w:r>
          </w:p>
        </w:tc>
        <w:tc>
          <w:tcPr>
            <w:tcW w:w="1337" w:type="dxa"/>
            <w:tcBorders>
              <w:top w:val="nil"/>
              <w:left w:val="nil"/>
              <w:bottom w:val="single" w:sz="4" w:space="0" w:color="auto"/>
              <w:right w:val="single" w:sz="4" w:space="0" w:color="auto"/>
            </w:tcBorders>
            <w:shd w:val="clear" w:color="auto" w:fill="auto"/>
            <w:vAlign w:val="center"/>
          </w:tcPr>
          <w:p w14:paraId="3EF50488" w14:textId="77777777" w:rsidR="009602D0" w:rsidRPr="00B148F9" w:rsidRDefault="009602D0" w:rsidP="009602D0">
            <w:pPr>
              <w:rPr>
                <w:rFonts w:cs="Arial"/>
                <w:color w:val="FF0000"/>
              </w:rPr>
            </w:pPr>
            <w:r w:rsidRPr="00B148F9">
              <w:t>1.0x</w:t>
            </w:r>
          </w:p>
        </w:tc>
        <w:tc>
          <w:tcPr>
            <w:tcW w:w="1559" w:type="dxa"/>
            <w:tcBorders>
              <w:top w:val="nil"/>
              <w:left w:val="nil"/>
              <w:bottom w:val="single" w:sz="4" w:space="0" w:color="auto"/>
              <w:right w:val="single" w:sz="4" w:space="0" w:color="auto"/>
            </w:tcBorders>
            <w:shd w:val="clear" w:color="auto" w:fill="auto"/>
            <w:vAlign w:val="center"/>
            <w:hideMark/>
          </w:tcPr>
          <w:p w14:paraId="58BBAC2C" w14:textId="1E87267B" w:rsidR="009602D0" w:rsidRPr="00B148F9" w:rsidRDefault="009602D0" w:rsidP="009602D0">
            <w:pPr>
              <w:jc w:val="right"/>
              <w:rPr>
                <w:rFonts w:cs="Arial"/>
                <w:color w:val="FF0000"/>
              </w:rPr>
            </w:pPr>
            <w:r w:rsidRPr="00B148F9">
              <w:t>(8.2)%</w:t>
            </w:r>
          </w:p>
        </w:tc>
        <w:tc>
          <w:tcPr>
            <w:tcW w:w="2376" w:type="dxa"/>
            <w:tcBorders>
              <w:top w:val="nil"/>
              <w:left w:val="nil"/>
              <w:bottom w:val="single" w:sz="4" w:space="0" w:color="auto"/>
              <w:right w:val="single" w:sz="4" w:space="0" w:color="auto"/>
            </w:tcBorders>
            <w:shd w:val="clear" w:color="auto" w:fill="auto"/>
            <w:vAlign w:val="center"/>
            <w:hideMark/>
          </w:tcPr>
          <w:p w14:paraId="32C8FADD" w14:textId="77777777" w:rsidR="009602D0" w:rsidRPr="00B148F9" w:rsidRDefault="009602D0" w:rsidP="009602D0">
            <w:pPr>
              <w:jc w:val="right"/>
              <w:rPr>
                <w:rFonts w:cs="Arial"/>
                <w:color w:val="FF0000"/>
              </w:rPr>
            </w:pPr>
            <w:r w:rsidRPr="00B148F9">
              <w:t xml:space="preserve">                                  0.5 </w:t>
            </w:r>
          </w:p>
        </w:tc>
      </w:tr>
      <w:tr w:rsidR="009602D0" w:rsidRPr="00B148F9" w14:paraId="2D3DBF3A" w14:textId="77777777" w:rsidTr="009602D0">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0750785" w14:textId="77777777" w:rsidR="009602D0" w:rsidRPr="00B148F9" w:rsidRDefault="009602D0" w:rsidP="009602D0">
            <w:pPr>
              <w:rPr>
                <w:rFonts w:cs="Arial"/>
                <w:color w:val="000000"/>
              </w:rPr>
            </w:pPr>
            <w:r w:rsidRPr="00B148F9">
              <w:rPr>
                <w:rFonts w:cs="Arial"/>
                <w:color w:val="000000"/>
              </w:rPr>
              <w:t>Landos</w:t>
            </w:r>
          </w:p>
        </w:tc>
        <w:tc>
          <w:tcPr>
            <w:tcW w:w="1805" w:type="dxa"/>
            <w:tcBorders>
              <w:top w:val="nil"/>
              <w:left w:val="nil"/>
              <w:bottom w:val="single" w:sz="4" w:space="0" w:color="auto"/>
              <w:right w:val="single" w:sz="4" w:space="0" w:color="auto"/>
            </w:tcBorders>
            <w:shd w:val="clear" w:color="auto" w:fill="auto"/>
            <w:vAlign w:val="center"/>
          </w:tcPr>
          <w:p w14:paraId="74AE3C00" w14:textId="0A3547F7" w:rsidR="009602D0" w:rsidRPr="00B148F9" w:rsidRDefault="009602D0">
            <w:pPr>
              <w:rPr>
                <w:rFonts w:cs="Arial"/>
                <w:color w:val="FF0000"/>
              </w:rPr>
            </w:pPr>
            <w:r w:rsidRPr="00B148F9">
              <w:t>9</w:t>
            </w:r>
            <w:r w:rsidR="006279CE" w:rsidRPr="00B148F9">
              <w:t>/8</w:t>
            </w:r>
            <w:r w:rsidRPr="00B148F9">
              <w:t>/2019</w:t>
            </w:r>
          </w:p>
        </w:tc>
        <w:tc>
          <w:tcPr>
            <w:tcW w:w="1337" w:type="dxa"/>
            <w:tcBorders>
              <w:top w:val="nil"/>
              <w:left w:val="nil"/>
              <w:bottom w:val="single" w:sz="4" w:space="0" w:color="auto"/>
              <w:right w:val="single" w:sz="4" w:space="0" w:color="auto"/>
            </w:tcBorders>
            <w:shd w:val="clear" w:color="auto" w:fill="auto"/>
            <w:vAlign w:val="center"/>
          </w:tcPr>
          <w:p w14:paraId="5B40BF2A" w14:textId="77777777" w:rsidR="009602D0" w:rsidRPr="00B148F9" w:rsidRDefault="009602D0" w:rsidP="009602D0">
            <w:pPr>
              <w:rPr>
                <w:rFonts w:cs="Arial"/>
                <w:color w:val="FF0000"/>
              </w:rPr>
            </w:pPr>
            <w:r w:rsidRPr="00B148F9">
              <w:t>1.0x</w:t>
            </w:r>
          </w:p>
        </w:tc>
        <w:tc>
          <w:tcPr>
            <w:tcW w:w="1559" w:type="dxa"/>
            <w:tcBorders>
              <w:top w:val="nil"/>
              <w:left w:val="nil"/>
              <w:bottom w:val="single" w:sz="4" w:space="0" w:color="auto"/>
              <w:right w:val="single" w:sz="4" w:space="0" w:color="auto"/>
            </w:tcBorders>
            <w:shd w:val="clear" w:color="auto" w:fill="auto"/>
            <w:vAlign w:val="center"/>
            <w:hideMark/>
          </w:tcPr>
          <w:p w14:paraId="5DF28F23" w14:textId="77777777" w:rsidR="009602D0" w:rsidRPr="00B148F9" w:rsidRDefault="009602D0" w:rsidP="009602D0">
            <w:pPr>
              <w:jc w:val="right"/>
              <w:rPr>
                <w:rFonts w:cs="Arial"/>
                <w:color w:val="FF0000"/>
              </w:rPr>
            </w:pPr>
            <w:r w:rsidRPr="00B148F9">
              <w:t>4.2%</w:t>
            </w:r>
          </w:p>
        </w:tc>
        <w:tc>
          <w:tcPr>
            <w:tcW w:w="2376" w:type="dxa"/>
            <w:tcBorders>
              <w:top w:val="nil"/>
              <w:left w:val="nil"/>
              <w:bottom w:val="single" w:sz="4" w:space="0" w:color="auto"/>
              <w:right w:val="single" w:sz="4" w:space="0" w:color="auto"/>
            </w:tcBorders>
            <w:shd w:val="clear" w:color="auto" w:fill="auto"/>
            <w:vAlign w:val="center"/>
            <w:hideMark/>
          </w:tcPr>
          <w:p w14:paraId="3D6A2C99" w14:textId="77777777" w:rsidR="009602D0" w:rsidRPr="00B148F9" w:rsidRDefault="009602D0" w:rsidP="009602D0">
            <w:pPr>
              <w:jc w:val="right"/>
              <w:rPr>
                <w:rFonts w:cs="Arial"/>
                <w:color w:val="FF0000"/>
              </w:rPr>
            </w:pPr>
            <w:r w:rsidRPr="00B148F9">
              <w:t xml:space="preserve">                                  0.4 </w:t>
            </w:r>
          </w:p>
        </w:tc>
      </w:tr>
      <w:tr w:rsidR="009602D0" w:rsidRPr="00B148F9" w14:paraId="7034D524" w14:textId="77777777" w:rsidTr="009602D0">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4DDDF26" w14:textId="77777777" w:rsidR="009602D0" w:rsidRPr="00B148F9" w:rsidRDefault="009602D0" w:rsidP="009602D0">
            <w:pPr>
              <w:rPr>
                <w:rFonts w:cs="Arial"/>
                <w:color w:val="FF0000"/>
              </w:rPr>
            </w:pPr>
            <w:r w:rsidRPr="00B148F9">
              <w:rPr>
                <w:rFonts w:cs="Arial"/>
              </w:rPr>
              <w:t>Frequency*</w:t>
            </w:r>
          </w:p>
        </w:tc>
        <w:tc>
          <w:tcPr>
            <w:tcW w:w="1805" w:type="dxa"/>
            <w:tcBorders>
              <w:top w:val="nil"/>
              <w:left w:val="nil"/>
              <w:bottom w:val="single" w:sz="4" w:space="0" w:color="auto"/>
              <w:right w:val="single" w:sz="4" w:space="0" w:color="auto"/>
            </w:tcBorders>
            <w:shd w:val="clear" w:color="auto" w:fill="auto"/>
            <w:vAlign w:val="center"/>
          </w:tcPr>
          <w:p w14:paraId="3EC68ECB" w14:textId="39167BC3" w:rsidR="009602D0" w:rsidRPr="00B148F9" w:rsidRDefault="009602D0">
            <w:pPr>
              <w:rPr>
                <w:rFonts w:cs="Arial"/>
                <w:color w:val="FF0000"/>
              </w:rPr>
            </w:pPr>
            <w:r w:rsidRPr="00B148F9">
              <w:t>17</w:t>
            </w:r>
            <w:r w:rsidR="006279CE" w:rsidRPr="00B148F9">
              <w:t>/7</w:t>
            </w:r>
            <w:r w:rsidRPr="00B148F9">
              <w:t>/2019</w:t>
            </w:r>
          </w:p>
        </w:tc>
        <w:tc>
          <w:tcPr>
            <w:tcW w:w="1337" w:type="dxa"/>
            <w:tcBorders>
              <w:top w:val="nil"/>
              <w:left w:val="nil"/>
              <w:bottom w:val="single" w:sz="4" w:space="0" w:color="auto"/>
              <w:right w:val="single" w:sz="4" w:space="0" w:color="auto"/>
            </w:tcBorders>
            <w:shd w:val="clear" w:color="auto" w:fill="auto"/>
            <w:vAlign w:val="center"/>
          </w:tcPr>
          <w:p w14:paraId="6260E15A" w14:textId="77777777" w:rsidR="009602D0" w:rsidRPr="00B148F9" w:rsidRDefault="009602D0" w:rsidP="009602D0">
            <w:pPr>
              <w:rPr>
                <w:rFonts w:cs="Arial"/>
                <w:color w:val="FF0000"/>
              </w:rPr>
            </w:pPr>
            <w:r w:rsidRPr="00B148F9">
              <w:t>1.6x</w:t>
            </w:r>
          </w:p>
        </w:tc>
        <w:tc>
          <w:tcPr>
            <w:tcW w:w="1559" w:type="dxa"/>
            <w:tcBorders>
              <w:top w:val="nil"/>
              <w:left w:val="nil"/>
              <w:bottom w:val="single" w:sz="4" w:space="0" w:color="auto"/>
              <w:right w:val="single" w:sz="4" w:space="0" w:color="auto"/>
            </w:tcBorders>
            <w:shd w:val="clear" w:color="auto" w:fill="auto"/>
            <w:vAlign w:val="center"/>
            <w:hideMark/>
          </w:tcPr>
          <w:p w14:paraId="39B23135" w14:textId="77777777" w:rsidR="009602D0" w:rsidRPr="00B148F9" w:rsidRDefault="009602D0" w:rsidP="009602D0">
            <w:pPr>
              <w:jc w:val="right"/>
              <w:rPr>
                <w:rFonts w:cs="Arial"/>
                <w:color w:val="FF0000"/>
              </w:rPr>
            </w:pPr>
            <w:r w:rsidRPr="00B148F9">
              <w:t>160.6%</w:t>
            </w:r>
          </w:p>
        </w:tc>
        <w:tc>
          <w:tcPr>
            <w:tcW w:w="2376" w:type="dxa"/>
            <w:tcBorders>
              <w:top w:val="nil"/>
              <w:left w:val="nil"/>
              <w:bottom w:val="single" w:sz="4" w:space="0" w:color="auto"/>
              <w:right w:val="single" w:sz="4" w:space="0" w:color="auto"/>
            </w:tcBorders>
            <w:shd w:val="clear" w:color="auto" w:fill="auto"/>
            <w:vAlign w:val="center"/>
            <w:hideMark/>
          </w:tcPr>
          <w:p w14:paraId="04168D3B" w14:textId="77777777" w:rsidR="009602D0" w:rsidRPr="00B148F9" w:rsidRDefault="009602D0" w:rsidP="009602D0">
            <w:pPr>
              <w:jc w:val="right"/>
              <w:rPr>
                <w:rFonts w:cs="Arial"/>
                <w:color w:val="FF0000"/>
              </w:rPr>
            </w:pPr>
            <w:r w:rsidRPr="00B148F9">
              <w:t xml:space="preserve">                                  0.5 </w:t>
            </w:r>
          </w:p>
        </w:tc>
      </w:tr>
      <w:tr w:rsidR="009602D0" w:rsidRPr="00B148F9" w14:paraId="08D91D87" w14:textId="77777777" w:rsidTr="009602D0">
        <w:trPr>
          <w:trHeight w:val="271"/>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5E1B593" w14:textId="77777777" w:rsidR="009602D0" w:rsidRPr="00B148F9" w:rsidRDefault="009602D0" w:rsidP="009602D0">
            <w:pPr>
              <w:rPr>
                <w:rFonts w:cs="Arial"/>
              </w:rPr>
            </w:pPr>
            <w:r w:rsidRPr="00B148F9">
              <w:rPr>
                <w:rFonts w:cs="Arial"/>
              </w:rPr>
              <w:t> </w:t>
            </w:r>
          </w:p>
        </w:tc>
        <w:tc>
          <w:tcPr>
            <w:tcW w:w="1805" w:type="dxa"/>
            <w:tcBorders>
              <w:top w:val="nil"/>
              <w:left w:val="nil"/>
              <w:bottom w:val="single" w:sz="4" w:space="0" w:color="auto"/>
              <w:right w:val="single" w:sz="4" w:space="0" w:color="auto"/>
            </w:tcBorders>
            <w:shd w:val="clear" w:color="auto" w:fill="auto"/>
            <w:noWrap/>
            <w:vAlign w:val="center"/>
            <w:hideMark/>
          </w:tcPr>
          <w:p w14:paraId="2EFF86AB" w14:textId="77777777" w:rsidR="009602D0" w:rsidRPr="00B148F9" w:rsidRDefault="009602D0" w:rsidP="009602D0">
            <w:pPr>
              <w:rPr>
                <w:rFonts w:cs="Arial"/>
              </w:rPr>
            </w:pPr>
            <w:r w:rsidRPr="00B148F9">
              <w:rPr>
                <w:rFonts w:cs="Arial"/>
              </w:rPr>
              <w:t> </w:t>
            </w:r>
          </w:p>
        </w:tc>
        <w:tc>
          <w:tcPr>
            <w:tcW w:w="1337" w:type="dxa"/>
            <w:tcBorders>
              <w:top w:val="nil"/>
              <w:left w:val="nil"/>
              <w:bottom w:val="single" w:sz="4" w:space="0" w:color="auto"/>
              <w:right w:val="single" w:sz="4" w:space="0" w:color="auto"/>
            </w:tcBorders>
            <w:shd w:val="clear" w:color="auto" w:fill="auto"/>
            <w:noWrap/>
            <w:vAlign w:val="center"/>
            <w:hideMark/>
          </w:tcPr>
          <w:p w14:paraId="1BDE25CA" w14:textId="77777777" w:rsidR="009602D0" w:rsidRPr="00B148F9" w:rsidRDefault="009602D0" w:rsidP="009602D0">
            <w:pPr>
              <w:jc w:val="right"/>
              <w:rPr>
                <w:rFonts w:cs="Arial"/>
              </w:rPr>
            </w:pPr>
            <w:r w:rsidRPr="00B148F9">
              <w:rPr>
                <w:rFonts w:cs="Arial"/>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5C7DCA" w14:textId="77777777" w:rsidR="009602D0" w:rsidRPr="00B148F9" w:rsidRDefault="009602D0" w:rsidP="009602D0">
            <w:pPr>
              <w:jc w:val="right"/>
              <w:rPr>
                <w:rFonts w:cs="Arial"/>
              </w:rPr>
            </w:pPr>
            <w:r w:rsidRPr="00B148F9">
              <w:rPr>
                <w:rFonts w:cs="Arial"/>
              </w:rPr>
              <w:t> </w:t>
            </w:r>
          </w:p>
        </w:tc>
        <w:tc>
          <w:tcPr>
            <w:tcW w:w="2376" w:type="dxa"/>
            <w:tcBorders>
              <w:top w:val="nil"/>
              <w:left w:val="nil"/>
              <w:bottom w:val="single" w:sz="4" w:space="0" w:color="auto"/>
              <w:right w:val="single" w:sz="4" w:space="0" w:color="auto"/>
            </w:tcBorders>
            <w:shd w:val="clear" w:color="auto" w:fill="auto"/>
            <w:noWrap/>
            <w:vAlign w:val="center"/>
            <w:hideMark/>
          </w:tcPr>
          <w:p w14:paraId="5B528C31" w14:textId="77777777" w:rsidR="009602D0" w:rsidRPr="00B148F9" w:rsidRDefault="009602D0" w:rsidP="009602D0">
            <w:pPr>
              <w:jc w:val="right"/>
              <w:rPr>
                <w:rFonts w:cs="Arial"/>
              </w:rPr>
            </w:pPr>
            <w:r w:rsidRPr="00B148F9">
              <w:rPr>
                <w:rFonts w:cs="Arial"/>
              </w:rPr>
              <w:t> </w:t>
            </w:r>
          </w:p>
        </w:tc>
      </w:tr>
      <w:tr w:rsidR="009602D0" w:rsidRPr="00B148F9" w14:paraId="52796DFF" w14:textId="77777777" w:rsidTr="009602D0">
        <w:trPr>
          <w:trHeight w:val="542"/>
        </w:trPr>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4E82D6" w14:textId="00F142B0" w:rsidR="009602D0" w:rsidRPr="00B148F9" w:rsidRDefault="009602D0" w:rsidP="009602D0">
            <w:pPr>
              <w:rPr>
                <w:rFonts w:cs="Arial"/>
                <w:b/>
                <w:bCs/>
                <w:color w:val="000000"/>
              </w:rPr>
            </w:pPr>
            <w:r w:rsidRPr="00B148F9">
              <w:rPr>
                <w:rFonts w:cs="Arial"/>
                <w:b/>
                <w:bCs/>
                <w:color w:val="000000"/>
              </w:rPr>
              <w:t xml:space="preserve">Average Private Positions Held </w:t>
            </w:r>
          </w:p>
        </w:tc>
        <w:tc>
          <w:tcPr>
            <w:tcW w:w="1337" w:type="dxa"/>
            <w:tcBorders>
              <w:top w:val="nil"/>
              <w:left w:val="nil"/>
              <w:bottom w:val="single" w:sz="4" w:space="0" w:color="auto"/>
              <w:right w:val="single" w:sz="4" w:space="0" w:color="auto"/>
            </w:tcBorders>
            <w:shd w:val="clear" w:color="auto" w:fill="auto"/>
            <w:vAlign w:val="center"/>
            <w:hideMark/>
          </w:tcPr>
          <w:p w14:paraId="3AFE0776" w14:textId="77777777" w:rsidR="009602D0" w:rsidRPr="00B148F9" w:rsidRDefault="009602D0" w:rsidP="009602D0">
            <w:pPr>
              <w:jc w:val="right"/>
              <w:rPr>
                <w:rFonts w:cs="Arial"/>
                <w:color w:val="FF0000"/>
              </w:rPr>
            </w:pPr>
            <w:r w:rsidRPr="00B148F9">
              <w:t>1.1x</w:t>
            </w:r>
          </w:p>
        </w:tc>
        <w:tc>
          <w:tcPr>
            <w:tcW w:w="1559" w:type="dxa"/>
            <w:tcBorders>
              <w:top w:val="nil"/>
              <w:left w:val="nil"/>
              <w:bottom w:val="single" w:sz="4" w:space="0" w:color="auto"/>
              <w:right w:val="single" w:sz="4" w:space="0" w:color="auto"/>
            </w:tcBorders>
            <w:shd w:val="clear" w:color="auto" w:fill="auto"/>
            <w:vAlign w:val="center"/>
            <w:hideMark/>
          </w:tcPr>
          <w:p w14:paraId="3E710ACA" w14:textId="77777777" w:rsidR="009602D0" w:rsidRPr="00B148F9" w:rsidRDefault="009602D0" w:rsidP="009602D0">
            <w:pPr>
              <w:jc w:val="right"/>
              <w:rPr>
                <w:rFonts w:cs="Arial"/>
                <w:color w:val="FF0000"/>
              </w:rPr>
            </w:pPr>
            <w:r w:rsidRPr="00B148F9">
              <w:t>31.2%</w:t>
            </w:r>
          </w:p>
        </w:tc>
        <w:tc>
          <w:tcPr>
            <w:tcW w:w="2376" w:type="dxa"/>
            <w:tcBorders>
              <w:top w:val="nil"/>
              <w:left w:val="nil"/>
              <w:bottom w:val="single" w:sz="4" w:space="0" w:color="auto"/>
              <w:right w:val="single" w:sz="4" w:space="0" w:color="auto"/>
            </w:tcBorders>
            <w:shd w:val="clear" w:color="auto" w:fill="auto"/>
            <w:vAlign w:val="center"/>
            <w:hideMark/>
          </w:tcPr>
          <w:p w14:paraId="11B7C7D2" w14:textId="77777777" w:rsidR="009602D0" w:rsidRPr="00B148F9" w:rsidRDefault="009602D0" w:rsidP="009602D0">
            <w:pPr>
              <w:jc w:val="right"/>
              <w:rPr>
                <w:rFonts w:cs="Arial"/>
                <w:color w:val="FF0000"/>
              </w:rPr>
            </w:pPr>
            <w:r w:rsidRPr="00B148F9">
              <w:t xml:space="preserve">                                  0.4 </w:t>
            </w:r>
          </w:p>
        </w:tc>
      </w:tr>
      <w:tr w:rsidR="009602D0" w:rsidRPr="00B148F9" w14:paraId="4DEF1B8E" w14:textId="77777777" w:rsidTr="009602D0">
        <w:trPr>
          <w:trHeight w:val="271"/>
        </w:trPr>
        <w:tc>
          <w:tcPr>
            <w:tcW w:w="9317" w:type="dxa"/>
            <w:gridSpan w:val="5"/>
            <w:tcBorders>
              <w:top w:val="nil"/>
              <w:left w:val="single" w:sz="4" w:space="0" w:color="auto"/>
              <w:bottom w:val="single" w:sz="4" w:space="0" w:color="auto"/>
              <w:right w:val="single" w:sz="4" w:space="0" w:color="auto"/>
            </w:tcBorders>
            <w:shd w:val="clear" w:color="auto" w:fill="auto"/>
            <w:noWrap/>
            <w:vAlign w:val="center"/>
            <w:hideMark/>
          </w:tcPr>
          <w:p w14:paraId="177DBE02" w14:textId="77777777" w:rsidR="009602D0" w:rsidRPr="00B148F9" w:rsidRDefault="009602D0" w:rsidP="009602D0">
            <w:pPr>
              <w:rPr>
                <w:rFonts w:cs="Arial"/>
              </w:rPr>
            </w:pPr>
            <w:r w:rsidRPr="00B148F9">
              <w:rPr>
                <w:rFonts w:cs="Arial"/>
              </w:rPr>
              <w:t> </w:t>
            </w:r>
          </w:p>
        </w:tc>
      </w:tr>
      <w:tr w:rsidR="009602D0" w:rsidRPr="00B148F9" w14:paraId="11635F7C" w14:textId="77777777" w:rsidTr="009602D0">
        <w:trPr>
          <w:trHeight w:val="1109"/>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90105B4" w14:textId="77777777" w:rsidR="009602D0" w:rsidRPr="00B148F9" w:rsidRDefault="009602D0" w:rsidP="009602D0">
            <w:pPr>
              <w:rPr>
                <w:rFonts w:cs="Arial"/>
                <w:b/>
                <w:bCs/>
              </w:rPr>
            </w:pPr>
            <w:r w:rsidRPr="00B148F9">
              <w:rPr>
                <w:rFonts w:cs="Arial"/>
                <w:b/>
                <w:bCs/>
              </w:rPr>
              <w:t>Public company</w:t>
            </w:r>
          </w:p>
        </w:tc>
        <w:tc>
          <w:tcPr>
            <w:tcW w:w="3142" w:type="dxa"/>
            <w:gridSpan w:val="2"/>
            <w:tcBorders>
              <w:top w:val="nil"/>
              <w:left w:val="nil"/>
              <w:bottom w:val="single" w:sz="4" w:space="0" w:color="auto"/>
              <w:right w:val="single" w:sz="4" w:space="0" w:color="auto"/>
            </w:tcBorders>
            <w:shd w:val="clear" w:color="auto" w:fill="auto"/>
            <w:vAlign w:val="center"/>
            <w:hideMark/>
          </w:tcPr>
          <w:p w14:paraId="6744B28A" w14:textId="33B1B1A7" w:rsidR="009602D0" w:rsidRPr="00B148F9" w:rsidRDefault="009602D0">
            <w:pPr>
              <w:rPr>
                <w:rFonts w:cs="Arial"/>
                <w:b/>
                <w:bCs/>
              </w:rPr>
            </w:pPr>
            <w:r w:rsidRPr="00B148F9">
              <w:rPr>
                <w:rFonts w:cs="Arial"/>
                <w:b/>
                <w:bCs/>
              </w:rPr>
              <w:t xml:space="preserve">Price per share </w:t>
            </w:r>
            <w:r w:rsidR="00C60076">
              <w:rPr>
                <w:rFonts w:cs="Arial"/>
                <w:b/>
                <w:bCs/>
              </w:rPr>
              <w:t>as of 29/10/20</w:t>
            </w:r>
            <w:r w:rsidR="00E938EE">
              <w:rPr>
                <w:rFonts w:cs="Arial"/>
                <w:b/>
                <w:bCs/>
              </w:rPr>
              <w:t>19</w:t>
            </w:r>
            <w:r w:rsidR="00C60076">
              <w:rPr>
                <w:rFonts w:cs="Arial"/>
                <w:b/>
                <w:bCs/>
              </w:rPr>
              <w:t xml:space="preserve"> market close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824467" w14:textId="77777777" w:rsidR="009602D0" w:rsidRPr="00B148F9" w:rsidRDefault="009602D0" w:rsidP="009602D0">
            <w:pPr>
              <w:rPr>
                <w:rFonts w:cs="Arial"/>
                <w:b/>
                <w:bCs/>
              </w:rPr>
            </w:pPr>
            <w:r w:rsidRPr="00B148F9">
              <w:rPr>
                <w:rFonts w:cs="Arial"/>
                <w:b/>
                <w:bCs/>
              </w:rPr>
              <w:t>Price per share at the end of the period (31/12/2019)</w:t>
            </w:r>
          </w:p>
        </w:tc>
        <w:tc>
          <w:tcPr>
            <w:tcW w:w="2376" w:type="dxa"/>
            <w:tcBorders>
              <w:top w:val="nil"/>
              <w:left w:val="nil"/>
              <w:bottom w:val="single" w:sz="4" w:space="0" w:color="auto"/>
              <w:right w:val="single" w:sz="4" w:space="0" w:color="auto"/>
            </w:tcBorders>
            <w:shd w:val="clear" w:color="auto" w:fill="auto"/>
            <w:noWrap/>
            <w:vAlign w:val="center"/>
            <w:hideMark/>
          </w:tcPr>
          <w:p w14:paraId="0D870F51" w14:textId="77777777" w:rsidR="009602D0" w:rsidRPr="00B148F9" w:rsidRDefault="009602D0" w:rsidP="009602D0">
            <w:pPr>
              <w:rPr>
                <w:rFonts w:cs="Arial"/>
                <w:b/>
                <w:bCs/>
              </w:rPr>
            </w:pPr>
            <w:r w:rsidRPr="00B148F9">
              <w:rPr>
                <w:rFonts w:cs="Arial"/>
                <w:b/>
                <w:bCs/>
              </w:rPr>
              <w:t>% return</w:t>
            </w:r>
          </w:p>
        </w:tc>
      </w:tr>
      <w:tr w:rsidR="009602D0" w:rsidRPr="00B148F9" w14:paraId="359A48EA" w14:textId="77777777" w:rsidTr="009602D0">
        <w:trPr>
          <w:trHeight w:val="27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C52CF58" w14:textId="77777777" w:rsidR="009602D0" w:rsidRPr="00B148F9" w:rsidRDefault="009602D0" w:rsidP="009602D0">
            <w:pPr>
              <w:rPr>
                <w:rFonts w:cs="Arial"/>
              </w:rPr>
            </w:pPr>
            <w:r w:rsidRPr="00B148F9">
              <w:rPr>
                <w:rFonts w:cs="Arial"/>
              </w:rPr>
              <w:t>Rocket</w:t>
            </w:r>
          </w:p>
        </w:tc>
        <w:tc>
          <w:tcPr>
            <w:tcW w:w="3142" w:type="dxa"/>
            <w:gridSpan w:val="2"/>
            <w:tcBorders>
              <w:top w:val="nil"/>
              <w:left w:val="nil"/>
              <w:bottom w:val="single" w:sz="4" w:space="0" w:color="auto"/>
              <w:right w:val="single" w:sz="4" w:space="0" w:color="auto"/>
            </w:tcBorders>
            <w:shd w:val="clear" w:color="auto" w:fill="auto"/>
            <w:noWrap/>
            <w:vAlign w:val="bottom"/>
            <w:hideMark/>
          </w:tcPr>
          <w:p w14:paraId="7FE93EC1" w14:textId="06CC2CB6" w:rsidR="009602D0" w:rsidRPr="00B148F9" w:rsidRDefault="009602D0" w:rsidP="009602D0">
            <w:pPr>
              <w:jc w:val="right"/>
              <w:rPr>
                <w:rFonts w:cs="Arial"/>
              </w:rPr>
            </w:pPr>
            <w:r w:rsidRPr="00B148F9">
              <w:rPr>
                <w:rFonts w:cs="Arial"/>
              </w:rPr>
              <w:t>US$14.0</w:t>
            </w:r>
            <w:r w:rsidR="00D532B3" w:rsidRPr="00B148F9">
              <w:rPr>
                <w:rFonts w:cs="Arial"/>
              </w:rPr>
              <w:t>0</w:t>
            </w:r>
            <w:r w:rsidRPr="00B148F9">
              <w:rPr>
                <w:rFonts w:cs="Arial"/>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195F82" w14:textId="77777777" w:rsidR="009602D0" w:rsidRPr="00B148F9" w:rsidRDefault="009602D0" w:rsidP="009602D0">
            <w:pPr>
              <w:jc w:val="right"/>
              <w:rPr>
                <w:rFonts w:cs="Arial"/>
              </w:rPr>
            </w:pPr>
            <w:r w:rsidRPr="00B148F9">
              <w:rPr>
                <w:rFonts w:cs="Arial"/>
              </w:rPr>
              <w:t xml:space="preserve">US$ 22.76 </w:t>
            </w:r>
          </w:p>
        </w:tc>
        <w:tc>
          <w:tcPr>
            <w:tcW w:w="2376" w:type="dxa"/>
            <w:tcBorders>
              <w:top w:val="nil"/>
              <w:left w:val="nil"/>
              <w:bottom w:val="single" w:sz="4" w:space="0" w:color="auto"/>
              <w:right w:val="single" w:sz="4" w:space="0" w:color="auto"/>
            </w:tcBorders>
            <w:shd w:val="clear" w:color="auto" w:fill="auto"/>
            <w:vAlign w:val="bottom"/>
            <w:hideMark/>
          </w:tcPr>
          <w:p w14:paraId="1271DF90" w14:textId="4D3047FD" w:rsidR="009602D0" w:rsidRPr="00B148F9" w:rsidRDefault="009602D0">
            <w:pPr>
              <w:jc w:val="right"/>
              <w:rPr>
                <w:rFonts w:cs="Arial"/>
              </w:rPr>
            </w:pPr>
            <w:r w:rsidRPr="00B148F9">
              <w:rPr>
                <w:rFonts w:cs="Arial"/>
              </w:rPr>
              <w:t>6</w:t>
            </w:r>
            <w:r w:rsidR="00D532B3" w:rsidRPr="00B148F9">
              <w:rPr>
                <w:rFonts w:cs="Arial"/>
              </w:rPr>
              <w:t>3</w:t>
            </w:r>
            <w:r w:rsidRPr="00B148F9">
              <w:rPr>
                <w:rFonts w:cs="Arial"/>
              </w:rPr>
              <w:t>%</w:t>
            </w:r>
          </w:p>
        </w:tc>
      </w:tr>
    </w:tbl>
    <w:p w14:paraId="60C16439" w14:textId="53376EF6" w:rsidR="002A7D91" w:rsidRPr="00B148F9" w:rsidRDefault="002A7D91" w:rsidP="002A7D91">
      <w:pPr>
        <w:rPr>
          <w:rFonts w:cstheme="minorHAnsi"/>
          <w:color w:val="000000" w:themeColor="text1"/>
          <w:sz w:val="16"/>
          <w:szCs w:val="16"/>
        </w:rPr>
      </w:pPr>
      <w:r w:rsidRPr="00B148F9">
        <w:rPr>
          <w:rFonts w:cstheme="minorHAnsi"/>
          <w:color w:val="000000" w:themeColor="text1"/>
          <w:sz w:val="16"/>
          <w:szCs w:val="16"/>
        </w:rPr>
        <w:t xml:space="preserve">*Under </w:t>
      </w:r>
      <w:r w:rsidR="00E03880" w:rsidRPr="00B148F9">
        <w:rPr>
          <w:rFonts w:cstheme="minorHAnsi"/>
          <w:color w:val="000000" w:themeColor="text1"/>
          <w:sz w:val="16"/>
          <w:szCs w:val="16"/>
        </w:rPr>
        <w:t xml:space="preserve">180-day </w:t>
      </w:r>
      <w:r w:rsidRPr="00B148F9">
        <w:rPr>
          <w:rFonts w:cstheme="minorHAnsi"/>
          <w:color w:val="000000" w:themeColor="text1"/>
          <w:sz w:val="16"/>
          <w:szCs w:val="16"/>
        </w:rPr>
        <w:t>lock-up provision</w:t>
      </w:r>
    </w:p>
    <w:p w14:paraId="762EBF49" w14:textId="77777777" w:rsidR="002A7D91" w:rsidRPr="00B148F9" w:rsidRDefault="002A7D91" w:rsidP="002A7D91">
      <w:pPr>
        <w:rPr>
          <w:b/>
          <w:szCs w:val="18"/>
        </w:rPr>
      </w:pPr>
    </w:p>
    <w:p w14:paraId="7A6D58E3" w14:textId="42980FE3" w:rsidR="002A7D91" w:rsidRPr="00B148F9" w:rsidRDefault="002A7D91" w:rsidP="002A7D91">
      <w:pPr>
        <w:rPr>
          <w:i/>
          <w:szCs w:val="18"/>
        </w:rPr>
      </w:pPr>
      <w:r w:rsidRPr="00B148F9">
        <w:rPr>
          <w:i/>
          <w:szCs w:val="18"/>
        </w:rPr>
        <w:t>Table 4.NAV capital breakdown as of 31 December 2019</w:t>
      </w:r>
    </w:p>
    <w:tbl>
      <w:tblPr>
        <w:tblStyle w:val="TableGrid"/>
        <w:tblW w:w="9380" w:type="dxa"/>
        <w:tblLook w:val="04A0" w:firstRow="1" w:lastRow="0" w:firstColumn="1" w:lastColumn="0" w:noHBand="0" w:noVBand="1"/>
      </w:tblPr>
      <w:tblGrid>
        <w:gridCol w:w="5082"/>
        <w:gridCol w:w="4298"/>
      </w:tblGrid>
      <w:tr w:rsidR="002A7D91" w:rsidRPr="00B148F9" w14:paraId="34C7E413" w14:textId="77777777" w:rsidTr="00D87A1D">
        <w:trPr>
          <w:trHeight w:val="364"/>
        </w:trPr>
        <w:tc>
          <w:tcPr>
            <w:tcW w:w="5082" w:type="dxa"/>
          </w:tcPr>
          <w:p w14:paraId="4FF808F4" w14:textId="77777777" w:rsidR="002A7D91" w:rsidRPr="00B148F9" w:rsidRDefault="002A7D91" w:rsidP="00D87A1D">
            <w:pPr>
              <w:spacing w:line="360" w:lineRule="auto"/>
              <w:rPr>
                <w:b/>
                <w:sz w:val="18"/>
                <w:szCs w:val="18"/>
              </w:rPr>
            </w:pPr>
            <w:r w:rsidRPr="00B148F9">
              <w:rPr>
                <w:b/>
                <w:sz w:val="18"/>
                <w:szCs w:val="18"/>
              </w:rPr>
              <w:t>Type</w:t>
            </w:r>
          </w:p>
        </w:tc>
        <w:tc>
          <w:tcPr>
            <w:tcW w:w="4298" w:type="dxa"/>
          </w:tcPr>
          <w:p w14:paraId="797C68A8" w14:textId="6B685058" w:rsidR="002A7D91" w:rsidRPr="00B148F9" w:rsidRDefault="002A7D91" w:rsidP="00D87A1D">
            <w:pPr>
              <w:spacing w:line="360" w:lineRule="auto"/>
              <w:rPr>
                <w:b/>
                <w:sz w:val="18"/>
                <w:szCs w:val="18"/>
              </w:rPr>
            </w:pPr>
            <w:r w:rsidRPr="00B148F9">
              <w:rPr>
                <w:b/>
                <w:sz w:val="18"/>
                <w:szCs w:val="18"/>
              </w:rPr>
              <w:t xml:space="preserve">% of </w:t>
            </w:r>
            <w:r w:rsidR="00C77D5D" w:rsidRPr="00B148F9">
              <w:rPr>
                <w:b/>
                <w:sz w:val="18"/>
                <w:szCs w:val="18"/>
              </w:rPr>
              <w:t xml:space="preserve">Ordinary </w:t>
            </w:r>
            <w:r w:rsidRPr="00B148F9">
              <w:rPr>
                <w:b/>
                <w:sz w:val="18"/>
                <w:szCs w:val="18"/>
              </w:rPr>
              <w:t>NAV</w:t>
            </w:r>
          </w:p>
        </w:tc>
      </w:tr>
      <w:tr w:rsidR="002A7D91" w:rsidRPr="00B148F9" w14:paraId="6F68FB44" w14:textId="77777777" w:rsidTr="00D87A1D">
        <w:trPr>
          <w:trHeight w:val="378"/>
        </w:trPr>
        <w:tc>
          <w:tcPr>
            <w:tcW w:w="5082" w:type="dxa"/>
          </w:tcPr>
          <w:p w14:paraId="73858E3B" w14:textId="77777777" w:rsidR="002A7D91" w:rsidRPr="00B148F9" w:rsidRDefault="002A7D91" w:rsidP="00D87A1D">
            <w:pPr>
              <w:spacing w:line="360" w:lineRule="auto"/>
              <w:rPr>
                <w:sz w:val="18"/>
                <w:szCs w:val="18"/>
              </w:rPr>
            </w:pPr>
            <w:r w:rsidRPr="00B148F9">
              <w:rPr>
                <w:sz w:val="18"/>
                <w:szCs w:val="18"/>
              </w:rPr>
              <w:t>Portfolio assets (private and public)</w:t>
            </w:r>
          </w:p>
        </w:tc>
        <w:tc>
          <w:tcPr>
            <w:tcW w:w="4298" w:type="dxa"/>
          </w:tcPr>
          <w:p w14:paraId="65AE6BC3" w14:textId="77777777" w:rsidR="002A7D91" w:rsidRPr="00B148F9" w:rsidRDefault="002A7D91" w:rsidP="00D87A1D">
            <w:pPr>
              <w:jc w:val="right"/>
              <w:rPr>
                <w:sz w:val="18"/>
                <w:szCs w:val="18"/>
              </w:rPr>
            </w:pPr>
            <w:r w:rsidRPr="00B148F9">
              <w:rPr>
                <w:sz w:val="18"/>
                <w:szCs w:val="18"/>
              </w:rPr>
              <w:t>48.7%</w:t>
            </w:r>
          </w:p>
        </w:tc>
      </w:tr>
      <w:tr w:rsidR="002A7D91" w:rsidRPr="00B148F9" w14:paraId="00A1BDB3" w14:textId="77777777" w:rsidTr="00D87A1D">
        <w:trPr>
          <w:trHeight w:val="364"/>
        </w:trPr>
        <w:tc>
          <w:tcPr>
            <w:tcW w:w="5082" w:type="dxa"/>
          </w:tcPr>
          <w:p w14:paraId="297C6155" w14:textId="5EA648E9" w:rsidR="002A7D91" w:rsidRPr="00B148F9" w:rsidRDefault="00DD4BDB" w:rsidP="00D87A1D">
            <w:pPr>
              <w:spacing w:line="360" w:lineRule="auto"/>
              <w:rPr>
                <w:sz w:val="18"/>
                <w:szCs w:val="18"/>
              </w:rPr>
            </w:pPr>
            <w:r w:rsidRPr="00B148F9">
              <w:rPr>
                <w:sz w:val="18"/>
                <w:szCs w:val="18"/>
              </w:rPr>
              <w:t>Temporary public invest</w:t>
            </w:r>
            <w:r w:rsidR="001555E5" w:rsidRPr="00B148F9">
              <w:rPr>
                <w:sz w:val="18"/>
                <w:szCs w:val="18"/>
              </w:rPr>
              <w:t>ments</w:t>
            </w:r>
            <w:r w:rsidR="002A7D91" w:rsidRPr="00B148F9">
              <w:rPr>
                <w:sz w:val="18"/>
                <w:szCs w:val="18"/>
              </w:rPr>
              <w:t xml:space="preserve"> (cash management)</w:t>
            </w:r>
          </w:p>
        </w:tc>
        <w:tc>
          <w:tcPr>
            <w:tcW w:w="4298" w:type="dxa"/>
          </w:tcPr>
          <w:p w14:paraId="23AEB6A6" w14:textId="77777777" w:rsidR="002A7D91" w:rsidRPr="00B148F9" w:rsidRDefault="002A7D91" w:rsidP="00D87A1D">
            <w:pPr>
              <w:spacing w:line="360" w:lineRule="auto"/>
              <w:jc w:val="right"/>
              <w:rPr>
                <w:sz w:val="18"/>
                <w:szCs w:val="18"/>
              </w:rPr>
            </w:pPr>
            <w:r w:rsidRPr="00B148F9">
              <w:rPr>
                <w:sz w:val="18"/>
                <w:szCs w:val="18"/>
              </w:rPr>
              <w:t>34.8%</w:t>
            </w:r>
          </w:p>
        </w:tc>
      </w:tr>
      <w:tr w:rsidR="002A7D91" w:rsidRPr="00B148F9" w14:paraId="2077D036" w14:textId="77777777" w:rsidTr="00D87A1D">
        <w:trPr>
          <w:trHeight w:val="378"/>
        </w:trPr>
        <w:tc>
          <w:tcPr>
            <w:tcW w:w="5082" w:type="dxa"/>
          </w:tcPr>
          <w:p w14:paraId="57F722C4" w14:textId="77777777" w:rsidR="002A7D91" w:rsidRPr="00B148F9" w:rsidRDefault="002A7D91" w:rsidP="00D87A1D">
            <w:pPr>
              <w:spacing w:line="360" w:lineRule="auto"/>
              <w:rPr>
                <w:sz w:val="18"/>
                <w:szCs w:val="18"/>
              </w:rPr>
            </w:pPr>
            <w:r w:rsidRPr="00B148F9">
              <w:rPr>
                <w:sz w:val="18"/>
                <w:szCs w:val="18"/>
              </w:rPr>
              <w:t>Cash, due to/from brokers, other*</w:t>
            </w:r>
          </w:p>
        </w:tc>
        <w:tc>
          <w:tcPr>
            <w:tcW w:w="4298" w:type="dxa"/>
          </w:tcPr>
          <w:p w14:paraId="3EFD8F86" w14:textId="77777777" w:rsidR="002A7D91" w:rsidRPr="00B148F9" w:rsidRDefault="002A7D91" w:rsidP="00D87A1D">
            <w:pPr>
              <w:spacing w:line="360" w:lineRule="auto"/>
              <w:jc w:val="right"/>
              <w:rPr>
                <w:sz w:val="18"/>
                <w:szCs w:val="18"/>
              </w:rPr>
            </w:pPr>
            <w:r w:rsidRPr="00B148F9">
              <w:rPr>
                <w:sz w:val="18"/>
                <w:szCs w:val="18"/>
              </w:rPr>
              <w:t>16.5%</w:t>
            </w:r>
          </w:p>
        </w:tc>
      </w:tr>
      <w:tr w:rsidR="002A7D91" w:rsidRPr="00B148F9" w14:paraId="43772C5C" w14:textId="77777777" w:rsidTr="00D87A1D">
        <w:trPr>
          <w:trHeight w:val="364"/>
        </w:trPr>
        <w:tc>
          <w:tcPr>
            <w:tcW w:w="5082" w:type="dxa"/>
          </w:tcPr>
          <w:p w14:paraId="2F7B7ADD" w14:textId="77777777" w:rsidR="002A7D91" w:rsidRPr="00B148F9" w:rsidRDefault="002A7D91" w:rsidP="00D87A1D">
            <w:pPr>
              <w:spacing w:line="360" w:lineRule="auto"/>
              <w:rPr>
                <w:b/>
                <w:bCs/>
                <w:sz w:val="18"/>
                <w:szCs w:val="18"/>
              </w:rPr>
            </w:pPr>
            <w:r w:rsidRPr="00B148F9">
              <w:rPr>
                <w:b/>
                <w:bCs/>
                <w:sz w:val="18"/>
                <w:szCs w:val="18"/>
              </w:rPr>
              <w:t>Total</w:t>
            </w:r>
          </w:p>
        </w:tc>
        <w:tc>
          <w:tcPr>
            <w:tcW w:w="4298" w:type="dxa"/>
          </w:tcPr>
          <w:p w14:paraId="2F25428F" w14:textId="77777777" w:rsidR="002A7D91" w:rsidRPr="00B148F9" w:rsidRDefault="002A7D91" w:rsidP="00D87A1D">
            <w:pPr>
              <w:spacing w:line="360" w:lineRule="auto"/>
              <w:jc w:val="right"/>
              <w:rPr>
                <w:b/>
                <w:bCs/>
                <w:sz w:val="18"/>
                <w:szCs w:val="18"/>
              </w:rPr>
            </w:pPr>
            <w:r w:rsidRPr="00B148F9">
              <w:rPr>
                <w:b/>
                <w:bCs/>
                <w:sz w:val="18"/>
                <w:szCs w:val="18"/>
              </w:rPr>
              <w:t>100%</w:t>
            </w:r>
          </w:p>
        </w:tc>
      </w:tr>
    </w:tbl>
    <w:p w14:paraId="4DED990B" w14:textId="292F23DA" w:rsidR="002A7D91" w:rsidRPr="00B148F9" w:rsidRDefault="002A7D91" w:rsidP="002A7D91">
      <w:pPr>
        <w:rPr>
          <w:rFonts w:cs="Calibri"/>
          <w:sz w:val="16"/>
          <w:szCs w:val="16"/>
        </w:rPr>
      </w:pPr>
      <w:r w:rsidRPr="00B148F9">
        <w:rPr>
          <w:rFonts w:cs="Calibri"/>
          <w:sz w:val="16"/>
          <w:szCs w:val="16"/>
        </w:rPr>
        <w:t>*Other includes liabilities such as other payables</w:t>
      </w:r>
      <w:r w:rsidR="004A6DA1" w:rsidRPr="00B148F9">
        <w:rPr>
          <w:rFonts w:cs="Calibri"/>
          <w:sz w:val="16"/>
          <w:szCs w:val="16"/>
        </w:rPr>
        <w:t xml:space="preserve"> and</w:t>
      </w:r>
      <w:r w:rsidRPr="00B148F9">
        <w:rPr>
          <w:rFonts w:cs="Calibri"/>
          <w:sz w:val="16"/>
          <w:szCs w:val="16"/>
        </w:rPr>
        <w:t xml:space="preserve"> accrued expenses.</w:t>
      </w:r>
    </w:p>
    <w:p w14:paraId="2F1509BF" w14:textId="77777777" w:rsidR="002A7D91" w:rsidRPr="00B148F9" w:rsidRDefault="002A7D91" w:rsidP="002A7D91">
      <w:pPr>
        <w:rPr>
          <w:rFonts w:cs="Calibri"/>
          <w:b/>
        </w:rPr>
      </w:pPr>
    </w:p>
    <w:p w14:paraId="5523BA8E" w14:textId="0279816C" w:rsidR="002A7D91" w:rsidRPr="00B148F9" w:rsidRDefault="002A7D91" w:rsidP="002A7D91">
      <w:pPr>
        <w:rPr>
          <w:rFonts w:cs="Calibri"/>
        </w:rPr>
      </w:pPr>
      <w:r w:rsidRPr="00B148F9">
        <w:rPr>
          <w:rFonts w:cs="Calibri"/>
        </w:rPr>
        <w:t xml:space="preserve">At the end of the reporting period, the Company had allocated roughly half of its </w:t>
      </w:r>
      <w:r w:rsidR="00C77D5D" w:rsidRPr="00B148F9">
        <w:rPr>
          <w:rFonts w:cs="Calibri"/>
        </w:rPr>
        <w:t xml:space="preserve">Ordinary </w:t>
      </w:r>
      <w:r w:rsidRPr="00B148F9">
        <w:rPr>
          <w:rFonts w:cs="Calibri"/>
        </w:rPr>
        <w:t xml:space="preserve">NAV toward </w:t>
      </w:r>
      <w:r w:rsidR="00C331EF" w:rsidRPr="00B148F9">
        <w:rPr>
          <w:rFonts w:cs="Calibri"/>
        </w:rPr>
        <w:t>7</w:t>
      </w:r>
      <w:r w:rsidRPr="00B148F9">
        <w:rPr>
          <w:rFonts w:cs="Calibri"/>
        </w:rPr>
        <w:t xml:space="preserve"> portfolio assets, as well as investing roughly one-third into </w:t>
      </w:r>
      <w:r w:rsidR="001555E5" w:rsidRPr="00B148F9">
        <w:rPr>
          <w:rFonts w:cs="Calibri"/>
        </w:rPr>
        <w:t>temporary</w:t>
      </w:r>
      <w:r w:rsidRPr="00B148F9">
        <w:rPr>
          <w:rFonts w:cs="Calibri"/>
        </w:rPr>
        <w:t xml:space="preserve"> public</w:t>
      </w:r>
      <w:r w:rsidR="00A4199D" w:rsidRPr="00B148F9">
        <w:rPr>
          <w:rFonts w:cs="Calibri"/>
        </w:rPr>
        <w:t xml:space="preserve"> investments</w:t>
      </w:r>
      <w:r w:rsidRPr="00B148F9">
        <w:rPr>
          <w:rFonts w:cs="Calibri"/>
        </w:rPr>
        <w:t xml:space="preserve"> that are also held by our hedge fund vehicles, as a part of </w:t>
      </w:r>
      <w:r w:rsidR="006D1DDC" w:rsidRPr="00B148F9">
        <w:rPr>
          <w:rFonts w:cs="Calibri"/>
        </w:rPr>
        <w:t xml:space="preserve">a </w:t>
      </w:r>
      <w:r w:rsidRPr="00B148F9">
        <w:rPr>
          <w:rFonts w:cs="Calibri"/>
        </w:rPr>
        <w:t>cash management strategy. We expect to fully deploy the capital invested into</w:t>
      </w:r>
      <w:r w:rsidR="006C2002" w:rsidRPr="00B148F9">
        <w:rPr>
          <w:rFonts w:cs="Calibri"/>
        </w:rPr>
        <w:t xml:space="preserve"> temporary</w:t>
      </w:r>
      <w:r w:rsidRPr="00B148F9">
        <w:rPr>
          <w:rFonts w:cs="Calibri"/>
        </w:rPr>
        <w:t xml:space="preserve"> public names into private companies over the next 18 to 24 months.</w:t>
      </w:r>
    </w:p>
    <w:p w14:paraId="56B8AF14" w14:textId="77777777" w:rsidR="002A7D91" w:rsidRPr="00B148F9" w:rsidRDefault="002A7D91" w:rsidP="002A7D91">
      <w:pPr>
        <w:rPr>
          <w:rFonts w:cs="Calibri"/>
          <w:b/>
        </w:rPr>
      </w:pPr>
    </w:p>
    <w:p w14:paraId="062175C6" w14:textId="77777777" w:rsidR="002A7D91" w:rsidRPr="00B148F9" w:rsidRDefault="002A7D91" w:rsidP="002A7D91">
      <w:pPr>
        <w:rPr>
          <w:rFonts w:cs="Calibri"/>
          <w:i/>
        </w:rPr>
      </w:pPr>
      <w:r w:rsidRPr="00B148F9">
        <w:rPr>
          <w:rFonts w:cs="Calibri"/>
          <w:i/>
        </w:rPr>
        <w:t>Table 5. Overview of portfolio assets’ valuations</w:t>
      </w:r>
      <w:r w:rsidRPr="00B148F9">
        <w:rPr>
          <w:rFonts w:cs="Calibri"/>
          <w:i/>
          <w:vertAlign w:val="superscript"/>
        </w:rPr>
        <w:t>1</w:t>
      </w:r>
      <w:r w:rsidRPr="00B148F9">
        <w:rPr>
          <w:rFonts w:cs="Calibri"/>
          <w:i/>
        </w:rPr>
        <w:t xml:space="preserve"> as of 31 December 2019</w:t>
      </w:r>
    </w:p>
    <w:tbl>
      <w:tblPr>
        <w:tblStyle w:val="TableGrid"/>
        <w:tblW w:w="9417" w:type="dxa"/>
        <w:tblLook w:val="04A0" w:firstRow="1" w:lastRow="0" w:firstColumn="1" w:lastColumn="0" w:noHBand="0" w:noVBand="1"/>
      </w:tblPr>
      <w:tblGrid>
        <w:gridCol w:w="1304"/>
        <w:gridCol w:w="1105"/>
        <w:gridCol w:w="1192"/>
        <w:gridCol w:w="1192"/>
        <w:gridCol w:w="1209"/>
        <w:gridCol w:w="1192"/>
        <w:gridCol w:w="1192"/>
        <w:gridCol w:w="1031"/>
      </w:tblGrid>
      <w:tr w:rsidR="002A7D91" w:rsidRPr="00B148F9" w14:paraId="7EFFFE2D" w14:textId="77777777" w:rsidTr="00D87A1D">
        <w:trPr>
          <w:trHeight w:val="1561"/>
        </w:trPr>
        <w:tc>
          <w:tcPr>
            <w:tcW w:w="1304" w:type="dxa"/>
            <w:hideMark/>
          </w:tcPr>
          <w:p w14:paraId="4CAFE8CC" w14:textId="77777777" w:rsidR="002A7D91" w:rsidRPr="00B148F9" w:rsidRDefault="002A7D91" w:rsidP="00D87A1D">
            <w:pPr>
              <w:rPr>
                <w:rFonts w:cs="Calibri"/>
                <w:b/>
                <w:bCs/>
                <w:sz w:val="16"/>
                <w:szCs w:val="18"/>
              </w:rPr>
            </w:pPr>
            <w:r w:rsidRPr="00B148F9">
              <w:rPr>
                <w:rFonts w:cs="Calibri"/>
                <w:b/>
                <w:bCs/>
                <w:sz w:val="16"/>
                <w:szCs w:val="18"/>
              </w:rPr>
              <w:lastRenderedPageBreak/>
              <w:t>Portfolio Company</w:t>
            </w:r>
          </w:p>
        </w:tc>
        <w:tc>
          <w:tcPr>
            <w:tcW w:w="1105" w:type="dxa"/>
            <w:hideMark/>
          </w:tcPr>
          <w:p w14:paraId="1382B8F9" w14:textId="77777777" w:rsidR="002A7D91" w:rsidRPr="00B148F9" w:rsidRDefault="002A7D91" w:rsidP="00D87A1D">
            <w:pPr>
              <w:rPr>
                <w:rFonts w:cs="Calibri"/>
                <w:b/>
                <w:bCs/>
                <w:sz w:val="16"/>
                <w:szCs w:val="18"/>
              </w:rPr>
            </w:pPr>
            <w:r w:rsidRPr="00B148F9">
              <w:rPr>
                <w:rFonts w:cs="Calibri"/>
                <w:b/>
                <w:bCs/>
                <w:sz w:val="16"/>
                <w:szCs w:val="18"/>
              </w:rPr>
              <w:t>Public/ Private</w:t>
            </w:r>
          </w:p>
        </w:tc>
        <w:tc>
          <w:tcPr>
            <w:tcW w:w="1192" w:type="dxa"/>
          </w:tcPr>
          <w:p w14:paraId="18FEDA49" w14:textId="77777777" w:rsidR="002A7D91" w:rsidRPr="00B148F9" w:rsidRDefault="002A7D91" w:rsidP="00D87A1D">
            <w:pPr>
              <w:rPr>
                <w:rFonts w:cs="Calibri"/>
                <w:b/>
                <w:bCs/>
                <w:sz w:val="16"/>
                <w:szCs w:val="18"/>
              </w:rPr>
            </w:pPr>
            <w:r w:rsidRPr="00B148F9">
              <w:rPr>
                <w:rFonts w:cs="Calibri"/>
                <w:b/>
                <w:bCs/>
                <w:sz w:val="16"/>
                <w:szCs w:val="18"/>
              </w:rPr>
              <w:t>Valuation of Company’s investment at Admission</w:t>
            </w:r>
          </w:p>
        </w:tc>
        <w:tc>
          <w:tcPr>
            <w:tcW w:w="1192" w:type="dxa"/>
          </w:tcPr>
          <w:p w14:paraId="0408F458" w14:textId="77777777" w:rsidR="002A7D91" w:rsidRPr="00B148F9" w:rsidRDefault="002A7D91" w:rsidP="00D87A1D">
            <w:pPr>
              <w:rPr>
                <w:rFonts w:cs="Calibri"/>
                <w:b/>
                <w:bCs/>
                <w:sz w:val="16"/>
                <w:szCs w:val="18"/>
              </w:rPr>
            </w:pPr>
            <w:r w:rsidRPr="00B148F9">
              <w:rPr>
                <w:rFonts w:cs="Calibri"/>
                <w:b/>
                <w:bCs/>
                <w:sz w:val="16"/>
                <w:szCs w:val="18"/>
              </w:rPr>
              <w:t>% of Company’s net assets at Admission</w:t>
            </w:r>
          </w:p>
          <w:p w14:paraId="669294EE" w14:textId="77777777" w:rsidR="002A7D91" w:rsidRPr="00B148F9" w:rsidRDefault="002A7D91" w:rsidP="00D87A1D">
            <w:pPr>
              <w:rPr>
                <w:rFonts w:cs="Calibri"/>
                <w:b/>
                <w:bCs/>
                <w:color w:val="FF0000"/>
                <w:sz w:val="16"/>
                <w:szCs w:val="18"/>
              </w:rPr>
            </w:pPr>
          </w:p>
        </w:tc>
        <w:tc>
          <w:tcPr>
            <w:tcW w:w="1209" w:type="dxa"/>
            <w:hideMark/>
          </w:tcPr>
          <w:p w14:paraId="20685ACF" w14:textId="77777777" w:rsidR="002A7D91" w:rsidRPr="00B148F9" w:rsidRDefault="002A7D91" w:rsidP="00D87A1D">
            <w:pPr>
              <w:rPr>
                <w:rFonts w:cs="Calibri"/>
                <w:b/>
                <w:bCs/>
                <w:sz w:val="16"/>
                <w:szCs w:val="18"/>
              </w:rPr>
            </w:pPr>
            <w:r w:rsidRPr="00B148F9">
              <w:rPr>
                <w:rFonts w:cs="Calibri"/>
                <w:b/>
                <w:bCs/>
                <w:sz w:val="16"/>
                <w:szCs w:val="18"/>
              </w:rPr>
              <w:t>Valuation of Company’s investment as of December 31, 2019</w:t>
            </w:r>
          </w:p>
        </w:tc>
        <w:tc>
          <w:tcPr>
            <w:tcW w:w="1192" w:type="dxa"/>
            <w:hideMark/>
          </w:tcPr>
          <w:p w14:paraId="5E7083B3" w14:textId="77777777" w:rsidR="002A7D91" w:rsidRPr="00B148F9" w:rsidRDefault="002A7D91" w:rsidP="00D87A1D">
            <w:pPr>
              <w:rPr>
                <w:rFonts w:cs="Calibri"/>
                <w:b/>
                <w:bCs/>
                <w:sz w:val="16"/>
                <w:szCs w:val="18"/>
              </w:rPr>
            </w:pPr>
            <w:r w:rsidRPr="00B148F9">
              <w:rPr>
                <w:rFonts w:cs="Calibri"/>
                <w:b/>
                <w:bCs/>
                <w:sz w:val="16"/>
                <w:szCs w:val="18"/>
              </w:rPr>
              <w:t>% of Company’s net assets</w:t>
            </w:r>
          </w:p>
          <w:p w14:paraId="1D795554" w14:textId="77777777" w:rsidR="002A7D91" w:rsidRPr="00B148F9" w:rsidRDefault="002A7D91" w:rsidP="00D87A1D">
            <w:pPr>
              <w:rPr>
                <w:rFonts w:cs="Calibri"/>
                <w:b/>
                <w:bCs/>
                <w:sz w:val="16"/>
                <w:szCs w:val="18"/>
              </w:rPr>
            </w:pPr>
            <w:r w:rsidRPr="00B148F9">
              <w:rPr>
                <w:rFonts w:cs="Calibri"/>
                <w:b/>
                <w:bCs/>
                <w:sz w:val="16"/>
                <w:szCs w:val="18"/>
              </w:rPr>
              <w:t>as of December 31, 2019</w:t>
            </w:r>
          </w:p>
        </w:tc>
        <w:tc>
          <w:tcPr>
            <w:tcW w:w="1192" w:type="dxa"/>
          </w:tcPr>
          <w:p w14:paraId="52CB2F30" w14:textId="77777777" w:rsidR="002A7D91" w:rsidRPr="00B148F9" w:rsidRDefault="002A7D91" w:rsidP="00D87A1D">
            <w:pPr>
              <w:rPr>
                <w:rFonts w:cs="Calibri"/>
                <w:b/>
                <w:bCs/>
                <w:sz w:val="16"/>
                <w:szCs w:val="18"/>
              </w:rPr>
            </w:pPr>
            <w:r w:rsidRPr="00B148F9">
              <w:rPr>
                <w:rFonts w:cs="Calibri"/>
                <w:b/>
                <w:bCs/>
                <w:sz w:val="16"/>
                <w:szCs w:val="18"/>
              </w:rPr>
              <w:t>Company’s % interest Portfolio Company’s capital</w:t>
            </w:r>
          </w:p>
        </w:tc>
        <w:tc>
          <w:tcPr>
            <w:tcW w:w="1031" w:type="dxa"/>
          </w:tcPr>
          <w:p w14:paraId="57DE1CB4" w14:textId="77777777" w:rsidR="002A7D91" w:rsidRPr="00B148F9" w:rsidRDefault="002A7D91" w:rsidP="00D87A1D">
            <w:pPr>
              <w:rPr>
                <w:rFonts w:cs="Calibri"/>
                <w:b/>
                <w:bCs/>
                <w:color w:val="FF0000"/>
                <w:sz w:val="16"/>
                <w:szCs w:val="18"/>
              </w:rPr>
            </w:pPr>
            <w:r w:rsidRPr="00B148F9">
              <w:rPr>
                <w:rFonts w:cs="Calibri"/>
                <w:b/>
                <w:bCs/>
                <w:sz w:val="16"/>
                <w:szCs w:val="18"/>
              </w:rPr>
              <w:t>Valuation hierarchy</w:t>
            </w:r>
          </w:p>
        </w:tc>
      </w:tr>
      <w:tr w:rsidR="002A7D91" w:rsidRPr="00B148F9" w14:paraId="2FB61797" w14:textId="77777777" w:rsidTr="00D87A1D">
        <w:trPr>
          <w:trHeight w:val="770"/>
        </w:trPr>
        <w:tc>
          <w:tcPr>
            <w:tcW w:w="1304" w:type="dxa"/>
            <w:noWrap/>
            <w:hideMark/>
          </w:tcPr>
          <w:p w14:paraId="3DC70DEB" w14:textId="77777777" w:rsidR="002A7D91" w:rsidRPr="00B148F9" w:rsidRDefault="002A7D91" w:rsidP="00D87A1D">
            <w:pPr>
              <w:rPr>
                <w:rFonts w:cs="Calibri"/>
                <w:sz w:val="16"/>
                <w:szCs w:val="18"/>
              </w:rPr>
            </w:pPr>
            <w:r w:rsidRPr="00B148F9">
              <w:rPr>
                <w:rFonts w:cs="Calibri"/>
                <w:sz w:val="16"/>
                <w:szCs w:val="18"/>
              </w:rPr>
              <w:t>Avidity</w:t>
            </w:r>
          </w:p>
        </w:tc>
        <w:tc>
          <w:tcPr>
            <w:tcW w:w="1105" w:type="dxa"/>
            <w:hideMark/>
          </w:tcPr>
          <w:p w14:paraId="186DB6BB" w14:textId="77777777" w:rsidR="002A7D91" w:rsidRPr="00B148F9" w:rsidRDefault="002A7D91" w:rsidP="00D87A1D">
            <w:pPr>
              <w:rPr>
                <w:rFonts w:cs="Calibri"/>
                <w:sz w:val="16"/>
                <w:szCs w:val="18"/>
              </w:rPr>
            </w:pPr>
            <w:r w:rsidRPr="00B148F9">
              <w:rPr>
                <w:rFonts w:cs="Calibri"/>
                <w:sz w:val="16"/>
                <w:szCs w:val="18"/>
              </w:rPr>
              <w:t xml:space="preserve">Private </w:t>
            </w:r>
          </w:p>
        </w:tc>
        <w:tc>
          <w:tcPr>
            <w:tcW w:w="1192" w:type="dxa"/>
          </w:tcPr>
          <w:p w14:paraId="4407ECEA" w14:textId="77777777" w:rsidR="002A7D91" w:rsidRPr="00B148F9" w:rsidRDefault="002A7D91" w:rsidP="00D87A1D">
            <w:pPr>
              <w:rPr>
                <w:rFonts w:cs="Calibri"/>
                <w:sz w:val="16"/>
                <w:szCs w:val="16"/>
              </w:rPr>
            </w:pPr>
            <w:r w:rsidRPr="00B148F9">
              <w:rPr>
                <w:rFonts w:cs="Calibri"/>
                <w:sz w:val="16"/>
                <w:szCs w:val="16"/>
              </w:rPr>
              <w:t>N/A</w:t>
            </w:r>
          </w:p>
        </w:tc>
        <w:tc>
          <w:tcPr>
            <w:tcW w:w="1192" w:type="dxa"/>
          </w:tcPr>
          <w:p w14:paraId="7F18A3B2" w14:textId="77777777" w:rsidR="002A7D91" w:rsidRPr="00B148F9" w:rsidRDefault="002A7D91" w:rsidP="00D87A1D">
            <w:pPr>
              <w:rPr>
                <w:rFonts w:cs="Calibri"/>
                <w:sz w:val="16"/>
                <w:szCs w:val="16"/>
              </w:rPr>
            </w:pPr>
            <w:r w:rsidRPr="00B148F9">
              <w:rPr>
                <w:rFonts w:cs="Calibri"/>
                <w:sz w:val="16"/>
                <w:szCs w:val="16"/>
              </w:rPr>
              <w:t>N/A</w:t>
            </w:r>
          </w:p>
        </w:tc>
        <w:tc>
          <w:tcPr>
            <w:tcW w:w="1209" w:type="dxa"/>
            <w:noWrap/>
            <w:hideMark/>
          </w:tcPr>
          <w:p w14:paraId="6F4CE9EF" w14:textId="77777777" w:rsidR="002A7D91" w:rsidRPr="00B148F9" w:rsidRDefault="002A7D91" w:rsidP="00D87A1D">
            <w:pPr>
              <w:rPr>
                <w:rFonts w:cs="Calibri"/>
                <w:sz w:val="16"/>
                <w:szCs w:val="16"/>
              </w:rPr>
            </w:pPr>
            <w:r w:rsidRPr="00B148F9">
              <w:rPr>
                <w:rFonts w:cs="Calibri"/>
                <w:sz w:val="16"/>
                <w:szCs w:val="16"/>
              </w:rPr>
              <w:t>US$5.0 million</w:t>
            </w:r>
          </w:p>
        </w:tc>
        <w:tc>
          <w:tcPr>
            <w:tcW w:w="1192" w:type="dxa"/>
            <w:noWrap/>
            <w:hideMark/>
          </w:tcPr>
          <w:p w14:paraId="74B762D8" w14:textId="77777777" w:rsidR="002A7D91" w:rsidRPr="00B148F9" w:rsidRDefault="002A7D91" w:rsidP="00D87A1D">
            <w:pPr>
              <w:rPr>
                <w:rFonts w:cs="Calibri"/>
                <w:sz w:val="16"/>
                <w:szCs w:val="16"/>
              </w:rPr>
            </w:pPr>
            <w:r w:rsidRPr="00B148F9">
              <w:rPr>
                <w:rFonts w:cs="Calibri"/>
                <w:sz w:val="16"/>
                <w:szCs w:val="16"/>
              </w:rPr>
              <w:t>2.4%</w:t>
            </w:r>
          </w:p>
        </w:tc>
        <w:tc>
          <w:tcPr>
            <w:tcW w:w="1192" w:type="dxa"/>
          </w:tcPr>
          <w:p w14:paraId="3A57DD66" w14:textId="77777777" w:rsidR="002A7D91" w:rsidRPr="00B148F9" w:rsidRDefault="002A7D91" w:rsidP="00D87A1D">
            <w:pPr>
              <w:rPr>
                <w:rFonts w:cs="Calibri"/>
                <w:sz w:val="16"/>
                <w:szCs w:val="16"/>
              </w:rPr>
            </w:pPr>
            <w:r w:rsidRPr="00B148F9">
              <w:rPr>
                <w:rFonts w:cs="Calibri"/>
                <w:sz w:val="16"/>
                <w:szCs w:val="16"/>
              </w:rPr>
              <w:t>&lt;5%</w:t>
            </w:r>
          </w:p>
        </w:tc>
        <w:tc>
          <w:tcPr>
            <w:tcW w:w="1031" w:type="dxa"/>
          </w:tcPr>
          <w:p w14:paraId="57D55F4E" w14:textId="77777777" w:rsidR="002A7D91" w:rsidRPr="00B148F9" w:rsidRDefault="002A7D91" w:rsidP="00D87A1D">
            <w:pPr>
              <w:rPr>
                <w:rFonts w:cs="Calibri"/>
                <w:sz w:val="16"/>
                <w:szCs w:val="16"/>
              </w:rPr>
            </w:pPr>
            <w:r w:rsidRPr="00B148F9">
              <w:rPr>
                <w:rFonts w:cs="Calibri"/>
                <w:sz w:val="16"/>
                <w:szCs w:val="16"/>
              </w:rPr>
              <w:t>Level 3</w:t>
            </w:r>
          </w:p>
        </w:tc>
      </w:tr>
      <w:tr w:rsidR="002A7D91" w:rsidRPr="00B148F9" w14:paraId="01DC81E2" w14:textId="77777777" w:rsidTr="00D87A1D">
        <w:trPr>
          <w:trHeight w:val="1157"/>
        </w:trPr>
        <w:tc>
          <w:tcPr>
            <w:tcW w:w="1304" w:type="dxa"/>
            <w:noWrap/>
            <w:hideMark/>
          </w:tcPr>
          <w:p w14:paraId="77B3D70A" w14:textId="77777777" w:rsidR="002A7D91" w:rsidRPr="00B148F9" w:rsidRDefault="002A7D91" w:rsidP="00D87A1D">
            <w:pPr>
              <w:rPr>
                <w:rFonts w:cs="Calibri"/>
                <w:sz w:val="16"/>
                <w:szCs w:val="18"/>
              </w:rPr>
            </w:pPr>
            <w:r w:rsidRPr="00B148F9">
              <w:rPr>
                <w:rFonts w:cs="Calibri"/>
                <w:sz w:val="16"/>
                <w:szCs w:val="18"/>
              </w:rPr>
              <w:t>Beta Bionics</w:t>
            </w:r>
          </w:p>
        </w:tc>
        <w:tc>
          <w:tcPr>
            <w:tcW w:w="1105" w:type="dxa"/>
            <w:hideMark/>
          </w:tcPr>
          <w:p w14:paraId="494D9D02" w14:textId="77777777" w:rsidR="002A7D91" w:rsidRPr="00B148F9" w:rsidRDefault="002A7D91" w:rsidP="00D87A1D">
            <w:pPr>
              <w:rPr>
                <w:rFonts w:cs="Calibri"/>
                <w:sz w:val="16"/>
                <w:szCs w:val="18"/>
              </w:rPr>
            </w:pPr>
            <w:r w:rsidRPr="00B148F9">
              <w:rPr>
                <w:rFonts w:cs="Calibri"/>
                <w:sz w:val="16"/>
                <w:szCs w:val="18"/>
              </w:rPr>
              <w:t xml:space="preserve">Private </w:t>
            </w:r>
          </w:p>
        </w:tc>
        <w:tc>
          <w:tcPr>
            <w:tcW w:w="1192" w:type="dxa"/>
          </w:tcPr>
          <w:p w14:paraId="418D31AA" w14:textId="77777777" w:rsidR="002A7D91" w:rsidRPr="00B148F9" w:rsidRDefault="002A7D91" w:rsidP="00D87A1D">
            <w:pPr>
              <w:rPr>
                <w:rFonts w:cs="Calibri"/>
                <w:sz w:val="16"/>
                <w:szCs w:val="16"/>
              </w:rPr>
            </w:pPr>
            <w:r w:rsidRPr="00B148F9">
              <w:rPr>
                <w:sz w:val="16"/>
                <w:szCs w:val="16"/>
              </w:rPr>
              <w:t>US$5.0 million</w:t>
            </w:r>
          </w:p>
        </w:tc>
        <w:tc>
          <w:tcPr>
            <w:tcW w:w="1192" w:type="dxa"/>
          </w:tcPr>
          <w:p w14:paraId="60B71BBA" w14:textId="77777777" w:rsidR="002A7D91" w:rsidRPr="00B148F9" w:rsidRDefault="002A7D91" w:rsidP="00D87A1D">
            <w:pPr>
              <w:rPr>
                <w:rFonts w:cs="Calibri"/>
                <w:sz w:val="16"/>
                <w:szCs w:val="16"/>
              </w:rPr>
            </w:pPr>
            <w:r w:rsidRPr="00B148F9">
              <w:rPr>
                <w:sz w:val="16"/>
                <w:szCs w:val="16"/>
              </w:rPr>
              <w:t>3.4%</w:t>
            </w:r>
          </w:p>
        </w:tc>
        <w:tc>
          <w:tcPr>
            <w:tcW w:w="1209" w:type="dxa"/>
            <w:noWrap/>
            <w:hideMark/>
          </w:tcPr>
          <w:p w14:paraId="6BAF87A8" w14:textId="77777777" w:rsidR="002A7D91" w:rsidRPr="00B148F9" w:rsidRDefault="002A7D91" w:rsidP="00D87A1D">
            <w:pPr>
              <w:rPr>
                <w:rFonts w:cs="Calibri"/>
                <w:sz w:val="16"/>
                <w:szCs w:val="16"/>
              </w:rPr>
            </w:pPr>
            <w:r w:rsidRPr="00B148F9">
              <w:rPr>
                <w:rFonts w:cs="Calibri"/>
                <w:sz w:val="16"/>
                <w:szCs w:val="16"/>
              </w:rPr>
              <w:t>US$5.2 million</w:t>
            </w:r>
          </w:p>
        </w:tc>
        <w:tc>
          <w:tcPr>
            <w:tcW w:w="1192" w:type="dxa"/>
            <w:noWrap/>
            <w:hideMark/>
          </w:tcPr>
          <w:p w14:paraId="47F4371C" w14:textId="77777777" w:rsidR="002A7D91" w:rsidRPr="00B148F9" w:rsidRDefault="002A7D91" w:rsidP="00D87A1D">
            <w:pPr>
              <w:rPr>
                <w:rFonts w:cs="Calibri"/>
                <w:sz w:val="16"/>
                <w:szCs w:val="16"/>
              </w:rPr>
            </w:pPr>
            <w:r w:rsidRPr="00B148F9">
              <w:rPr>
                <w:rFonts w:cs="Calibri"/>
                <w:sz w:val="16"/>
                <w:szCs w:val="16"/>
              </w:rPr>
              <w:t>2.5%</w:t>
            </w:r>
          </w:p>
        </w:tc>
        <w:tc>
          <w:tcPr>
            <w:tcW w:w="1192" w:type="dxa"/>
          </w:tcPr>
          <w:p w14:paraId="7EF30968" w14:textId="77777777" w:rsidR="002A7D91" w:rsidRPr="00B148F9" w:rsidRDefault="002A7D91" w:rsidP="00D87A1D">
            <w:pPr>
              <w:rPr>
                <w:rFonts w:cs="Calibri"/>
                <w:sz w:val="16"/>
                <w:szCs w:val="16"/>
              </w:rPr>
            </w:pPr>
            <w:r w:rsidRPr="00B148F9">
              <w:rPr>
                <w:rFonts w:cs="Calibri"/>
                <w:sz w:val="16"/>
                <w:szCs w:val="16"/>
              </w:rPr>
              <w:t>&lt;5%</w:t>
            </w:r>
          </w:p>
        </w:tc>
        <w:tc>
          <w:tcPr>
            <w:tcW w:w="1031" w:type="dxa"/>
          </w:tcPr>
          <w:p w14:paraId="4CBCCB9F" w14:textId="77777777" w:rsidR="002A7D91" w:rsidRPr="00B148F9" w:rsidRDefault="002A7D91" w:rsidP="00D87A1D">
            <w:pPr>
              <w:rPr>
                <w:rFonts w:cs="Calibri"/>
                <w:sz w:val="16"/>
                <w:szCs w:val="16"/>
              </w:rPr>
            </w:pPr>
            <w:r w:rsidRPr="00B148F9">
              <w:rPr>
                <w:rFonts w:cs="Calibri"/>
                <w:sz w:val="16"/>
                <w:szCs w:val="16"/>
              </w:rPr>
              <w:t>Level 3</w:t>
            </w:r>
          </w:p>
        </w:tc>
      </w:tr>
      <w:tr w:rsidR="002A7D91" w:rsidRPr="00B148F9" w14:paraId="423BCC5E" w14:textId="77777777" w:rsidTr="00D87A1D">
        <w:trPr>
          <w:trHeight w:val="1157"/>
        </w:trPr>
        <w:tc>
          <w:tcPr>
            <w:tcW w:w="1304" w:type="dxa"/>
            <w:noWrap/>
            <w:hideMark/>
          </w:tcPr>
          <w:p w14:paraId="036F7CE5" w14:textId="77777777" w:rsidR="002A7D91" w:rsidRPr="00B148F9" w:rsidRDefault="002A7D91" w:rsidP="00D87A1D">
            <w:pPr>
              <w:rPr>
                <w:rFonts w:cs="Calibri"/>
                <w:sz w:val="16"/>
                <w:szCs w:val="18"/>
              </w:rPr>
            </w:pPr>
            <w:r w:rsidRPr="00B148F9">
              <w:rPr>
                <w:rFonts w:cs="Calibri"/>
                <w:sz w:val="16"/>
                <w:szCs w:val="18"/>
              </w:rPr>
              <w:t xml:space="preserve">Frequency </w:t>
            </w:r>
          </w:p>
        </w:tc>
        <w:tc>
          <w:tcPr>
            <w:tcW w:w="1105" w:type="dxa"/>
            <w:hideMark/>
          </w:tcPr>
          <w:p w14:paraId="6716FCBD" w14:textId="77777777" w:rsidR="002A7D91" w:rsidRPr="00B148F9" w:rsidRDefault="002A7D91" w:rsidP="00D87A1D">
            <w:pPr>
              <w:rPr>
                <w:rFonts w:cs="Calibri"/>
                <w:sz w:val="16"/>
                <w:szCs w:val="18"/>
              </w:rPr>
            </w:pPr>
            <w:r w:rsidRPr="00B148F9">
              <w:rPr>
                <w:rFonts w:cs="Calibri"/>
                <w:sz w:val="16"/>
                <w:szCs w:val="18"/>
              </w:rPr>
              <w:t>Public (NASDAQ)</w:t>
            </w:r>
          </w:p>
        </w:tc>
        <w:tc>
          <w:tcPr>
            <w:tcW w:w="1192" w:type="dxa"/>
          </w:tcPr>
          <w:p w14:paraId="77EABB2F" w14:textId="77777777" w:rsidR="002A7D91" w:rsidRPr="00B148F9" w:rsidRDefault="002A7D91" w:rsidP="00D87A1D">
            <w:pPr>
              <w:rPr>
                <w:rFonts w:cs="Calibri"/>
                <w:sz w:val="16"/>
                <w:szCs w:val="16"/>
              </w:rPr>
            </w:pPr>
            <w:r w:rsidRPr="00B148F9">
              <w:rPr>
                <w:sz w:val="16"/>
                <w:szCs w:val="16"/>
              </w:rPr>
              <w:t>US$2.9 million</w:t>
            </w:r>
          </w:p>
        </w:tc>
        <w:tc>
          <w:tcPr>
            <w:tcW w:w="1192" w:type="dxa"/>
          </w:tcPr>
          <w:p w14:paraId="031BF782" w14:textId="77777777" w:rsidR="002A7D91" w:rsidRPr="00B148F9" w:rsidRDefault="002A7D91" w:rsidP="00D87A1D">
            <w:pPr>
              <w:rPr>
                <w:rFonts w:cs="Calibri"/>
                <w:sz w:val="16"/>
                <w:szCs w:val="16"/>
              </w:rPr>
            </w:pPr>
            <w:r w:rsidRPr="00B148F9">
              <w:rPr>
                <w:sz w:val="16"/>
                <w:szCs w:val="16"/>
              </w:rPr>
              <w:t>2.0%</w:t>
            </w:r>
          </w:p>
        </w:tc>
        <w:tc>
          <w:tcPr>
            <w:tcW w:w="1209" w:type="dxa"/>
            <w:noWrap/>
            <w:hideMark/>
          </w:tcPr>
          <w:p w14:paraId="62F2EC66" w14:textId="77777777" w:rsidR="002A7D91" w:rsidRPr="00B148F9" w:rsidRDefault="002A7D91" w:rsidP="00D87A1D">
            <w:pPr>
              <w:rPr>
                <w:rFonts w:cs="Calibri"/>
                <w:sz w:val="16"/>
                <w:szCs w:val="16"/>
              </w:rPr>
            </w:pPr>
            <w:r w:rsidRPr="00B148F9">
              <w:rPr>
                <w:rFonts w:cs="Calibri"/>
                <w:sz w:val="16"/>
                <w:szCs w:val="16"/>
              </w:rPr>
              <w:t>US$3.9 million</w:t>
            </w:r>
          </w:p>
        </w:tc>
        <w:tc>
          <w:tcPr>
            <w:tcW w:w="1192" w:type="dxa"/>
            <w:noWrap/>
            <w:hideMark/>
          </w:tcPr>
          <w:p w14:paraId="1C63EB69" w14:textId="77777777" w:rsidR="002A7D91" w:rsidRPr="00B148F9" w:rsidRDefault="002A7D91" w:rsidP="00D87A1D">
            <w:pPr>
              <w:rPr>
                <w:rFonts w:cs="Calibri"/>
                <w:sz w:val="16"/>
                <w:szCs w:val="16"/>
              </w:rPr>
            </w:pPr>
            <w:r w:rsidRPr="00B148F9">
              <w:rPr>
                <w:rFonts w:cs="Calibri"/>
                <w:sz w:val="16"/>
                <w:szCs w:val="16"/>
              </w:rPr>
              <w:t>1.9%</w:t>
            </w:r>
          </w:p>
        </w:tc>
        <w:tc>
          <w:tcPr>
            <w:tcW w:w="1192" w:type="dxa"/>
          </w:tcPr>
          <w:p w14:paraId="404AEA45" w14:textId="77777777" w:rsidR="002A7D91" w:rsidRPr="00B148F9" w:rsidRDefault="002A7D91" w:rsidP="00D87A1D">
            <w:pPr>
              <w:rPr>
                <w:rFonts w:cs="Calibri"/>
                <w:sz w:val="16"/>
                <w:szCs w:val="16"/>
              </w:rPr>
            </w:pPr>
            <w:r w:rsidRPr="00B148F9">
              <w:rPr>
                <w:rFonts w:cs="Calibri"/>
                <w:sz w:val="16"/>
                <w:szCs w:val="16"/>
              </w:rPr>
              <w:t>&lt;1%</w:t>
            </w:r>
          </w:p>
        </w:tc>
        <w:tc>
          <w:tcPr>
            <w:tcW w:w="1031" w:type="dxa"/>
          </w:tcPr>
          <w:p w14:paraId="150A2BB7" w14:textId="77777777" w:rsidR="002A7D91" w:rsidRPr="00B148F9" w:rsidRDefault="002A7D91" w:rsidP="00D87A1D">
            <w:pPr>
              <w:rPr>
                <w:rFonts w:cs="Calibri"/>
                <w:sz w:val="16"/>
                <w:szCs w:val="16"/>
              </w:rPr>
            </w:pPr>
            <w:r w:rsidRPr="00B148F9">
              <w:rPr>
                <w:rFonts w:cs="Calibri"/>
                <w:sz w:val="16"/>
                <w:szCs w:val="16"/>
              </w:rPr>
              <w:t>Level 2</w:t>
            </w:r>
          </w:p>
        </w:tc>
      </w:tr>
      <w:tr w:rsidR="002A7D91" w:rsidRPr="00B148F9" w14:paraId="17E4B225" w14:textId="77777777" w:rsidTr="00D87A1D">
        <w:trPr>
          <w:trHeight w:val="770"/>
        </w:trPr>
        <w:tc>
          <w:tcPr>
            <w:tcW w:w="1304" w:type="dxa"/>
            <w:noWrap/>
            <w:hideMark/>
          </w:tcPr>
          <w:p w14:paraId="0B1C1788" w14:textId="77777777" w:rsidR="002A7D91" w:rsidRPr="00B148F9" w:rsidRDefault="002A7D91" w:rsidP="00D87A1D">
            <w:pPr>
              <w:rPr>
                <w:rFonts w:cs="Calibri"/>
                <w:sz w:val="16"/>
                <w:szCs w:val="18"/>
              </w:rPr>
            </w:pPr>
            <w:r w:rsidRPr="00B148F9">
              <w:rPr>
                <w:rFonts w:cs="Calibri"/>
                <w:sz w:val="16"/>
                <w:szCs w:val="18"/>
              </w:rPr>
              <w:t>Immunocore</w:t>
            </w:r>
          </w:p>
        </w:tc>
        <w:tc>
          <w:tcPr>
            <w:tcW w:w="1105" w:type="dxa"/>
            <w:hideMark/>
          </w:tcPr>
          <w:p w14:paraId="4FBF66AA" w14:textId="77777777" w:rsidR="002A7D91" w:rsidRPr="00B148F9" w:rsidRDefault="002A7D91" w:rsidP="00D87A1D">
            <w:pPr>
              <w:rPr>
                <w:rFonts w:cs="Calibri"/>
                <w:sz w:val="16"/>
                <w:szCs w:val="18"/>
              </w:rPr>
            </w:pPr>
            <w:r w:rsidRPr="00B148F9">
              <w:rPr>
                <w:rFonts w:cs="Calibri"/>
                <w:sz w:val="16"/>
                <w:szCs w:val="18"/>
              </w:rPr>
              <w:t xml:space="preserve">Private </w:t>
            </w:r>
          </w:p>
        </w:tc>
        <w:tc>
          <w:tcPr>
            <w:tcW w:w="1192" w:type="dxa"/>
          </w:tcPr>
          <w:p w14:paraId="7CD272AD" w14:textId="77777777" w:rsidR="002A7D91" w:rsidRPr="00B148F9" w:rsidRDefault="002A7D91" w:rsidP="00D87A1D">
            <w:pPr>
              <w:rPr>
                <w:rFonts w:cs="Calibri"/>
                <w:sz w:val="16"/>
                <w:szCs w:val="16"/>
              </w:rPr>
            </w:pPr>
            <w:r w:rsidRPr="00B148F9">
              <w:rPr>
                <w:sz w:val="16"/>
                <w:szCs w:val="16"/>
              </w:rPr>
              <w:t>US$5.0 million</w:t>
            </w:r>
          </w:p>
        </w:tc>
        <w:tc>
          <w:tcPr>
            <w:tcW w:w="1192" w:type="dxa"/>
          </w:tcPr>
          <w:p w14:paraId="30865EC5" w14:textId="77777777" w:rsidR="002A7D91" w:rsidRPr="00B148F9" w:rsidRDefault="002A7D91" w:rsidP="00D87A1D">
            <w:pPr>
              <w:rPr>
                <w:rFonts w:cs="Calibri"/>
                <w:sz w:val="16"/>
                <w:szCs w:val="16"/>
              </w:rPr>
            </w:pPr>
            <w:r w:rsidRPr="00B148F9">
              <w:rPr>
                <w:sz w:val="16"/>
                <w:szCs w:val="16"/>
              </w:rPr>
              <w:t>3.4%</w:t>
            </w:r>
          </w:p>
        </w:tc>
        <w:tc>
          <w:tcPr>
            <w:tcW w:w="1209" w:type="dxa"/>
            <w:noWrap/>
            <w:hideMark/>
          </w:tcPr>
          <w:p w14:paraId="2DEE723A" w14:textId="77777777" w:rsidR="002A7D91" w:rsidRPr="00B148F9" w:rsidRDefault="002A7D91" w:rsidP="00D87A1D">
            <w:pPr>
              <w:rPr>
                <w:rFonts w:cs="Calibri"/>
                <w:sz w:val="16"/>
                <w:szCs w:val="16"/>
              </w:rPr>
            </w:pPr>
            <w:r w:rsidRPr="00B148F9">
              <w:rPr>
                <w:rFonts w:cs="Calibri"/>
                <w:sz w:val="16"/>
                <w:szCs w:val="16"/>
              </w:rPr>
              <w:t>US$5.4 million</w:t>
            </w:r>
          </w:p>
        </w:tc>
        <w:tc>
          <w:tcPr>
            <w:tcW w:w="1192" w:type="dxa"/>
            <w:noWrap/>
            <w:hideMark/>
          </w:tcPr>
          <w:p w14:paraId="2FA0D990" w14:textId="77777777" w:rsidR="002A7D91" w:rsidRPr="00B148F9" w:rsidRDefault="002A7D91" w:rsidP="00D87A1D">
            <w:pPr>
              <w:rPr>
                <w:rFonts w:cs="Calibri"/>
                <w:sz w:val="16"/>
                <w:szCs w:val="16"/>
              </w:rPr>
            </w:pPr>
            <w:r w:rsidRPr="00B148F9">
              <w:rPr>
                <w:rFonts w:cs="Calibri"/>
                <w:sz w:val="16"/>
                <w:szCs w:val="16"/>
              </w:rPr>
              <w:t>2.6%</w:t>
            </w:r>
          </w:p>
        </w:tc>
        <w:tc>
          <w:tcPr>
            <w:tcW w:w="1192" w:type="dxa"/>
          </w:tcPr>
          <w:p w14:paraId="48C72F85" w14:textId="77777777" w:rsidR="002A7D91" w:rsidRPr="00B148F9" w:rsidRDefault="002A7D91" w:rsidP="00D87A1D">
            <w:pPr>
              <w:rPr>
                <w:rFonts w:cs="Calibri"/>
                <w:sz w:val="16"/>
                <w:szCs w:val="16"/>
              </w:rPr>
            </w:pPr>
            <w:r w:rsidRPr="00B148F9">
              <w:rPr>
                <w:rFonts w:cs="Calibri"/>
                <w:sz w:val="16"/>
                <w:szCs w:val="16"/>
              </w:rPr>
              <w:t>&lt;1%</w:t>
            </w:r>
          </w:p>
        </w:tc>
        <w:tc>
          <w:tcPr>
            <w:tcW w:w="1031" w:type="dxa"/>
          </w:tcPr>
          <w:p w14:paraId="1C76E2BA" w14:textId="77777777" w:rsidR="002A7D91" w:rsidRPr="00B148F9" w:rsidRDefault="002A7D91" w:rsidP="00D87A1D">
            <w:pPr>
              <w:rPr>
                <w:rFonts w:cs="Calibri"/>
                <w:sz w:val="16"/>
                <w:szCs w:val="16"/>
              </w:rPr>
            </w:pPr>
            <w:r w:rsidRPr="00B148F9">
              <w:rPr>
                <w:rFonts w:cs="Calibri"/>
                <w:sz w:val="16"/>
                <w:szCs w:val="16"/>
              </w:rPr>
              <w:t>Level 3</w:t>
            </w:r>
          </w:p>
        </w:tc>
      </w:tr>
      <w:tr w:rsidR="002A7D91" w:rsidRPr="00B148F9" w14:paraId="0A6C43DE" w14:textId="77777777" w:rsidTr="00D87A1D">
        <w:trPr>
          <w:trHeight w:val="770"/>
        </w:trPr>
        <w:tc>
          <w:tcPr>
            <w:tcW w:w="1304" w:type="dxa"/>
            <w:noWrap/>
            <w:hideMark/>
          </w:tcPr>
          <w:p w14:paraId="3B92EE3D" w14:textId="77777777" w:rsidR="002A7D91" w:rsidRPr="00B148F9" w:rsidRDefault="002A7D91" w:rsidP="00D87A1D">
            <w:pPr>
              <w:rPr>
                <w:rFonts w:cs="Calibri"/>
                <w:sz w:val="16"/>
                <w:szCs w:val="18"/>
              </w:rPr>
            </w:pPr>
            <w:r w:rsidRPr="00B148F9">
              <w:rPr>
                <w:rFonts w:cs="Calibri"/>
                <w:sz w:val="16"/>
                <w:szCs w:val="18"/>
              </w:rPr>
              <w:t>Landos</w:t>
            </w:r>
          </w:p>
        </w:tc>
        <w:tc>
          <w:tcPr>
            <w:tcW w:w="1105" w:type="dxa"/>
            <w:hideMark/>
          </w:tcPr>
          <w:p w14:paraId="0ECA67DD" w14:textId="77777777" w:rsidR="002A7D91" w:rsidRPr="00B148F9" w:rsidRDefault="002A7D91" w:rsidP="00D87A1D">
            <w:pPr>
              <w:rPr>
                <w:rFonts w:cs="Calibri"/>
                <w:sz w:val="16"/>
                <w:szCs w:val="18"/>
              </w:rPr>
            </w:pPr>
            <w:r w:rsidRPr="00B148F9">
              <w:rPr>
                <w:rFonts w:cs="Calibri"/>
                <w:sz w:val="16"/>
                <w:szCs w:val="18"/>
              </w:rPr>
              <w:t xml:space="preserve">Private </w:t>
            </w:r>
          </w:p>
        </w:tc>
        <w:tc>
          <w:tcPr>
            <w:tcW w:w="1192" w:type="dxa"/>
          </w:tcPr>
          <w:p w14:paraId="05FF4AA0" w14:textId="77777777" w:rsidR="002A7D91" w:rsidRPr="00B148F9" w:rsidRDefault="002A7D91" w:rsidP="00D87A1D">
            <w:pPr>
              <w:rPr>
                <w:rFonts w:cs="Calibri"/>
                <w:sz w:val="16"/>
                <w:szCs w:val="16"/>
              </w:rPr>
            </w:pPr>
            <w:r w:rsidRPr="00B148F9">
              <w:rPr>
                <w:sz w:val="16"/>
                <w:szCs w:val="16"/>
              </w:rPr>
              <w:t>US$5.0 million</w:t>
            </w:r>
          </w:p>
        </w:tc>
        <w:tc>
          <w:tcPr>
            <w:tcW w:w="1192" w:type="dxa"/>
          </w:tcPr>
          <w:p w14:paraId="2DDE9E96" w14:textId="77777777" w:rsidR="002A7D91" w:rsidRPr="00B148F9" w:rsidRDefault="002A7D91" w:rsidP="00D87A1D">
            <w:pPr>
              <w:rPr>
                <w:rFonts w:cs="Calibri"/>
                <w:sz w:val="16"/>
                <w:szCs w:val="16"/>
              </w:rPr>
            </w:pPr>
            <w:r w:rsidRPr="00B148F9">
              <w:rPr>
                <w:sz w:val="16"/>
                <w:szCs w:val="16"/>
              </w:rPr>
              <w:t>3.4%</w:t>
            </w:r>
          </w:p>
        </w:tc>
        <w:tc>
          <w:tcPr>
            <w:tcW w:w="1209" w:type="dxa"/>
            <w:noWrap/>
            <w:hideMark/>
          </w:tcPr>
          <w:p w14:paraId="5076BEC0" w14:textId="77777777" w:rsidR="002A7D91" w:rsidRPr="00B148F9" w:rsidRDefault="002A7D91" w:rsidP="00D87A1D">
            <w:pPr>
              <w:rPr>
                <w:rFonts w:cs="Calibri"/>
                <w:sz w:val="16"/>
                <w:szCs w:val="16"/>
              </w:rPr>
            </w:pPr>
            <w:r w:rsidRPr="00B148F9">
              <w:rPr>
                <w:rFonts w:cs="Calibri"/>
                <w:sz w:val="16"/>
                <w:szCs w:val="16"/>
              </w:rPr>
              <w:t>US$5.1 million</w:t>
            </w:r>
          </w:p>
        </w:tc>
        <w:tc>
          <w:tcPr>
            <w:tcW w:w="1192" w:type="dxa"/>
            <w:noWrap/>
            <w:hideMark/>
          </w:tcPr>
          <w:p w14:paraId="7680B8EB" w14:textId="77777777" w:rsidR="002A7D91" w:rsidRPr="00B148F9" w:rsidRDefault="002A7D91" w:rsidP="00D87A1D">
            <w:pPr>
              <w:rPr>
                <w:rFonts w:cs="Calibri"/>
                <w:sz w:val="16"/>
                <w:szCs w:val="16"/>
              </w:rPr>
            </w:pPr>
            <w:r w:rsidRPr="00B148F9">
              <w:rPr>
                <w:rFonts w:cs="Calibri"/>
                <w:sz w:val="16"/>
                <w:szCs w:val="16"/>
              </w:rPr>
              <w:t>2.5%</w:t>
            </w:r>
          </w:p>
        </w:tc>
        <w:tc>
          <w:tcPr>
            <w:tcW w:w="1192" w:type="dxa"/>
          </w:tcPr>
          <w:p w14:paraId="43430229" w14:textId="77777777" w:rsidR="002A7D91" w:rsidRPr="00B148F9" w:rsidRDefault="002A7D91" w:rsidP="00D87A1D">
            <w:pPr>
              <w:rPr>
                <w:rFonts w:cs="Calibri"/>
                <w:sz w:val="16"/>
                <w:szCs w:val="16"/>
              </w:rPr>
            </w:pPr>
            <w:r w:rsidRPr="00B148F9">
              <w:rPr>
                <w:rFonts w:cs="Calibri"/>
                <w:sz w:val="16"/>
                <w:szCs w:val="16"/>
              </w:rPr>
              <w:t>&lt;5%</w:t>
            </w:r>
          </w:p>
        </w:tc>
        <w:tc>
          <w:tcPr>
            <w:tcW w:w="1031" w:type="dxa"/>
          </w:tcPr>
          <w:p w14:paraId="7CB6C338" w14:textId="77777777" w:rsidR="002A7D91" w:rsidRPr="00B148F9" w:rsidRDefault="002A7D91" w:rsidP="00D87A1D">
            <w:pPr>
              <w:rPr>
                <w:rFonts w:cs="Calibri"/>
                <w:sz w:val="16"/>
                <w:szCs w:val="16"/>
              </w:rPr>
            </w:pPr>
            <w:r w:rsidRPr="00B148F9">
              <w:rPr>
                <w:rFonts w:cs="Calibri"/>
                <w:sz w:val="16"/>
                <w:szCs w:val="16"/>
              </w:rPr>
              <w:t>Level 3</w:t>
            </w:r>
          </w:p>
        </w:tc>
      </w:tr>
      <w:tr w:rsidR="002A7D91" w:rsidRPr="00B148F9" w14:paraId="22D3CCEA" w14:textId="77777777" w:rsidTr="00D87A1D">
        <w:trPr>
          <w:trHeight w:val="1157"/>
        </w:trPr>
        <w:tc>
          <w:tcPr>
            <w:tcW w:w="1304" w:type="dxa"/>
            <w:noWrap/>
            <w:hideMark/>
          </w:tcPr>
          <w:p w14:paraId="76744D53" w14:textId="77777777" w:rsidR="002A7D91" w:rsidRPr="00B148F9" w:rsidRDefault="002A7D91" w:rsidP="00D87A1D">
            <w:pPr>
              <w:rPr>
                <w:rFonts w:cs="Calibri"/>
                <w:sz w:val="16"/>
                <w:szCs w:val="18"/>
              </w:rPr>
            </w:pPr>
            <w:r w:rsidRPr="00B148F9">
              <w:rPr>
                <w:rFonts w:cs="Calibri"/>
                <w:sz w:val="16"/>
                <w:szCs w:val="18"/>
              </w:rPr>
              <w:t>Orchestra</w:t>
            </w:r>
          </w:p>
        </w:tc>
        <w:tc>
          <w:tcPr>
            <w:tcW w:w="1105" w:type="dxa"/>
            <w:hideMark/>
          </w:tcPr>
          <w:p w14:paraId="66C75366" w14:textId="77777777" w:rsidR="002A7D91" w:rsidRPr="00B148F9" w:rsidRDefault="002A7D91" w:rsidP="00D87A1D">
            <w:pPr>
              <w:rPr>
                <w:rFonts w:cs="Calibri"/>
                <w:sz w:val="16"/>
                <w:szCs w:val="18"/>
              </w:rPr>
            </w:pPr>
            <w:r w:rsidRPr="00B148F9">
              <w:rPr>
                <w:rFonts w:cs="Calibri"/>
                <w:sz w:val="16"/>
                <w:szCs w:val="18"/>
              </w:rPr>
              <w:t xml:space="preserve">Private </w:t>
            </w:r>
          </w:p>
        </w:tc>
        <w:tc>
          <w:tcPr>
            <w:tcW w:w="1192" w:type="dxa"/>
          </w:tcPr>
          <w:p w14:paraId="07D75FC7" w14:textId="77777777" w:rsidR="002A7D91" w:rsidRPr="00B148F9" w:rsidRDefault="002A7D91" w:rsidP="00D87A1D">
            <w:pPr>
              <w:rPr>
                <w:rFonts w:cs="Calibri"/>
                <w:sz w:val="16"/>
                <w:szCs w:val="16"/>
              </w:rPr>
            </w:pPr>
            <w:r w:rsidRPr="00B148F9">
              <w:rPr>
                <w:sz w:val="16"/>
                <w:szCs w:val="16"/>
              </w:rPr>
              <w:t>US$2.5 million</w:t>
            </w:r>
          </w:p>
        </w:tc>
        <w:tc>
          <w:tcPr>
            <w:tcW w:w="1192" w:type="dxa"/>
          </w:tcPr>
          <w:p w14:paraId="6C820219" w14:textId="77777777" w:rsidR="002A7D91" w:rsidRPr="00B148F9" w:rsidRDefault="002A7D91" w:rsidP="00D87A1D">
            <w:pPr>
              <w:rPr>
                <w:rFonts w:cs="Calibri"/>
                <w:sz w:val="16"/>
                <w:szCs w:val="16"/>
              </w:rPr>
            </w:pPr>
            <w:r w:rsidRPr="00B148F9">
              <w:rPr>
                <w:sz w:val="16"/>
                <w:szCs w:val="16"/>
              </w:rPr>
              <w:t>1.7%</w:t>
            </w:r>
          </w:p>
        </w:tc>
        <w:tc>
          <w:tcPr>
            <w:tcW w:w="1209" w:type="dxa"/>
            <w:noWrap/>
            <w:hideMark/>
          </w:tcPr>
          <w:p w14:paraId="52976ABF" w14:textId="77777777" w:rsidR="002A7D91" w:rsidRPr="00B148F9" w:rsidRDefault="002A7D91" w:rsidP="00D87A1D">
            <w:pPr>
              <w:rPr>
                <w:rFonts w:cs="Calibri"/>
                <w:sz w:val="16"/>
                <w:szCs w:val="16"/>
              </w:rPr>
            </w:pPr>
            <w:r w:rsidRPr="00B148F9">
              <w:rPr>
                <w:rFonts w:cs="Calibri"/>
                <w:sz w:val="16"/>
                <w:szCs w:val="16"/>
              </w:rPr>
              <w:t>US$2.4 million</w:t>
            </w:r>
          </w:p>
        </w:tc>
        <w:tc>
          <w:tcPr>
            <w:tcW w:w="1192" w:type="dxa"/>
            <w:noWrap/>
            <w:hideMark/>
          </w:tcPr>
          <w:p w14:paraId="15E7105C" w14:textId="77777777" w:rsidR="002A7D91" w:rsidRPr="00B148F9" w:rsidRDefault="002A7D91" w:rsidP="00D87A1D">
            <w:pPr>
              <w:rPr>
                <w:rFonts w:cs="Calibri"/>
                <w:sz w:val="16"/>
                <w:szCs w:val="16"/>
              </w:rPr>
            </w:pPr>
            <w:r w:rsidRPr="00B148F9">
              <w:rPr>
                <w:rFonts w:cs="Calibri"/>
                <w:sz w:val="16"/>
                <w:szCs w:val="16"/>
              </w:rPr>
              <w:t>1.2%</w:t>
            </w:r>
          </w:p>
        </w:tc>
        <w:tc>
          <w:tcPr>
            <w:tcW w:w="1192" w:type="dxa"/>
          </w:tcPr>
          <w:p w14:paraId="5C6B4D45" w14:textId="77777777" w:rsidR="002A7D91" w:rsidRPr="00B148F9" w:rsidRDefault="002A7D91" w:rsidP="00D87A1D">
            <w:pPr>
              <w:rPr>
                <w:rFonts w:cs="Calibri"/>
                <w:sz w:val="16"/>
                <w:szCs w:val="16"/>
              </w:rPr>
            </w:pPr>
            <w:r w:rsidRPr="00B148F9">
              <w:rPr>
                <w:rFonts w:cs="Calibri"/>
                <w:sz w:val="16"/>
                <w:szCs w:val="16"/>
              </w:rPr>
              <w:t>&lt;1%</w:t>
            </w:r>
          </w:p>
        </w:tc>
        <w:tc>
          <w:tcPr>
            <w:tcW w:w="1031" w:type="dxa"/>
          </w:tcPr>
          <w:p w14:paraId="1B804495" w14:textId="77777777" w:rsidR="002A7D91" w:rsidRPr="00B148F9" w:rsidRDefault="002A7D91" w:rsidP="00D87A1D">
            <w:pPr>
              <w:rPr>
                <w:rFonts w:cs="Calibri"/>
                <w:sz w:val="16"/>
                <w:szCs w:val="16"/>
              </w:rPr>
            </w:pPr>
            <w:r w:rsidRPr="00B148F9">
              <w:rPr>
                <w:rFonts w:cs="Calibri"/>
                <w:sz w:val="16"/>
                <w:szCs w:val="16"/>
              </w:rPr>
              <w:t>Level 3</w:t>
            </w:r>
          </w:p>
        </w:tc>
      </w:tr>
      <w:tr w:rsidR="002A7D91" w:rsidRPr="00B148F9" w14:paraId="7F4430A2" w14:textId="77777777" w:rsidTr="00D87A1D">
        <w:trPr>
          <w:trHeight w:val="770"/>
        </w:trPr>
        <w:tc>
          <w:tcPr>
            <w:tcW w:w="1304" w:type="dxa"/>
            <w:noWrap/>
            <w:hideMark/>
          </w:tcPr>
          <w:p w14:paraId="3268FD1B" w14:textId="77777777" w:rsidR="002A7D91" w:rsidRPr="00B148F9" w:rsidRDefault="002A7D91" w:rsidP="00D87A1D">
            <w:pPr>
              <w:rPr>
                <w:sz w:val="16"/>
              </w:rPr>
            </w:pPr>
            <w:r w:rsidRPr="00B148F9">
              <w:rPr>
                <w:sz w:val="16"/>
              </w:rPr>
              <w:t xml:space="preserve">Rocket </w:t>
            </w:r>
          </w:p>
        </w:tc>
        <w:tc>
          <w:tcPr>
            <w:tcW w:w="1105" w:type="dxa"/>
            <w:hideMark/>
          </w:tcPr>
          <w:p w14:paraId="00C2D552" w14:textId="77777777" w:rsidR="002A7D91" w:rsidRPr="00B148F9" w:rsidRDefault="002A7D91" w:rsidP="00D87A1D">
            <w:pPr>
              <w:rPr>
                <w:rFonts w:cs="Calibri"/>
                <w:sz w:val="16"/>
                <w:szCs w:val="18"/>
              </w:rPr>
            </w:pPr>
            <w:r w:rsidRPr="00B148F9">
              <w:rPr>
                <w:rFonts w:cs="Calibri"/>
                <w:sz w:val="16"/>
                <w:szCs w:val="18"/>
              </w:rPr>
              <w:t>Public (NASDAQ)</w:t>
            </w:r>
          </w:p>
        </w:tc>
        <w:tc>
          <w:tcPr>
            <w:tcW w:w="1192" w:type="dxa"/>
          </w:tcPr>
          <w:p w14:paraId="4D7E5C77" w14:textId="77777777" w:rsidR="002A7D91" w:rsidRPr="00B148F9" w:rsidRDefault="002A7D91" w:rsidP="00D87A1D">
            <w:pPr>
              <w:rPr>
                <w:rFonts w:cs="Calibri"/>
                <w:sz w:val="16"/>
                <w:szCs w:val="16"/>
              </w:rPr>
            </w:pPr>
            <w:r w:rsidRPr="00B148F9">
              <w:rPr>
                <w:sz w:val="16"/>
                <w:szCs w:val="16"/>
              </w:rPr>
              <w:t>US$34.2 million</w:t>
            </w:r>
          </w:p>
        </w:tc>
        <w:tc>
          <w:tcPr>
            <w:tcW w:w="1192" w:type="dxa"/>
          </w:tcPr>
          <w:p w14:paraId="03AE2B7C" w14:textId="77777777" w:rsidR="002A7D91" w:rsidRPr="00B148F9" w:rsidRDefault="002A7D91" w:rsidP="00D87A1D">
            <w:pPr>
              <w:rPr>
                <w:rFonts w:cs="Calibri"/>
                <w:color w:val="FF0000"/>
                <w:sz w:val="16"/>
                <w:szCs w:val="16"/>
              </w:rPr>
            </w:pPr>
            <w:r w:rsidRPr="00B148F9">
              <w:rPr>
                <w:sz w:val="16"/>
                <w:szCs w:val="16"/>
              </w:rPr>
              <w:t>23.5%</w:t>
            </w:r>
          </w:p>
        </w:tc>
        <w:tc>
          <w:tcPr>
            <w:tcW w:w="1209" w:type="dxa"/>
            <w:noWrap/>
            <w:hideMark/>
          </w:tcPr>
          <w:p w14:paraId="4BC6E25A" w14:textId="77777777" w:rsidR="002A7D91" w:rsidRPr="00B148F9" w:rsidRDefault="002A7D91" w:rsidP="00D87A1D">
            <w:pPr>
              <w:rPr>
                <w:rFonts w:cs="Calibri"/>
                <w:sz w:val="16"/>
                <w:szCs w:val="16"/>
              </w:rPr>
            </w:pPr>
            <w:r w:rsidRPr="00B148F9">
              <w:rPr>
                <w:rFonts w:cs="Calibri"/>
                <w:sz w:val="16"/>
                <w:szCs w:val="16"/>
              </w:rPr>
              <w:t>US$70.3 million</w:t>
            </w:r>
          </w:p>
        </w:tc>
        <w:tc>
          <w:tcPr>
            <w:tcW w:w="1192" w:type="dxa"/>
            <w:noWrap/>
            <w:hideMark/>
          </w:tcPr>
          <w:p w14:paraId="27E67A47" w14:textId="77777777" w:rsidR="002A7D91" w:rsidRPr="00B148F9" w:rsidRDefault="002A7D91" w:rsidP="00D87A1D">
            <w:pPr>
              <w:rPr>
                <w:rFonts w:cs="Calibri"/>
                <w:sz w:val="16"/>
                <w:szCs w:val="16"/>
              </w:rPr>
            </w:pPr>
            <w:r w:rsidRPr="00B148F9">
              <w:rPr>
                <w:rFonts w:cs="Calibri"/>
                <w:sz w:val="16"/>
                <w:szCs w:val="16"/>
              </w:rPr>
              <w:t>34.2%</w:t>
            </w:r>
          </w:p>
        </w:tc>
        <w:tc>
          <w:tcPr>
            <w:tcW w:w="1192" w:type="dxa"/>
          </w:tcPr>
          <w:p w14:paraId="4FEDB8A1" w14:textId="77777777" w:rsidR="002A7D91" w:rsidRPr="00B148F9" w:rsidRDefault="002A7D91" w:rsidP="00D87A1D">
            <w:pPr>
              <w:rPr>
                <w:rFonts w:cs="Calibri"/>
                <w:sz w:val="16"/>
                <w:szCs w:val="16"/>
              </w:rPr>
            </w:pPr>
            <w:r w:rsidRPr="00B148F9">
              <w:rPr>
                <w:rFonts w:cs="Calibri"/>
                <w:sz w:val="16"/>
                <w:szCs w:val="16"/>
              </w:rPr>
              <w:t>&lt; 10%</w:t>
            </w:r>
          </w:p>
        </w:tc>
        <w:tc>
          <w:tcPr>
            <w:tcW w:w="1031" w:type="dxa"/>
          </w:tcPr>
          <w:p w14:paraId="6DD0D339" w14:textId="77777777" w:rsidR="002A7D91" w:rsidRPr="00B148F9" w:rsidRDefault="002A7D91" w:rsidP="00D87A1D">
            <w:pPr>
              <w:rPr>
                <w:rFonts w:cs="Calibri"/>
                <w:sz w:val="16"/>
                <w:szCs w:val="16"/>
              </w:rPr>
            </w:pPr>
            <w:r w:rsidRPr="00B148F9">
              <w:rPr>
                <w:rFonts w:cs="Calibri"/>
                <w:sz w:val="16"/>
                <w:szCs w:val="16"/>
              </w:rPr>
              <w:t>Level 1</w:t>
            </w:r>
          </w:p>
        </w:tc>
      </w:tr>
    </w:tbl>
    <w:p w14:paraId="760AABA9" w14:textId="301F75EC" w:rsidR="002A7D91" w:rsidRPr="00B148F9" w:rsidRDefault="002A7D91" w:rsidP="002A7D91">
      <w:pPr>
        <w:rPr>
          <w:rFonts w:cs="Calibri"/>
          <w:color w:val="FF0000"/>
          <w:sz w:val="18"/>
          <w:szCs w:val="18"/>
        </w:rPr>
      </w:pPr>
      <w:r w:rsidRPr="00B148F9">
        <w:rPr>
          <w:vertAlign w:val="superscript"/>
        </w:rPr>
        <w:t xml:space="preserve">1 </w:t>
      </w:r>
      <w:r w:rsidRPr="00B148F9">
        <w:rPr>
          <w:sz w:val="16"/>
          <w:szCs w:val="16"/>
        </w:rPr>
        <w:t>Valuations for Private Portfolio Compan</w:t>
      </w:r>
      <w:r w:rsidR="0031754F" w:rsidRPr="00B148F9">
        <w:rPr>
          <w:sz w:val="16"/>
          <w:szCs w:val="16"/>
        </w:rPr>
        <w:t>ies</w:t>
      </w:r>
      <w:r w:rsidRPr="00B148F9">
        <w:rPr>
          <w:sz w:val="16"/>
          <w:szCs w:val="16"/>
        </w:rPr>
        <w:t xml:space="preserve"> on a fair market value basis as at </w:t>
      </w:r>
      <w:r w:rsidR="00780DC6" w:rsidRPr="00B148F9">
        <w:rPr>
          <w:sz w:val="16"/>
          <w:szCs w:val="16"/>
        </w:rPr>
        <w:t>31 December 2019</w:t>
      </w:r>
      <w:r w:rsidRPr="00B148F9">
        <w:rPr>
          <w:sz w:val="16"/>
          <w:szCs w:val="16"/>
        </w:rPr>
        <w:t>. The valuations of Rocket and Frequency have been calculated using their market capitalization as at the Latest Practicable Date. In accordance with the Company’s valuation policy, the Company applies a discount to its investments in Private Portfolio Companies which become Public Portfolio Companies that are subject to customary post-IPO lock-up provisions.</w:t>
      </w:r>
    </w:p>
    <w:p w14:paraId="1268797E" w14:textId="77777777" w:rsidR="002A7D91" w:rsidRPr="00B148F9" w:rsidRDefault="002A7D91" w:rsidP="002A7D91">
      <w:pPr>
        <w:spacing w:line="360" w:lineRule="auto"/>
        <w:rPr>
          <w:sz w:val="18"/>
          <w:szCs w:val="18"/>
        </w:rPr>
      </w:pPr>
    </w:p>
    <w:p w14:paraId="4D099D6E" w14:textId="701B7A20" w:rsidR="002A7D91" w:rsidRPr="00B148F9" w:rsidRDefault="002A7D91" w:rsidP="002A7D91">
      <w:pPr>
        <w:rPr>
          <w:rFonts w:cstheme="minorHAnsi"/>
        </w:rPr>
      </w:pPr>
      <w:r w:rsidRPr="00B148F9">
        <w:rPr>
          <w:rFonts w:cstheme="minorHAnsi"/>
        </w:rPr>
        <w:t xml:space="preserve">The Company’s pipeline assets include a specialty pharmaceutical company, referred to as </w:t>
      </w:r>
      <w:r w:rsidR="00C331EF" w:rsidRPr="00B148F9">
        <w:rPr>
          <w:rFonts w:cstheme="minorHAnsi"/>
        </w:rPr>
        <w:t xml:space="preserve">Ji Xing, </w:t>
      </w:r>
      <w:r w:rsidRPr="00B148F9">
        <w:rPr>
          <w:rFonts w:cstheme="minorHAnsi"/>
        </w:rPr>
        <w:t>which was also disclosed in the Company's prospectus dated 14 October 2019</w:t>
      </w:r>
      <w:r w:rsidR="00C331EF" w:rsidRPr="00B148F9">
        <w:rPr>
          <w:rFonts w:cstheme="minorHAnsi"/>
        </w:rPr>
        <w:t>, formerly referred to as “China NewCo”</w:t>
      </w:r>
      <w:r w:rsidRPr="00B148F9">
        <w:rPr>
          <w:rFonts w:cstheme="minorHAnsi"/>
        </w:rPr>
        <w:t>.</w:t>
      </w:r>
    </w:p>
    <w:p w14:paraId="05E8AE34" w14:textId="77777777" w:rsidR="002A7D91" w:rsidRPr="00B148F9" w:rsidRDefault="002A7D91" w:rsidP="002A7D91">
      <w:pPr>
        <w:rPr>
          <w:rFonts w:cstheme="minorHAnsi"/>
        </w:rPr>
      </w:pPr>
    </w:p>
    <w:p w14:paraId="04E969D1" w14:textId="7521A358" w:rsidR="002A7D91" w:rsidRPr="00B148F9" w:rsidRDefault="002A7D91" w:rsidP="002A7D91">
      <w:pPr>
        <w:rPr>
          <w:rFonts w:cs="Calibri"/>
          <w:i/>
          <w:szCs w:val="18"/>
        </w:rPr>
      </w:pPr>
      <w:r w:rsidRPr="00B148F9">
        <w:rPr>
          <w:rFonts w:cs="Calibri"/>
          <w:i/>
          <w:szCs w:val="18"/>
        </w:rPr>
        <w:t xml:space="preserve">Table 6. Overview of pipeline investments </w:t>
      </w:r>
      <w:r w:rsidR="004315FE" w:rsidRPr="00B148F9">
        <w:rPr>
          <w:rFonts w:cs="Calibri"/>
          <w:i/>
        </w:rPr>
        <w:t>as of 31 December 2019</w:t>
      </w:r>
    </w:p>
    <w:tbl>
      <w:tblPr>
        <w:tblStyle w:val="TableGrid"/>
        <w:tblW w:w="9263" w:type="dxa"/>
        <w:tblLayout w:type="fixed"/>
        <w:tblLook w:val="04A0" w:firstRow="1" w:lastRow="0" w:firstColumn="1" w:lastColumn="0" w:noHBand="0" w:noVBand="1"/>
      </w:tblPr>
      <w:tblGrid>
        <w:gridCol w:w="1293"/>
        <w:gridCol w:w="1526"/>
        <w:gridCol w:w="3266"/>
        <w:gridCol w:w="3178"/>
      </w:tblGrid>
      <w:tr w:rsidR="002A7D91" w:rsidRPr="00B148F9" w14:paraId="0D0F30F9" w14:textId="77777777" w:rsidTr="00D87A1D">
        <w:trPr>
          <w:trHeight w:val="376"/>
        </w:trPr>
        <w:tc>
          <w:tcPr>
            <w:tcW w:w="1293" w:type="dxa"/>
          </w:tcPr>
          <w:p w14:paraId="098D3D23" w14:textId="77777777" w:rsidR="002A7D91" w:rsidRPr="00B148F9" w:rsidRDefault="002A7D91" w:rsidP="00D87A1D">
            <w:pPr>
              <w:rPr>
                <w:b/>
                <w:sz w:val="18"/>
                <w:szCs w:val="18"/>
              </w:rPr>
            </w:pPr>
            <w:r w:rsidRPr="00B148F9">
              <w:rPr>
                <w:b/>
                <w:sz w:val="18"/>
                <w:szCs w:val="18"/>
              </w:rPr>
              <w:t>Pipeline Asset</w:t>
            </w:r>
          </w:p>
        </w:tc>
        <w:tc>
          <w:tcPr>
            <w:tcW w:w="1526" w:type="dxa"/>
          </w:tcPr>
          <w:p w14:paraId="0A6F22C3" w14:textId="77777777" w:rsidR="002A7D91" w:rsidRPr="00B148F9" w:rsidRDefault="002A7D91" w:rsidP="00D87A1D">
            <w:pPr>
              <w:rPr>
                <w:rFonts w:cs="Calibri"/>
                <w:b/>
                <w:sz w:val="18"/>
                <w:szCs w:val="18"/>
              </w:rPr>
            </w:pPr>
            <w:r w:rsidRPr="00B148F9">
              <w:rPr>
                <w:rFonts w:cs="Calibri"/>
                <w:b/>
                <w:sz w:val="18"/>
                <w:szCs w:val="18"/>
              </w:rPr>
              <w:t>Public/Private</w:t>
            </w:r>
          </w:p>
        </w:tc>
        <w:tc>
          <w:tcPr>
            <w:tcW w:w="3266" w:type="dxa"/>
          </w:tcPr>
          <w:p w14:paraId="64954B69" w14:textId="77777777" w:rsidR="002A7D91" w:rsidRPr="00B148F9" w:rsidRDefault="002A7D91" w:rsidP="00D87A1D">
            <w:pPr>
              <w:rPr>
                <w:b/>
                <w:sz w:val="18"/>
                <w:szCs w:val="18"/>
              </w:rPr>
            </w:pPr>
            <w:r w:rsidRPr="00B148F9">
              <w:rPr>
                <w:b/>
                <w:sz w:val="18"/>
                <w:szCs w:val="18"/>
              </w:rPr>
              <w:t>Description</w:t>
            </w:r>
          </w:p>
        </w:tc>
        <w:tc>
          <w:tcPr>
            <w:tcW w:w="3178" w:type="dxa"/>
          </w:tcPr>
          <w:p w14:paraId="4E7ADA4E" w14:textId="77777777" w:rsidR="002A7D91" w:rsidRPr="00B148F9" w:rsidRDefault="002A7D91" w:rsidP="00D87A1D">
            <w:pPr>
              <w:rPr>
                <w:rFonts w:cs="Calibri"/>
                <w:b/>
                <w:sz w:val="18"/>
                <w:szCs w:val="18"/>
              </w:rPr>
            </w:pPr>
            <w:r w:rsidRPr="00B148F9">
              <w:rPr>
                <w:rFonts w:cs="Calibri"/>
                <w:b/>
                <w:sz w:val="18"/>
                <w:szCs w:val="18"/>
              </w:rPr>
              <w:t>Company’s planned</w:t>
            </w:r>
          </w:p>
          <w:p w14:paraId="5A15B009" w14:textId="77777777" w:rsidR="002A7D91" w:rsidRPr="00B148F9" w:rsidRDefault="002A7D91" w:rsidP="00D87A1D">
            <w:pPr>
              <w:rPr>
                <w:rFonts w:cs="Calibri"/>
                <w:b/>
                <w:sz w:val="18"/>
                <w:szCs w:val="18"/>
              </w:rPr>
            </w:pPr>
            <w:r w:rsidRPr="00B148F9">
              <w:rPr>
                <w:rFonts w:cs="Calibri"/>
                <w:b/>
                <w:sz w:val="18"/>
                <w:szCs w:val="18"/>
              </w:rPr>
              <w:t>investment</w:t>
            </w:r>
          </w:p>
        </w:tc>
      </w:tr>
      <w:tr w:rsidR="002A7D91" w:rsidRPr="00B148F9" w14:paraId="1E0D89A2" w14:textId="77777777" w:rsidTr="00D87A1D">
        <w:trPr>
          <w:trHeight w:val="62"/>
        </w:trPr>
        <w:tc>
          <w:tcPr>
            <w:tcW w:w="1293" w:type="dxa"/>
          </w:tcPr>
          <w:p w14:paraId="1AD682EC" w14:textId="77777777" w:rsidR="002A7D91" w:rsidRPr="00B148F9" w:rsidRDefault="002A7D91" w:rsidP="00D87A1D">
            <w:pPr>
              <w:rPr>
                <w:b/>
                <w:sz w:val="18"/>
                <w:szCs w:val="18"/>
              </w:rPr>
            </w:pPr>
            <w:r w:rsidRPr="00B148F9">
              <w:rPr>
                <w:b/>
                <w:sz w:val="18"/>
                <w:szCs w:val="18"/>
              </w:rPr>
              <w:t>Ji Xing</w:t>
            </w:r>
          </w:p>
        </w:tc>
        <w:tc>
          <w:tcPr>
            <w:tcW w:w="1526" w:type="dxa"/>
          </w:tcPr>
          <w:p w14:paraId="32694FA2" w14:textId="77777777" w:rsidR="002A7D91" w:rsidRPr="00B148F9" w:rsidRDefault="002A7D91" w:rsidP="00D87A1D">
            <w:pPr>
              <w:rPr>
                <w:rFonts w:cs="Calibri"/>
                <w:sz w:val="18"/>
                <w:szCs w:val="18"/>
              </w:rPr>
            </w:pPr>
            <w:r w:rsidRPr="00B148F9">
              <w:rPr>
                <w:rFonts w:cs="Calibri"/>
                <w:sz w:val="18"/>
                <w:szCs w:val="18"/>
              </w:rPr>
              <w:t>Private Portfolio</w:t>
            </w:r>
          </w:p>
          <w:p w14:paraId="0D20C0AA" w14:textId="77777777" w:rsidR="002A7D91" w:rsidRPr="00B148F9" w:rsidRDefault="002A7D91" w:rsidP="00D87A1D">
            <w:pPr>
              <w:rPr>
                <w:rFonts w:cs="Calibri"/>
                <w:sz w:val="18"/>
                <w:szCs w:val="18"/>
              </w:rPr>
            </w:pPr>
            <w:r w:rsidRPr="00B148F9">
              <w:rPr>
                <w:rFonts w:cs="Calibri"/>
                <w:sz w:val="18"/>
                <w:szCs w:val="18"/>
              </w:rPr>
              <w:t>Company</w:t>
            </w:r>
          </w:p>
        </w:tc>
        <w:tc>
          <w:tcPr>
            <w:tcW w:w="3266" w:type="dxa"/>
          </w:tcPr>
          <w:p w14:paraId="3C8BDFD2" w14:textId="77777777" w:rsidR="002A7D91" w:rsidRPr="00B148F9" w:rsidRDefault="002A7D91" w:rsidP="00D87A1D">
            <w:pPr>
              <w:rPr>
                <w:sz w:val="18"/>
                <w:szCs w:val="18"/>
              </w:rPr>
            </w:pPr>
            <w:r w:rsidRPr="00B148F9">
              <w:rPr>
                <w:sz w:val="18"/>
                <w:szCs w:val="18"/>
              </w:rPr>
              <w:t>Will focus on the distribution of</w:t>
            </w:r>
          </w:p>
          <w:p w14:paraId="5D165F9E" w14:textId="77777777" w:rsidR="002A7D91" w:rsidRPr="00B148F9" w:rsidRDefault="002A7D91" w:rsidP="00D87A1D">
            <w:pPr>
              <w:rPr>
                <w:sz w:val="18"/>
                <w:szCs w:val="18"/>
              </w:rPr>
            </w:pPr>
            <w:r w:rsidRPr="00B148F9">
              <w:rPr>
                <w:sz w:val="18"/>
                <w:szCs w:val="18"/>
              </w:rPr>
              <w:t>innovative US and European</w:t>
            </w:r>
          </w:p>
          <w:p w14:paraId="3E5F128E" w14:textId="77777777" w:rsidR="002A7D91" w:rsidRPr="00B148F9" w:rsidRDefault="002A7D91" w:rsidP="00D87A1D">
            <w:pPr>
              <w:rPr>
                <w:rFonts w:cs="Calibri"/>
                <w:sz w:val="18"/>
                <w:szCs w:val="18"/>
              </w:rPr>
            </w:pPr>
            <w:r w:rsidRPr="00B148F9">
              <w:rPr>
                <w:sz w:val="18"/>
                <w:szCs w:val="18"/>
              </w:rPr>
              <w:t>drugs in the Chinese market</w:t>
            </w:r>
          </w:p>
        </w:tc>
        <w:tc>
          <w:tcPr>
            <w:tcW w:w="3178" w:type="dxa"/>
          </w:tcPr>
          <w:p w14:paraId="6057A97A" w14:textId="77777777" w:rsidR="002A7D91" w:rsidRPr="00B148F9" w:rsidRDefault="002A7D91" w:rsidP="00D87A1D">
            <w:pPr>
              <w:rPr>
                <w:rFonts w:cs="Calibri"/>
                <w:sz w:val="18"/>
                <w:szCs w:val="18"/>
              </w:rPr>
            </w:pPr>
            <w:r w:rsidRPr="00B148F9">
              <w:rPr>
                <w:rFonts w:cs="Calibri"/>
                <w:sz w:val="18"/>
                <w:szCs w:val="18"/>
              </w:rPr>
              <w:t>US$5-10 million</w:t>
            </w:r>
          </w:p>
        </w:tc>
      </w:tr>
    </w:tbl>
    <w:p w14:paraId="0865DD4D" w14:textId="77777777" w:rsidR="002A7D91" w:rsidRPr="00B148F9" w:rsidRDefault="002A7D91" w:rsidP="002A7D91">
      <w:pPr>
        <w:rPr>
          <w:rFonts w:cs="Calibri"/>
          <w:b/>
          <w:sz w:val="18"/>
          <w:szCs w:val="18"/>
        </w:rPr>
      </w:pPr>
    </w:p>
    <w:p w14:paraId="46E79775" w14:textId="77777777" w:rsidR="002A7D91" w:rsidRPr="00B148F9" w:rsidRDefault="002A7D91" w:rsidP="002A7D91">
      <w:pPr>
        <w:rPr>
          <w:rFonts w:cstheme="minorHAnsi"/>
          <w:b/>
        </w:rPr>
      </w:pPr>
      <w:r w:rsidRPr="00B148F9">
        <w:rPr>
          <w:rFonts w:cstheme="minorHAnsi"/>
          <w:b/>
        </w:rPr>
        <w:t>Summary of portfolio assets:</w:t>
      </w:r>
    </w:p>
    <w:p w14:paraId="0AD5E757" w14:textId="77777777" w:rsidR="002A7D91" w:rsidRPr="00B148F9" w:rsidRDefault="002A7D91" w:rsidP="002A7D91">
      <w:pPr>
        <w:rPr>
          <w:rFonts w:cstheme="minorHAnsi"/>
        </w:rPr>
      </w:pPr>
    </w:p>
    <w:p w14:paraId="3DAA3E18" w14:textId="0C39ACB9" w:rsidR="002A7D91" w:rsidRPr="00B148F9" w:rsidRDefault="002A7D91" w:rsidP="002A7D91">
      <w:pPr>
        <w:rPr>
          <w:rFonts w:cstheme="minorHAnsi"/>
        </w:rPr>
      </w:pPr>
      <w:r w:rsidRPr="00B148F9">
        <w:rPr>
          <w:rFonts w:cstheme="minorHAnsi"/>
        </w:rPr>
        <w:t>The Company has made investments in seven portfolio assets. Portfolio assets range from biotechnology companies developing clinical-stage therapeutic programs,</w:t>
      </w:r>
      <w:r w:rsidR="00485A2B">
        <w:rPr>
          <w:rFonts w:cstheme="minorHAnsi"/>
        </w:rPr>
        <w:t xml:space="preserve"> to</w:t>
      </w:r>
      <w:r w:rsidRPr="00B148F9">
        <w:rPr>
          <w:rFonts w:cstheme="minorHAnsi"/>
        </w:rPr>
        <w:t xml:space="preserve"> companies developing traditional small molecule pharmaceuticals, and two med-tech companies developing transformative devices. The Company’s pipeline asset</w:t>
      </w:r>
      <w:r w:rsidR="007979DB" w:rsidRPr="00B148F9">
        <w:rPr>
          <w:rFonts w:cstheme="minorHAnsi"/>
        </w:rPr>
        <w:t>s</w:t>
      </w:r>
      <w:r w:rsidRPr="00B148F9">
        <w:rPr>
          <w:rFonts w:cstheme="minorHAnsi"/>
        </w:rPr>
        <w:t>, funded post the year end, includes a specialty pharmaceutical company, Ji Xing, formerly referred to as “China NewCo”, which will focus on the distribution of innovative US and European drugs in the Chinese market (the “</w:t>
      </w:r>
      <w:r w:rsidRPr="00B148F9">
        <w:rPr>
          <w:rFonts w:cstheme="minorHAnsi"/>
          <w:b/>
        </w:rPr>
        <w:t xml:space="preserve">Pipeline </w:t>
      </w:r>
      <w:r w:rsidR="00485A2B">
        <w:rPr>
          <w:rFonts w:cstheme="minorHAnsi"/>
          <w:b/>
        </w:rPr>
        <w:t xml:space="preserve">of </w:t>
      </w:r>
      <w:r w:rsidRPr="00B148F9">
        <w:rPr>
          <w:rFonts w:cstheme="minorHAnsi"/>
          <w:b/>
        </w:rPr>
        <w:t>Assets</w:t>
      </w:r>
      <w:r w:rsidRPr="00B148F9">
        <w:rPr>
          <w:rFonts w:cstheme="minorHAnsi"/>
        </w:rPr>
        <w:t>”). We selected the Company’s portfolio assets and the pipeline based upon our rigorous assessment of scientific and commercial potential, opportunities to positively impact value, and with regard to the valuation of the assets at the time of investment.</w:t>
      </w:r>
    </w:p>
    <w:p w14:paraId="471CE959" w14:textId="77777777" w:rsidR="002A7D91" w:rsidRPr="00B148F9" w:rsidRDefault="002A7D91" w:rsidP="002A7D91">
      <w:pPr>
        <w:rPr>
          <w:rFonts w:cstheme="minorHAnsi"/>
        </w:rPr>
      </w:pPr>
    </w:p>
    <w:p w14:paraId="3B30D1E0" w14:textId="6BD103FF" w:rsidR="002A7D91" w:rsidRPr="00B148F9" w:rsidRDefault="002A7D91" w:rsidP="002A7D91">
      <w:pPr>
        <w:rPr>
          <w:rFonts w:cstheme="minorHAnsi"/>
          <w:bCs/>
          <w:i/>
        </w:rPr>
      </w:pPr>
      <w:r w:rsidRPr="00B148F9">
        <w:rPr>
          <w:rFonts w:cstheme="minorHAnsi"/>
          <w:bCs/>
          <w:i/>
        </w:rPr>
        <w:t xml:space="preserve">Table 7. </w:t>
      </w:r>
      <w:r w:rsidR="000503C5" w:rsidRPr="00B148F9">
        <w:rPr>
          <w:rFonts w:cstheme="minorHAnsi"/>
          <w:bCs/>
          <w:i/>
        </w:rPr>
        <w:t xml:space="preserve">Portfolio </w:t>
      </w:r>
      <w:r w:rsidR="00625365" w:rsidRPr="00B148F9">
        <w:rPr>
          <w:rFonts w:cstheme="minorHAnsi"/>
          <w:bCs/>
          <w:i/>
        </w:rPr>
        <w:t>companies</w:t>
      </w:r>
      <w:r w:rsidRPr="00B148F9">
        <w:rPr>
          <w:rFonts w:cstheme="minorHAnsi"/>
          <w:bCs/>
          <w:i/>
        </w:rPr>
        <w:t xml:space="preserve"> </w:t>
      </w:r>
      <w:r w:rsidR="002A6663" w:rsidRPr="00B148F9">
        <w:rPr>
          <w:rFonts w:cs="Calibri"/>
          <w:i/>
        </w:rPr>
        <w:t>as of 31 December 2019</w:t>
      </w:r>
    </w:p>
    <w:tbl>
      <w:tblPr>
        <w:tblStyle w:val="TableGrid"/>
        <w:tblW w:w="9576" w:type="dxa"/>
        <w:tblLook w:val="04A0" w:firstRow="1" w:lastRow="0" w:firstColumn="1" w:lastColumn="0" w:noHBand="0" w:noVBand="1"/>
      </w:tblPr>
      <w:tblGrid>
        <w:gridCol w:w="1746"/>
        <w:gridCol w:w="1447"/>
        <w:gridCol w:w="1595"/>
        <w:gridCol w:w="1595"/>
        <w:gridCol w:w="1355"/>
        <w:gridCol w:w="1838"/>
      </w:tblGrid>
      <w:tr w:rsidR="002A7D91" w:rsidRPr="00B148F9" w14:paraId="50D20762" w14:textId="77777777" w:rsidTr="00D87A1D">
        <w:trPr>
          <w:trHeight w:val="307"/>
        </w:trPr>
        <w:tc>
          <w:tcPr>
            <w:tcW w:w="1746" w:type="dxa"/>
            <w:vMerge w:val="restart"/>
          </w:tcPr>
          <w:p w14:paraId="5AF05058" w14:textId="77777777" w:rsidR="002A7D91" w:rsidRPr="00B148F9" w:rsidRDefault="002A7D91" w:rsidP="00D87A1D">
            <w:pPr>
              <w:rPr>
                <w:rFonts w:cstheme="minorHAnsi"/>
                <w:b/>
                <w:bCs/>
                <w:sz w:val="18"/>
                <w:szCs w:val="18"/>
              </w:rPr>
            </w:pPr>
            <w:r w:rsidRPr="00B148F9">
              <w:rPr>
                <w:rFonts w:cstheme="minorHAnsi"/>
                <w:b/>
                <w:bCs/>
                <w:sz w:val="18"/>
                <w:szCs w:val="18"/>
              </w:rPr>
              <w:lastRenderedPageBreak/>
              <w:t>Modality</w:t>
            </w:r>
          </w:p>
        </w:tc>
        <w:tc>
          <w:tcPr>
            <w:tcW w:w="5992" w:type="dxa"/>
            <w:gridSpan w:val="4"/>
          </w:tcPr>
          <w:p w14:paraId="5047353B" w14:textId="77777777" w:rsidR="002A7D91" w:rsidRPr="00B148F9" w:rsidRDefault="002A7D91" w:rsidP="00D87A1D">
            <w:pPr>
              <w:rPr>
                <w:rFonts w:cstheme="minorHAnsi"/>
                <w:b/>
                <w:bCs/>
                <w:sz w:val="18"/>
                <w:szCs w:val="18"/>
              </w:rPr>
            </w:pPr>
            <w:r w:rsidRPr="00B148F9">
              <w:rPr>
                <w:rFonts w:cstheme="minorHAnsi"/>
                <w:b/>
                <w:bCs/>
                <w:sz w:val="18"/>
                <w:szCs w:val="18"/>
              </w:rPr>
              <w:t>Clinical trial stage*</w:t>
            </w:r>
          </w:p>
        </w:tc>
        <w:tc>
          <w:tcPr>
            <w:tcW w:w="1838" w:type="dxa"/>
            <w:vMerge w:val="restart"/>
          </w:tcPr>
          <w:p w14:paraId="56D1FC89" w14:textId="77777777" w:rsidR="002A7D91" w:rsidRPr="00B148F9" w:rsidRDefault="002A7D91" w:rsidP="00D87A1D">
            <w:pPr>
              <w:rPr>
                <w:rFonts w:cstheme="minorHAnsi"/>
                <w:b/>
                <w:bCs/>
                <w:sz w:val="18"/>
                <w:szCs w:val="18"/>
              </w:rPr>
            </w:pPr>
            <w:r w:rsidRPr="00B148F9">
              <w:rPr>
                <w:rFonts w:cstheme="minorHAnsi"/>
                <w:b/>
                <w:bCs/>
                <w:sz w:val="18"/>
                <w:szCs w:val="18"/>
              </w:rPr>
              <w:t>Therapeutic focus</w:t>
            </w:r>
          </w:p>
        </w:tc>
      </w:tr>
      <w:tr w:rsidR="002A7D91" w:rsidRPr="00B148F9" w14:paraId="6DFEA50B" w14:textId="77777777" w:rsidTr="007979DB">
        <w:trPr>
          <w:trHeight w:val="645"/>
        </w:trPr>
        <w:tc>
          <w:tcPr>
            <w:tcW w:w="1746" w:type="dxa"/>
            <w:vMerge/>
          </w:tcPr>
          <w:p w14:paraId="24721EDC" w14:textId="77777777" w:rsidR="002A7D91" w:rsidRPr="00B148F9" w:rsidRDefault="002A7D91" w:rsidP="00D87A1D">
            <w:pPr>
              <w:rPr>
                <w:rFonts w:cstheme="minorHAnsi"/>
                <w:b/>
                <w:bCs/>
                <w:sz w:val="18"/>
                <w:szCs w:val="18"/>
              </w:rPr>
            </w:pPr>
          </w:p>
        </w:tc>
        <w:tc>
          <w:tcPr>
            <w:tcW w:w="1447" w:type="dxa"/>
          </w:tcPr>
          <w:p w14:paraId="491692BF" w14:textId="77777777" w:rsidR="002A7D91" w:rsidRPr="00B148F9" w:rsidRDefault="002A7D91" w:rsidP="00D87A1D">
            <w:pPr>
              <w:rPr>
                <w:rFonts w:cstheme="minorHAnsi"/>
                <w:b/>
                <w:bCs/>
                <w:sz w:val="18"/>
                <w:szCs w:val="18"/>
              </w:rPr>
            </w:pPr>
            <w:r w:rsidRPr="00B148F9">
              <w:rPr>
                <w:rFonts w:cstheme="minorHAnsi"/>
                <w:b/>
                <w:bCs/>
                <w:sz w:val="18"/>
                <w:szCs w:val="18"/>
              </w:rPr>
              <w:t>Preclinical</w:t>
            </w:r>
          </w:p>
        </w:tc>
        <w:tc>
          <w:tcPr>
            <w:tcW w:w="1595" w:type="dxa"/>
          </w:tcPr>
          <w:p w14:paraId="02088567" w14:textId="77777777" w:rsidR="002A7D91" w:rsidRPr="00B148F9" w:rsidRDefault="002A7D91" w:rsidP="00D87A1D">
            <w:pPr>
              <w:rPr>
                <w:rFonts w:cstheme="minorHAnsi"/>
                <w:b/>
                <w:bCs/>
                <w:sz w:val="18"/>
                <w:szCs w:val="18"/>
              </w:rPr>
            </w:pPr>
            <w:r w:rsidRPr="00B148F9">
              <w:rPr>
                <w:rFonts w:cstheme="minorHAnsi"/>
                <w:b/>
                <w:bCs/>
                <w:sz w:val="18"/>
                <w:szCs w:val="18"/>
              </w:rPr>
              <w:t>Phase 1</w:t>
            </w:r>
          </w:p>
        </w:tc>
        <w:tc>
          <w:tcPr>
            <w:tcW w:w="1595" w:type="dxa"/>
          </w:tcPr>
          <w:p w14:paraId="1BF275FF" w14:textId="77777777" w:rsidR="002A7D91" w:rsidRPr="00B148F9" w:rsidRDefault="002A7D91" w:rsidP="00D87A1D">
            <w:pPr>
              <w:rPr>
                <w:rFonts w:cstheme="minorHAnsi"/>
                <w:b/>
                <w:bCs/>
                <w:sz w:val="18"/>
                <w:szCs w:val="18"/>
              </w:rPr>
            </w:pPr>
            <w:r w:rsidRPr="00B148F9">
              <w:rPr>
                <w:rFonts w:cstheme="minorHAnsi"/>
                <w:b/>
                <w:bCs/>
                <w:sz w:val="18"/>
                <w:szCs w:val="18"/>
              </w:rPr>
              <w:t>Phase 2</w:t>
            </w:r>
          </w:p>
        </w:tc>
        <w:tc>
          <w:tcPr>
            <w:tcW w:w="1355" w:type="dxa"/>
          </w:tcPr>
          <w:p w14:paraId="3FA5663F" w14:textId="77777777" w:rsidR="002A7D91" w:rsidRPr="00B148F9" w:rsidRDefault="002A7D91" w:rsidP="00D87A1D">
            <w:pPr>
              <w:rPr>
                <w:rFonts w:cstheme="minorHAnsi"/>
                <w:b/>
                <w:bCs/>
                <w:sz w:val="18"/>
                <w:szCs w:val="18"/>
              </w:rPr>
            </w:pPr>
            <w:r w:rsidRPr="00B148F9">
              <w:rPr>
                <w:rFonts w:cstheme="minorHAnsi"/>
                <w:b/>
                <w:bCs/>
                <w:sz w:val="18"/>
                <w:szCs w:val="18"/>
              </w:rPr>
              <w:t>Phase 3 or Pivotal</w:t>
            </w:r>
          </w:p>
        </w:tc>
        <w:tc>
          <w:tcPr>
            <w:tcW w:w="1838" w:type="dxa"/>
            <w:vMerge/>
          </w:tcPr>
          <w:p w14:paraId="4750489E" w14:textId="77777777" w:rsidR="002A7D91" w:rsidRPr="00B148F9" w:rsidRDefault="002A7D91" w:rsidP="00D87A1D">
            <w:pPr>
              <w:rPr>
                <w:rFonts w:cstheme="minorHAnsi"/>
                <w:b/>
                <w:bCs/>
                <w:sz w:val="18"/>
                <w:szCs w:val="18"/>
              </w:rPr>
            </w:pPr>
          </w:p>
        </w:tc>
      </w:tr>
      <w:tr w:rsidR="002A7D91" w:rsidRPr="00B148F9" w14:paraId="7A2A5270" w14:textId="77777777" w:rsidTr="007979DB">
        <w:trPr>
          <w:trHeight w:val="307"/>
        </w:trPr>
        <w:tc>
          <w:tcPr>
            <w:tcW w:w="1746" w:type="dxa"/>
          </w:tcPr>
          <w:p w14:paraId="5D0E9A6B" w14:textId="77777777" w:rsidR="002A7D91" w:rsidRPr="00B148F9" w:rsidRDefault="002A7D91" w:rsidP="00D87A1D">
            <w:pPr>
              <w:rPr>
                <w:rFonts w:cstheme="minorHAnsi"/>
                <w:sz w:val="18"/>
                <w:szCs w:val="18"/>
              </w:rPr>
            </w:pPr>
            <w:r w:rsidRPr="00B148F9">
              <w:rPr>
                <w:rFonts w:cstheme="minorHAnsi"/>
                <w:sz w:val="18"/>
                <w:szCs w:val="18"/>
              </w:rPr>
              <w:t>Medtech</w:t>
            </w:r>
          </w:p>
        </w:tc>
        <w:tc>
          <w:tcPr>
            <w:tcW w:w="1447" w:type="dxa"/>
          </w:tcPr>
          <w:p w14:paraId="1446EBCB" w14:textId="77777777" w:rsidR="002A7D91" w:rsidRPr="00B148F9" w:rsidRDefault="002A7D91" w:rsidP="00D87A1D">
            <w:pPr>
              <w:rPr>
                <w:rFonts w:cstheme="minorHAnsi"/>
                <w:sz w:val="18"/>
                <w:szCs w:val="18"/>
              </w:rPr>
            </w:pPr>
          </w:p>
        </w:tc>
        <w:tc>
          <w:tcPr>
            <w:tcW w:w="1595" w:type="dxa"/>
          </w:tcPr>
          <w:p w14:paraId="7FD073F4" w14:textId="77777777" w:rsidR="002A7D91" w:rsidRPr="00B148F9" w:rsidRDefault="002A7D91" w:rsidP="00D87A1D">
            <w:pPr>
              <w:rPr>
                <w:rFonts w:cstheme="minorHAnsi"/>
                <w:sz w:val="18"/>
                <w:szCs w:val="18"/>
              </w:rPr>
            </w:pPr>
          </w:p>
        </w:tc>
        <w:tc>
          <w:tcPr>
            <w:tcW w:w="1595" w:type="dxa"/>
          </w:tcPr>
          <w:p w14:paraId="7AFD5418" w14:textId="77777777" w:rsidR="002A7D91" w:rsidRPr="00B148F9" w:rsidRDefault="002A7D91" w:rsidP="00D87A1D">
            <w:pPr>
              <w:rPr>
                <w:rFonts w:cstheme="minorHAnsi"/>
                <w:sz w:val="18"/>
                <w:szCs w:val="18"/>
              </w:rPr>
            </w:pPr>
          </w:p>
        </w:tc>
        <w:tc>
          <w:tcPr>
            <w:tcW w:w="1355" w:type="dxa"/>
          </w:tcPr>
          <w:p w14:paraId="639011AE" w14:textId="77777777" w:rsidR="002A7D91" w:rsidRPr="00B148F9" w:rsidRDefault="002A7D91" w:rsidP="00D87A1D">
            <w:pPr>
              <w:rPr>
                <w:rFonts w:cstheme="minorHAnsi"/>
                <w:b/>
                <w:bCs/>
                <w:sz w:val="18"/>
                <w:szCs w:val="18"/>
              </w:rPr>
            </w:pPr>
            <w:r w:rsidRPr="00B148F9">
              <w:rPr>
                <w:rFonts w:cstheme="minorHAnsi"/>
                <w:b/>
                <w:bCs/>
                <w:sz w:val="18"/>
                <w:szCs w:val="18"/>
              </w:rPr>
              <w:t>Beta Bionics</w:t>
            </w:r>
          </w:p>
        </w:tc>
        <w:tc>
          <w:tcPr>
            <w:tcW w:w="1838" w:type="dxa"/>
          </w:tcPr>
          <w:p w14:paraId="29032EE2" w14:textId="77777777" w:rsidR="002A7D91" w:rsidRPr="00B148F9" w:rsidRDefault="002A7D91" w:rsidP="00D87A1D">
            <w:pPr>
              <w:rPr>
                <w:rFonts w:cstheme="minorHAnsi"/>
                <w:sz w:val="18"/>
                <w:szCs w:val="18"/>
              </w:rPr>
            </w:pPr>
            <w:r w:rsidRPr="00B148F9">
              <w:rPr>
                <w:rFonts w:cstheme="minorHAnsi"/>
                <w:sz w:val="18"/>
                <w:szCs w:val="18"/>
              </w:rPr>
              <w:t>Type 1 Diabetes</w:t>
            </w:r>
          </w:p>
        </w:tc>
      </w:tr>
      <w:tr w:rsidR="002A7D91" w:rsidRPr="00B148F9" w14:paraId="35C5ED4E" w14:textId="77777777" w:rsidTr="007979DB">
        <w:trPr>
          <w:trHeight w:val="322"/>
        </w:trPr>
        <w:tc>
          <w:tcPr>
            <w:tcW w:w="1746" w:type="dxa"/>
          </w:tcPr>
          <w:p w14:paraId="44A997AF" w14:textId="77777777" w:rsidR="002A7D91" w:rsidRPr="00B148F9" w:rsidRDefault="002A7D91" w:rsidP="00D87A1D">
            <w:pPr>
              <w:rPr>
                <w:rFonts w:cstheme="minorHAnsi"/>
                <w:sz w:val="18"/>
                <w:szCs w:val="18"/>
              </w:rPr>
            </w:pPr>
            <w:r w:rsidRPr="00B148F9">
              <w:rPr>
                <w:rFonts w:cstheme="minorHAnsi"/>
                <w:sz w:val="18"/>
                <w:szCs w:val="18"/>
              </w:rPr>
              <w:t>Antibody</w:t>
            </w:r>
          </w:p>
        </w:tc>
        <w:tc>
          <w:tcPr>
            <w:tcW w:w="1447" w:type="dxa"/>
          </w:tcPr>
          <w:p w14:paraId="392CFE4C" w14:textId="77777777" w:rsidR="002A7D91" w:rsidRPr="00B148F9" w:rsidRDefault="002A7D91" w:rsidP="00D87A1D">
            <w:pPr>
              <w:rPr>
                <w:rFonts w:cstheme="minorHAnsi"/>
                <w:sz w:val="18"/>
                <w:szCs w:val="18"/>
              </w:rPr>
            </w:pPr>
          </w:p>
        </w:tc>
        <w:tc>
          <w:tcPr>
            <w:tcW w:w="1595" w:type="dxa"/>
          </w:tcPr>
          <w:p w14:paraId="0E248EC4" w14:textId="77777777" w:rsidR="002A7D91" w:rsidRPr="00B148F9" w:rsidRDefault="002A7D91" w:rsidP="00D87A1D">
            <w:pPr>
              <w:rPr>
                <w:rFonts w:cstheme="minorHAnsi"/>
                <w:sz w:val="18"/>
                <w:szCs w:val="18"/>
              </w:rPr>
            </w:pPr>
          </w:p>
        </w:tc>
        <w:tc>
          <w:tcPr>
            <w:tcW w:w="1595" w:type="dxa"/>
          </w:tcPr>
          <w:p w14:paraId="2B85B0EC" w14:textId="77777777" w:rsidR="002A7D91" w:rsidRPr="00B148F9" w:rsidRDefault="002A7D91" w:rsidP="00D87A1D">
            <w:pPr>
              <w:rPr>
                <w:rFonts w:cstheme="minorHAnsi"/>
                <w:sz w:val="18"/>
                <w:szCs w:val="18"/>
              </w:rPr>
            </w:pPr>
          </w:p>
        </w:tc>
        <w:tc>
          <w:tcPr>
            <w:tcW w:w="1355" w:type="dxa"/>
          </w:tcPr>
          <w:p w14:paraId="42E11EA8" w14:textId="77777777" w:rsidR="002A7D91" w:rsidRPr="00B148F9" w:rsidRDefault="002A7D91" w:rsidP="00D87A1D">
            <w:pPr>
              <w:rPr>
                <w:rFonts w:cstheme="minorHAnsi"/>
                <w:b/>
                <w:bCs/>
                <w:sz w:val="18"/>
                <w:szCs w:val="18"/>
              </w:rPr>
            </w:pPr>
            <w:r w:rsidRPr="00B148F9">
              <w:rPr>
                <w:rFonts w:cstheme="minorHAnsi"/>
                <w:b/>
                <w:bCs/>
                <w:sz w:val="18"/>
                <w:szCs w:val="18"/>
              </w:rPr>
              <w:t>Immunocore</w:t>
            </w:r>
          </w:p>
        </w:tc>
        <w:tc>
          <w:tcPr>
            <w:tcW w:w="1838" w:type="dxa"/>
          </w:tcPr>
          <w:p w14:paraId="5161F377" w14:textId="77777777" w:rsidR="002A7D91" w:rsidRPr="00B148F9" w:rsidRDefault="002A7D91" w:rsidP="00D87A1D">
            <w:pPr>
              <w:rPr>
                <w:rFonts w:cstheme="minorHAnsi"/>
                <w:sz w:val="18"/>
                <w:szCs w:val="18"/>
              </w:rPr>
            </w:pPr>
            <w:r w:rsidRPr="00B148F9">
              <w:rPr>
                <w:rFonts w:cstheme="minorHAnsi"/>
                <w:sz w:val="18"/>
                <w:szCs w:val="18"/>
              </w:rPr>
              <w:t>Oncology</w:t>
            </w:r>
          </w:p>
        </w:tc>
      </w:tr>
      <w:tr w:rsidR="002A7D91" w:rsidRPr="00B148F9" w14:paraId="76F2E2E0" w14:textId="77777777" w:rsidTr="007979DB">
        <w:trPr>
          <w:trHeight w:val="307"/>
        </w:trPr>
        <w:tc>
          <w:tcPr>
            <w:tcW w:w="1746" w:type="dxa"/>
          </w:tcPr>
          <w:p w14:paraId="052D9159" w14:textId="77777777" w:rsidR="002A7D91" w:rsidRPr="00B148F9" w:rsidRDefault="002A7D91" w:rsidP="00D87A1D">
            <w:pPr>
              <w:rPr>
                <w:rFonts w:cstheme="minorHAnsi"/>
                <w:sz w:val="18"/>
                <w:szCs w:val="18"/>
              </w:rPr>
            </w:pPr>
            <w:r w:rsidRPr="00B148F9">
              <w:rPr>
                <w:rFonts w:cstheme="minorHAnsi"/>
                <w:sz w:val="18"/>
                <w:szCs w:val="18"/>
              </w:rPr>
              <w:t>Medtech</w:t>
            </w:r>
          </w:p>
        </w:tc>
        <w:tc>
          <w:tcPr>
            <w:tcW w:w="1447" w:type="dxa"/>
          </w:tcPr>
          <w:p w14:paraId="402DA5CD" w14:textId="77777777" w:rsidR="002A7D91" w:rsidRPr="00B148F9" w:rsidRDefault="002A7D91" w:rsidP="00D87A1D">
            <w:pPr>
              <w:rPr>
                <w:rFonts w:cstheme="minorHAnsi"/>
                <w:sz w:val="18"/>
                <w:szCs w:val="18"/>
              </w:rPr>
            </w:pPr>
          </w:p>
        </w:tc>
        <w:tc>
          <w:tcPr>
            <w:tcW w:w="1595" w:type="dxa"/>
          </w:tcPr>
          <w:p w14:paraId="323E723B" w14:textId="77777777" w:rsidR="002A7D91" w:rsidRPr="00B148F9" w:rsidRDefault="002A7D91" w:rsidP="00D87A1D">
            <w:pPr>
              <w:rPr>
                <w:rFonts w:cstheme="minorHAnsi"/>
                <w:sz w:val="18"/>
                <w:szCs w:val="18"/>
              </w:rPr>
            </w:pPr>
          </w:p>
        </w:tc>
        <w:tc>
          <w:tcPr>
            <w:tcW w:w="1595" w:type="dxa"/>
          </w:tcPr>
          <w:p w14:paraId="20B10339" w14:textId="77777777" w:rsidR="002A7D91" w:rsidRPr="00B148F9" w:rsidRDefault="002A7D91" w:rsidP="00D87A1D">
            <w:pPr>
              <w:rPr>
                <w:rFonts w:cstheme="minorHAnsi"/>
                <w:sz w:val="18"/>
                <w:szCs w:val="18"/>
              </w:rPr>
            </w:pPr>
          </w:p>
        </w:tc>
        <w:tc>
          <w:tcPr>
            <w:tcW w:w="1355" w:type="dxa"/>
          </w:tcPr>
          <w:p w14:paraId="41D5679E" w14:textId="77777777" w:rsidR="002A7D91" w:rsidRPr="00B148F9" w:rsidRDefault="002A7D91" w:rsidP="00D87A1D">
            <w:pPr>
              <w:rPr>
                <w:rFonts w:cstheme="minorHAnsi"/>
                <w:b/>
                <w:bCs/>
                <w:sz w:val="18"/>
                <w:szCs w:val="18"/>
              </w:rPr>
            </w:pPr>
            <w:r w:rsidRPr="00B148F9">
              <w:rPr>
                <w:rFonts w:cstheme="minorHAnsi"/>
                <w:b/>
                <w:bCs/>
                <w:sz w:val="18"/>
                <w:szCs w:val="18"/>
              </w:rPr>
              <w:t>Orchestra</w:t>
            </w:r>
          </w:p>
        </w:tc>
        <w:tc>
          <w:tcPr>
            <w:tcW w:w="1838" w:type="dxa"/>
          </w:tcPr>
          <w:p w14:paraId="32F4DDEF" w14:textId="77777777" w:rsidR="002A7D91" w:rsidRPr="00B148F9" w:rsidRDefault="002A7D91" w:rsidP="00D87A1D">
            <w:pPr>
              <w:rPr>
                <w:rFonts w:cstheme="minorHAnsi"/>
                <w:sz w:val="18"/>
                <w:szCs w:val="18"/>
              </w:rPr>
            </w:pPr>
            <w:r w:rsidRPr="00B148F9">
              <w:rPr>
                <w:rFonts w:cstheme="minorHAnsi"/>
                <w:sz w:val="18"/>
                <w:szCs w:val="18"/>
              </w:rPr>
              <w:t>Cardiovascular</w:t>
            </w:r>
          </w:p>
        </w:tc>
      </w:tr>
      <w:tr w:rsidR="002A7D91" w:rsidRPr="00B148F9" w14:paraId="0724D765" w14:textId="77777777" w:rsidTr="007979DB">
        <w:trPr>
          <w:trHeight w:val="307"/>
        </w:trPr>
        <w:tc>
          <w:tcPr>
            <w:tcW w:w="1746" w:type="dxa"/>
          </w:tcPr>
          <w:p w14:paraId="5EF6AF66" w14:textId="77777777" w:rsidR="002A7D91" w:rsidRPr="00B148F9" w:rsidRDefault="002A7D91" w:rsidP="00D87A1D">
            <w:pPr>
              <w:rPr>
                <w:rFonts w:cstheme="minorHAnsi"/>
                <w:sz w:val="18"/>
                <w:szCs w:val="18"/>
              </w:rPr>
            </w:pPr>
            <w:r w:rsidRPr="00B148F9">
              <w:rPr>
                <w:rFonts w:cstheme="minorHAnsi"/>
                <w:sz w:val="18"/>
                <w:szCs w:val="18"/>
              </w:rPr>
              <w:t>Small molecule</w:t>
            </w:r>
          </w:p>
        </w:tc>
        <w:tc>
          <w:tcPr>
            <w:tcW w:w="1447" w:type="dxa"/>
          </w:tcPr>
          <w:p w14:paraId="38B3B7FE" w14:textId="77777777" w:rsidR="002A7D91" w:rsidRPr="00B148F9" w:rsidRDefault="002A7D91" w:rsidP="00D87A1D">
            <w:pPr>
              <w:rPr>
                <w:rFonts w:cstheme="minorHAnsi"/>
                <w:sz w:val="18"/>
                <w:szCs w:val="18"/>
              </w:rPr>
            </w:pPr>
          </w:p>
        </w:tc>
        <w:tc>
          <w:tcPr>
            <w:tcW w:w="1595" w:type="dxa"/>
          </w:tcPr>
          <w:p w14:paraId="61A6603E" w14:textId="77777777" w:rsidR="002A7D91" w:rsidRPr="00B148F9" w:rsidRDefault="002A7D91" w:rsidP="00D87A1D">
            <w:pPr>
              <w:rPr>
                <w:rFonts w:cstheme="minorHAnsi"/>
                <w:sz w:val="18"/>
                <w:szCs w:val="18"/>
              </w:rPr>
            </w:pPr>
          </w:p>
        </w:tc>
        <w:tc>
          <w:tcPr>
            <w:tcW w:w="1595" w:type="dxa"/>
          </w:tcPr>
          <w:p w14:paraId="46C7039D" w14:textId="77777777" w:rsidR="002A7D91" w:rsidRPr="00B148F9" w:rsidRDefault="002A7D91" w:rsidP="00D87A1D">
            <w:pPr>
              <w:rPr>
                <w:rFonts w:cstheme="minorHAnsi"/>
                <w:b/>
                <w:bCs/>
                <w:sz w:val="18"/>
                <w:szCs w:val="18"/>
              </w:rPr>
            </w:pPr>
            <w:r w:rsidRPr="00B148F9">
              <w:rPr>
                <w:rFonts w:cstheme="minorHAnsi"/>
                <w:b/>
                <w:bCs/>
                <w:sz w:val="18"/>
                <w:szCs w:val="18"/>
              </w:rPr>
              <w:t>Frequency</w:t>
            </w:r>
          </w:p>
        </w:tc>
        <w:tc>
          <w:tcPr>
            <w:tcW w:w="1355" w:type="dxa"/>
          </w:tcPr>
          <w:p w14:paraId="5BE276C0" w14:textId="77777777" w:rsidR="002A7D91" w:rsidRPr="00B148F9" w:rsidRDefault="002A7D91" w:rsidP="00D87A1D">
            <w:pPr>
              <w:rPr>
                <w:rFonts w:cstheme="minorHAnsi"/>
                <w:sz w:val="18"/>
                <w:szCs w:val="18"/>
              </w:rPr>
            </w:pPr>
          </w:p>
        </w:tc>
        <w:tc>
          <w:tcPr>
            <w:tcW w:w="1838" w:type="dxa"/>
          </w:tcPr>
          <w:p w14:paraId="19F27FFD" w14:textId="77777777" w:rsidR="002A7D91" w:rsidRPr="00B148F9" w:rsidRDefault="002A7D91" w:rsidP="00D87A1D">
            <w:pPr>
              <w:rPr>
                <w:rFonts w:cstheme="minorHAnsi"/>
                <w:sz w:val="18"/>
                <w:szCs w:val="18"/>
              </w:rPr>
            </w:pPr>
            <w:r w:rsidRPr="00B148F9">
              <w:rPr>
                <w:rFonts w:cstheme="minorHAnsi"/>
                <w:sz w:val="18"/>
                <w:szCs w:val="18"/>
              </w:rPr>
              <w:t>Hearing loss</w:t>
            </w:r>
          </w:p>
        </w:tc>
      </w:tr>
      <w:tr w:rsidR="002A7D91" w:rsidRPr="00B148F9" w14:paraId="579EE1EB" w14:textId="77777777" w:rsidTr="007979DB">
        <w:trPr>
          <w:trHeight w:val="630"/>
        </w:trPr>
        <w:tc>
          <w:tcPr>
            <w:tcW w:w="1746" w:type="dxa"/>
          </w:tcPr>
          <w:p w14:paraId="2B67DFEF" w14:textId="77777777" w:rsidR="002A7D91" w:rsidRPr="00B148F9" w:rsidRDefault="002A7D91" w:rsidP="00D87A1D">
            <w:pPr>
              <w:rPr>
                <w:rFonts w:cstheme="minorHAnsi"/>
                <w:sz w:val="18"/>
                <w:szCs w:val="18"/>
              </w:rPr>
            </w:pPr>
            <w:r w:rsidRPr="00B148F9">
              <w:rPr>
                <w:rFonts w:cstheme="minorHAnsi"/>
                <w:sz w:val="18"/>
                <w:szCs w:val="18"/>
              </w:rPr>
              <w:t>Small molecule</w:t>
            </w:r>
          </w:p>
        </w:tc>
        <w:tc>
          <w:tcPr>
            <w:tcW w:w="1447" w:type="dxa"/>
          </w:tcPr>
          <w:p w14:paraId="4B06AE0A" w14:textId="77777777" w:rsidR="002A7D91" w:rsidRPr="00B148F9" w:rsidRDefault="002A7D91" w:rsidP="00D87A1D">
            <w:pPr>
              <w:rPr>
                <w:rFonts w:cstheme="minorHAnsi"/>
                <w:sz w:val="18"/>
                <w:szCs w:val="18"/>
              </w:rPr>
            </w:pPr>
          </w:p>
        </w:tc>
        <w:tc>
          <w:tcPr>
            <w:tcW w:w="1595" w:type="dxa"/>
          </w:tcPr>
          <w:p w14:paraId="5A4F83C8" w14:textId="77777777" w:rsidR="002A7D91" w:rsidRPr="00B148F9" w:rsidRDefault="002A7D91" w:rsidP="00D87A1D">
            <w:pPr>
              <w:rPr>
                <w:rFonts w:cstheme="minorHAnsi"/>
                <w:sz w:val="18"/>
                <w:szCs w:val="18"/>
              </w:rPr>
            </w:pPr>
          </w:p>
        </w:tc>
        <w:tc>
          <w:tcPr>
            <w:tcW w:w="1595" w:type="dxa"/>
          </w:tcPr>
          <w:p w14:paraId="377F7ACE" w14:textId="77777777" w:rsidR="002A7D91" w:rsidRPr="00B148F9" w:rsidRDefault="002A7D91" w:rsidP="00D87A1D">
            <w:pPr>
              <w:rPr>
                <w:rFonts w:cstheme="minorHAnsi"/>
                <w:b/>
                <w:bCs/>
                <w:sz w:val="18"/>
                <w:szCs w:val="18"/>
              </w:rPr>
            </w:pPr>
            <w:r w:rsidRPr="00B148F9">
              <w:rPr>
                <w:rFonts w:cstheme="minorHAnsi"/>
                <w:b/>
                <w:bCs/>
                <w:sz w:val="18"/>
                <w:szCs w:val="18"/>
              </w:rPr>
              <w:t>Landos</w:t>
            </w:r>
          </w:p>
        </w:tc>
        <w:tc>
          <w:tcPr>
            <w:tcW w:w="1355" w:type="dxa"/>
          </w:tcPr>
          <w:p w14:paraId="309700F0" w14:textId="77777777" w:rsidR="002A7D91" w:rsidRPr="00B148F9" w:rsidRDefault="002A7D91" w:rsidP="00D87A1D">
            <w:pPr>
              <w:rPr>
                <w:rFonts w:cstheme="minorHAnsi"/>
                <w:sz w:val="18"/>
                <w:szCs w:val="18"/>
              </w:rPr>
            </w:pPr>
          </w:p>
        </w:tc>
        <w:tc>
          <w:tcPr>
            <w:tcW w:w="1838" w:type="dxa"/>
          </w:tcPr>
          <w:p w14:paraId="2C0BB155" w14:textId="77777777" w:rsidR="002A7D91" w:rsidRPr="00B148F9" w:rsidRDefault="002A7D91" w:rsidP="00D87A1D">
            <w:pPr>
              <w:rPr>
                <w:rFonts w:cstheme="minorHAnsi"/>
                <w:sz w:val="18"/>
                <w:szCs w:val="18"/>
              </w:rPr>
            </w:pPr>
            <w:r w:rsidRPr="00B148F9">
              <w:rPr>
                <w:rFonts w:cstheme="minorHAnsi"/>
                <w:sz w:val="18"/>
                <w:szCs w:val="18"/>
              </w:rPr>
              <w:t>Autoimmune disease</w:t>
            </w:r>
          </w:p>
        </w:tc>
      </w:tr>
      <w:tr w:rsidR="002A7D91" w:rsidRPr="00B148F9" w14:paraId="5CC66D58" w14:textId="77777777" w:rsidTr="007979DB">
        <w:trPr>
          <w:trHeight w:val="307"/>
        </w:trPr>
        <w:tc>
          <w:tcPr>
            <w:tcW w:w="1746" w:type="dxa"/>
          </w:tcPr>
          <w:p w14:paraId="054DDEA0" w14:textId="77777777" w:rsidR="002A7D91" w:rsidRPr="00B148F9" w:rsidRDefault="002A7D91" w:rsidP="00D87A1D">
            <w:pPr>
              <w:rPr>
                <w:rFonts w:cstheme="minorHAnsi"/>
                <w:sz w:val="18"/>
                <w:szCs w:val="18"/>
              </w:rPr>
            </w:pPr>
            <w:r w:rsidRPr="00B148F9">
              <w:rPr>
                <w:rFonts w:cstheme="minorHAnsi"/>
                <w:sz w:val="18"/>
                <w:szCs w:val="18"/>
              </w:rPr>
              <w:t>Gene therapy</w:t>
            </w:r>
          </w:p>
        </w:tc>
        <w:tc>
          <w:tcPr>
            <w:tcW w:w="1447" w:type="dxa"/>
          </w:tcPr>
          <w:p w14:paraId="176242F8" w14:textId="77777777" w:rsidR="002A7D91" w:rsidRPr="00B148F9" w:rsidRDefault="002A7D91" w:rsidP="00D87A1D">
            <w:pPr>
              <w:rPr>
                <w:rFonts w:cstheme="minorHAnsi"/>
                <w:sz w:val="18"/>
                <w:szCs w:val="18"/>
              </w:rPr>
            </w:pPr>
          </w:p>
        </w:tc>
        <w:tc>
          <w:tcPr>
            <w:tcW w:w="1595" w:type="dxa"/>
          </w:tcPr>
          <w:p w14:paraId="2FAFE954" w14:textId="77777777" w:rsidR="002A7D91" w:rsidRPr="00B148F9" w:rsidRDefault="002A7D91" w:rsidP="00D87A1D">
            <w:pPr>
              <w:rPr>
                <w:rFonts w:cstheme="minorHAnsi"/>
                <w:sz w:val="18"/>
                <w:szCs w:val="18"/>
              </w:rPr>
            </w:pPr>
          </w:p>
        </w:tc>
        <w:tc>
          <w:tcPr>
            <w:tcW w:w="1595" w:type="dxa"/>
          </w:tcPr>
          <w:p w14:paraId="0A970F10" w14:textId="77777777" w:rsidR="002A7D91" w:rsidRPr="00B148F9" w:rsidRDefault="002A7D91" w:rsidP="00D87A1D">
            <w:pPr>
              <w:rPr>
                <w:rFonts w:cstheme="minorHAnsi"/>
                <w:b/>
                <w:bCs/>
                <w:sz w:val="18"/>
                <w:szCs w:val="18"/>
              </w:rPr>
            </w:pPr>
            <w:r w:rsidRPr="00B148F9">
              <w:rPr>
                <w:rFonts w:cstheme="minorHAnsi"/>
                <w:b/>
                <w:bCs/>
                <w:sz w:val="18"/>
                <w:szCs w:val="18"/>
              </w:rPr>
              <w:t>Rocket</w:t>
            </w:r>
          </w:p>
        </w:tc>
        <w:tc>
          <w:tcPr>
            <w:tcW w:w="1355" w:type="dxa"/>
          </w:tcPr>
          <w:p w14:paraId="6029A098" w14:textId="77777777" w:rsidR="002A7D91" w:rsidRPr="00B148F9" w:rsidRDefault="002A7D91" w:rsidP="00D87A1D">
            <w:pPr>
              <w:rPr>
                <w:rFonts w:cstheme="minorHAnsi"/>
                <w:sz w:val="18"/>
                <w:szCs w:val="18"/>
              </w:rPr>
            </w:pPr>
          </w:p>
        </w:tc>
        <w:tc>
          <w:tcPr>
            <w:tcW w:w="1838" w:type="dxa"/>
          </w:tcPr>
          <w:p w14:paraId="3802C182" w14:textId="77777777" w:rsidR="002A7D91" w:rsidRPr="00B148F9" w:rsidRDefault="002A7D91" w:rsidP="00D87A1D">
            <w:pPr>
              <w:rPr>
                <w:rFonts w:cstheme="minorHAnsi"/>
                <w:sz w:val="18"/>
                <w:szCs w:val="18"/>
              </w:rPr>
            </w:pPr>
            <w:r w:rsidRPr="00B148F9">
              <w:rPr>
                <w:rFonts w:cstheme="minorHAnsi"/>
                <w:sz w:val="18"/>
                <w:szCs w:val="18"/>
              </w:rPr>
              <w:t>Rare disease</w:t>
            </w:r>
          </w:p>
        </w:tc>
      </w:tr>
      <w:tr w:rsidR="002A7D91" w:rsidRPr="00B148F9" w14:paraId="7F5B89D8" w14:textId="77777777" w:rsidTr="007979DB">
        <w:trPr>
          <w:trHeight w:val="307"/>
        </w:trPr>
        <w:tc>
          <w:tcPr>
            <w:tcW w:w="1746" w:type="dxa"/>
          </w:tcPr>
          <w:p w14:paraId="435DAFFF" w14:textId="77777777" w:rsidR="002A7D91" w:rsidRPr="00B148F9" w:rsidRDefault="002A7D91" w:rsidP="00D87A1D">
            <w:pPr>
              <w:rPr>
                <w:rFonts w:cstheme="minorHAnsi"/>
                <w:sz w:val="18"/>
                <w:szCs w:val="18"/>
              </w:rPr>
            </w:pPr>
            <w:r w:rsidRPr="00B148F9">
              <w:rPr>
                <w:rFonts w:cstheme="minorHAnsi"/>
                <w:sz w:val="18"/>
                <w:szCs w:val="18"/>
              </w:rPr>
              <w:t>RNA</w:t>
            </w:r>
          </w:p>
        </w:tc>
        <w:tc>
          <w:tcPr>
            <w:tcW w:w="1447" w:type="dxa"/>
          </w:tcPr>
          <w:p w14:paraId="7C359A1B" w14:textId="77777777" w:rsidR="002A7D91" w:rsidRPr="00B148F9" w:rsidRDefault="002A7D91" w:rsidP="00D87A1D">
            <w:pPr>
              <w:rPr>
                <w:rFonts w:cstheme="minorHAnsi"/>
                <w:b/>
                <w:bCs/>
                <w:sz w:val="18"/>
                <w:szCs w:val="18"/>
              </w:rPr>
            </w:pPr>
            <w:r w:rsidRPr="00B148F9">
              <w:rPr>
                <w:rFonts w:cstheme="minorHAnsi"/>
                <w:b/>
                <w:bCs/>
                <w:sz w:val="18"/>
                <w:szCs w:val="18"/>
              </w:rPr>
              <w:t>Avidity</w:t>
            </w:r>
          </w:p>
        </w:tc>
        <w:tc>
          <w:tcPr>
            <w:tcW w:w="1595" w:type="dxa"/>
          </w:tcPr>
          <w:p w14:paraId="2F660129" w14:textId="77777777" w:rsidR="002A7D91" w:rsidRPr="00B148F9" w:rsidRDefault="002A7D91" w:rsidP="00D87A1D">
            <w:pPr>
              <w:rPr>
                <w:rFonts w:cstheme="minorHAnsi"/>
                <w:sz w:val="18"/>
                <w:szCs w:val="18"/>
              </w:rPr>
            </w:pPr>
          </w:p>
        </w:tc>
        <w:tc>
          <w:tcPr>
            <w:tcW w:w="1595" w:type="dxa"/>
          </w:tcPr>
          <w:p w14:paraId="77474567" w14:textId="77777777" w:rsidR="002A7D91" w:rsidRPr="00B148F9" w:rsidRDefault="002A7D91" w:rsidP="00D87A1D">
            <w:pPr>
              <w:rPr>
                <w:rFonts w:cstheme="minorHAnsi"/>
                <w:sz w:val="18"/>
                <w:szCs w:val="18"/>
              </w:rPr>
            </w:pPr>
          </w:p>
        </w:tc>
        <w:tc>
          <w:tcPr>
            <w:tcW w:w="1355" w:type="dxa"/>
          </w:tcPr>
          <w:p w14:paraId="043E7383" w14:textId="77777777" w:rsidR="002A7D91" w:rsidRPr="00B148F9" w:rsidRDefault="002A7D91" w:rsidP="00D87A1D">
            <w:pPr>
              <w:rPr>
                <w:rFonts w:cstheme="minorHAnsi"/>
                <w:sz w:val="18"/>
                <w:szCs w:val="18"/>
              </w:rPr>
            </w:pPr>
          </w:p>
        </w:tc>
        <w:tc>
          <w:tcPr>
            <w:tcW w:w="1838" w:type="dxa"/>
          </w:tcPr>
          <w:p w14:paraId="6AE21C10" w14:textId="77777777" w:rsidR="002A7D91" w:rsidRPr="00B148F9" w:rsidRDefault="002A7D91" w:rsidP="00D87A1D">
            <w:pPr>
              <w:rPr>
                <w:rFonts w:cstheme="minorHAnsi"/>
                <w:sz w:val="18"/>
                <w:szCs w:val="18"/>
              </w:rPr>
            </w:pPr>
            <w:r w:rsidRPr="00B148F9">
              <w:rPr>
                <w:rFonts w:cstheme="minorHAnsi"/>
                <w:sz w:val="18"/>
                <w:szCs w:val="18"/>
              </w:rPr>
              <w:t>Rare disease</w:t>
            </w:r>
          </w:p>
        </w:tc>
      </w:tr>
    </w:tbl>
    <w:p w14:paraId="7BE44CC6" w14:textId="77777777" w:rsidR="002A7D91" w:rsidRPr="00B148F9" w:rsidRDefault="002A7D91" w:rsidP="002A7D91">
      <w:pPr>
        <w:rPr>
          <w:rFonts w:cstheme="minorHAnsi"/>
          <w:sz w:val="16"/>
          <w:szCs w:val="16"/>
        </w:rPr>
      </w:pPr>
      <w:r w:rsidRPr="00B148F9">
        <w:rPr>
          <w:rFonts w:cstheme="minorHAnsi"/>
          <w:sz w:val="16"/>
          <w:szCs w:val="16"/>
        </w:rPr>
        <w:t>*Based on clinical stage of the leading program</w:t>
      </w:r>
    </w:p>
    <w:p w14:paraId="00624AD5" w14:textId="77777777" w:rsidR="002A7D91" w:rsidRPr="00B148F9" w:rsidRDefault="002A7D91" w:rsidP="002A7D91">
      <w:pPr>
        <w:rPr>
          <w:rFonts w:cstheme="minorHAnsi"/>
        </w:rPr>
      </w:pPr>
    </w:p>
    <w:p w14:paraId="55DD8D71" w14:textId="40C371DB" w:rsidR="002A7D91" w:rsidRPr="00B148F9" w:rsidRDefault="002A7D91" w:rsidP="002A7D91">
      <w:pPr>
        <w:rPr>
          <w:rFonts w:cstheme="minorHAnsi"/>
          <w:i/>
        </w:rPr>
      </w:pPr>
      <w:r w:rsidRPr="00B148F9">
        <w:rPr>
          <w:rFonts w:cstheme="minorHAnsi"/>
          <w:i/>
        </w:rPr>
        <w:t>Table 8. Overview</w:t>
      </w:r>
      <w:r w:rsidR="00485A2B">
        <w:rPr>
          <w:rFonts w:cstheme="minorHAnsi"/>
          <w:i/>
        </w:rPr>
        <w:t xml:space="preserve"> of Portfolio Company</w:t>
      </w:r>
      <w:r w:rsidR="00027B0A" w:rsidRPr="00B148F9">
        <w:rPr>
          <w:rFonts w:cstheme="minorHAnsi"/>
          <w:i/>
        </w:rPr>
        <w:t xml:space="preserve"> assets</w:t>
      </w:r>
      <w:r w:rsidR="00485A2B">
        <w:rPr>
          <w:rFonts w:cstheme="minorHAnsi"/>
          <w:i/>
        </w:rPr>
        <w:t>’</w:t>
      </w:r>
      <w:r w:rsidRPr="00B148F9">
        <w:rPr>
          <w:rFonts w:cstheme="minorHAnsi"/>
          <w:i/>
        </w:rPr>
        <w:t xml:space="preserve"> clinical development status</w:t>
      </w:r>
      <w:r w:rsidR="002A6663" w:rsidRPr="00B148F9">
        <w:rPr>
          <w:rFonts w:cstheme="minorHAnsi"/>
          <w:i/>
        </w:rPr>
        <w:t xml:space="preserve"> </w:t>
      </w:r>
      <w:r w:rsidR="002A6663" w:rsidRPr="00B148F9">
        <w:rPr>
          <w:rFonts w:cs="Calibri"/>
          <w:i/>
        </w:rPr>
        <w:t>as of 31 December 2019</w:t>
      </w:r>
    </w:p>
    <w:tbl>
      <w:tblPr>
        <w:tblStyle w:val="TableGrid"/>
        <w:tblW w:w="9480" w:type="dxa"/>
        <w:tblLook w:val="04A0" w:firstRow="1" w:lastRow="0" w:firstColumn="1" w:lastColumn="0" w:noHBand="0" w:noVBand="1"/>
      </w:tblPr>
      <w:tblGrid>
        <w:gridCol w:w="1355"/>
        <w:gridCol w:w="2523"/>
        <w:gridCol w:w="1247"/>
        <w:gridCol w:w="4355"/>
      </w:tblGrid>
      <w:tr w:rsidR="002A7D91" w:rsidRPr="00B148F9" w14:paraId="323F22F7" w14:textId="77777777" w:rsidTr="00D87A1D">
        <w:trPr>
          <w:trHeight w:val="369"/>
        </w:trPr>
        <w:tc>
          <w:tcPr>
            <w:tcW w:w="1355" w:type="dxa"/>
          </w:tcPr>
          <w:p w14:paraId="2F880D82" w14:textId="77777777" w:rsidR="002A7D91" w:rsidRPr="00B148F9" w:rsidRDefault="002A7D91" w:rsidP="00D87A1D">
            <w:pPr>
              <w:rPr>
                <w:rFonts w:cstheme="minorHAnsi"/>
                <w:b/>
                <w:sz w:val="18"/>
                <w:szCs w:val="18"/>
              </w:rPr>
            </w:pPr>
            <w:r w:rsidRPr="00B148F9">
              <w:rPr>
                <w:rFonts w:cstheme="minorHAnsi"/>
                <w:b/>
                <w:sz w:val="18"/>
                <w:szCs w:val="18"/>
              </w:rPr>
              <w:t>Company</w:t>
            </w:r>
          </w:p>
        </w:tc>
        <w:tc>
          <w:tcPr>
            <w:tcW w:w="2523" w:type="dxa"/>
          </w:tcPr>
          <w:p w14:paraId="117AF3D8" w14:textId="77777777" w:rsidR="002A7D91" w:rsidRPr="00B148F9" w:rsidRDefault="002A7D91" w:rsidP="00D87A1D">
            <w:pPr>
              <w:rPr>
                <w:rFonts w:cstheme="minorHAnsi"/>
                <w:b/>
                <w:sz w:val="18"/>
                <w:szCs w:val="18"/>
              </w:rPr>
            </w:pPr>
            <w:r w:rsidRPr="00B148F9">
              <w:rPr>
                <w:rFonts w:cstheme="minorHAnsi"/>
                <w:b/>
                <w:sz w:val="18"/>
                <w:szCs w:val="18"/>
              </w:rPr>
              <w:t xml:space="preserve">Indication </w:t>
            </w:r>
          </w:p>
        </w:tc>
        <w:tc>
          <w:tcPr>
            <w:tcW w:w="1247" w:type="dxa"/>
          </w:tcPr>
          <w:p w14:paraId="34E9611D" w14:textId="77777777" w:rsidR="002A7D91" w:rsidRPr="00B148F9" w:rsidRDefault="002A7D91" w:rsidP="00D87A1D">
            <w:pPr>
              <w:rPr>
                <w:rFonts w:cstheme="minorHAnsi"/>
                <w:b/>
                <w:sz w:val="18"/>
                <w:szCs w:val="18"/>
              </w:rPr>
            </w:pPr>
            <w:r w:rsidRPr="00B148F9">
              <w:rPr>
                <w:rFonts w:cstheme="minorHAnsi"/>
                <w:b/>
                <w:sz w:val="18"/>
                <w:szCs w:val="18"/>
              </w:rPr>
              <w:t xml:space="preserve">Phase </w:t>
            </w:r>
          </w:p>
        </w:tc>
        <w:tc>
          <w:tcPr>
            <w:tcW w:w="4355" w:type="dxa"/>
          </w:tcPr>
          <w:p w14:paraId="783F5F7C" w14:textId="77777777" w:rsidR="002A7D91" w:rsidRPr="00B148F9" w:rsidRDefault="002A7D91" w:rsidP="00D87A1D">
            <w:pPr>
              <w:rPr>
                <w:rFonts w:cstheme="minorHAnsi"/>
                <w:b/>
                <w:color w:val="FF0000"/>
                <w:sz w:val="18"/>
                <w:szCs w:val="18"/>
              </w:rPr>
            </w:pPr>
            <w:r w:rsidRPr="00B148F9">
              <w:rPr>
                <w:rFonts w:cstheme="minorHAnsi"/>
                <w:b/>
                <w:color w:val="000000" w:themeColor="text1"/>
                <w:sz w:val="18"/>
                <w:szCs w:val="18"/>
              </w:rPr>
              <w:t>Status</w:t>
            </w:r>
          </w:p>
        </w:tc>
      </w:tr>
      <w:tr w:rsidR="002A7D91" w:rsidRPr="00B148F9" w14:paraId="7175769C" w14:textId="77777777" w:rsidTr="00D87A1D">
        <w:trPr>
          <w:trHeight w:val="369"/>
        </w:trPr>
        <w:tc>
          <w:tcPr>
            <w:tcW w:w="1355" w:type="dxa"/>
          </w:tcPr>
          <w:p w14:paraId="3B2D2E94" w14:textId="77777777" w:rsidR="002A7D91" w:rsidRPr="00B148F9" w:rsidRDefault="002A7D91" w:rsidP="00D87A1D">
            <w:pPr>
              <w:rPr>
                <w:rFonts w:cstheme="minorHAnsi"/>
                <w:b/>
                <w:sz w:val="18"/>
                <w:szCs w:val="18"/>
              </w:rPr>
            </w:pPr>
            <w:r w:rsidRPr="00B148F9">
              <w:rPr>
                <w:rFonts w:cstheme="minorHAnsi"/>
                <w:b/>
                <w:sz w:val="18"/>
                <w:szCs w:val="18"/>
              </w:rPr>
              <w:t>Avidity</w:t>
            </w:r>
          </w:p>
        </w:tc>
        <w:tc>
          <w:tcPr>
            <w:tcW w:w="2523" w:type="dxa"/>
          </w:tcPr>
          <w:p w14:paraId="4F60BD3B" w14:textId="77777777" w:rsidR="002A7D91" w:rsidRPr="00B148F9" w:rsidRDefault="002A7D91" w:rsidP="00EE53BF">
            <w:pPr>
              <w:jc w:val="left"/>
              <w:rPr>
                <w:rFonts w:cstheme="minorHAnsi"/>
                <w:b/>
                <w:sz w:val="18"/>
                <w:szCs w:val="18"/>
              </w:rPr>
            </w:pPr>
            <w:r w:rsidRPr="00B148F9">
              <w:rPr>
                <w:rFonts w:cstheme="minorHAnsi"/>
                <w:sz w:val="18"/>
                <w:szCs w:val="18"/>
              </w:rPr>
              <w:t>Myotonic Dystrophy</w:t>
            </w:r>
          </w:p>
        </w:tc>
        <w:tc>
          <w:tcPr>
            <w:tcW w:w="1247" w:type="dxa"/>
          </w:tcPr>
          <w:p w14:paraId="4D4855A0" w14:textId="77777777" w:rsidR="002A7D91" w:rsidRPr="00B148F9" w:rsidRDefault="002A7D91" w:rsidP="00EE53BF">
            <w:pPr>
              <w:jc w:val="left"/>
              <w:rPr>
                <w:rFonts w:cstheme="minorHAnsi"/>
                <w:b/>
                <w:sz w:val="18"/>
                <w:szCs w:val="18"/>
              </w:rPr>
            </w:pPr>
            <w:r w:rsidRPr="00B148F9">
              <w:rPr>
                <w:rFonts w:cstheme="minorHAnsi"/>
                <w:sz w:val="18"/>
                <w:szCs w:val="18"/>
              </w:rPr>
              <w:t>Discovery</w:t>
            </w:r>
          </w:p>
        </w:tc>
        <w:tc>
          <w:tcPr>
            <w:tcW w:w="4355" w:type="dxa"/>
          </w:tcPr>
          <w:p w14:paraId="6B09C91E" w14:textId="331B4619" w:rsidR="002A7D91" w:rsidRPr="00B148F9" w:rsidRDefault="00046188" w:rsidP="00EE53BF">
            <w:pPr>
              <w:jc w:val="left"/>
              <w:rPr>
                <w:rFonts w:cstheme="minorHAnsi"/>
                <w:b/>
                <w:sz w:val="18"/>
                <w:szCs w:val="18"/>
              </w:rPr>
            </w:pPr>
            <w:r w:rsidRPr="00B148F9">
              <w:rPr>
                <w:rFonts w:cstheme="minorHAnsi"/>
                <w:sz w:val="18"/>
                <w:szCs w:val="18"/>
              </w:rPr>
              <w:t>Ongoing</w:t>
            </w:r>
          </w:p>
        </w:tc>
      </w:tr>
      <w:tr w:rsidR="002A7D91" w:rsidRPr="00B148F9" w14:paraId="39DC757D" w14:textId="77777777" w:rsidTr="00D87A1D">
        <w:trPr>
          <w:trHeight w:val="682"/>
        </w:trPr>
        <w:tc>
          <w:tcPr>
            <w:tcW w:w="1355" w:type="dxa"/>
            <w:vMerge w:val="restart"/>
          </w:tcPr>
          <w:p w14:paraId="42544279" w14:textId="77777777" w:rsidR="002A7D91" w:rsidRPr="00B148F9" w:rsidRDefault="002A7D91" w:rsidP="00D87A1D">
            <w:pPr>
              <w:rPr>
                <w:rFonts w:cstheme="minorHAnsi"/>
                <w:b/>
                <w:sz w:val="18"/>
                <w:szCs w:val="18"/>
              </w:rPr>
            </w:pPr>
            <w:r w:rsidRPr="00B148F9">
              <w:rPr>
                <w:rFonts w:cstheme="minorHAnsi"/>
                <w:b/>
                <w:sz w:val="18"/>
                <w:szCs w:val="18"/>
              </w:rPr>
              <w:t>Beta Bionics</w:t>
            </w:r>
          </w:p>
        </w:tc>
        <w:tc>
          <w:tcPr>
            <w:tcW w:w="2523" w:type="dxa"/>
          </w:tcPr>
          <w:p w14:paraId="3586E2EA" w14:textId="77777777" w:rsidR="002A7D91" w:rsidRPr="00B148F9" w:rsidRDefault="002A7D91" w:rsidP="00EE53BF">
            <w:pPr>
              <w:jc w:val="left"/>
              <w:rPr>
                <w:rFonts w:cstheme="minorHAnsi"/>
                <w:sz w:val="18"/>
                <w:szCs w:val="18"/>
              </w:rPr>
            </w:pPr>
            <w:r w:rsidRPr="00B148F9">
              <w:rPr>
                <w:rFonts w:cstheme="minorHAnsi"/>
                <w:sz w:val="18"/>
                <w:szCs w:val="18"/>
              </w:rPr>
              <w:t>T1D</w:t>
            </w:r>
          </w:p>
        </w:tc>
        <w:tc>
          <w:tcPr>
            <w:tcW w:w="1247" w:type="dxa"/>
          </w:tcPr>
          <w:p w14:paraId="12BC0560" w14:textId="77777777" w:rsidR="002A7D91" w:rsidRPr="00B148F9" w:rsidRDefault="002A7D91" w:rsidP="00EE53BF">
            <w:pPr>
              <w:jc w:val="left"/>
              <w:rPr>
                <w:rFonts w:cstheme="minorHAnsi"/>
                <w:sz w:val="18"/>
                <w:szCs w:val="18"/>
              </w:rPr>
            </w:pPr>
            <w:r w:rsidRPr="00B148F9">
              <w:rPr>
                <w:rFonts w:cstheme="minorHAnsi"/>
                <w:sz w:val="18"/>
                <w:szCs w:val="18"/>
              </w:rPr>
              <w:t>Pivotal</w:t>
            </w:r>
          </w:p>
        </w:tc>
        <w:tc>
          <w:tcPr>
            <w:tcW w:w="4355" w:type="dxa"/>
          </w:tcPr>
          <w:p w14:paraId="5226E999" w14:textId="77777777" w:rsidR="002A7D91" w:rsidRPr="00B148F9" w:rsidRDefault="002A7D91" w:rsidP="00EE53BF">
            <w:pPr>
              <w:jc w:val="left"/>
              <w:rPr>
                <w:rFonts w:cstheme="minorHAnsi"/>
                <w:color w:val="FF0000"/>
                <w:sz w:val="18"/>
                <w:szCs w:val="18"/>
              </w:rPr>
            </w:pPr>
            <w:r w:rsidRPr="00B148F9">
              <w:rPr>
                <w:rFonts w:cstheme="minorHAnsi"/>
                <w:color w:val="000000" w:themeColor="text1"/>
                <w:sz w:val="18"/>
                <w:szCs w:val="18"/>
              </w:rPr>
              <w:t>Study start Q2 2020, expected completion late Q4 2020</w:t>
            </w:r>
          </w:p>
        </w:tc>
      </w:tr>
      <w:tr w:rsidR="002A7D91" w:rsidRPr="00B148F9" w14:paraId="23C944AC" w14:textId="77777777" w:rsidTr="00D87A1D">
        <w:trPr>
          <w:trHeight w:val="664"/>
        </w:trPr>
        <w:tc>
          <w:tcPr>
            <w:tcW w:w="1355" w:type="dxa"/>
            <w:vMerge/>
          </w:tcPr>
          <w:p w14:paraId="59940D42" w14:textId="77777777" w:rsidR="002A7D91" w:rsidRPr="00B148F9" w:rsidRDefault="002A7D91" w:rsidP="00D87A1D">
            <w:pPr>
              <w:rPr>
                <w:rFonts w:cstheme="minorHAnsi"/>
                <w:sz w:val="18"/>
                <w:szCs w:val="18"/>
              </w:rPr>
            </w:pPr>
          </w:p>
        </w:tc>
        <w:tc>
          <w:tcPr>
            <w:tcW w:w="2523" w:type="dxa"/>
          </w:tcPr>
          <w:p w14:paraId="1FCD7671" w14:textId="77777777" w:rsidR="002A7D91" w:rsidRPr="00B148F9" w:rsidRDefault="002A7D91" w:rsidP="00EE53BF">
            <w:pPr>
              <w:jc w:val="left"/>
              <w:rPr>
                <w:rFonts w:cstheme="minorHAnsi"/>
                <w:sz w:val="18"/>
                <w:szCs w:val="18"/>
              </w:rPr>
            </w:pPr>
            <w:r w:rsidRPr="00B148F9">
              <w:rPr>
                <w:rFonts w:cstheme="minorHAnsi"/>
                <w:sz w:val="18"/>
                <w:szCs w:val="18"/>
              </w:rPr>
              <w:t>Cystic fibrosis – related diabetes</w:t>
            </w:r>
          </w:p>
        </w:tc>
        <w:tc>
          <w:tcPr>
            <w:tcW w:w="1247" w:type="dxa"/>
          </w:tcPr>
          <w:p w14:paraId="2845A23F" w14:textId="77777777" w:rsidR="002A7D91" w:rsidRPr="00B148F9" w:rsidRDefault="002A7D91" w:rsidP="00EE53BF">
            <w:pPr>
              <w:jc w:val="left"/>
              <w:rPr>
                <w:rFonts w:cstheme="minorHAnsi"/>
                <w:sz w:val="18"/>
                <w:szCs w:val="18"/>
              </w:rPr>
            </w:pPr>
            <w:r w:rsidRPr="00B148F9">
              <w:rPr>
                <w:rFonts w:cstheme="minorHAnsi"/>
                <w:sz w:val="18"/>
                <w:szCs w:val="18"/>
              </w:rPr>
              <w:t>Pilot</w:t>
            </w:r>
          </w:p>
        </w:tc>
        <w:tc>
          <w:tcPr>
            <w:tcW w:w="4355" w:type="dxa"/>
          </w:tcPr>
          <w:p w14:paraId="126E1285" w14:textId="77777777" w:rsidR="002A7D91" w:rsidRPr="00B148F9" w:rsidRDefault="002A7D91" w:rsidP="00EE53BF">
            <w:pPr>
              <w:jc w:val="left"/>
              <w:rPr>
                <w:rFonts w:cstheme="minorHAnsi"/>
                <w:color w:val="FF0000"/>
                <w:sz w:val="18"/>
                <w:szCs w:val="18"/>
              </w:rPr>
            </w:pPr>
            <w:r w:rsidRPr="00B148F9">
              <w:rPr>
                <w:rFonts w:cstheme="minorHAnsi"/>
                <w:color w:val="000000" w:themeColor="text1"/>
                <w:sz w:val="18"/>
                <w:szCs w:val="18"/>
              </w:rPr>
              <w:t>Study completed</w:t>
            </w:r>
          </w:p>
        </w:tc>
      </w:tr>
      <w:tr w:rsidR="002A7D91" w:rsidRPr="00B148F9" w14:paraId="5CA1C2C4" w14:textId="77777777" w:rsidTr="00D87A1D">
        <w:trPr>
          <w:trHeight w:val="350"/>
        </w:trPr>
        <w:tc>
          <w:tcPr>
            <w:tcW w:w="1355" w:type="dxa"/>
            <w:vMerge w:val="restart"/>
          </w:tcPr>
          <w:p w14:paraId="7B5C317A" w14:textId="77777777" w:rsidR="002A7D91" w:rsidRPr="00B148F9" w:rsidRDefault="002A7D91" w:rsidP="00D87A1D">
            <w:pPr>
              <w:rPr>
                <w:rFonts w:cstheme="minorHAnsi"/>
                <w:b/>
                <w:sz w:val="18"/>
                <w:szCs w:val="18"/>
              </w:rPr>
            </w:pPr>
            <w:r w:rsidRPr="00B148F9">
              <w:rPr>
                <w:rFonts w:cstheme="minorHAnsi"/>
                <w:b/>
                <w:sz w:val="18"/>
                <w:szCs w:val="18"/>
              </w:rPr>
              <w:t xml:space="preserve">Frequency </w:t>
            </w:r>
          </w:p>
        </w:tc>
        <w:tc>
          <w:tcPr>
            <w:tcW w:w="2523" w:type="dxa"/>
          </w:tcPr>
          <w:p w14:paraId="1AE321F7" w14:textId="77777777" w:rsidR="002A7D91" w:rsidRPr="00B148F9" w:rsidRDefault="002A7D91" w:rsidP="00EE53BF">
            <w:pPr>
              <w:jc w:val="left"/>
              <w:rPr>
                <w:rFonts w:cstheme="minorHAnsi"/>
                <w:sz w:val="18"/>
                <w:szCs w:val="18"/>
              </w:rPr>
            </w:pPr>
            <w:r w:rsidRPr="00B148F9">
              <w:rPr>
                <w:rFonts w:cstheme="minorHAnsi"/>
                <w:sz w:val="18"/>
                <w:szCs w:val="18"/>
              </w:rPr>
              <w:t>Sensorineural hearing loss</w:t>
            </w:r>
          </w:p>
        </w:tc>
        <w:tc>
          <w:tcPr>
            <w:tcW w:w="1247" w:type="dxa"/>
          </w:tcPr>
          <w:p w14:paraId="169AB1F6" w14:textId="77777777" w:rsidR="002A7D91" w:rsidRPr="00B148F9" w:rsidRDefault="002A7D91" w:rsidP="00EE53BF">
            <w:pPr>
              <w:jc w:val="left"/>
              <w:rPr>
                <w:rFonts w:cstheme="minorHAnsi"/>
                <w:sz w:val="18"/>
                <w:szCs w:val="18"/>
              </w:rPr>
            </w:pPr>
            <w:r w:rsidRPr="00B148F9">
              <w:rPr>
                <w:rFonts w:cstheme="minorHAnsi"/>
                <w:sz w:val="18"/>
                <w:szCs w:val="18"/>
              </w:rPr>
              <w:t>Phase 2</w:t>
            </w:r>
          </w:p>
        </w:tc>
        <w:tc>
          <w:tcPr>
            <w:tcW w:w="4355" w:type="dxa"/>
          </w:tcPr>
          <w:p w14:paraId="47A9EACE" w14:textId="344A0624" w:rsidR="002A7D91" w:rsidRPr="00B148F9" w:rsidRDefault="002A7D91" w:rsidP="007979DB">
            <w:pPr>
              <w:jc w:val="left"/>
              <w:rPr>
                <w:rFonts w:cstheme="minorHAnsi"/>
                <w:color w:val="FF0000"/>
                <w:sz w:val="18"/>
                <w:szCs w:val="18"/>
              </w:rPr>
            </w:pPr>
            <w:r w:rsidRPr="00B148F9">
              <w:rPr>
                <w:rFonts w:cstheme="minorHAnsi"/>
                <w:color w:val="000000" w:themeColor="text1"/>
                <w:sz w:val="18"/>
                <w:szCs w:val="18"/>
              </w:rPr>
              <w:t xml:space="preserve">Ongoing, top-line data </w:t>
            </w:r>
            <w:r w:rsidR="007979DB" w:rsidRPr="00B148F9">
              <w:rPr>
                <w:rFonts w:cstheme="minorHAnsi"/>
                <w:color w:val="000000" w:themeColor="text1"/>
                <w:sz w:val="18"/>
                <w:szCs w:val="18"/>
              </w:rPr>
              <w:t>YE</w:t>
            </w:r>
            <w:r w:rsidRPr="00B148F9">
              <w:rPr>
                <w:rFonts w:cstheme="minorHAnsi"/>
                <w:color w:val="000000" w:themeColor="text1"/>
                <w:sz w:val="18"/>
                <w:szCs w:val="18"/>
              </w:rPr>
              <w:t xml:space="preserve"> 2020</w:t>
            </w:r>
            <w:r w:rsidR="007979DB" w:rsidRPr="00B148F9">
              <w:rPr>
                <w:rFonts w:cstheme="minorHAnsi"/>
                <w:color w:val="000000" w:themeColor="text1"/>
                <w:sz w:val="18"/>
                <w:szCs w:val="18"/>
              </w:rPr>
              <w:t xml:space="preserve"> to 2021</w:t>
            </w:r>
          </w:p>
        </w:tc>
      </w:tr>
      <w:tr w:rsidR="002A7D91" w:rsidRPr="00B148F9" w14:paraId="3DE70D10" w14:textId="77777777" w:rsidTr="00D87A1D">
        <w:trPr>
          <w:trHeight w:val="332"/>
        </w:trPr>
        <w:tc>
          <w:tcPr>
            <w:tcW w:w="1355" w:type="dxa"/>
            <w:vMerge/>
          </w:tcPr>
          <w:p w14:paraId="44B9C28D" w14:textId="77777777" w:rsidR="002A7D91" w:rsidRPr="00B148F9" w:rsidRDefault="002A7D91" w:rsidP="00D87A1D">
            <w:pPr>
              <w:rPr>
                <w:rFonts w:cstheme="minorHAnsi"/>
                <w:sz w:val="18"/>
                <w:szCs w:val="18"/>
              </w:rPr>
            </w:pPr>
          </w:p>
        </w:tc>
        <w:tc>
          <w:tcPr>
            <w:tcW w:w="2523" w:type="dxa"/>
          </w:tcPr>
          <w:p w14:paraId="256983E6" w14:textId="77777777" w:rsidR="002A7D91" w:rsidRPr="00B148F9" w:rsidRDefault="002A7D91" w:rsidP="00EE53BF">
            <w:pPr>
              <w:jc w:val="left"/>
              <w:rPr>
                <w:rFonts w:cstheme="minorHAnsi"/>
                <w:sz w:val="18"/>
                <w:szCs w:val="18"/>
              </w:rPr>
            </w:pPr>
            <w:r w:rsidRPr="00B148F9">
              <w:rPr>
                <w:rFonts w:cstheme="minorHAnsi"/>
                <w:sz w:val="18"/>
                <w:szCs w:val="18"/>
              </w:rPr>
              <w:t>Multiple sclerosis</w:t>
            </w:r>
          </w:p>
        </w:tc>
        <w:tc>
          <w:tcPr>
            <w:tcW w:w="1247" w:type="dxa"/>
          </w:tcPr>
          <w:p w14:paraId="5BF5DEE0" w14:textId="77777777" w:rsidR="002A7D91" w:rsidRPr="00B148F9" w:rsidRDefault="002A7D91" w:rsidP="00EE53BF">
            <w:pPr>
              <w:jc w:val="left"/>
              <w:rPr>
                <w:rFonts w:cstheme="minorHAnsi"/>
                <w:sz w:val="18"/>
                <w:szCs w:val="18"/>
              </w:rPr>
            </w:pPr>
            <w:r w:rsidRPr="00B148F9">
              <w:rPr>
                <w:rFonts w:cstheme="minorHAnsi"/>
                <w:sz w:val="18"/>
                <w:szCs w:val="18"/>
              </w:rPr>
              <w:t>Discovery</w:t>
            </w:r>
          </w:p>
        </w:tc>
        <w:tc>
          <w:tcPr>
            <w:tcW w:w="4355" w:type="dxa"/>
          </w:tcPr>
          <w:p w14:paraId="02742CCB" w14:textId="77777777" w:rsidR="002A7D91" w:rsidRPr="00B148F9" w:rsidRDefault="002A7D91" w:rsidP="00EE53BF">
            <w:pPr>
              <w:jc w:val="left"/>
              <w:rPr>
                <w:rFonts w:cstheme="minorHAnsi"/>
                <w:color w:val="FF0000"/>
                <w:sz w:val="18"/>
                <w:szCs w:val="18"/>
              </w:rPr>
            </w:pPr>
            <w:r w:rsidRPr="00B148F9">
              <w:rPr>
                <w:rFonts w:cstheme="minorHAnsi"/>
                <w:color w:val="000000" w:themeColor="text1"/>
                <w:sz w:val="18"/>
                <w:szCs w:val="18"/>
              </w:rPr>
              <w:t>IND submission H2 2021</w:t>
            </w:r>
          </w:p>
        </w:tc>
      </w:tr>
      <w:tr w:rsidR="002A7D91" w:rsidRPr="00B148F9" w14:paraId="5F10CDB4" w14:textId="77777777" w:rsidTr="00D87A1D">
        <w:trPr>
          <w:trHeight w:val="332"/>
        </w:trPr>
        <w:tc>
          <w:tcPr>
            <w:tcW w:w="1355" w:type="dxa"/>
            <w:vMerge w:val="restart"/>
          </w:tcPr>
          <w:p w14:paraId="63ECE3D2" w14:textId="77777777" w:rsidR="002A7D91" w:rsidRPr="00B148F9" w:rsidRDefault="002A7D91" w:rsidP="00D87A1D">
            <w:pPr>
              <w:rPr>
                <w:rFonts w:cstheme="minorHAnsi"/>
                <w:b/>
                <w:sz w:val="18"/>
                <w:szCs w:val="18"/>
              </w:rPr>
            </w:pPr>
            <w:r w:rsidRPr="00B148F9">
              <w:rPr>
                <w:rFonts w:cstheme="minorHAnsi"/>
                <w:b/>
                <w:sz w:val="18"/>
                <w:szCs w:val="18"/>
              </w:rPr>
              <w:t>Immunocore</w:t>
            </w:r>
          </w:p>
        </w:tc>
        <w:tc>
          <w:tcPr>
            <w:tcW w:w="2523" w:type="dxa"/>
          </w:tcPr>
          <w:p w14:paraId="11ECEB4C" w14:textId="77777777" w:rsidR="002A7D91" w:rsidRPr="00B148F9" w:rsidRDefault="002A7D91" w:rsidP="00EE53BF">
            <w:pPr>
              <w:jc w:val="left"/>
              <w:rPr>
                <w:rFonts w:cstheme="minorHAnsi"/>
                <w:sz w:val="18"/>
                <w:szCs w:val="18"/>
              </w:rPr>
            </w:pPr>
            <w:r w:rsidRPr="00B148F9">
              <w:rPr>
                <w:rFonts w:cstheme="minorHAnsi"/>
                <w:sz w:val="18"/>
                <w:szCs w:val="18"/>
              </w:rPr>
              <w:t>Uveal melanoma</w:t>
            </w:r>
          </w:p>
        </w:tc>
        <w:tc>
          <w:tcPr>
            <w:tcW w:w="1247" w:type="dxa"/>
          </w:tcPr>
          <w:p w14:paraId="490B8DB0" w14:textId="77777777" w:rsidR="002A7D91" w:rsidRPr="00B148F9" w:rsidRDefault="002A7D91" w:rsidP="00EE53BF">
            <w:pPr>
              <w:jc w:val="left"/>
              <w:rPr>
                <w:rFonts w:cstheme="minorHAnsi"/>
                <w:sz w:val="18"/>
                <w:szCs w:val="18"/>
              </w:rPr>
            </w:pPr>
            <w:r w:rsidRPr="00B148F9">
              <w:rPr>
                <w:rFonts w:cstheme="minorHAnsi"/>
                <w:sz w:val="18"/>
                <w:szCs w:val="18"/>
              </w:rPr>
              <w:t>Pivotal</w:t>
            </w:r>
          </w:p>
        </w:tc>
        <w:tc>
          <w:tcPr>
            <w:tcW w:w="4355" w:type="dxa"/>
          </w:tcPr>
          <w:p w14:paraId="5B4772ED" w14:textId="25C0CE63" w:rsidR="002A7D91" w:rsidRPr="00B148F9" w:rsidRDefault="002A7D91" w:rsidP="007979DB">
            <w:pPr>
              <w:jc w:val="left"/>
              <w:rPr>
                <w:rFonts w:cstheme="minorHAnsi"/>
                <w:color w:val="FF0000"/>
                <w:sz w:val="18"/>
                <w:szCs w:val="18"/>
              </w:rPr>
            </w:pPr>
            <w:r w:rsidRPr="00B148F9">
              <w:rPr>
                <w:rFonts w:cstheme="minorHAnsi"/>
                <w:color w:val="000000" w:themeColor="text1"/>
                <w:sz w:val="18"/>
                <w:szCs w:val="18"/>
              </w:rPr>
              <w:t xml:space="preserve">Ongoing, data </w:t>
            </w:r>
            <w:r w:rsidR="007979DB" w:rsidRPr="00B148F9">
              <w:rPr>
                <w:rFonts w:cstheme="minorHAnsi"/>
                <w:color w:val="000000" w:themeColor="text1"/>
                <w:sz w:val="18"/>
                <w:szCs w:val="18"/>
              </w:rPr>
              <w:t>2021</w:t>
            </w:r>
          </w:p>
        </w:tc>
      </w:tr>
      <w:tr w:rsidR="002A7D91" w:rsidRPr="00B148F9" w14:paraId="5FE0B91D" w14:textId="77777777" w:rsidTr="00D87A1D">
        <w:trPr>
          <w:trHeight w:val="449"/>
        </w:trPr>
        <w:tc>
          <w:tcPr>
            <w:tcW w:w="1355" w:type="dxa"/>
            <w:vMerge/>
          </w:tcPr>
          <w:p w14:paraId="3BD75AA7" w14:textId="77777777" w:rsidR="002A7D91" w:rsidRPr="00B148F9" w:rsidRDefault="002A7D91" w:rsidP="00D87A1D">
            <w:pPr>
              <w:rPr>
                <w:rFonts w:cstheme="minorHAnsi"/>
                <w:sz w:val="18"/>
                <w:szCs w:val="18"/>
              </w:rPr>
            </w:pPr>
          </w:p>
        </w:tc>
        <w:tc>
          <w:tcPr>
            <w:tcW w:w="2523" w:type="dxa"/>
          </w:tcPr>
          <w:p w14:paraId="4FBD870B" w14:textId="77777777" w:rsidR="002A7D91" w:rsidRPr="00B148F9" w:rsidRDefault="002A7D91" w:rsidP="00EE53BF">
            <w:pPr>
              <w:jc w:val="left"/>
              <w:rPr>
                <w:rFonts w:cstheme="minorHAnsi"/>
                <w:sz w:val="18"/>
                <w:szCs w:val="18"/>
              </w:rPr>
            </w:pPr>
            <w:r w:rsidRPr="00B148F9">
              <w:rPr>
                <w:rFonts w:cstheme="minorHAnsi"/>
                <w:sz w:val="18"/>
                <w:szCs w:val="18"/>
              </w:rPr>
              <w:t>Solid tumours, expressing MAGE -A4</w:t>
            </w:r>
          </w:p>
        </w:tc>
        <w:tc>
          <w:tcPr>
            <w:tcW w:w="1247" w:type="dxa"/>
          </w:tcPr>
          <w:p w14:paraId="34F28AB0" w14:textId="77777777" w:rsidR="002A7D91" w:rsidRPr="00B148F9" w:rsidRDefault="002A7D91" w:rsidP="00EE53BF">
            <w:pPr>
              <w:jc w:val="left"/>
              <w:rPr>
                <w:rFonts w:cstheme="minorHAnsi"/>
                <w:sz w:val="18"/>
                <w:szCs w:val="18"/>
              </w:rPr>
            </w:pPr>
            <w:r w:rsidRPr="00B148F9">
              <w:rPr>
                <w:rFonts w:cstheme="minorHAnsi"/>
                <w:color w:val="000000" w:themeColor="text1"/>
                <w:sz w:val="18"/>
                <w:szCs w:val="18"/>
              </w:rPr>
              <w:t>Phase 1/2</w:t>
            </w:r>
          </w:p>
        </w:tc>
        <w:tc>
          <w:tcPr>
            <w:tcW w:w="4355" w:type="dxa"/>
          </w:tcPr>
          <w:p w14:paraId="57BF45AC" w14:textId="595D9E79" w:rsidR="002A7D91" w:rsidRPr="00B148F9" w:rsidRDefault="00A104B9" w:rsidP="00A104B9">
            <w:pPr>
              <w:jc w:val="left"/>
              <w:rPr>
                <w:rFonts w:cstheme="minorHAnsi"/>
                <w:color w:val="000000" w:themeColor="text1"/>
                <w:sz w:val="18"/>
                <w:szCs w:val="18"/>
              </w:rPr>
            </w:pPr>
            <w:r w:rsidRPr="00B148F9">
              <w:rPr>
                <w:rFonts w:cstheme="minorHAnsi"/>
                <w:color w:val="000000" w:themeColor="text1"/>
                <w:sz w:val="18"/>
                <w:szCs w:val="18"/>
              </w:rPr>
              <w:t>Ongoing</w:t>
            </w:r>
          </w:p>
        </w:tc>
      </w:tr>
      <w:tr w:rsidR="002A7D91" w:rsidRPr="00B148F9" w14:paraId="258E411E" w14:textId="77777777" w:rsidTr="00D87A1D">
        <w:trPr>
          <w:trHeight w:val="575"/>
        </w:trPr>
        <w:tc>
          <w:tcPr>
            <w:tcW w:w="1355" w:type="dxa"/>
            <w:vMerge/>
          </w:tcPr>
          <w:p w14:paraId="4B2A8160" w14:textId="77777777" w:rsidR="002A7D91" w:rsidRPr="00B148F9" w:rsidRDefault="002A7D91" w:rsidP="00D87A1D">
            <w:pPr>
              <w:rPr>
                <w:rFonts w:cstheme="minorHAnsi"/>
                <w:sz w:val="18"/>
                <w:szCs w:val="18"/>
              </w:rPr>
            </w:pPr>
          </w:p>
        </w:tc>
        <w:tc>
          <w:tcPr>
            <w:tcW w:w="2523" w:type="dxa"/>
          </w:tcPr>
          <w:p w14:paraId="38B212AC" w14:textId="77777777" w:rsidR="002A7D91" w:rsidRPr="00B148F9" w:rsidRDefault="002A7D91" w:rsidP="00EE53BF">
            <w:pPr>
              <w:jc w:val="left"/>
              <w:rPr>
                <w:rFonts w:cstheme="minorHAnsi"/>
                <w:sz w:val="18"/>
                <w:szCs w:val="18"/>
              </w:rPr>
            </w:pPr>
            <w:r w:rsidRPr="00B148F9">
              <w:rPr>
                <w:rFonts w:cstheme="minorHAnsi"/>
                <w:sz w:val="18"/>
                <w:szCs w:val="18"/>
              </w:rPr>
              <w:t>Infectious and Autoimmune disease programs</w:t>
            </w:r>
          </w:p>
        </w:tc>
        <w:tc>
          <w:tcPr>
            <w:tcW w:w="1247" w:type="dxa"/>
          </w:tcPr>
          <w:p w14:paraId="22831F50" w14:textId="77777777" w:rsidR="002A7D91" w:rsidRPr="00B148F9" w:rsidRDefault="002A7D91" w:rsidP="00EE53BF">
            <w:pPr>
              <w:jc w:val="left"/>
              <w:rPr>
                <w:rFonts w:cstheme="minorHAnsi"/>
                <w:sz w:val="18"/>
                <w:szCs w:val="18"/>
              </w:rPr>
            </w:pPr>
            <w:r w:rsidRPr="00B148F9">
              <w:rPr>
                <w:rFonts w:cstheme="minorHAnsi"/>
                <w:sz w:val="18"/>
                <w:szCs w:val="18"/>
              </w:rPr>
              <w:t>Discovery</w:t>
            </w:r>
          </w:p>
        </w:tc>
        <w:tc>
          <w:tcPr>
            <w:tcW w:w="4355" w:type="dxa"/>
          </w:tcPr>
          <w:p w14:paraId="1B54F6D6" w14:textId="77777777" w:rsidR="002A7D91" w:rsidRPr="00B148F9" w:rsidRDefault="002A7D91" w:rsidP="00EE53BF">
            <w:pPr>
              <w:jc w:val="left"/>
              <w:rPr>
                <w:rFonts w:cstheme="minorHAnsi"/>
                <w:color w:val="000000" w:themeColor="text1"/>
                <w:sz w:val="18"/>
                <w:szCs w:val="18"/>
              </w:rPr>
            </w:pPr>
            <w:r w:rsidRPr="00B148F9">
              <w:rPr>
                <w:rFonts w:cstheme="minorHAnsi"/>
                <w:color w:val="000000" w:themeColor="text1"/>
                <w:sz w:val="18"/>
                <w:szCs w:val="18"/>
              </w:rPr>
              <w:t>Partnerships with Astra Zeneca, Genentech, Eli Lily, GSK, and Bill and Melinda Gates Foundation</w:t>
            </w:r>
          </w:p>
        </w:tc>
      </w:tr>
      <w:tr w:rsidR="002A7D91" w:rsidRPr="00B148F9" w14:paraId="034202FC" w14:textId="77777777" w:rsidTr="00D87A1D">
        <w:trPr>
          <w:trHeight w:val="332"/>
        </w:trPr>
        <w:tc>
          <w:tcPr>
            <w:tcW w:w="1355" w:type="dxa"/>
            <w:vMerge w:val="restart"/>
          </w:tcPr>
          <w:p w14:paraId="5D64D96A" w14:textId="77777777" w:rsidR="002A7D91" w:rsidRPr="00B148F9" w:rsidRDefault="002A7D91" w:rsidP="00D87A1D">
            <w:pPr>
              <w:rPr>
                <w:rFonts w:cstheme="minorHAnsi"/>
                <w:b/>
                <w:sz w:val="18"/>
                <w:szCs w:val="18"/>
              </w:rPr>
            </w:pPr>
            <w:r w:rsidRPr="00B148F9">
              <w:rPr>
                <w:rFonts w:cstheme="minorHAnsi"/>
                <w:b/>
                <w:sz w:val="18"/>
                <w:szCs w:val="18"/>
              </w:rPr>
              <w:t>Landos</w:t>
            </w:r>
          </w:p>
        </w:tc>
        <w:tc>
          <w:tcPr>
            <w:tcW w:w="2523" w:type="dxa"/>
          </w:tcPr>
          <w:p w14:paraId="00F59639" w14:textId="77777777" w:rsidR="002A7D91" w:rsidRPr="00B148F9" w:rsidRDefault="002A7D91" w:rsidP="00EE53BF">
            <w:pPr>
              <w:jc w:val="left"/>
              <w:rPr>
                <w:rFonts w:cstheme="minorHAnsi"/>
                <w:sz w:val="18"/>
                <w:szCs w:val="18"/>
              </w:rPr>
            </w:pPr>
            <w:r w:rsidRPr="00B148F9">
              <w:rPr>
                <w:rFonts w:cstheme="minorHAnsi"/>
                <w:sz w:val="18"/>
                <w:szCs w:val="18"/>
              </w:rPr>
              <w:t>Ulcerative Colitis</w:t>
            </w:r>
          </w:p>
        </w:tc>
        <w:tc>
          <w:tcPr>
            <w:tcW w:w="1247" w:type="dxa"/>
          </w:tcPr>
          <w:p w14:paraId="6890AC98" w14:textId="77777777" w:rsidR="002A7D91" w:rsidRPr="00B148F9" w:rsidRDefault="002A7D91" w:rsidP="00EE53BF">
            <w:pPr>
              <w:jc w:val="left"/>
              <w:rPr>
                <w:rFonts w:cstheme="minorHAnsi"/>
                <w:sz w:val="18"/>
                <w:szCs w:val="18"/>
              </w:rPr>
            </w:pPr>
            <w:r w:rsidRPr="00B148F9">
              <w:rPr>
                <w:rFonts w:cstheme="minorHAnsi"/>
                <w:sz w:val="18"/>
                <w:szCs w:val="18"/>
              </w:rPr>
              <w:t>Phase 2</w:t>
            </w:r>
          </w:p>
        </w:tc>
        <w:tc>
          <w:tcPr>
            <w:tcW w:w="4355" w:type="dxa"/>
          </w:tcPr>
          <w:p w14:paraId="113A43A6" w14:textId="76EE5DAC" w:rsidR="002A7D91" w:rsidRPr="00B148F9" w:rsidRDefault="002A7D91" w:rsidP="00A104B9">
            <w:pPr>
              <w:jc w:val="left"/>
              <w:rPr>
                <w:rFonts w:cstheme="minorHAnsi"/>
                <w:color w:val="000000" w:themeColor="text1"/>
                <w:sz w:val="18"/>
                <w:szCs w:val="18"/>
              </w:rPr>
            </w:pPr>
            <w:r w:rsidRPr="00B148F9">
              <w:rPr>
                <w:rFonts w:cstheme="minorHAnsi"/>
                <w:color w:val="000000" w:themeColor="text1"/>
                <w:sz w:val="18"/>
                <w:szCs w:val="18"/>
              </w:rPr>
              <w:t xml:space="preserve">Ongoing, data readout </w:t>
            </w:r>
            <w:r w:rsidR="00A104B9" w:rsidRPr="00B148F9">
              <w:rPr>
                <w:rFonts w:cstheme="minorHAnsi"/>
                <w:color w:val="000000" w:themeColor="text1"/>
                <w:sz w:val="18"/>
                <w:szCs w:val="18"/>
              </w:rPr>
              <w:t>Q4</w:t>
            </w:r>
            <w:r w:rsidRPr="00B148F9">
              <w:rPr>
                <w:rFonts w:cstheme="minorHAnsi"/>
                <w:color w:val="000000" w:themeColor="text1"/>
                <w:sz w:val="18"/>
                <w:szCs w:val="18"/>
              </w:rPr>
              <w:t xml:space="preserve"> 2020</w:t>
            </w:r>
          </w:p>
        </w:tc>
      </w:tr>
      <w:tr w:rsidR="002A7D91" w:rsidRPr="00B148F9" w14:paraId="3D349773" w14:textId="77777777" w:rsidTr="00D87A1D">
        <w:trPr>
          <w:trHeight w:val="350"/>
        </w:trPr>
        <w:tc>
          <w:tcPr>
            <w:tcW w:w="1355" w:type="dxa"/>
            <w:vMerge/>
          </w:tcPr>
          <w:p w14:paraId="1679428F" w14:textId="77777777" w:rsidR="002A7D91" w:rsidRPr="00B148F9" w:rsidRDefault="002A7D91" w:rsidP="00D87A1D">
            <w:pPr>
              <w:rPr>
                <w:rFonts w:cstheme="minorHAnsi"/>
                <w:sz w:val="18"/>
                <w:szCs w:val="18"/>
              </w:rPr>
            </w:pPr>
          </w:p>
        </w:tc>
        <w:tc>
          <w:tcPr>
            <w:tcW w:w="2523" w:type="dxa"/>
          </w:tcPr>
          <w:p w14:paraId="44FB2697" w14:textId="77777777" w:rsidR="002A7D91" w:rsidRPr="00B148F9" w:rsidRDefault="002A7D91" w:rsidP="00EE53BF">
            <w:pPr>
              <w:jc w:val="left"/>
              <w:rPr>
                <w:rFonts w:cstheme="minorHAnsi"/>
                <w:sz w:val="18"/>
                <w:szCs w:val="18"/>
              </w:rPr>
            </w:pPr>
            <w:r w:rsidRPr="00B148F9">
              <w:rPr>
                <w:rFonts w:cstheme="minorHAnsi"/>
                <w:sz w:val="18"/>
                <w:szCs w:val="18"/>
              </w:rPr>
              <w:t>Crohn’s Disease</w:t>
            </w:r>
          </w:p>
        </w:tc>
        <w:tc>
          <w:tcPr>
            <w:tcW w:w="1247" w:type="dxa"/>
          </w:tcPr>
          <w:p w14:paraId="72045A00" w14:textId="77777777" w:rsidR="002A7D91" w:rsidRPr="00B148F9" w:rsidRDefault="002A7D91" w:rsidP="00EE53BF">
            <w:pPr>
              <w:jc w:val="left"/>
              <w:rPr>
                <w:rFonts w:cstheme="minorHAnsi"/>
                <w:sz w:val="18"/>
                <w:szCs w:val="18"/>
              </w:rPr>
            </w:pPr>
            <w:r w:rsidRPr="00B148F9">
              <w:rPr>
                <w:rFonts w:cstheme="minorHAnsi"/>
                <w:sz w:val="18"/>
                <w:szCs w:val="18"/>
              </w:rPr>
              <w:t>Phase 2</w:t>
            </w:r>
          </w:p>
        </w:tc>
        <w:tc>
          <w:tcPr>
            <w:tcW w:w="4355" w:type="dxa"/>
          </w:tcPr>
          <w:p w14:paraId="2BFDA877" w14:textId="162B044C" w:rsidR="002A7D91" w:rsidRPr="00B148F9" w:rsidRDefault="00A104B9" w:rsidP="00EE53BF">
            <w:pPr>
              <w:jc w:val="left"/>
              <w:rPr>
                <w:rFonts w:cstheme="minorHAnsi"/>
                <w:color w:val="000000" w:themeColor="text1"/>
                <w:sz w:val="18"/>
                <w:szCs w:val="18"/>
              </w:rPr>
            </w:pPr>
            <w:r w:rsidRPr="00B148F9">
              <w:rPr>
                <w:rFonts w:cstheme="minorHAnsi"/>
                <w:color w:val="000000" w:themeColor="text1"/>
                <w:sz w:val="18"/>
                <w:szCs w:val="18"/>
              </w:rPr>
              <w:t>Planned</w:t>
            </w:r>
          </w:p>
        </w:tc>
      </w:tr>
      <w:tr w:rsidR="002A7D91" w:rsidRPr="00B148F9" w14:paraId="654A1DE4" w14:textId="77777777" w:rsidTr="00D87A1D">
        <w:trPr>
          <w:trHeight w:val="332"/>
        </w:trPr>
        <w:tc>
          <w:tcPr>
            <w:tcW w:w="1355" w:type="dxa"/>
            <w:vMerge w:val="restart"/>
          </w:tcPr>
          <w:p w14:paraId="25A2F5CA" w14:textId="77777777" w:rsidR="002A7D91" w:rsidRPr="00B148F9" w:rsidRDefault="002A7D91" w:rsidP="00D87A1D">
            <w:pPr>
              <w:rPr>
                <w:rFonts w:cstheme="minorHAnsi"/>
                <w:b/>
                <w:sz w:val="18"/>
                <w:szCs w:val="18"/>
              </w:rPr>
            </w:pPr>
            <w:r w:rsidRPr="00B148F9">
              <w:rPr>
                <w:rFonts w:cstheme="minorHAnsi"/>
                <w:b/>
                <w:sz w:val="18"/>
                <w:szCs w:val="18"/>
              </w:rPr>
              <w:t>Orchestra</w:t>
            </w:r>
          </w:p>
        </w:tc>
        <w:tc>
          <w:tcPr>
            <w:tcW w:w="2523" w:type="dxa"/>
          </w:tcPr>
          <w:p w14:paraId="77BC0625" w14:textId="77777777" w:rsidR="002A7D91" w:rsidRPr="00B148F9" w:rsidRDefault="002A7D91" w:rsidP="00EE53BF">
            <w:pPr>
              <w:jc w:val="left"/>
              <w:rPr>
                <w:rFonts w:cstheme="minorHAnsi"/>
                <w:sz w:val="18"/>
                <w:szCs w:val="18"/>
              </w:rPr>
            </w:pPr>
            <w:r w:rsidRPr="00B148F9">
              <w:rPr>
                <w:rFonts w:cstheme="minorHAnsi"/>
                <w:sz w:val="18"/>
                <w:szCs w:val="18"/>
              </w:rPr>
              <w:t>In-stent coronary restenosis</w:t>
            </w:r>
          </w:p>
        </w:tc>
        <w:tc>
          <w:tcPr>
            <w:tcW w:w="1247" w:type="dxa"/>
          </w:tcPr>
          <w:p w14:paraId="0344A963" w14:textId="77777777" w:rsidR="002A7D91" w:rsidRPr="00B148F9" w:rsidRDefault="002A7D91" w:rsidP="00EE53BF">
            <w:pPr>
              <w:jc w:val="left"/>
              <w:rPr>
                <w:rFonts w:cstheme="minorHAnsi"/>
                <w:sz w:val="18"/>
                <w:szCs w:val="18"/>
              </w:rPr>
            </w:pPr>
            <w:r w:rsidRPr="00B148F9">
              <w:rPr>
                <w:rFonts w:cstheme="minorHAnsi"/>
                <w:sz w:val="18"/>
                <w:szCs w:val="18"/>
              </w:rPr>
              <w:t>Pivotal</w:t>
            </w:r>
          </w:p>
        </w:tc>
        <w:tc>
          <w:tcPr>
            <w:tcW w:w="4355" w:type="dxa"/>
          </w:tcPr>
          <w:p w14:paraId="7C22FCD3" w14:textId="77777777" w:rsidR="002A7D91" w:rsidRPr="00B148F9" w:rsidRDefault="002A7D91" w:rsidP="00EE53BF">
            <w:pPr>
              <w:jc w:val="left"/>
              <w:rPr>
                <w:rFonts w:cstheme="minorHAnsi"/>
                <w:sz w:val="18"/>
                <w:szCs w:val="18"/>
              </w:rPr>
            </w:pPr>
            <w:r w:rsidRPr="00B148F9">
              <w:rPr>
                <w:rFonts w:cstheme="minorHAnsi"/>
                <w:sz w:val="18"/>
                <w:szCs w:val="18"/>
              </w:rPr>
              <w:t>Ongoing</w:t>
            </w:r>
          </w:p>
        </w:tc>
      </w:tr>
      <w:tr w:rsidR="002A7D91" w:rsidRPr="00B148F9" w14:paraId="62C05C96" w14:textId="77777777" w:rsidTr="00D87A1D">
        <w:trPr>
          <w:trHeight w:val="332"/>
        </w:trPr>
        <w:tc>
          <w:tcPr>
            <w:tcW w:w="1355" w:type="dxa"/>
            <w:vMerge/>
          </w:tcPr>
          <w:p w14:paraId="6769B2AE" w14:textId="77777777" w:rsidR="002A7D91" w:rsidRPr="00B148F9" w:rsidRDefault="002A7D91" w:rsidP="00D87A1D">
            <w:pPr>
              <w:rPr>
                <w:rFonts w:cstheme="minorHAnsi"/>
                <w:sz w:val="18"/>
                <w:szCs w:val="18"/>
              </w:rPr>
            </w:pPr>
          </w:p>
        </w:tc>
        <w:tc>
          <w:tcPr>
            <w:tcW w:w="2523" w:type="dxa"/>
          </w:tcPr>
          <w:p w14:paraId="5CF8AAE8" w14:textId="77777777" w:rsidR="002A7D91" w:rsidRPr="00B148F9" w:rsidRDefault="002A7D91" w:rsidP="00EE53BF">
            <w:pPr>
              <w:jc w:val="left"/>
              <w:rPr>
                <w:rFonts w:cstheme="minorHAnsi"/>
                <w:sz w:val="18"/>
                <w:szCs w:val="18"/>
              </w:rPr>
            </w:pPr>
            <w:r w:rsidRPr="00B148F9">
              <w:rPr>
                <w:rFonts w:cstheme="minorHAnsi"/>
                <w:sz w:val="18"/>
                <w:szCs w:val="18"/>
              </w:rPr>
              <w:t>Persistent hypertension</w:t>
            </w:r>
          </w:p>
        </w:tc>
        <w:tc>
          <w:tcPr>
            <w:tcW w:w="1247" w:type="dxa"/>
          </w:tcPr>
          <w:p w14:paraId="4AC15D1F" w14:textId="77777777" w:rsidR="002A7D91" w:rsidRPr="00B148F9" w:rsidRDefault="002A7D91" w:rsidP="00EE53BF">
            <w:pPr>
              <w:jc w:val="left"/>
              <w:rPr>
                <w:rFonts w:cstheme="minorHAnsi"/>
                <w:sz w:val="18"/>
                <w:szCs w:val="18"/>
              </w:rPr>
            </w:pPr>
            <w:r w:rsidRPr="00B148F9">
              <w:rPr>
                <w:rFonts w:cstheme="minorHAnsi"/>
                <w:sz w:val="18"/>
                <w:szCs w:val="18"/>
              </w:rPr>
              <w:t>Pivotal</w:t>
            </w:r>
          </w:p>
        </w:tc>
        <w:tc>
          <w:tcPr>
            <w:tcW w:w="4355" w:type="dxa"/>
          </w:tcPr>
          <w:p w14:paraId="771E5C1B" w14:textId="77777777" w:rsidR="002A7D91" w:rsidRPr="00B148F9" w:rsidRDefault="002A7D91" w:rsidP="00EE53BF">
            <w:pPr>
              <w:jc w:val="left"/>
              <w:rPr>
                <w:rFonts w:cstheme="minorHAnsi"/>
                <w:sz w:val="18"/>
                <w:szCs w:val="18"/>
              </w:rPr>
            </w:pPr>
            <w:r w:rsidRPr="00B148F9">
              <w:rPr>
                <w:rFonts w:cstheme="minorHAnsi"/>
                <w:sz w:val="18"/>
                <w:szCs w:val="18"/>
              </w:rPr>
              <w:t>Ongoing</w:t>
            </w:r>
          </w:p>
        </w:tc>
      </w:tr>
      <w:tr w:rsidR="002A7D91" w:rsidRPr="00B148F9" w14:paraId="7B247364" w14:textId="77777777" w:rsidTr="00D87A1D">
        <w:trPr>
          <w:trHeight w:val="332"/>
        </w:trPr>
        <w:tc>
          <w:tcPr>
            <w:tcW w:w="1355" w:type="dxa"/>
            <w:vMerge w:val="restart"/>
          </w:tcPr>
          <w:p w14:paraId="08ACCC2C" w14:textId="77777777" w:rsidR="002A7D91" w:rsidRPr="00B148F9" w:rsidRDefault="002A7D91" w:rsidP="00D87A1D">
            <w:pPr>
              <w:rPr>
                <w:rFonts w:cstheme="minorHAnsi"/>
                <w:b/>
                <w:sz w:val="18"/>
                <w:szCs w:val="18"/>
              </w:rPr>
            </w:pPr>
            <w:r w:rsidRPr="00B148F9">
              <w:rPr>
                <w:rFonts w:cstheme="minorHAnsi"/>
                <w:b/>
                <w:sz w:val="18"/>
                <w:szCs w:val="18"/>
              </w:rPr>
              <w:t>Rocket</w:t>
            </w:r>
          </w:p>
        </w:tc>
        <w:tc>
          <w:tcPr>
            <w:tcW w:w="2523" w:type="dxa"/>
          </w:tcPr>
          <w:p w14:paraId="68217A1D" w14:textId="77777777" w:rsidR="002A7D91" w:rsidRPr="00B148F9" w:rsidRDefault="002A7D91" w:rsidP="00EE53BF">
            <w:pPr>
              <w:jc w:val="left"/>
              <w:rPr>
                <w:rFonts w:cstheme="minorHAnsi"/>
                <w:sz w:val="18"/>
                <w:szCs w:val="18"/>
              </w:rPr>
            </w:pPr>
            <w:r w:rsidRPr="00B148F9">
              <w:rPr>
                <w:rFonts w:cstheme="minorHAnsi"/>
                <w:sz w:val="18"/>
                <w:szCs w:val="18"/>
              </w:rPr>
              <w:t>Fanconi Anaemia</w:t>
            </w:r>
          </w:p>
        </w:tc>
        <w:tc>
          <w:tcPr>
            <w:tcW w:w="1247" w:type="dxa"/>
          </w:tcPr>
          <w:p w14:paraId="6756AB56" w14:textId="77777777" w:rsidR="002A7D91" w:rsidRPr="00B148F9" w:rsidRDefault="002A7D91" w:rsidP="00EE53BF">
            <w:pPr>
              <w:jc w:val="left"/>
              <w:rPr>
                <w:rFonts w:cstheme="minorHAnsi"/>
                <w:sz w:val="18"/>
                <w:szCs w:val="18"/>
              </w:rPr>
            </w:pPr>
            <w:r w:rsidRPr="00B148F9">
              <w:rPr>
                <w:rFonts w:cstheme="minorHAnsi"/>
                <w:sz w:val="18"/>
                <w:szCs w:val="18"/>
              </w:rPr>
              <w:t>Phase 2</w:t>
            </w:r>
          </w:p>
        </w:tc>
        <w:tc>
          <w:tcPr>
            <w:tcW w:w="4355" w:type="dxa"/>
          </w:tcPr>
          <w:p w14:paraId="02F7E54D" w14:textId="77777777" w:rsidR="002A7D91" w:rsidRPr="00B148F9" w:rsidRDefault="002A7D91" w:rsidP="00EE53BF">
            <w:pPr>
              <w:jc w:val="left"/>
              <w:rPr>
                <w:rFonts w:cstheme="minorHAnsi"/>
                <w:color w:val="FF0000"/>
                <w:sz w:val="18"/>
                <w:szCs w:val="18"/>
              </w:rPr>
            </w:pPr>
            <w:r w:rsidRPr="00B148F9">
              <w:rPr>
                <w:rFonts w:cstheme="minorHAnsi"/>
                <w:color w:val="000000" w:themeColor="text1"/>
                <w:sz w:val="18"/>
                <w:szCs w:val="18"/>
              </w:rPr>
              <w:t>Ongoing, shared an update in Q4 2019</w:t>
            </w:r>
          </w:p>
        </w:tc>
      </w:tr>
      <w:tr w:rsidR="002A7D91" w:rsidRPr="00B148F9" w14:paraId="06902791" w14:textId="77777777" w:rsidTr="00D87A1D">
        <w:trPr>
          <w:trHeight w:val="350"/>
        </w:trPr>
        <w:tc>
          <w:tcPr>
            <w:tcW w:w="1355" w:type="dxa"/>
            <w:vMerge/>
          </w:tcPr>
          <w:p w14:paraId="406BBAEB" w14:textId="77777777" w:rsidR="002A7D91" w:rsidRPr="00B148F9" w:rsidRDefault="002A7D91" w:rsidP="00D87A1D">
            <w:pPr>
              <w:rPr>
                <w:rFonts w:cstheme="minorHAnsi"/>
                <w:sz w:val="18"/>
                <w:szCs w:val="18"/>
              </w:rPr>
            </w:pPr>
          </w:p>
        </w:tc>
        <w:tc>
          <w:tcPr>
            <w:tcW w:w="2523" w:type="dxa"/>
          </w:tcPr>
          <w:p w14:paraId="7FEE9006" w14:textId="77777777" w:rsidR="002A7D91" w:rsidRPr="00B148F9" w:rsidRDefault="002A7D91" w:rsidP="00EE53BF">
            <w:pPr>
              <w:jc w:val="left"/>
              <w:rPr>
                <w:rFonts w:cstheme="minorHAnsi"/>
                <w:sz w:val="18"/>
                <w:szCs w:val="18"/>
              </w:rPr>
            </w:pPr>
            <w:r w:rsidRPr="00B148F9">
              <w:rPr>
                <w:rFonts w:cstheme="minorHAnsi"/>
                <w:sz w:val="18"/>
                <w:szCs w:val="18"/>
              </w:rPr>
              <w:t>Danon Disease</w:t>
            </w:r>
          </w:p>
        </w:tc>
        <w:tc>
          <w:tcPr>
            <w:tcW w:w="1247" w:type="dxa"/>
          </w:tcPr>
          <w:p w14:paraId="7E184165" w14:textId="77777777" w:rsidR="002A7D91" w:rsidRPr="00B148F9" w:rsidRDefault="002A7D91" w:rsidP="00EE53BF">
            <w:pPr>
              <w:jc w:val="left"/>
              <w:rPr>
                <w:rFonts w:cstheme="minorHAnsi"/>
                <w:sz w:val="18"/>
                <w:szCs w:val="18"/>
              </w:rPr>
            </w:pPr>
            <w:r w:rsidRPr="00B148F9">
              <w:rPr>
                <w:rFonts w:cstheme="minorHAnsi"/>
                <w:sz w:val="18"/>
                <w:szCs w:val="18"/>
              </w:rPr>
              <w:t>Phase 1</w:t>
            </w:r>
          </w:p>
        </w:tc>
        <w:tc>
          <w:tcPr>
            <w:tcW w:w="4355" w:type="dxa"/>
          </w:tcPr>
          <w:p w14:paraId="0391AC6B" w14:textId="128CCAEB" w:rsidR="002A7D91" w:rsidRPr="00B148F9" w:rsidRDefault="002A7D91" w:rsidP="00A104B9">
            <w:pPr>
              <w:jc w:val="left"/>
              <w:rPr>
                <w:rFonts w:cstheme="minorHAnsi"/>
                <w:color w:val="FF0000"/>
                <w:sz w:val="18"/>
                <w:szCs w:val="18"/>
              </w:rPr>
            </w:pPr>
            <w:r w:rsidRPr="00B148F9">
              <w:rPr>
                <w:rFonts w:cstheme="minorHAnsi"/>
                <w:color w:val="000000" w:themeColor="text1"/>
                <w:sz w:val="18"/>
                <w:szCs w:val="18"/>
              </w:rPr>
              <w:t xml:space="preserve">Ongoing, </w:t>
            </w:r>
            <w:r w:rsidR="00A104B9" w:rsidRPr="00B148F9">
              <w:rPr>
                <w:rFonts w:cstheme="minorHAnsi"/>
                <w:color w:val="000000" w:themeColor="text1"/>
                <w:sz w:val="18"/>
                <w:szCs w:val="18"/>
              </w:rPr>
              <w:t xml:space="preserve">update </w:t>
            </w:r>
            <w:r w:rsidRPr="00B148F9">
              <w:rPr>
                <w:rFonts w:cstheme="minorHAnsi"/>
                <w:color w:val="000000" w:themeColor="text1"/>
                <w:sz w:val="18"/>
                <w:szCs w:val="18"/>
              </w:rPr>
              <w:t>H</w:t>
            </w:r>
            <w:r w:rsidR="00A104B9" w:rsidRPr="00B148F9">
              <w:rPr>
                <w:rFonts w:cstheme="minorHAnsi"/>
                <w:color w:val="000000" w:themeColor="text1"/>
                <w:sz w:val="18"/>
                <w:szCs w:val="18"/>
              </w:rPr>
              <w:t>2</w:t>
            </w:r>
            <w:r w:rsidRPr="00B148F9">
              <w:rPr>
                <w:rFonts w:cstheme="minorHAnsi"/>
                <w:color w:val="000000" w:themeColor="text1"/>
                <w:sz w:val="18"/>
                <w:szCs w:val="18"/>
              </w:rPr>
              <w:t xml:space="preserve"> 2020</w:t>
            </w:r>
          </w:p>
        </w:tc>
      </w:tr>
      <w:tr w:rsidR="002A7D91" w:rsidRPr="00B148F9" w14:paraId="6644F05B" w14:textId="77777777" w:rsidTr="00D87A1D">
        <w:trPr>
          <w:trHeight w:val="449"/>
        </w:trPr>
        <w:tc>
          <w:tcPr>
            <w:tcW w:w="1355" w:type="dxa"/>
            <w:vMerge/>
          </w:tcPr>
          <w:p w14:paraId="634A9CF9" w14:textId="77777777" w:rsidR="002A7D91" w:rsidRPr="00B148F9" w:rsidRDefault="002A7D91" w:rsidP="00D87A1D">
            <w:pPr>
              <w:rPr>
                <w:rFonts w:cstheme="minorHAnsi"/>
                <w:sz w:val="18"/>
                <w:szCs w:val="18"/>
              </w:rPr>
            </w:pPr>
          </w:p>
        </w:tc>
        <w:tc>
          <w:tcPr>
            <w:tcW w:w="2523" w:type="dxa"/>
          </w:tcPr>
          <w:p w14:paraId="4074D83F" w14:textId="77777777" w:rsidR="002A7D91" w:rsidRPr="00B148F9" w:rsidRDefault="002A7D91" w:rsidP="00EE53BF">
            <w:pPr>
              <w:jc w:val="left"/>
              <w:rPr>
                <w:rFonts w:cstheme="minorHAnsi"/>
                <w:sz w:val="18"/>
                <w:szCs w:val="18"/>
              </w:rPr>
            </w:pPr>
            <w:r w:rsidRPr="00B148F9">
              <w:rPr>
                <w:rFonts w:cstheme="minorHAnsi"/>
                <w:sz w:val="18"/>
                <w:szCs w:val="18"/>
              </w:rPr>
              <w:t>Leukocyte adhesion deficiency (LAD-I)</w:t>
            </w:r>
          </w:p>
        </w:tc>
        <w:tc>
          <w:tcPr>
            <w:tcW w:w="1247" w:type="dxa"/>
          </w:tcPr>
          <w:p w14:paraId="5D98AFEB" w14:textId="77777777" w:rsidR="002A7D91" w:rsidRPr="00B148F9" w:rsidRDefault="002A7D91" w:rsidP="00EE53BF">
            <w:pPr>
              <w:jc w:val="left"/>
              <w:rPr>
                <w:rFonts w:cstheme="minorHAnsi"/>
                <w:sz w:val="18"/>
                <w:szCs w:val="18"/>
              </w:rPr>
            </w:pPr>
            <w:r w:rsidRPr="00B148F9">
              <w:rPr>
                <w:rFonts w:cstheme="minorHAnsi"/>
                <w:sz w:val="18"/>
                <w:szCs w:val="18"/>
              </w:rPr>
              <w:t>Phase 1</w:t>
            </w:r>
          </w:p>
        </w:tc>
        <w:tc>
          <w:tcPr>
            <w:tcW w:w="4355" w:type="dxa"/>
          </w:tcPr>
          <w:p w14:paraId="45A1ABB4" w14:textId="77777777" w:rsidR="002A7D91" w:rsidRPr="00B148F9" w:rsidRDefault="002A7D91" w:rsidP="00EE53BF">
            <w:pPr>
              <w:jc w:val="left"/>
              <w:rPr>
                <w:rFonts w:cstheme="minorHAnsi"/>
                <w:color w:val="FF0000"/>
                <w:sz w:val="18"/>
                <w:szCs w:val="18"/>
              </w:rPr>
            </w:pPr>
            <w:r w:rsidRPr="00B148F9">
              <w:rPr>
                <w:rFonts w:cstheme="minorHAnsi"/>
                <w:color w:val="000000" w:themeColor="text1"/>
                <w:sz w:val="18"/>
                <w:szCs w:val="18"/>
              </w:rPr>
              <w:t>Ongoing, shared an update in Q4 2019</w:t>
            </w:r>
          </w:p>
        </w:tc>
      </w:tr>
      <w:tr w:rsidR="002A7D91" w:rsidRPr="00B148F9" w14:paraId="04FEDC26" w14:textId="77777777" w:rsidTr="00D87A1D">
        <w:trPr>
          <w:trHeight w:val="332"/>
        </w:trPr>
        <w:tc>
          <w:tcPr>
            <w:tcW w:w="1355" w:type="dxa"/>
            <w:vMerge/>
          </w:tcPr>
          <w:p w14:paraId="7DC5B656" w14:textId="77777777" w:rsidR="002A7D91" w:rsidRPr="00B148F9" w:rsidRDefault="002A7D91" w:rsidP="00D87A1D">
            <w:pPr>
              <w:rPr>
                <w:rFonts w:cstheme="minorHAnsi"/>
                <w:sz w:val="18"/>
                <w:szCs w:val="18"/>
              </w:rPr>
            </w:pPr>
          </w:p>
        </w:tc>
        <w:tc>
          <w:tcPr>
            <w:tcW w:w="2523" w:type="dxa"/>
          </w:tcPr>
          <w:p w14:paraId="24F0F4EF" w14:textId="77777777" w:rsidR="002A7D91" w:rsidRPr="00B148F9" w:rsidRDefault="002A7D91" w:rsidP="00EE53BF">
            <w:pPr>
              <w:jc w:val="left"/>
              <w:rPr>
                <w:rFonts w:cstheme="minorHAnsi"/>
                <w:sz w:val="18"/>
                <w:szCs w:val="18"/>
              </w:rPr>
            </w:pPr>
            <w:r w:rsidRPr="00B148F9">
              <w:rPr>
                <w:rFonts w:cstheme="minorHAnsi"/>
                <w:sz w:val="18"/>
                <w:szCs w:val="18"/>
              </w:rPr>
              <w:t>Pyruvate Kinase</w:t>
            </w:r>
          </w:p>
          <w:p w14:paraId="4AF139AF" w14:textId="77777777" w:rsidR="002A7D91" w:rsidRPr="00B148F9" w:rsidRDefault="002A7D91" w:rsidP="00EE53BF">
            <w:pPr>
              <w:jc w:val="left"/>
              <w:rPr>
                <w:rFonts w:cstheme="minorHAnsi"/>
                <w:sz w:val="18"/>
                <w:szCs w:val="18"/>
              </w:rPr>
            </w:pPr>
            <w:r w:rsidRPr="00B148F9">
              <w:rPr>
                <w:rFonts w:cstheme="minorHAnsi"/>
                <w:sz w:val="18"/>
                <w:szCs w:val="18"/>
              </w:rPr>
              <w:t>Deficiency (PKU)</w:t>
            </w:r>
          </w:p>
        </w:tc>
        <w:tc>
          <w:tcPr>
            <w:tcW w:w="1247" w:type="dxa"/>
          </w:tcPr>
          <w:p w14:paraId="233EC5A5" w14:textId="77777777" w:rsidR="002A7D91" w:rsidRPr="00B148F9" w:rsidRDefault="002A7D91" w:rsidP="00EE53BF">
            <w:pPr>
              <w:jc w:val="left"/>
              <w:rPr>
                <w:rFonts w:cstheme="minorHAnsi"/>
                <w:sz w:val="18"/>
                <w:szCs w:val="18"/>
              </w:rPr>
            </w:pPr>
            <w:r w:rsidRPr="00B148F9">
              <w:rPr>
                <w:rFonts w:cstheme="minorHAnsi"/>
                <w:sz w:val="18"/>
                <w:szCs w:val="18"/>
              </w:rPr>
              <w:t>Phase 1</w:t>
            </w:r>
          </w:p>
        </w:tc>
        <w:tc>
          <w:tcPr>
            <w:tcW w:w="4355" w:type="dxa"/>
          </w:tcPr>
          <w:p w14:paraId="3A3100F7" w14:textId="65A5D061" w:rsidR="002A7D91" w:rsidRPr="00B148F9" w:rsidRDefault="00A104B9" w:rsidP="00EE53BF">
            <w:pPr>
              <w:jc w:val="left"/>
              <w:rPr>
                <w:rFonts w:cstheme="minorHAnsi"/>
                <w:color w:val="FF0000"/>
                <w:sz w:val="18"/>
                <w:szCs w:val="18"/>
              </w:rPr>
            </w:pPr>
            <w:r w:rsidRPr="00B148F9">
              <w:rPr>
                <w:rFonts w:cstheme="minorHAnsi"/>
                <w:color w:val="000000" w:themeColor="text1"/>
                <w:sz w:val="18"/>
                <w:szCs w:val="18"/>
              </w:rPr>
              <w:t>Starting P1</w:t>
            </w:r>
          </w:p>
        </w:tc>
      </w:tr>
      <w:tr w:rsidR="002A7D91" w:rsidRPr="00B148F9" w14:paraId="73AB55F2" w14:textId="77777777" w:rsidTr="00D87A1D">
        <w:trPr>
          <w:trHeight w:val="350"/>
        </w:trPr>
        <w:tc>
          <w:tcPr>
            <w:tcW w:w="1355" w:type="dxa"/>
            <w:vMerge/>
          </w:tcPr>
          <w:p w14:paraId="40505E2B" w14:textId="77777777" w:rsidR="002A7D91" w:rsidRPr="00B148F9" w:rsidRDefault="002A7D91" w:rsidP="00D87A1D">
            <w:pPr>
              <w:rPr>
                <w:rFonts w:cstheme="minorHAnsi"/>
                <w:sz w:val="18"/>
                <w:szCs w:val="18"/>
              </w:rPr>
            </w:pPr>
          </w:p>
        </w:tc>
        <w:tc>
          <w:tcPr>
            <w:tcW w:w="2523" w:type="dxa"/>
          </w:tcPr>
          <w:p w14:paraId="66397295" w14:textId="2D2FA3CA" w:rsidR="002A7D91" w:rsidRPr="00B148F9" w:rsidRDefault="002A7D91" w:rsidP="00EE53BF">
            <w:pPr>
              <w:jc w:val="left"/>
              <w:rPr>
                <w:rFonts w:cstheme="minorHAnsi"/>
                <w:sz w:val="18"/>
                <w:szCs w:val="18"/>
              </w:rPr>
            </w:pPr>
            <w:r w:rsidRPr="00B148F9">
              <w:rPr>
                <w:rFonts w:cstheme="minorHAnsi"/>
                <w:sz w:val="18"/>
                <w:szCs w:val="18"/>
              </w:rPr>
              <w:t xml:space="preserve">Infantile Malignant </w:t>
            </w:r>
            <w:r w:rsidR="008A1A86" w:rsidRPr="00B148F9">
              <w:rPr>
                <w:rFonts w:cstheme="minorHAnsi"/>
                <w:sz w:val="18"/>
                <w:szCs w:val="18"/>
              </w:rPr>
              <w:t>Osteoporosis</w:t>
            </w:r>
            <w:r w:rsidRPr="00B148F9">
              <w:rPr>
                <w:sz w:val="18"/>
                <w:szCs w:val="18"/>
              </w:rPr>
              <w:t xml:space="preserve"> (</w:t>
            </w:r>
            <w:r w:rsidRPr="00B148F9">
              <w:rPr>
                <w:rFonts w:cstheme="minorHAnsi"/>
                <w:sz w:val="18"/>
                <w:szCs w:val="18"/>
              </w:rPr>
              <w:t>IMO)</w:t>
            </w:r>
          </w:p>
        </w:tc>
        <w:tc>
          <w:tcPr>
            <w:tcW w:w="1247" w:type="dxa"/>
          </w:tcPr>
          <w:p w14:paraId="44EDAB99" w14:textId="77777777" w:rsidR="002A7D91" w:rsidRPr="00B148F9" w:rsidRDefault="002A7D91" w:rsidP="00EE53BF">
            <w:pPr>
              <w:jc w:val="left"/>
              <w:rPr>
                <w:rFonts w:cstheme="minorHAnsi"/>
                <w:sz w:val="18"/>
                <w:szCs w:val="18"/>
              </w:rPr>
            </w:pPr>
            <w:r w:rsidRPr="00B148F9">
              <w:rPr>
                <w:rFonts w:cstheme="minorHAnsi"/>
                <w:sz w:val="18"/>
                <w:szCs w:val="18"/>
              </w:rPr>
              <w:t>Pre-clinical</w:t>
            </w:r>
          </w:p>
        </w:tc>
        <w:tc>
          <w:tcPr>
            <w:tcW w:w="4355" w:type="dxa"/>
          </w:tcPr>
          <w:p w14:paraId="6CDCF4E1" w14:textId="77777777" w:rsidR="002A7D91" w:rsidRPr="00B148F9" w:rsidRDefault="002A7D91" w:rsidP="00EE53BF">
            <w:pPr>
              <w:jc w:val="left"/>
              <w:rPr>
                <w:rFonts w:cstheme="minorHAnsi"/>
                <w:color w:val="FF0000"/>
                <w:sz w:val="18"/>
                <w:szCs w:val="18"/>
              </w:rPr>
            </w:pPr>
          </w:p>
        </w:tc>
      </w:tr>
    </w:tbl>
    <w:p w14:paraId="0F0D08A6" w14:textId="77777777" w:rsidR="002A7D91" w:rsidRPr="00B148F9" w:rsidRDefault="002A7D91" w:rsidP="002A7D91">
      <w:pPr>
        <w:rPr>
          <w:rFonts w:cstheme="minorHAnsi"/>
          <w:b/>
        </w:rPr>
      </w:pPr>
    </w:p>
    <w:p w14:paraId="021172CB" w14:textId="2BB1C2D3" w:rsidR="002A7D91" w:rsidRPr="00B148F9" w:rsidRDefault="00393E0E" w:rsidP="002A7D91">
      <w:pPr>
        <w:rPr>
          <w:rFonts w:cstheme="minorHAnsi"/>
          <w:b/>
        </w:rPr>
      </w:pPr>
      <w:r w:rsidRPr="00B148F9">
        <w:rPr>
          <w:rFonts w:cstheme="minorHAnsi"/>
          <w:b/>
        </w:rPr>
        <w:br w:type="column"/>
      </w:r>
      <w:r w:rsidR="002A7D91" w:rsidRPr="00B148F9">
        <w:rPr>
          <w:rFonts w:cstheme="minorHAnsi"/>
          <w:b/>
        </w:rPr>
        <w:lastRenderedPageBreak/>
        <w:t>The Portfolio Assets</w:t>
      </w:r>
      <w:r w:rsidR="001870F0" w:rsidRPr="00B148F9">
        <w:rPr>
          <w:rFonts w:cstheme="minorHAnsi"/>
          <w:b/>
        </w:rPr>
        <w:t xml:space="preserve"> as of </w:t>
      </w:r>
      <w:r w:rsidR="00CB1C3B" w:rsidRPr="00B148F9">
        <w:rPr>
          <w:rFonts w:cstheme="minorHAnsi"/>
          <w:b/>
        </w:rPr>
        <w:t>31 December 2019</w:t>
      </w:r>
    </w:p>
    <w:p w14:paraId="3237063C" w14:textId="77777777" w:rsidR="002A7D91" w:rsidRPr="00B148F9" w:rsidRDefault="002A7D91" w:rsidP="002A7D91">
      <w:pPr>
        <w:rPr>
          <w:rFonts w:cstheme="minorHAnsi"/>
          <w:b/>
        </w:rPr>
      </w:pPr>
    </w:p>
    <w:p w14:paraId="726D88D8" w14:textId="1E014D3B" w:rsidR="002A7D91" w:rsidRPr="00B148F9" w:rsidRDefault="002A7D91" w:rsidP="002A7D91">
      <w:pPr>
        <w:rPr>
          <w:rFonts w:cstheme="minorHAnsi"/>
        </w:rPr>
      </w:pPr>
      <w:r w:rsidRPr="00B148F9">
        <w:rPr>
          <w:rFonts w:cstheme="minorHAnsi"/>
          <w:b/>
        </w:rPr>
        <w:t xml:space="preserve">Avidity </w:t>
      </w:r>
      <w:r w:rsidRPr="00B148F9">
        <w:rPr>
          <w:rFonts w:cstheme="minorHAnsi"/>
        </w:rPr>
        <w:t>(2.4% of NAV, &lt;5% Company ownership)</w:t>
      </w:r>
    </w:p>
    <w:p w14:paraId="32FC996A" w14:textId="77777777" w:rsidR="002A7D91" w:rsidRPr="00B148F9" w:rsidRDefault="002A7D91" w:rsidP="002A7D91">
      <w:pPr>
        <w:rPr>
          <w:rFonts w:cstheme="minorHAnsi"/>
          <w:b/>
        </w:rPr>
      </w:pPr>
    </w:p>
    <w:p w14:paraId="6F27C206" w14:textId="385D0D5E" w:rsidR="002A7D91" w:rsidRPr="00B148F9" w:rsidRDefault="002A7D91" w:rsidP="002A7D91">
      <w:pPr>
        <w:rPr>
          <w:rFonts w:cstheme="minorHAnsi"/>
        </w:rPr>
      </w:pPr>
      <w:r w:rsidRPr="00B148F9">
        <w:rPr>
          <w:rFonts w:cstheme="minorHAnsi"/>
        </w:rPr>
        <w:t xml:space="preserve">Avidity is developing antibody oligonucleotide conjugate (AOC™) therapeutics, which combines the tissue selectivity of monoclonal antibodies and the precision of oligonucleotide-based therapeutics to overcome barriers to the delivery of oligonucleotides and target genetic drivers of disease. Avidity’s lead program is for myotonic dystrophy (MD) and has discovery efforts underway to address additional diseases of the muscle. Avidity has generated compelling target gene knockdown of DMPK in animal models. It is estimated that about 40,000 Americans suffer from myotonic dystrophy. </w:t>
      </w:r>
    </w:p>
    <w:p w14:paraId="1B0E7E6B" w14:textId="77777777" w:rsidR="002A7D91" w:rsidRPr="00B148F9" w:rsidRDefault="002A7D91" w:rsidP="002A7D91">
      <w:pPr>
        <w:rPr>
          <w:rFonts w:cstheme="minorHAnsi"/>
          <w:color w:val="FF0000"/>
        </w:rPr>
      </w:pPr>
    </w:p>
    <w:p w14:paraId="634B652D" w14:textId="3E924B68" w:rsidR="002A7D91" w:rsidRPr="00B148F9" w:rsidRDefault="002A7D91" w:rsidP="002A7D91">
      <w:pPr>
        <w:rPr>
          <w:rFonts w:cstheme="minorHAnsi"/>
        </w:rPr>
      </w:pPr>
      <w:r w:rsidRPr="00B148F9">
        <w:rPr>
          <w:rFonts w:cstheme="minorHAnsi"/>
        </w:rPr>
        <w:t>In November 2019, we led a Series C financing round in Avidity. The Company participated in the fundraising alongside our other investment vehicles. Rod</w:t>
      </w:r>
      <w:r w:rsidR="00C540D7" w:rsidRPr="00B148F9">
        <w:rPr>
          <w:rFonts w:cstheme="minorHAnsi"/>
        </w:rPr>
        <w:t>erick</w:t>
      </w:r>
      <w:r w:rsidRPr="00B148F9">
        <w:rPr>
          <w:rFonts w:cstheme="minorHAnsi"/>
        </w:rPr>
        <w:t xml:space="preserve"> Wong, M.D., Managing Partner and Chief Investment Officer at RTW Investments, joined Avidity’s board of directors.</w:t>
      </w:r>
    </w:p>
    <w:p w14:paraId="5E755912" w14:textId="77777777" w:rsidR="002A7D91" w:rsidRPr="00B148F9" w:rsidRDefault="002A7D91" w:rsidP="002A7D91">
      <w:pPr>
        <w:rPr>
          <w:rFonts w:cstheme="minorHAnsi"/>
          <w:b/>
        </w:rPr>
      </w:pPr>
    </w:p>
    <w:p w14:paraId="56E6ECB1" w14:textId="210464C2" w:rsidR="002A7D91" w:rsidRPr="00B148F9" w:rsidRDefault="002A7D91" w:rsidP="002A7D91">
      <w:pPr>
        <w:rPr>
          <w:rFonts w:cstheme="minorHAnsi"/>
        </w:rPr>
      </w:pPr>
      <w:r w:rsidRPr="00B148F9">
        <w:rPr>
          <w:rFonts w:cstheme="minorHAnsi"/>
          <w:b/>
        </w:rPr>
        <w:t xml:space="preserve">Beta Bionics </w:t>
      </w:r>
      <w:r w:rsidRPr="00B148F9">
        <w:rPr>
          <w:rFonts w:cstheme="minorHAnsi"/>
        </w:rPr>
        <w:t>(2.5% of NAV, &lt;5% Company</w:t>
      </w:r>
      <w:r w:rsidR="00C540D7" w:rsidRPr="00B148F9">
        <w:rPr>
          <w:rFonts w:cstheme="minorHAnsi"/>
        </w:rPr>
        <w:t xml:space="preserve"> ownership</w:t>
      </w:r>
      <w:r w:rsidRPr="00B148F9">
        <w:rPr>
          <w:rFonts w:cstheme="minorHAnsi"/>
        </w:rPr>
        <w:t>)</w:t>
      </w:r>
    </w:p>
    <w:p w14:paraId="0F057364" w14:textId="77777777" w:rsidR="002A7D91" w:rsidRPr="00B148F9" w:rsidRDefault="002A7D91" w:rsidP="002A7D91">
      <w:pPr>
        <w:rPr>
          <w:rFonts w:cstheme="minorHAnsi"/>
          <w:b/>
        </w:rPr>
      </w:pPr>
    </w:p>
    <w:p w14:paraId="74132461" w14:textId="16DA2092" w:rsidR="002A7D91" w:rsidRPr="00B148F9" w:rsidRDefault="002A7D91" w:rsidP="002A7D91">
      <w:pPr>
        <w:rPr>
          <w:rFonts w:cstheme="minorHAnsi"/>
        </w:rPr>
      </w:pPr>
      <w:r w:rsidRPr="00B148F9">
        <w:rPr>
          <w:rFonts w:cstheme="minorHAnsi"/>
        </w:rPr>
        <w:t xml:space="preserve">Beta Bionics was formed in 2015 out of the work of Dr. Edward Damiano of Boston University. Beta Bionics’ primary product is a closed-loop pancreatic system for automated and autonomous delivery of insulin. Beta Bionics’ early clinical trial data suggests the system may be a major advance in the treatment of Type 1 Diabetes with its patented artificial pancreas that has a combined glucose monitor and insulin pump in one, requiring minimal human intervention. The ease of use has been noted during and after studies, which have been conducted on adult and paediatric patients. The company is expected to start pivotal trials in 2020. </w:t>
      </w:r>
    </w:p>
    <w:p w14:paraId="49204560" w14:textId="77777777" w:rsidR="002A7D91" w:rsidRPr="00B148F9" w:rsidRDefault="002A7D91" w:rsidP="002A7D91">
      <w:pPr>
        <w:rPr>
          <w:rFonts w:cstheme="minorHAnsi"/>
        </w:rPr>
      </w:pPr>
    </w:p>
    <w:p w14:paraId="1D679487" w14:textId="4E09E504" w:rsidR="002A7D91" w:rsidRPr="00B148F9" w:rsidRDefault="002A7D91" w:rsidP="002A7D91">
      <w:pPr>
        <w:rPr>
          <w:rFonts w:cstheme="minorHAnsi"/>
          <w:i/>
        </w:rPr>
      </w:pPr>
      <w:r w:rsidRPr="00B148F9">
        <w:rPr>
          <w:rFonts w:cstheme="minorHAnsi"/>
          <w:i/>
        </w:rPr>
        <w:t>Clinical updates:</w:t>
      </w:r>
    </w:p>
    <w:p w14:paraId="6CA3A75D" w14:textId="77777777" w:rsidR="002A7D91" w:rsidRPr="00B148F9" w:rsidRDefault="002A7D91" w:rsidP="002A7D91">
      <w:pPr>
        <w:rPr>
          <w:rFonts w:cstheme="minorHAnsi"/>
          <w:i/>
        </w:rPr>
      </w:pPr>
    </w:p>
    <w:p w14:paraId="29B9B91D" w14:textId="7F0197DB" w:rsidR="002A7D91" w:rsidRPr="00B148F9" w:rsidRDefault="002A7D91" w:rsidP="00A94612">
      <w:pPr>
        <w:pStyle w:val="ListParagraph"/>
        <w:numPr>
          <w:ilvl w:val="0"/>
          <w:numId w:val="19"/>
        </w:numPr>
        <w:spacing w:after="160" w:line="259" w:lineRule="auto"/>
        <w:contextualSpacing/>
        <w:rPr>
          <w:rFonts w:cstheme="minorHAnsi"/>
        </w:rPr>
      </w:pPr>
      <w:r w:rsidRPr="00B148F9">
        <w:rPr>
          <w:rFonts w:cstheme="minorHAnsi"/>
        </w:rPr>
        <w:t xml:space="preserve">Beta Bionics was granted a Breakthrough Device Designation by the FDA for the Bionic Pancreas System iLet™, </w:t>
      </w:r>
      <w:r w:rsidR="00326813" w:rsidRPr="00B148F9">
        <w:rPr>
          <w:rFonts w:cstheme="minorHAnsi"/>
        </w:rPr>
        <w:t xml:space="preserve">the </w:t>
      </w:r>
      <w:r w:rsidRPr="00B148F9">
        <w:rPr>
          <w:rFonts w:cstheme="minorHAnsi"/>
        </w:rPr>
        <w:t>world’s first bionic pancreas system. iLet™ is a pocket-sized, wearable investigational medical device that autonomously controls blood sugar in people with diabetes and other conditions.</w:t>
      </w:r>
    </w:p>
    <w:p w14:paraId="54FF5E9B" w14:textId="77777777" w:rsidR="002A7D91" w:rsidRPr="00B148F9" w:rsidRDefault="002A7D91" w:rsidP="00A94612">
      <w:pPr>
        <w:pStyle w:val="ListParagraph"/>
        <w:numPr>
          <w:ilvl w:val="0"/>
          <w:numId w:val="19"/>
        </w:numPr>
        <w:spacing w:after="160" w:line="259" w:lineRule="auto"/>
        <w:contextualSpacing/>
        <w:rPr>
          <w:rFonts w:cstheme="minorHAnsi"/>
        </w:rPr>
      </w:pPr>
      <w:r w:rsidRPr="00B148F9">
        <w:rPr>
          <w:rFonts w:cstheme="minorHAnsi"/>
        </w:rPr>
        <w:t>Beta Bionics also shared encouraging results from a pilot study testing the bionic pancreas in cystic fibrosis-related diabetes published in the Journal of Cystic Fibrosis in December 2019. The pilot study subjects experienced improved glycaemic control and decreased diabetes-management burden.</w:t>
      </w:r>
    </w:p>
    <w:p w14:paraId="63DD4EAD" w14:textId="77777777" w:rsidR="002A7D91" w:rsidRPr="00B148F9" w:rsidRDefault="002A7D91" w:rsidP="002A7D91">
      <w:pPr>
        <w:rPr>
          <w:rFonts w:cstheme="minorHAnsi"/>
          <w:b/>
        </w:rPr>
      </w:pPr>
    </w:p>
    <w:p w14:paraId="3C20320B" w14:textId="76DD4FFB" w:rsidR="002A7D91" w:rsidRPr="00B148F9" w:rsidRDefault="002A7D91" w:rsidP="002A7D91">
      <w:pPr>
        <w:rPr>
          <w:rFonts w:cstheme="minorHAnsi"/>
        </w:rPr>
      </w:pPr>
      <w:r w:rsidRPr="00B148F9">
        <w:rPr>
          <w:rFonts w:cstheme="minorHAnsi"/>
          <w:b/>
        </w:rPr>
        <w:t xml:space="preserve">Frequency </w:t>
      </w:r>
      <w:r w:rsidRPr="00B148F9">
        <w:rPr>
          <w:rFonts w:cstheme="minorHAnsi"/>
        </w:rPr>
        <w:t>(1.9% of NAV, &lt;1% Company ownership)</w:t>
      </w:r>
    </w:p>
    <w:p w14:paraId="235256AF" w14:textId="77777777" w:rsidR="002A7D91" w:rsidRPr="00B148F9" w:rsidRDefault="002A7D91" w:rsidP="002A7D91">
      <w:pPr>
        <w:rPr>
          <w:rFonts w:cstheme="minorHAnsi"/>
        </w:rPr>
      </w:pPr>
    </w:p>
    <w:p w14:paraId="3A2C98C1" w14:textId="77777777" w:rsidR="002A7D91" w:rsidRPr="00B148F9" w:rsidRDefault="002A7D91" w:rsidP="002A7D91">
      <w:pPr>
        <w:rPr>
          <w:rFonts w:cstheme="minorHAnsi"/>
        </w:rPr>
      </w:pPr>
      <w:r w:rsidRPr="00B148F9">
        <w:rPr>
          <w:rFonts w:cstheme="minorHAnsi"/>
        </w:rPr>
        <w:t xml:space="preserve">Frequency was formed in 2014 out of the work of the discoveries in progenitors cell biology from the labs of Robert Langer at MIT and Jeffrey Karp at Harvard. Frequency is developing a small molecule pharmaceutical to stimulate progenitor cells to multiply and create new hair cells in the ear, which has the potential to be the first therapeutic that can improve noise-induced hearing loss. Frequency’s clinical phase 1 data is compelling, showing improvements in hearing function, including audiometry and word scores. It is estimated that more than 30 million Americans suffer from noise-induced hearing loss. Frequency has completed a Phase 1 study in circa 20 patients and has shown good efficacy. </w:t>
      </w:r>
    </w:p>
    <w:p w14:paraId="5BECE5E6" w14:textId="77777777" w:rsidR="002A7D91" w:rsidRPr="00B148F9" w:rsidRDefault="002A7D91" w:rsidP="002A7D91">
      <w:pPr>
        <w:rPr>
          <w:rFonts w:cstheme="minorHAnsi"/>
          <w:color w:val="FF0000"/>
        </w:rPr>
      </w:pPr>
    </w:p>
    <w:p w14:paraId="2A3C94D4" w14:textId="2B40DD6B" w:rsidR="002A7D91" w:rsidRPr="00B148F9" w:rsidRDefault="002A7D91" w:rsidP="002A7D91">
      <w:pPr>
        <w:rPr>
          <w:rFonts w:cstheme="minorHAnsi"/>
          <w:i/>
        </w:rPr>
      </w:pPr>
      <w:r w:rsidRPr="00B148F9">
        <w:rPr>
          <w:rFonts w:cstheme="minorHAnsi"/>
          <w:i/>
        </w:rPr>
        <w:t>Capital and clinical updates:</w:t>
      </w:r>
    </w:p>
    <w:p w14:paraId="727B0B6A" w14:textId="77777777" w:rsidR="002A7D91" w:rsidRPr="00B148F9" w:rsidRDefault="002A7D91" w:rsidP="002A7D91">
      <w:pPr>
        <w:rPr>
          <w:rFonts w:cstheme="minorHAnsi"/>
          <w:i/>
        </w:rPr>
      </w:pPr>
    </w:p>
    <w:p w14:paraId="71264E8C" w14:textId="107F3A64" w:rsidR="002A7D91" w:rsidRPr="00B148F9" w:rsidRDefault="002A7D91" w:rsidP="00A94612">
      <w:pPr>
        <w:pStyle w:val="ListParagraph"/>
        <w:numPr>
          <w:ilvl w:val="0"/>
          <w:numId w:val="20"/>
        </w:numPr>
        <w:spacing w:after="160" w:line="259" w:lineRule="auto"/>
        <w:contextualSpacing/>
        <w:rPr>
          <w:rFonts w:cstheme="minorHAnsi"/>
        </w:rPr>
      </w:pPr>
      <w:r w:rsidRPr="00B148F9">
        <w:rPr>
          <w:rFonts w:cstheme="minorHAnsi"/>
        </w:rPr>
        <w:t>Frequency completed</w:t>
      </w:r>
      <w:r w:rsidR="00326813" w:rsidRPr="00B148F9">
        <w:rPr>
          <w:rFonts w:cstheme="minorHAnsi"/>
        </w:rPr>
        <w:t xml:space="preserve"> its</w:t>
      </w:r>
      <w:r w:rsidRPr="00B148F9">
        <w:rPr>
          <w:rFonts w:cstheme="minorHAnsi"/>
        </w:rPr>
        <w:t xml:space="preserve"> IPO in October 2019, generating US$244.5 million in cash (as of 30 September 2019)</w:t>
      </w:r>
      <w:r w:rsidR="00E03880" w:rsidRPr="00B148F9">
        <w:rPr>
          <w:rFonts w:cstheme="minorHAnsi"/>
        </w:rPr>
        <w:t>,</w:t>
      </w:r>
      <w:r w:rsidRPr="00B148F9">
        <w:rPr>
          <w:rFonts w:cstheme="minorHAnsi"/>
        </w:rPr>
        <w:t xml:space="preserve"> including net IPO proceeds. The company estimates th</w:t>
      </w:r>
      <w:r w:rsidR="00780DC6" w:rsidRPr="00B148F9">
        <w:rPr>
          <w:rFonts w:cstheme="minorHAnsi"/>
        </w:rPr>
        <w:t>e</w:t>
      </w:r>
      <w:r w:rsidRPr="00B148F9">
        <w:rPr>
          <w:rFonts w:cstheme="minorHAnsi"/>
        </w:rPr>
        <w:t>s</w:t>
      </w:r>
      <w:r w:rsidR="00780DC6" w:rsidRPr="00B148F9">
        <w:rPr>
          <w:rFonts w:cstheme="minorHAnsi"/>
        </w:rPr>
        <w:t>e</w:t>
      </w:r>
      <w:r w:rsidRPr="00B148F9">
        <w:rPr>
          <w:rFonts w:cstheme="minorHAnsi"/>
        </w:rPr>
        <w:t xml:space="preserve"> capital reserves will secure</w:t>
      </w:r>
      <w:r w:rsidR="00780DC6" w:rsidRPr="00B148F9">
        <w:rPr>
          <w:rFonts w:cstheme="minorHAnsi"/>
        </w:rPr>
        <w:t xml:space="preserve"> an</w:t>
      </w:r>
      <w:r w:rsidRPr="00B148F9">
        <w:rPr>
          <w:rFonts w:cstheme="minorHAnsi"/>
        </w:rPr>
        <w:t xml:space="preserve"> operating runway well into 2022.</w:t>
      </w:r>
    </w:p>
    <w:p w14:paraId="65A04047" w14:textId="380ED516" w:rsidR="002A7D91" w:rsidRPr="00B148F9" w:rsidRDefault="002A7D91" w:rsidP="00A94612">
      <w:pPr>
        <w:pStyle w:val="ListParagraph"/>
        <w:numPr>
          <w:ilvl w:val="0"/>
          <w:numId w:val="20"/>
        </w:numPr>
        <w:spacing w:after="160" w:line="259" w:lineRule="auto"/>
        <w:contextualSpacing/>
        <w:rPr>
          <w:rFonts w:cstheme="minorHAnsi"/>
        </w:rPr>
      </w:pPr>
      <w:r w:rsidRPr="00B148F9">
        <w:rPr>
          <w:rFonts w:cstheme="minorHAnsi"/>
        </w:rPr>
        <w:t xml:space="preserve">FX-322, the lead candidate, is potentially a disease modifying therapy for hearing loss in Phase 2a development now and the study readout is expected in H2 2020. The FDA </w:t>
      </w:r>
      <w:r w:rsidR="00326813" w:rsidRPr="00B148F9">
        <w:rPr>
          <w:rFonts w:cstheme="minorHAnsi"/>
        </w:rPr>
        <w:t xml:space="preserve">has </w:t>
      </w:r>
      <w:r w:rsidRPr="00B148F9">
        <w:rPr>
          <w:rFonts w:cstheme="minorHAnsi"/>
        </w:rPr>
        <w:t>granted Fast Track designation.</w:t>
      </w:r>
    </w:p>
    <w:p w14:paraId="4FCEC187" w14:textId="24F3A43E" w:rsidR="002A7D91" w:rsidRPr="00B148F9" w:rsidRDefault="002A7D91" w:rsidP="002A7D91">
      <w:pPr>
        <w:rPr>
          <w:rFonts w:cstheme="minorHAnsi"/>
          <w:sz w:val="18"/>
          <w:szCs w:val="18"/>
        </w:rPr>
      </w:pPr>
      <w:r w:rsidRPr="00B148F9">
        <w:rPr>
          <w:rFonts w:cstheme="minorHAnsi"/>
        </w:rPr>
        <w:t xml:space="preserve">As stated above in the </w:t>
      </w:r>
      <w:r w:rsidRPr="00B148F9">
        <w:rPr>
          <w:rFonts w:cstheme="minorHAnsi"/>
          <w:b/>
          <w:bCs/>
          <w:i/>
          <w:iCs/>
        </w:rPr>
        <w:t>portfolio performance and updates</w:t>
      </w:r>
      <w:r w:rsidRPr="00B148F9">
        <w:rPr>
          <w:rFonts w:cstheme="minorHAnsi"/>
        </w:rPr>
        <w:t xml:space="preserve"> section, the Company has applied an illiquidity discount to its holding in Frequency to reflect the 180-day lock-up following the IPO </w:t>
      </w:r>
      <w:r w:rsidRPr="00B148F9">
        <w:rPr>
          <w:rFonts w:cstheme="minorHAnsi"/>
          <w:color w:val="000000" w:themeColor="text1"/>
        </w:rPr>
        <w:t>in October 2019.</w:t>
      </w:r>
    </w:p>
    <w:p w14:paraId="49E33ACC" w14:textId="77777777" w:rsidR="002A7D91" w:rsidRPr="00B148F9" w:rsidRDefault="002A7D91" w:rsidP="002A7D91">
      <w:pPr>
        <w:rPr>
          <w:rFonts w:cstheme="minorHAnsi"/>
          <w:b/>
        </w:rPr>
      </w:pPr>
    </w:p>
    <w:p w14:paraId="2D538D63" w14:textId="2706C42A" w:rsidR="002A7D91" w:rsidRPr="00B148F9" w:rsidRDefault="002A7D91" w:rsidP="002A7D91">
      <w:pPr>
        <w:rPr>
          <w:rFonts w:cstheme="minorHAnsi"/>
        </w:rPr>
      </w:pPr>
      <w:r w:rsidRPr="00B148F9">
        <w:rPr>
          <w:rFonts w:cstheme="minorHAnsi"/>
          <w:b/>
        </w:rPr>
        <w:t xml:space="preserve">Immunocore </w:t>
      </w:r>
      <w:r w:rsidRPr="00B148F9">
        <w:rPr>
          <w:rFonts w:cstheme="minorHAnsi"/>
        </w:rPr>
        <w:t>(2.6% of NAV, &lt;1% Company ownership)</w:t>
      </w:r>
    </w:p>
    <w:p w14:paraId="49A039A0" w14:textId="77777777" w:rsidR="002A7D91" w:rsidRPr="00B148F9" w:rsidRDefault="002A7D91" w:rsidP="002A7D91">
      <w:pPr>
        <w:rPr>
          <w:rFonts w:cstheme="minorHAnsi"/>
        </w:rPr>
      </w:pPr>
    </w:p>
    <w:p w14:paraId="7963CA4E" w14:textId="10F2216E" w:rsidR="002A7D91" w:rsidRPr="00B148F9" w:rsidRDefault="002A7D91" w:rsidP="002A7D91">
      <w:pPr>
        <w:rPr>
          <w:rFonts w:cstheme="minorHAnsi"/>
        </w:rPr>
      </w:pPr>
      <w:r w:rsidRPr="00B148F9">
        <w:rPr>
          <w:rFonts w:cstheme="minorHAnsi"/>
        </w:rPr>
        <w:t xml:space="preserve">Immunocore was formed in 2008 as a spin-out of the Avidex acquisition by Medigene AG in 2006. Avidex was founded in 1999 out of the work of Dr. Bent Jakobsen’s research into T cell receptors at Oxford University. Immunocore is a leading London-based T-cell receptor (TCR) biotechnology company focused on oncology and infectious disease. On the heels of compelling Phase 2 data, the company’s lead program, tebentafusp (IMCgp100), has entered pivotal clinical studies as a treatment for patients with metastatic uveal melanoma. Collaboration partners include Genentech, GlaxoSmithKline, AstraZeneca, Eli Lilly, and the Bill and Melinda Gates Foundation. Under the stewardship of a new management team, the company has added an early stage Hepatitis B program to its pipeline. </w:t>
      </w:r>
    </w:p>
    <w:p w14:paraId="33F93E6C" w14:textId="77777777" w:rsidR="002A7D91" w:rsidRPr="00B148F9" w:rsidRDefault="002A7D91" w:rsidP="002A7D91">
      <w:pPr>
        <w:rPr>
          <w:rFonts w:cstheme="minorHAnsi"/>
        </w:rPr>
      </w:pPr>
    </w:p>
    <w:p w14:paraId="04550D26" w14:textId="2D98B060" w:rsidR="002A7D91" w:rsidRPr="00B148F9" w:rsidRDefault="002A7D91" w:rsidP="002A7D91">
      <w:pPr>
        <w:rPr>
          <w:rFonts w:cstheme="minorHAnsi"/>
          <w:i/>
        </w:rPr>
      </w:pPr>
      <w:r w:rsidRPr="00B148F9">
        <w:rPr>
          <w:rFonts w:cstheme="minorHAnsi"/>
          <w:i/>
        </w:rPr>
        <w:t>Clinical updates:</w:t>
      </w:r>
    </w:p>
    <w:p w14:paraId="55B31E2D" w14:textId="77777777" w:rsidR="002A7D91" w:rsidRPr="00B148F9" w:rsidRDefault="002A7D91" w:rsidP="002A7D91">
      <w:pPr>
        <w:rPr>
          <w:rFonts w:cstheme="minorHAnsi"/>
          <w:i/>
        </w:rPr>
      </w:pPr>
    </w:p>
    <w:p w14:paraId="4DE61331" w14:textId="77777777" w:rsidR="002A7D91" w:rsidRPr="00B148F9" w:rsidRDefault="002A7D91" w:rsidP="00A94612">
      <w:pPr>
        <w:pStyle w:val="ListParagraph"/>
        <w:numPr>
          <w:ilvl w:val="0"/>
          <w:numId w:val="21"/>
        </w:numPr>
        <w:spacing w:after="160" w:line="259" w:lineRule="auto"/>
        <w:contextualSpacing/>
        <w:rPr>
          <w:rFonts w:cstheme="minorHAnsi"/>
        </w:rPr>
      </w:pPr>
      <w:r w:rsidRPr="00B148F9">
        <w:rPr>
          <w:rFonts w:cstheme="minorHAnsi"/>
        </w:rPr>
        <w:t>Immunocore shared new findings from its Phase 1/2 tebentafusp (IMCgp100) clinical trial program demonstrating a correlation between treatment-induced immune response and improvement in overall survival and tumour shrinkage, in patients with advanced uveal and cutaneous melanoma. The new analyses from two clinical trials (IMCgp100-101, IMCgp100-102) were presented at the Society for Immunotherapy of Cancer (SITC) Annual Meeting in National Harbor, Maryland.</w:t>
      </w:r>
    </w:p>
    <w:p w14:paraId="0E7B14F9" w14:textId="77777777" w:rsidR="002A7D91" w:rsidRPr="00B148F9" w:rsidRDefault="002A7D91" w:rsidP="00A94612">
      <w:pPr>
        <w:pStyle w:val="ListParagraph"/>
        <w:numPr>
          <w:ilvl w:val="0"/>
          <w:numId w:val="21"/>
        </w:numPr>
        <w:spacing w:after="160" w:line="259" w:lineRule="auto"/>
        <w:contextualSpacing/>
        <w:rPr>
          <w:rFonts w:cstheme="minorHAnsi"/>
        </w:rPr>
      </w:pPr>
      <w:r w:rsidRPr="00B148F9">
        <w:rPr>
          <w:rFonts w:cstheme="minorHAnsi"/>
        </w:rPr>
        <w:t>The company also announced the start of the first-in-human clinical trial of IMC-C103C, the third bispecific developed using the company’s innovative ImmTAC® technology platform. IMC-C103C is focused on targeting tumours that express the protein MAGE-A4 (Melanoma-Associated Antigen A4) and is being developed in partnership with Genentech.</w:t>
      </w:r>
    </w:p>
    <w:p w14:paraId="22E04397" w14:textId="77777777" w:rsidR="002A7D91" w:rsidRPr="00B148F9" w:rsidRDefault="002A7D91" w:rsidP="002A7D91">
      <w:pPr>
        <w:pStyle w:val="ListParagraph"/>
        <w:rPr>
          <w:rFonts w:cstheme="minorHAnsi"/>
        </w:rPr>
      </w:pPr>
    </w:p>
    <w:p w14:paraId="108DB500" w14:textId="0B8B1AF9" w:rsidR="002A7D91" w:rsidRPr="00B148F9" w:rsidRDefault="002A7D91" w:rsidP="002A7D91">
      <w:pPr>
        <w:rPr>
          <w:rFonts w:cstheme="minorHAnsi"/>
        </w:rPr>
      </w:pPr>
      <w:r w:rsidRPr="00B148F9">
        <w:rPr>
          <w:rFonts w:cstheme="minorHAnsi"/>
          <w:b/>
        </w:rPr>
        <w:t xml:space="preserve">Landos </w:t>
      </w:r>
      <w:r w:rsidRPr="00B148F9">
        <w:rPr>
          <w:rFonts w:cstheme="minorHAnsi"/>
        </w:rPr>
        <w:t>(2.5% of NAV, &lt;5% Company ownership)</w:t>
      </w:r>
    </w:p>
    <w:p w14:paraId="7296758E" w14:textId="77777777" w:rsidR="002A7D91" w:rsidRPr="00B148F9" w:rsidRDefault="002A7D91" w:rsidP="002A7D91">
      <w:pPr>
        <w:rPr>
          <w:rFonts w:cstheme="minorHAnsi"/>
          <w:b/>
        </w:rPr>
      </w:pPr>
    </w:p>
    <w:p w14:paraId="27657CDF" w14:textId="6695C05A" w:rsidR="002A7D91" w:rsidRPr="00B148F9" w:rsidRDefault="002A7D91" w:rsidP="002A7D91">
      <w:pPr>
        <w:rPr>
          <w:rFonts w:cstheme="minorHAnsi"/>
        </w:rPr>
      </w:pPr>
      <w:r w:rsidRPr="00B148F9">
        <w:rPr>
          <w:rFonts w:cstheme="minorHAnsi"/>
        </w:rPr>
        <w:t>Landos was formed in 2017 out of the work of Dr. Josep Bassaganya-Riera. Landos is focused on the discovery and development of first-in-class oral therapeutics for autoimmune diseases and its lead clinical asset, BT-11, acts locally in the gastrointestinal tract for treatment of inflammatory bowel disease (IBD). Landos is currently evaluating BT-11 in a Phase 2 study in ulcerative colitis and is planning to initiate a Phase 2 study in Crohn’s disease in 2020. Roderick</w:t>
      </w:r>
      <w:r w:rsidR="00482718" w:rsidRPr="00B148F9">
        <w:rPr>
          <w:rFonts w:cstheme="minorHAnsi"/>
        </w:rPr>
        <w:t xml:space="preserve"> </w:t>
      </w:r>
      <w:r w:rsidRPr="00B148F9">
        <w:rPr>
          <w:rFonts w:cstheme="minorHAnsi"/>
        </w:rPr>
        <w:t>Wong, M.D., managing partner at RTW Investments is a board member.</w:t>
      </w:r>
    </w:p>
    <w:p w14:paraId="7B742F81" w14:textId="77777777" w:rsidR="002A7D91" w:rsidRPr="00B148F9" w:rsidRDefault="002A7D91" w:rsidP="002A7D91">
      <w:pPr>
        <w:rPr>
          <w:rFonts w:cstheme="minorHAnsi"/>
        </w:rPr>
      </w:pPr>
    </w:p>
    <w:p w14:paraId="334F666B" w14:textId="592161FF" w:rsidR="002A7D91" w:rsidRPr="00B148F9" w:rsidRDefault="002A7D91" w:rsidP="002A7D91">
      <w:pPr>
        <w:rPr>
          <w:rFonts w:cstheme="minorHAnsi"/>
        </w:rPr>
      </w:pPr>
      <w:r w:rsidRPr="00B148F9">
        <w:rPr>
          <w:rFonts w:cstheme="minorHAnsi"/>
          <w:b/>
        </w:rPr>
        <w:t xml:space="preserve">Orchestra BioMed </w:t>
      </w:r>
      <w:r w:rsidRPr="00B148F9">
        <w:rPr>
          <w:rFonts w:cstheme="minorHAnsi"/>
        </w:rPr>
        <w:t>(1.2% of NAV, &lt;1% Company ownership)</w:t>
      </w:r>
    </w:p>
    <w:p w14:paraId="70B9515F" w14:textId="77777777" w:rsidR="002A7D91" w:rsidRPr="00B148F9" w:rsidRDefault="002A7D91" w:rsidP="002A7D91">
      <w:pPr>
        <w:rPr>
          <w:rFonts w:cstheme="minorHAnsi"/>
          <w:b/>
        </w:rPr>
      </w:pPr>
    </w:p>
    <w:p w14:paraId="0818E8C5" w14:textId="7BE96A8B" w:rsidR="002A7D91" w:rsidRPr="00B148F9" w:rsidRDefault="002A7D91" w:rsidP="002A7D91">
      <w:pPr>
        <w:rPr>
          <w:rFonts w:cstheme="minorHAnsi"/>
        </w:rPr>
      </w:pPr>
      <w:r w:rsidRPr="00B148F9">
        <w:rPr>
          <w:rFonts w:cstheme="minorHAnsi"/>
        </w:rPr>
        <w:t xml:space="preserve">Orchestra BioMed was formed in 2017 by David Hochman and Darren Sherman. Orchestra BioMed is focused on the development of </w:t>
      </w:r>
      <w:r w:rsidR="00571F3A" w:rsidRPr="00B148F9">
        <w:rPr>
          <w:color w:val="000000" w:themeColor="text1"/>
        </w:rPr>
        <w:t>Virtue</w:t>
      </w:r>
      <w:r w:rsidR="00571F3A" w:rsidRPr="00B148F9">
        <w:rPr>
          <w:rFonts w:cstheme="minorHAnsi"/>
          <w:color w:val="000000" w:themeColor="text1"/>
        </w:rPr>
        <w:t xml:space="preserve">® </w:t>
      </w:r>
      <w:r w:rsidR="00485A2B">
        <w:rPr>
          <w:rFonts w:cstheme="minorHAnsi"/>
          <w:color w:val="000000" w:themeColor="text1"/>
        </w:rPr>
        <w:t>S</w:t>
      </w:r>
      <w:r w:rsidRPr="00B148F9">
        <w:rPr>
          <w:rFonts w:cstheme="minorHAnsi"/>
        </w:rPr>
        <w:t xml:space="preserve">irolimus </w:t>
      </w:r>
      <w:r w:rsidR="00485A2B">
        <w:rPr>
          <w:rFonts w:cstheme="minorHAnsi"/>
        </w:rPr>
        <w:t>E</w:t>
      </w:r>
      <w:r w:rsidRPr="00B148F9">
        <w:rPr>
          <w:rFonts w:cstheme="minorHAnsi"/>
        </w:rPr>
        <w:t xml:space="preserve">luting </w:t>
      </w:r>
      <w:r w:rsidR="00485A2B">
        <w:rPr>
          <w:rFonts w:cstheme="minorHAnsi"/>
        </w:rPr>
        <w:t>B</w:t>
      </w:r>
      <w:r w:rsidRPr="00B148F9">
        <w:rPr>
          <w:rFonts w:cstheme="minorHAnsi"/>
        </w:rPr>
        <w:t xml:space="preserve">alloon for the treatment of coronary and peripheral arterial disease, which we believe would disrupt the current standard of treatment, namely stents and lasers. We believe Orchestra’s patented balloon to be superior to existing balloons. Other features of the pipeline include BackBeat Cardiac Neuromodulation (CNT) for the treatment of hypertension and Pure-Vu for improved colonoscopy outcomes. </w:t>
      </w:r>
    </w:p>
    <w:p w14:paraId="6CA8490E" w14:textId="77777777" w:rsidR="002A7D91" w:rsidRPr="00B148F9" w:rsidRDefault="002A7D91" w:rsidP="002A7D91">
      <w:pPr>
        <w:rPr>
          <w:rFonts w:cstheme="minorHAnsi"/>
        </w:rPr>
      </w:pPr>
    </w:p>
    <w:p w14:paraId="3EA6957F" w14:textId="6A2B96B6" w:rsidR="002A7D91" w:rsidRPr="00B148F9" w:rsidRDefault="002A7D91" w:rsidP="002A7D91">
      <w:pPr>
        <w:rPr>
          <w:rFonts w:cstheme="minorHAnsi"/>
          <w:i/>
        </w:rPr>
      </w:pPr>
      <w:r w:rsidRPr="00B148F9">
        <w:rPr>
          <w:rFonts w:cstheme="minorHAnsi"/>
          <w:i/>
        </w:rPr>
        <w:t>Clinical and capital updates:</w:t>
      </w:r>
    </w:p>
    <w:p w14:paraId="2541A90C" w14:textId="77777777" w:rsidR="002A7D91" w:rsidRPr="00B148F9" w:rsidRDefault="002A7D91" w:rsidP="002A7D91">
      <w:pPr>
        <w:rPr>
          <w:rFonts w:cstheme="minorHAnsi"/>
          <w:i/>
        </w:rPr>
      </w:pPr>
    </w:p>
    <w:p w14:paraId="17C2115D" w14:textId="77EE5580" w:rsidR="002A7D91" w:rsidRPr="00B148F9" w:rsidRDefault="002A7D91" w:rsidP="00A94612">
      <w:pPr>
        <w:pStyle w:val="ListParagraph"/>
        <w:numPr>
          <w:ilvl w:val="0"/>
          <w:numId w:val="22"/>
        </w:numPr>
        <w:spacing w:after="160" w:line="259" w:lineRule="auto"/>
        <w:contextualSpacing/>
        <w:rPr>
          <w:rFonts w:cstheme="minorHAnsi"/>
          <w:color w:val="000000" w:themeColor="text1"/>
        </w:rPr>
      </w:pPr>
      <w:r w:rsidRPr="00B148F9">
        <w:rPr>
          <w:rFonts w:cstheme="minorHAnsi"/>
        </w:rPr>
        <w:t xml:space="preserve">The company presented at </w:t>
      </w:r>
      <w:r w:rsidRPr="00B148F9">
        <w:rPr>
          <w:rFonts w:cstheme="minorHAnsi"/>
          <w:color w:val="000000" w:themeColor="text1"/>
        </w:rPr>
        <w:t>the Innovation in Cardiovascular Interventions (ICI) Meeting in Tel-Aviv, Israel on the Virtue® Sirolimus-Eluting Balloon, which has Breakthrough Device Designation from the FDA for the treatment of below-the-knee disease and coronary in-stent restenosis, and on BackBeat™ Cardiac Neuromodulation Therapy, for which</w:t>
      </w:r>
      <w:r w:rsidR="00485A2B">
        <w:rPr>
          <w:rFonts w:cstheme="minorHAnsi"/>
          <w:color w:val="000000" w:themeColor="text1"/>
        </w:rPr>
        <w:t xml:space="preserve"> it</w:t>
      </w:r>
      <w:r w:rsidRPr="00B148F9">
        <w:rPr>
          <w:rFonts w:cstheme="minorHAnsi"/>
          <w:color w:val="000000" w:themeColor="text1"/>
        </w:rPr>
        <w:t xml:space="preserve"> recently presented double-blind, randomized clinical results that demonstrated a statistically significant reduction of 24-hour ambulatory systolic blood pressure.</w:t>
      </w:r>
    </w:p>
    <w:p w14:paraId="0B20E9AA" w14:textId="68304DEE" w:rsidR="002A7D91" w:rsidRPr="00B148F9" w:rsidRDefault="00780DC6" w:rsidP="00A94612">
      <w:pPr>
        <w:pStyle w:val="ListParagraph"/>
        <w:numPr>
          <w:ilvl w:val="0"/>
          <w:numId w:val="22"/>
        </w:numPr>
        <w:spacing w:after="160" w:line="259" w:lineRule="auto"/>
        <w:contextualSpacing/>
        <w:rPr>
          <w:rFonts w:cstheme="minorHAnsi"/>
          <w:b/>
        </w:rPr>
      </w:pPr>
      <w:r w:rsidRPr="00B148F9">
        <w:rPr>
          <w:rFonts w:cstheme="minorHAnsi"/>
        </w:rPr>
        <w:t>The company a</w:t>
      </w:r>
      <w:r w:rsidR="002A7D91" w:rsidRPr="00B148F9">
        <w:rPr>
          <w:rFonts w:cstheme="minorHAnsi"/>
        </w:rPr>
        <w:t>lso</w:t>
      </w:r>
      <w:r w:rsidRPr="00B148F9">
        <w:rPr>
          <w:rFonts w:cstheme="minorHAnsi"/>
        </w:rPr>
        <w:t xml:space="preserve"> generated</w:t>
      </w:r>
      <w:r w:rsidR="002A7D91" w:rsidRPr="00B148F9">
        <w:rPr>
          <w:rFonts w:cstheme="minorHAnsi"/>
        </w:rPr>
        <w:t xml:space="preserve"> a US$20 million credit facility agreement with Silicon Valley Bank (SVB), which provides </w:t>
      </w:r>
      <w:r w:rsidRPr="00B148F9">
        <w:rPr>
          <w:rFonts w:cstheme="minorHAnsi"/>
        </w:rPr>
        <w:t>it</w:t>
      </w:r>
      <w:r w:rsidR="002A7D91" w:rsidRPr="00B148F9">
        <w:rPr>
          <w:rFonts w:cstheme="minorHAnsi"/>
        </w:rPr>
        <w:t xml:space="preserve"> with new capital </w:t>
      </w:r>
      <w:r w:rsidRPr="00B148F9">
        <w:rPr>
          <w:rFonts w:cstheme="minorHAnsi"/>
        </w:rPr>
        <w:t xml:space="preserve">for </w:t>
      </w:r>
      <w:r w:rsidR="002A7D91" w:rsidRPr="00B148F9">
        <w:rPr>
          <w:rFonts w:cstheme="minorHAnsi"/>
        </w:rPr>
        <w:t xml:space="preserve">development and general corporate purposes. </w:t>
      </w:r>
    </w:p>
    <w:p w14:paraId="737580FF" w14:textId="77777777" w:rsidR="002A7D91" w:rsidRPr="00B148F9" w:rsidRDefault="002A7D91" w:rsidP="002A7D91">
      <w:pPr>
        <w:rPr>
          <w:rFonts w:cstheme="minorHAnsi"/>
          <w:b/>
        </w:rPr>
      </w:pPr>
    </w:p>
    <w:p w14:paraId="59CCD9A5" w14:textId="20B29AA9" w:rsidR="002A7D91" w:rsidRPr="00B148F9" w:rsidRDefault="002A7D91" w:rsidP="002A7D91">
      <w:pPr>
        <w:rPr>
          <w:rFonts w:cstheme="minorHAnsi"/>
        </w:rPr>
      </w:pPr>
      <w:r w:rsidRPr="00B148F9">
        <w:rPr>
          <w:rFonts w:cstheme="minorHAnsi"/>
          <w:b/>
        </w:rPr>
        <w:t xml:space="preserve">Rocket </w:t>
      </w:r>
      <w:r w:rsidRPr="00B148F9">
        <w:rPr>
          <w:rFonts w:cstheme="minorHAnsi"/>
        </w:rPr>
        <w:t>(34.2% of NAV, &lt;10% Company ownership)</w:t>
      </w:r>
    </w:p>
    <w:p w14:paraId="7EE3FC3D" w14:textId="77777777" w:rsidR="002A7D91" w:rsidRPr="00B148F9" w:rsidRDefault="002A7D91" w:rsidP="002A7D91">
      <w:pPr>
        <w:rPr>
          <w:rFonts w:cstheme="minorHAnsi"/>
        </w:rPr>
      </w:pPr>
    </w:p>
    <w:p w14:paraId="22C67C7D" w14:textId="4089FAF6" w:rsidR="002A7D91" w:rsidRPr="00B148F9" w:rsidRDefault="002A7D91" w:rsidP="002A7D91">
      <w:pPr>
        <w:rPr>
          <w:rFonts w:cstheme="minorHAnsi"/>
        </w:rPr>
      </w:pPr>
      <w:r w:rsidRPr="00B148F9">
        <w:rPr>
          <w:rFonts w:cstheme="minorHAnsi"/>
        </w:rPr>
        <w:lastRenderedPageBreak/>
        <w:t xml:space="preserve">Rocket was formed in 2015 out of the work of academic institutions in the US and Europe and was listed on the Nasdaq Global Market in January 2018. Rocket is focused on developing first-in-class gene therapy treatment options for rare, devastating diseases. Two of Rocket’s clinical programs are a lentiviral vector-based gene therapy for the treatment of Fanconi Anemia (FA), a difficult to treat genetic disease that leads to bone marrow failure and potentially cancer, and an adeno-associated virus-based gene therapy for Danon disease, a devastating, </w:t>
      </w:r>
      <w:r w:rsidR="0054226C" w:rsidRPr="00B148F9">
        <w:rPr>
          <w:rFonts w:cstheme="minorHAnsi"/>
        </w:rPr>
        <w:t>paediatric</w:t>
      </w:r>
      <w:r w:rsidRPr="00B148F9">
        <w:rPr>
          <w:rFonts w:cstheme="minorHAnsi"/>
        </w:rPr>
        <w:t xml:space="preserve"> heart failure condition. We believe opportunity exists to license additional gene therapy academic assets in the future into the Rocket pipeline. Rocket has a broad pipeline of four disclosed programs, and we anticipate additional programs will be added to the pipeline.  In addition to our control position in the company </w:t>
      </w:r>
      <w:r w:rsidR="004A6DA1" w:rsidRPr="00B148F9">
        <w:rPr>
          <w:rFonts w:cstheme="minorHAnsi"/>
        </w:rPr>
        <w:t xml:space="preserve">working alongside </w:t>
      </w:r>
      <w:r w:rsidR="00C60076">
        <w:rPr>
          <w:rFonts w:cstheme="minorHAnsi"/>
        </w:rPr>
        <w:t>the Investment Manager</w:t>
      </w:r>
      <w:r w:rsidRPr="00B148F9">
        <w:rPr>
          <w:rFonts w:cstheme="minorHAnsi"/>
        </w:rPr>
        <w:t>, Rocket’s generous pipeline diversification of four clinical and one preclinical programs creates an attractive risk reward opportunity, giving us comfort in owning an outsized position in the company.</w:t>
      </w:r>
    </w:p>
    <w:p w14:paraId="3911AB45" w14:textId="77777777" w:rsidR="002A7D91" w:rsidRPr="00B148F9" w:rsidRDefault="002A7D91" w:rsidP="002A7D91">
      <w:pPr>
        <w:rPr>
          <w:rFonts w:cstheme="minorHAnsi"/>
        </w:rPr>
      </w:pPr>
    </w:p>
    <w:p w14:paraId="33A29051" w14:textId="65B98133" w:rsidR="002A7D91" w:rsidRPr="00B148F9" w:rsidRDefault="002A7D91" w:rsidP="002A7D91">
      <w:pPr>
        <w:rPr>
          <w:rFonts w:cstheme="minorHAnsi"/>
        </w:rPr>
      </w:pPr>
      <w:r w:rsidRPr="00B148F9">
        <w:rPr>
          <w:rFonts w:cstheme="minorHAnsi"/>
        </w:rPr>
        <w:t xml:space="preserve">Drs. Roderick Wong, Naveen Yalamanchi, and Gotham Makker all serve on the company’s board, with Dr. Wong serving as Chairman and Piratip Pratumsuwan serving in a board observer role. </w:t>
      </w:r>
    </w:p>
    <w:p w14:paraId="189E7CCA" w14:textId="77777777" w:rsidR="002A7D91" w:rsidRPr="00B148F9" w:rsidRDefault="002A7D91" w:rsidP="002A7D91">
      <w:pPr>
        <w:rPr>
          <w:rFonts w:cstheme="minorHAnsi"/>
          <w:color w:val="FF0000"/>
        </w:rPr>
      </w:pPr>
    </w:p>
    <w:p w14:paraId="7E874325" w14:textId="77777777" w:rsidR="002A7D91" w:rsidRPr="00B148F9" w:rsidRDefault="002A7D91" w:rsidP="002A7D91">
      <w:pPr>
        <w:rPr>
          <w:rFonts w:cstheme="minorHAnsi"/>
          <w:i/>
        </w:rPr>
      </w:pPr>
      <w:r w:rsidRPr="00B148F9">
        <w:rPr>
          <w:rFonts w:cstheme="minorHAnsi"/>
          <w:i/>
        </w:rPr>
        <w:t>Clinical and capital updates:</w:t>
      </w:r>
    </w:p>
    <w:p w14:paraId="2627ECD6" w14:textId="77777777" w:rsidR="002A7D91" w:rsidRPr="00B148F9" w:rsidRDefault="002A7D91" w:rsidP="00A94612">
      <w:pPr>
        <w:pStyle w:val="ListParagraph"/>
        <w:numPr>
          <w:ilvl w:val="0"/>
          <w:numId w:val="23"/>
        </w:numPr>
        <w:spacing w:after="160" w:line="259" w:lineRule="auto"/>
        <w:contextualSpacing/>
        <w:rPr>
          <w:rFonts w:cstheme="minorHAnsi"/>
        </w:rPr>
      </w:pPr>
      <w:r w:rsidRPr="00B148F9">
        <w:rPr>
          <w:rFonts w:cstheme="minorHAnsi"/>
        </w:rPr>
        <w:t>Rocket’s preliminary data demonstrated early evidence of efficacy from its Phase 1/2 clinical trial of RP-L201, a lentiviral vector (LVV)-based gene therapy for the treatment of Leukocyte Adhesion Deficiency-I. Additionally, the gene therapy Company reported encouraging preliminary results from its Phase 1 trial of commercial-grade RP-L102 “Process B” for Fanconi Anemia.</w:t>
      </w:r>
    </w:p>
    <w:p w14:paraId="64B59419" w14:textId="3F98431B" w:rsidR="002A7D91" w:rsidRPr="00B148F9" w:rsidRDefault="002A7D91" w:rsidP="00A94612">
      <w:pPr>
        <w:pStyle w:val="ListParagraph"/>
        <w:numPr>
          <w:ilvl w:val="0"/>
          <w:numId w:val="23"/>
        </w:numPr>
        <w:spacing w:after="160" w:line="259" w:lineRule="auto"/>
        <w:contextualSpacing/>
        <w:rPr>
          <w:rFonts w:cstheme="minorHAnsi"/>
        </w:rPr>
      </w:pPr>
      <w:r w:rsidRPr="00B148F9">
        <w:rPr>
          <w:rFonts w:cstheme="minorHAnsi"/>
        </w:rPr>
        <w:t>The Company was granted PRIority MEdicines (PRIME) eligibility by European Medicines Agency (EMA) for RP-L102, a lentiviral vector (LVV)-based gene therapy for the treatment of Fanconi Anemia (FA)</w:t>
      </w:r>
      <w:r w:rsidR="00FA407A" w:rsidRPr="00B148F9">
        <w:rPr>
          <w:rFonts w:cstheme="minorHAnsi"/>
        </w:rPr>
        <w:t>.</w:t>
      </w:r>
    </w:p>
    <w:p w14:paraId="24FF726D" w14:textId="73BF7306" w:rsidR="002A7D91" w:rsidRPr="00B148F9" w:rsidRDefault="002A7D91" w:rsidP="00A94612">
      <w:pPr>
        <w:pStyle w:val="ListParagraph"/>
        <w:numPr>
          <w:ilvl w:val="0"/>
          <w:numId w:val="17"/>
        </w:numPr>
        <w:spacing w:after="160" w:line="259" w:lineRule="auto"/>
        <w:contextualSpacing/>
        <w:rPr>
          <w:rFonts w:cstheme="minorHAnsi"/>
        </w:rPr>
      </w:pPr>
      <w:r w:rsidRPr="00B148F9">
        <w:rPr>
          <w:rFonts w:cstheme="minorHAnsi"/>
        </w:rPr>
        <w:t xml:space="preserve">Rocket concluded </w:t>
      </w:r>
      <w:r w:rsidR="00326813" w:rsidRPr="00B148F9">
        <w:rPr>
          <w:rFonts w:cstheme="minorHAnsi"/>
        </w:rPr>
        <w:t xml:space="preserve">the </w:t>
      </w:r>
      <w:r w:rsidRPr="00B148F9">
        <w:rPr>
          <w:rFonts w:cstheme="minorHAnsi"/>
        </w:rPr>
        <w:t>closing of its previously announced underwritten public offering of 3,820,000 shares of its common stock at a public offering price of US$22.25 per share on 13</w:t>
      </w:r>
      <w:r w:rsidRPr="00B148F9">
        <w:rPr>
          <w:rFonts w:cstheme="minorHAnsi"/>
          <w:vertAlign w:val="superscript"/>
        </w:rPr>
        <w:t>th</w:t>
      </w:r>
      <w:r w:rsidRPr="00B148F9">
        <w:rPr>
          <w:rFonts w:cstheme="minorHAnsi"/>
        </w:rPr>
        <w:t xml:space="preserve"> of December. The gross proceeds to Rocket from the offering were expected to be approximately US$85 million, before deducting underwriting discounts and commissions and other offering expenses. The company intends to use the net proceeds from this offering to further fund the development of the pipeline of gene therapies for rare diseases, to support the buildout of in-house manufacturing capabilities, and for general corporate purposes.</w:t>
      </w:r>
    </w:p>
    <w:p w14:paraId="7AF374CA" w14:textId="31BA474B" w:rsidR="002A7D91" w:rsidRPr="00B148F9" w:rsidRDefault="002A7D91" w:rsidP="002A7D91">
      <w:pPr>
        <w:rPr>
          <w:rFonts w:cstheme="minorHAnsi"/>
          <w:b/>
        </w:rPr>
      </w:pPr>
      <w:r w:rsidRPr="00B148F9">
        <w:rPr>
          <w:rFonts w:cstheme="minorHAnsi"/>
          <w:b/>
        </w:rPr>
        <w:t>Pipeline Assets</w:t>
      </w:r>
      <w:r w:rsidR="00CB1C3B" w:rsidRPr="00B148F9">
        <w:rPr>
          <w:rFonts w:cstheme="minorHAnsi"/>
          <w:b/>
        </w:rPr>
        <w:t xml:space="preserve"> as of 31 December 2019</w:t>
      </w:r>
    </w:p>
    <w:p w14:paraId="4E64AF1B" w14:textId="77777777" w:rsidR="002A7D91" w:rsidRPr="00B148F9" w:rsidRDefault="002A7D91" w:rsidP="002A7D91">
      <w:pPr>
        <w:rPr>
          <w:rFonts w:cstheme="minorHAnsi"/>
          <w:b/>
        </w:rPr>
      </w:pPr>
    </w:p>
    <w:p w14:paraId="68D45667" w14:textId="4307A6BF" w:rsidR="002A7D91" w:rsidRPr="00B148F9" w:rsidRDefault="00485A2B" w:rsidP="002A7D91">
      <w:pPr>
        <w:rPr>
          <w:rFonts w:cstheme="minorHAnsi"/>
          <w:b/>
        </w:rPr>
      </w:pPr>
      <w:r>
        <w:rPr>
          <w:rFonts w:cstheme="minorHAnsi"/>
          <w:b/>
        </w:rPr>
        <w:t>Ji Xing</w:t>
      </w:r>
      <w:r w:rsidR="002A7D91" w:rsidRPr="00B148F9">
        <w:rPr>
          <w:rFonts w:cstheme="minorHAnsi"/>
          <w:b/>
        </w:rPr>
        <w:t xml:space="preserve"> formerly </w:t>
      </w:r>
      <w:r w:rsidR="000E0C48" w:rsidRPr="00B148F9">
        <w:rPr>
          <w:rFonts w:cstheme="minorHAnsi"/>
          <w:b/>
        </w:rPr>
        <w:t>“</w:t>
      </w:r>
      <w:r w:rsidR="002A7D91" w:rsidRPr="00B148F9">
        <w:rPr>
          <w:rFonts w:cstheme="minorHAnsi"/>
          <w:b/>
        </w:rPr>
        <w:t>China NewCo</w:t>
      </w:r>
      <w:r w:rsidR="000E0C48" w:rsidRPr="00B148F9">
        <w:rPr>
          <w:rFonts w:cstheme="minorHAnsi"/>
          <w:b/>
        </w:rPr>
        <w:t>”</w:t>
      </w:r>
      <w:r w:rsidR="002A7D91" w:rsidRPr="00B148F9">
        <w:rPr>
          <w:rFonts w:cstheme="minorHAnsi"/>
          <w:b/>
        </w:rPr>
        <w:t xml:space="preserve"> </w:t>
      </w:r>
    </w:p>
    <w:p w14:paraId="0D0E6246" w14:textId="77777777" w:rsidR="002A7D91" w:rsidRPr="00B148F9" w:rsidRDefault="002A7D91" w:rsidP="002A7D91">
      <w:pPr>
        <w:rPr>
          <w:rFonts w:cstheme="minorHAnsi"/>
          <w:b/>
        </w:rPr>
      </w:pPr>
    </w:p>
    <w:p w14:paraId="35039259" w14:textId="1794C368" w:rsidR="002A7D91" w:rsidRPr="00B148F9" w:rsidRDefault="002A7D91" w:rsidP="002A7D91">
      <w:pPr>
        <w:rPr>
          <w:rFonts w:cstheme="minorHAnsi"/>
          <w:b/>
          <w:bCs/>
        </w:rPr>
      </w:pPr>
      <w:r w:rsidRPr="00B148F9">
        <w:rPr>
          <w:rFonts w:cstheme="minorHAnsi"/>
        </w:rPr>
        <w:t>We formed Ji Xing in early 2020, born out of a two-year study of innovation, biotechnology, and access to healthcare in China. The Company currently anticipates investing up to US$10 million of capital in a Series A financing alongside the Investment Manager’s other investment vehicles. As an incorporated specialty pharmaceutical company domiciled in China, Ji Xing will leverage clinical development and commercial expertise in the United States and Europe to bring global innovative medicines to Chinese patients. The aim would be for Ji Xing to launch its initial public offering on The Stock Exchange of Hong Kong (HKEX) in three to four years.</w:t>
      </w:r>
    </w:p>
    <w:p w14:paraId="3BE0A638" w14:textId="77777777" w:rsidR="0052098D" w:rsidRPr="00B148F9" w:rsidRDefault="0052098D" w:rsidP="009602D0">
      <w:pPr>
        <w:jc w:val="left"/>
        <w:rPr>
          <w:rFonts w:cs="Arial"/>
          <w:b/>
        </w:rPr>
      </w:pPr>
    </w:p>
    <w:p w14:paraId="3E112CF1" w14:textId="77777777" w:rsidR="0052098D" w:rsidRPr="00B148F9" w:rsidRDefault="0052098D" w:rsidP="009602D0">
      <w:pPr>
        <w:jc w:val="left"/>
        <w:rPr>
          <w:rFonts w:cs="Arial"/>
          <w:b/>
        </w:rPr>
      </w:pPr>
    </w:p>
    <w:p w14:paraId="07A11C98" w14:textId="77777777" w:rsidR="0052098D" w:rsidRPr="00B148F9" w:rsidRDefault="0052098D" w:rsidP="009602D0">
      <w:pPr>
        <w:jc w:val="left"/>
        <w:rPr>
          <w:rFonts w:cs="Arial"/>
          <w:b/>
        </w:rPr>
      </w:pPr>
    </w:p>
    <w:p w14:paraId="1A988BD0" w14:textId="0BE1E0FA" w:rsidR="009602D0" w:rsidRPr="00B148F9" w:rsidRDefault="009602D0" w:rsidP="009602D0">
      <w:pPr>
        <w:jc w:val="left"/>
        <w:rPr>
          <w:rFonts w:cs="Arial"/>
          <w:b/>
        </w:rPr>
      </w:pPr>
      <w:r w:rsidRPr="00B148F9">
        <w:rPr>
          <w:rFonts w:cs="Arial"/>
          <w:b/>
        </w:rPr>
        <w:t>RTW Investments</w:t>
      </w:r>
      <w:r w:rsidR="004A6DA1" w:rsidRPr="00B148F9">
        <w:rPr>
          <w:rFonts w:cs="Arial"/>
          <w:b/>
        </w:rPr>
        <w:t>,</w:t>
      </w:r>
      <w:r w:rsidRPr="00B148F9">
        <w:rPr>
          <w:rFonts w:cs="Arial"/>
          <w:b/>
        </w:rPr>
        <w:t xml:space="preserve"> LP</w:t>
      </w:r>
    </w:p>
    <w:p w14:paraId="7587EA70" w14:textId="758B0591" w:rsidR="00D339C1" w:rsidRPr="00B148F9" w:rsidRDefault="009E4CA7" w:rsidP="00D339C1">
      <w:pPr>
        <w:rPr>
          <w:b/>
        </w:rPr>
      </w:pPr>
      <w:r>
        <w:rPr>
          <w:bCs/>
        </w:rPr>
        <w:t>21</w:t>
      </w:r>
      <w:r w:rsidR="009602D0" w:rsidRPr="00B148F9">
        <w:rPr>
          <w:bCs/>
        </w:rPr>
        <w:t xml:space="preserve"> April 2020</w:t>
      </w:r>
      <w:r w:rsidR="00E000AB" w:rsidRPr="00B148F9">
        <w:br w:type="page"/>
      </w:r>
    </w:p>
    <w:p w14:paraId="6DF2A4ED" w14:textId="77777777" w:rsidR="00B837B9" w:rsidRPr="00B148F9" w:rsidRDefault="00B837B9" w:rsidP="00B837B9">
      <w:pPr>
        <w:pStyle w:val="Heading1"/>
        <w:jc w:val="both"/>
        <w:rPr>
          <w:sz w:val="20"/>
          <w:szCs w:val="20"/>
        </w:rPr>
      </w:pPr>
      <w:r w:rsidRPr="00B148F9">
        <w:rPr>
          <w:sz w:val="20"/>
          <w:szCs w:val="20"/>
        </w:rPr>
        <w:lastRenderedPageBreak/>
        <w:t>Strategic Report</w:t>
      </w:r>
    </w:p>
    <w:p w14:paraId="10AE0F89" w14:textId="77777777" w:rsidR="00B837B9" w:rsidRPr="00B148F9" w:rsidRDefault="00B837B9" w:rsidP="00B837B9"/>
    <w:p w14:paraId="0096C2EE" w14:textId="77777777" w:rsidR="00B837B9" w:rsidRPr="00B148F9" w:rsidRDefault="00B837B9" w:rsidP="00B837B9">
      <w:pPr>
        <w:pStyle w:val="Heading3"/>
        <w:spacing w:after="0"/>
        <w:jc w:val="both"/>
        <w:rPr>
          <w:rFonts w:ascii="Century Gothic" w:hAnsi="Century Gothic"/>
          <w:b/>
          <w:szCs w:val="20"/>
        </w:rPr>
      </w:pPr>
      <w:r w:rsidRPr="00B148F9">
        <w:rPr>
          <w:rFonts w:ascii="Century Gothic" w:hAnsi="Century Gothic"/>
          <w:b/>
          <w:szCs w:val="20"/>
        </w:rPr>
        <w:t>Company Objectives &amp; Strategy</w:t>
      </w:r>
    </w:p>
    <w:p w14:paraId="32C0D4DE" w14:textId="77777777" w:rsidR="00B837B9" w:rsidRPr="00B148F9" w:rsidRDefault="00B837B9" w:rsidP="00B837B9"/>
    <w:p w14:paraId="2AB3092A" w14:textId="77777777" w:rsidR="00B837B9" w:rsidRPr="00B148F9" w:rsidRDefault="00B837B9" w:rsidP="00B837B9">
      <w:pPr>
        <w:rPr>
          <w:rFonts w:cs="AvenirNextLTPro-Regular"/>
        </w:rPr>
      </w:pPr>
      <w:r w:rsidRPr="00B148F9">
        <w:rPr>
          <w:rFonts w:cs="AvenirNextLTPro-Regular"/>
        </w:rPr>
        <w:t>The Company seeks to achieve positive absolute performance and superior long-term capital appreciation, with a focus on forming, building, and supporting world-class life sciences, biopharmaceutical and medical technology companies. It intends to create a diversiﬁed portfolio of investments across a range of businesses, each pursuing the development of superior pharmacological or medical therapeutic assets to enhance the quality of life and/or extend patient life.</w:t>
      </w:r>
    </w:p>
    <w:p w14:paraId="31735E4C" w14:textId="77777777" w:rsidR="00B837B9" w:rsidRPr="00B148F9" w:rsidRDefault="00B837B9" w:rsidP="00B837B9">
      <w:pPr>
        <w:rPr>
          <w:rFonts w:cs="AvenirNextLTPro-Regular"/>
        </w:rPr>
      </w:pPr>
    </w:p>
    <w:p w14:paraId="31F55720" w14:textId="77777777" w:rsidR="00B837B9" w:rsidRPr="00B148F9" w:rsidRDefault="00B837B9" w:rsidP="00B837B9">
      <w:pPr>
        <w:rPr>
          <w:rFonts w:cstheme="minorHAnsi"/>
        </w:rPr>
      </w:pPr>
      <w:r w:rsidRPr="00B148F9">
        <w:rPr>
          <w:rFonts w:cstheme="minorHAnsi"/>
        </w:rPr>
        <w:t xml:space="preserve">We believe the Company is positioned to capture long term value for investors, for the following reasons: </w:t>
      </w:r>
    </w:p>
    <w:p w14:paraId="2C1C29BA" w14:textId="77777777" w:rsidR="00B837B9" w:rsidRPr="00B148F9" w:rsidRDefault="00B837B9" w:rsidP="00B837B9">
      <w:pPr>
        <w:rPr>
          <w:rFonts w:cstheme="minorHAnsi"/>
        </w:rPr>
      </w:pPr>
    </w:p>
    <w:p w14:paraId="4F797E27" w14:textId="77777777" w:rsidR="00B837B9" w:rsidRPr="00B148F9" w:rsidRDefault="00B837B9" w:rsidP="00A94612">
      <w:pPr>
        <w:pStyle w:val="ListParagraph"/>
        <w:numPr>
          <w:ilvl w:val="0"/>
          <w:numId w:val="25"/>
        </w:numPr>
        <w:spacing w:after="160" w:line="259" w:lineRule="auto"/>
        <w:contextualSpacing/>
        <w:rPr>
          <w:rFonts w:cstheme="minorHAnsi"/>
        </w:rPr>
      </w:pPr>
      <w:r w:rsidRPr="00B148F9">
        <w:rPr>
          <w:rFonts w:cstheme="minorHAnsi"/>
        </w:rPr>
        <w:t xml:space="preserve">Access to permanent capital reduces pressure on the Company to make investments during a finite deployment period, which can be especially beneficial to investors during periods of overstated valuations or when there are limited and compromised investment opportunities. </w:t>
      </w:r>
    </w:p>
    <w:p w14:paraId="02E97B7F" w14:textId="77777777" w:rsidR="00B837B9" w:rsidRPr="00B148F9" w:rsidRDefault="00B837B9" w:rsidP="00A94612">
      <w:pPr>
        <w:pStyle w:val="ListParagraph"/>
        <w:numPr>
          <w:ilvl w:val="0"/>
          <w:numId w:val="25"/>
        </w:numPr>
        <w:spacing w:after="160" w:line="259" w:lineRule="auto"/>
        <w:contextualSpacing/>
        <w:rPr>
          <w:rFonts w:cstheme="minorHAnsi"/>
        </w:rPr>
      </w:pPr>
      <w:r w:rsidRPr="00B148F9">
        <w:rPr>
          <w:rFonts w:cstheme="minorHAnsi"/>
        </w:rPr>
        <w:t xml:space="preserve">A permanent capital structure enables the Company to be patient and selective across the venture landscape, investing in only the most compelling ideas. As a true evergreen structure, the Company can avoid harvesting gains far too early in a portfolio company’s life cycle allowing for greater value capture. </w:t>
      </w:r>
    </w:p>
    <w:p w14:paraId="52336059" w14:textId="77777777" w:rsidR="00B837B9" w:rsidRPr="00B148F9" w:rsidRDefault="00B837B9" w:rsidP="00A94612">
      <w:pPr>
        <w:pStyle w:val="ListParagraph"/>
        <w:numPr>
          <w:ilvl w:val="0"/>
          <w:numId w:val="25"/>
        </w:numPr>
        <w:spacing w:after="160" w:line="259" w:lineRule="auto"/>
        <w:contextualSpacing/>
        <w:rPr>
          <w:rFonts w:cstheme="minorHAnsi"/>
        </w:rPr>
      </w:pPr>
      <w:r w:rsidRPr="00B148F9">
        <w:rPr>
          <w:rFonts w:cstheme="minorHAnsi"/>
        </w:rPr>
        <w:t>Though not immune to acquisitions, the Company is generally not interested in seeking trade sales for its Portfolio Companies. Long term value is maximized when products become commercially viable and accessible to patients who need them.</w:t>
      </w:r>
    </w:p>
    <w:p w14:paraId="18040C6E" w14:textId="77777777" w:rsidR="00B837B9" w:rsidRPr="00B148F9" w:rsidRDefault="00B837B9" w:rsidP="00A94612">
      <w:pPr>
        <w:pStyle w:val="ListParagraph"/>
        <w:numPr>
          <w:ilvl w:val="0"/>
          <w:numId w:val="25"/>
        </w:numPr>
        <w:spacing w:after="160" w:line="259" w:lineRule="auto"/>
        <w:contextualSpacing/>
        <w:rPr>
          <w:rFonts w:cstheme="minorHAnsi"/>
        </w:rPr>
      </w:pPr>
      <w:r w:rsidRPr="00B148F9">
        <w:rPr>
          <w:rFonts w:cstheme="minorHAnsi"/>
        </w:rPr>
        <w:t xml:space="preserve">The Company has an eye toward building scalable NewCos, thanks to platform enabling technologies. When creating NewCos, we will support a management team by helping them diversify within their own pipeline and benefiting by economies of scale and modular technologies. This also protects against diluting management talent and competitive dynamics within the Company’s portfolio.  </w:t>
      </w:r>
    </w:p>
    <w:p w14:paraId="6E5D971F" w14:textId="77777777" w:rsidR="00B837B9" w:rsidRPr="00B148F9" w:rsidRDefault="00B837B9" w:rsidP="00A94612">
      <w:pPr>
        <w:pStyle w:val="ListParagraph"/>
        <w:numPr>
          <w:ilvl w:val="0"/>
          <w:numId w:val="25"/>
        </w:numPr>
        <w:spacing w:line="259" w:lineRule="auto"/>
        <w:contextualSpacing/>
        <w:rPr>
          <w:rFonts w:cstheme="minorHAnsi"/>
        </w:rPr>
      </w:pPr>
      <w:r w:rsidRPr="00B148F9">
        <w:rPr>
          <w:rFonts w:cstheme="minorHAnsi"/>
        </w:rPr>
        <w:t xml:space="preserve">Whilst the Company can invest in a venture capital capacity by providing early-stage funding, we do not necessarily consider monetization events such as IPOs and reverse mergers as exit opportunities, which means that the Company can in certain circumstances capture significant potential upside following such an event. </w:t>
      </w:r>
    </w:p>
    <w:p w14:paraId="177B8530" w14:textId="77777777" w:rsidR="00B837B9" w:rsidRPr="00B148F9" w:rsidRDefault="00B837B9" w:rsidP="00B837B9">
      <w:pPr>
        <w:pStyle w:val="Heading4"/>
        <w:spacing w:after="0"/>
        <w:ind w:left="0" w:firstLine="0"/>
        <w:jc w:val="both"/>
        <w:rPr>
          <w:rFonts w:ascii="Century Gothic" w:hAnsi="Century Gothic"/>
          <w:i/>
          <w:iCs w:val="0"/>
          <w:szCs w:val="20"/>
        </w:rPr>
      </w:pPr>
    </w:p>
    <w:p w14:paraId="78B13EE7" w14:textId="77777777" w:rsidR="00B837B9" w:rsidRPr="00B148F9" w:rsidRDefault="00B837B9" w:rsidP="00B837B9">
      <w:pPr>
        <w:pStyle w:val="Heading4"/>
        <w:ind w:left="0" w:firstLine="0"/>
        <w:jc w:val="both"/>
        <w:rPr>
          <w:rFonts w:cs="Calibri"/>
        </w:rPr>
      </w:pPr>
      <w:r w:rsidRPr="00B148F9">
        <w:rPr>
          <w:rFonts w:ascii="Century Gothic" w:hAnsi="Century Gothic"/>
          <w:i/>
          <w:iCs w:val="0"/>
          <w:szCs w:val="20"/>
        </w:rPr>
        <w:t>Background on the Company/Investment Manager</w:t>
      </w:r>
    </w:p>
    <w:p w14:paraId="42C71429" w14:textId="0B425E2B" w:rsidR="00B837B9" w:rsidRPr="00B148F9" w:rsidRDefault="00B837B9" w:rsidP="00B837B9">
      <w:pPr>
        <w:textAlignment w:val="center"/>
        <w:rPr>
          <w:rFonts w:cs="Calibri"/>
        </w:rPr>
      </w:pPr>
      <w:r w:rsidRPr="00B148F9">
        <w:rPr>
          <w:rFonts w:cs="Calibri"/>
        </w:rPr>
        <w:t>The Company was listed by</w:t>
      </w:r>
      <w:r w:rsidR="003A7A29" w:rsidRPr="00B148F9">
        <w:rPr>
          <w:rFonts w:cs="Calibri"/>
        </w:rPr>
        <w:t xml:space="preserve"> the Board of Directors and supported by</w:t>
      </w:r>
      <w:r w:rsidRPr="00B148F9">
        <w:rPr>
          <w:rFonts w:cs="Calibri"/>
        </w:rPr>
        <w:t xml:space="preserve"> the Investment Manager, a global leader in full-lifecycle healthcare investing with a special focus on transformative scientific and technological assets. The Investment Manager seeks to identify biopharmaceutical and medical technology assets, ascertained through rigorous scientific analysis that have a high probability of becoming commercially viable products and can dramatically change the course of treatment and in some cases bring effective and/or full curative outcomes to patients. </w:t>
      </w:r>
    </w:p>
    <w:p w14:paraId="6A5D46A1" w14:textId="77777777" w:rsidR="00B837B9" w:rsidRPr="00B148F9" w:rsidRDefault="00B837B9" w:rsidP="00B837B9">
      <w:pPr>
        <w:textAlignment w:val="center"/>
        <w:rPr>
          <w:rFonts w:cs="Calibri"/>
        </w:rPr>
      </w:pPr>
    </w:p>
    <w:p w14:paraId="176B713F" w14:textId="77777777" w:rsidR="00B837B9" w:rsidRPr="00B148F9" w:rsidRDefault="00B837B9" w:rsidP="00B837B9">
      <w:pPr>
        <w:pStyle w:val="Heading4"/>
        <w:ind w:left="0" w:firstLine="0"/>
        <w:jc w:val="both"/>
        <w:rPr>
          <w:rFonts w:ascii="Century Gothic" w:hAnsi="Century Gothic"/>
          <w:i/>
          <w:iCs w:val="0"/>
          <w:szCs w:val="20"/>
        </w:rPr>
      </w:pPr>
      <w:r w:rsidRPr="00B148F9">
        <w:rPr>
          <w:rFonts w:ascii="Century Gothic" w:hAnsi="Century Gothic"/>
          <w:i/>
          <w:iCs w:val="0"/>
          <w:szCs w:val="20"/>
        </w:rPr>
        <w:t xml:space="preserve">Investment Strategy </w:t>
      </w:r>
    </w:p>
    <w:p w14:paraId="0FE440CD" w14:textId="77777777" w:rsidR="00B837B9" w:rsidRPr="00B148F9" w:rsidRDefault="00B837B9" w:rsidP="00B837B9">
      <w:pPr>
        <w:textAlignment w:val="center"/>
        <w:rPr>
          <w:rFonts w:cs="Calibri"/>
        </w:rPr>
      </w:pPr>
      <w:r w:rsidRPr="00B148F9">
        <w:rPr>
          <w:rFonts w:cs="Calibri"/>
        </w:rPr>
        <w:t xml:space="preserve">The Investment Manager has operated its private funds business since 2009 and has built an organization with deep expertise across medical and scientific areas, as well as an elite strategic and financial execution team. The ability to identify untapped value through an unparalleled comprehensive target identification process is a powerful driver of the team’s long-term success. </w:t>
      </w:r>
    </w:p>
    <w:p w14:paraId="4296B3D1" w14:textId="77777777" w:rsidR="00B837B9" w:rsidRPr="00B148F9" w:rsidRDefault="00B837B9" w:rsidP="00B837B9">
      <w:pPr>
        <w:textAlignment w:val="center"/>
        <w:rPr>
          <w:rFonts w:cs="Calibri"/>
        </w:rPr>
      </w:pPr>
    </w:p>
    <w:p w14:paraId="2A7D2D5F" w14:textId="77777777" w:rsidR="00B837B9" w:rsidRPr="00B148F9" w:rsidRDefault="00B837B9" w:rsidP="00B837B9">
      <w:pPr>
        <w:textAlignment w:val="center"/>
        <w:rPr>
          <w:rFonts w:cs="Calibri"/>
        </w:rPr>
      </w:pPr>
      <w:r w:rsidRPr="00B148F9">
        <w:rPr>
          <w:rFonts w:cs="Calibri"/>
        </w:rPr>
        <w:t xml:space="preserve">A key part of the Company’s competitive advantage is the Investment Manager’s ability to determine at what point in a company’s life cycle it should support the target asset or pipeline. The Investment Manager has achieved multiple successful transaction milestones, including successfully creating new companies around academic licenses, taking those companies public through reverse mergers, recapitalizations, and SPACs. Various members of the Investment Manager’s leadership team have also garnered significant operational experience, serving in interim executive roles at biopharma companies, holding myriad strategic directorships, and influencing companies to prioritize and advance their assets through development and commercialization. The Investment Manager has earned a </w:t>
      </w:r>
      <w:r w:rsidRPr="00B148F9">
        <w:rPr>
          <w:rFonts w:cs="Calibri"/>
        </w:rPr>
        <w:lastRenderedPageBreak/>
        <w:t>constructive reputation of being deeply knowledgeable in science, supportive to entrepreneurs and aligned with the companies for the long term, until the maximum value of those underlying assets can be achieved. This has become an earned privilege for the Investment Manager and the Company.</w:t>
      </w:r>
    </w:p>
    <w:p w14:paraId="1F426430" w14:textId="77777777" w:rsidR="00B837B9" w:rsidRPr="00B148F9" w:rsidRDefault="00B837B9" w:rsidP="00B837B9">
      <w:pPr>
        <w:textAlignment w:val="center"/>
        <w:rPr>
          <w:rFonts w:cs="Calibri"/>
        </w:rPr>
      </w:pPr>
    </w:p>
    <w:p w14:paraId="510A54A3" w14:textId="77777777" w:rsidR="00B837B9" w:rsidRPr="00B148F9" w:rsidRDefault="00B837B9" w:rsidP="00B837B9">
      <w:pPr>
        <w:pStyle w:val="Heading3"/>
        <w:jc w:val="both"/>
        <w:rPr>
          <w:rFonts w:ascii="Century Gothic" w:hAnsi="Century Gothic"/>
          <w:b/>
          <w:szCs w:val="20"/>
        </w:rPr>
      </w:pPr>
      <w:r w:rsidRPr="00B148F9">
        <w:rPr>
          <w:rFonts w:ascii="Century Gothic" w:hAnsi="Century Gothic"/>
          <w:b/>
          <w:szCs w:val="20"/>
        </w:rPr>
        <w:t>Company Structure</w:t>
      </w:r>
    </w:p>
    <w:p w14:paraId="145DCAD5" w14:textId="21495245" w:rsidR="00B837B9" w:rsidRPr="00B148F9" w:rsidRDefault="00B837B9" w:rsidP="00B837B9">
      <w:pPr>
        <w:autoSpaceDE w:val="0"/>
        <w:autoSpaceDN w:val="0"/>
        <w:adjustRightInd w:val="0"/>
        <w:rPr>
          <w:rFonts w:cs="AvenirNextLTPro-Regular"/>
        </w:rPr>
      </w:pPr>
      <w:r w:rsidRPr="00B148F9">
        <w:rPr>
          <w:rFonts w:cs="AvenirNextLTPro-Regular"/>
        </w:rPr>
        <w:t xml:space="preserve">The Company was originally a Delaware limited liability corporation, which was funded by US based seed investors and re-domiciled to Guernsey prior to listing on the London Stock Exchange. The company is managed and controlled from Guernsey by a majority independent board whose details are provided in the Report of the Directors </w:t>
      </w:r>
      <w:r w:rsidR="00D502F5">
        <w:rPr>
          <w:rFonts w:cs="AvenirNextLTPro-Regular"/>
        </w:rPr>
        <w:t>below.</w:t>
      </w:r>
      <w:r w:rsidRPr="00B148F9">
        <w:rPr>
          <w:rFonts w:cs="AvenirNextLTPro-Regular"/>
        </w:rPr>
        <w:t xml:space="preserve"> The Company is designated as a foreign private issuer under the US Securities and Exchange Act and is exempt from SEC registration. The Company is managed as a </w:t>
      </w:r>
      <w:r w:rsidR="00326813" w:rsidRPr="00B148F9">
        <w:rPr>
          <w:rFonts w:cs="AvenirNextLTPro-Regular"/>
        </w:rPr>
        <w:t>non-resident company</w:t>
      </w:r>
      <w:r w:rsidRPr="00B148F9">
        <w:rPr>
          <w:rFonts w:cs="AvenirNextLTPro-Regular"/>
        </w:rPr>
        <w:t xml:space="preserve"> for UK tax purposes and a foreign limited partnership for US tax purposes and provides full tax reporting for its US shareholders.</w:t>
      </w:r>
    </w:p>
    <w:p w14:paraId="6D3B0A25" w14:textId="77777777" w:rsidR="00B837B9" w:rsidRPr="00B148F9" w:rsidRDefault="00B837B9" w:rsidP="00B837B9">
      <w:pPr>
        <w:autoSpaceDE w:val="0"/>
        <w:autoSpaceDN w:val="0"/>
        <w:adjustRightInd w:val="0"/>
        <w:rPr>
          <w:rFonts w:cs="AvenirNextLTPro-Regular"/>
        </w:rPr>
      </w:pPr>
    </w:p>
    <w:p w14:paraId="0D011333" w14:textId="77777777" w:rsidR="00B837B9" w:rsidRPr="00B148F9" w:rsidRDefault="00B837B9" w:rsidP="00B837B9">
      <w:pPr>
        <w:pStyle w:val="Heading3"/>
        <w:spacing w:after="0"/>
        <w:jc w:val="both"/>
        <w:rPr>
          <w:rFonts w:ascii="Century Gothic" w:hAnsi="Century Gothic"/>
          <w:b/>
          <w:szCs w:val="20"/>
        </w:rPr>
      </w:pPr>
      <w:r w:rsidRPr="00B148F9">
        <w:rPr>
          <w:rFonts w:ascii="Century Gothic" w:hAnsi="Century Gothic"/>
          <w:b/>
          <w:szCs w:val="20"/>
        </w:rPr>
        <w:t>Management</w:t>
      </w:r>
    </w:p>
    <w:p w14:paraId="7D4A3269" w14:textId="77777777" w:rsidR="00B837B9" w:rsidRPr="00B148F9" w:rsidRDefault="00B837B9" w:rsidP="00B837B9">
      <w:pPr>
        <w:pStyle w:val="Heading4"/>
        <w:ind w:left="0" w:firstLine="0"/>
        <w:jc w:val="both"/>
        <w:rPr>
          <w:rFonts w:ascii="Century Gothic" w:hAnsi="Century Gothic"/>
          <w:i/>
          <w:iCs w:val="0"/>
          <w:szCs w:val="20"/>
        </w:rPr>
      </w:pPr>
    </w:p>
    <w:p w14:paraId="227CF0C4" w14:textId="77777777" w:rsidR="00B837B9" w:rsidRPr="00B148F9" w:rsidRDefault="00B837B9" w:rsidP="00B837B9">
      <w:pPr>
        <w:pStyle w:val="Heading4"/>
        <w:ind w:left="0" w:firstLine="0"/>
        <w:jc w:val="both"/>
        <w:rPr>
          <w:rFonts w:ascii="Century Gothic" w:hAnsi="Century Gothic"/>
          <w:i/>
          <w:iCs w:val="0"/>
          <w:szCs w:val="20"/>
        </w:rPr>
      </w:pPr>
      <w:r w:rsidRPr="00B148F9">
        <w:rPr>
          <w:rFonts w:ascii="Century Gothic" w:hAnsi="Century Gothic"/>
          <w:i/>
          <w:iCs w:val="0"/>
          <w:szCs w:val="20"/>
        </w:rPr>
        <w:t>Board and Committees</w:t>
      </w:r>
    </w:p>
    <w:p w14:paraId="2E2D442E" w14:textId="647BEF46" w:rsidR="00B837B9" w:rsidRPr="00B148F9" w:rsidRDefault="00B837B9" w:rsidP="00B837B9">
      <w:pPr>
        <w:pStyle w:val="BluefieldBody"/>
        <w:rPr>
          <w:rFonts w:ascii="Century Gothic" w:hAnsi="Century Gothic"/>
          <w:color w:val="auto"/>
        </w:rPr>
      </w:pPr>
      <w:r w:rsidRPr="00B148F9">
        <w:rPr>
          <w:rFonts w:ascii="Century Gothic" w:hAnsi="Century Gothic"/>
          <w:color w:val="auto"/>
        </w:rPr>
        <w:t>The independent Board is responsible to shareholders for the overall management of the Company. The Board has adopted a Schedule of Matters Reserved for the Board</w:t>
      </w:r>
      <w:r w:rsidR="009F4798" w:rsidRPr="00B148F9">
        <w:rPr>
          <w:rFonts w:ascii="Century Gothic" w:hAnsi="Century Gothic"/>
          <w:color w:val="auto"/>
        </w:rPr>
        <w:t>,</w:t>
      </w:r>
      <w:r w:rsidRPr="00B148F9">
        <w:rPr>
          <w:rFonts w:ascii="Century Gothic" w:hAnsi="Century Gothic"/>
          <w:color w:val="auto"/>
        </w:rPr>
        <w:t xml:space="preserve"> which sets out the particular duties of the Board. Such reserved powers include decisions relating to the determination of investment policy, oversight of the Investment Manager, approval of changes in strategy, risk assessment, Board composition, capital structure, statutory obligations and public disclosure, financial reporting and entering into any material contracts by the Company.</w:t>
      </w:r>
    </w:p>
    <w:p w14:paraId="199D5C4D" w14:textId="77777777" w:rsidR="00B837B9" w:rsidRPr="00B148F9" w:rsidRDefault="00B837B9" w:rsidP="00B837B9">
      <w:pPr>
        <w:rPr>
          <w:rFonts w:cs="Calibri"/>
        </w:rPr>
      </w:pPr>
    </w:p>
    <w:p w14:paraId="44EAA34E" w14:textId="7BFC8362" w:rsidR="00B837B9" w:rsidRPr="00B148F9" w:rsidRDefault="00B837B9" w:rsidP="00B837B9">
      <w:pPr>
        <w:rPr>
          <w:rFonts w:cs="Calibri"/>
        </w:rPr>
      </w:pPr>
      <w:r w:rsidRPr="00B148F9">
        <w:rPr>
          <w:rFonts w:cs="Calibri"/>
        </w:rPr>
        <w:t>Through the Committees and the use of external independent advisers, the Board manages risk and governance of the Company. The Board consists of four non-executive Directors, three of whom are independent Guernsey residents and one non-independent, US based director who is a</w:t>
      </w:r>
      <w:r w:rsidR="00997CE4" w:rsidRPr="00B148F9">
        <w:rPr>
          <w:rFonts w:cs="Calibri"/>
        </w:rPr>
        <w:t xml:space="preserve"> principal</w:t>
      </w:r>
      <w:r w:rsidRPr="00B148F9">
        <w:rPr>
          <w:rFonts w:cs="Calibri"/>
        </w:rPr>
        <w:t xml:space="preserve"> of the Investment Manager. Further details of the Board can be found in the</w:t>
      </w:r>
      <w:r w:rsidRPr="00B148F9">
        <w:rPr>
          <w:rFonts w:cs="AvenirNextLTPro-Regular"/>
        </w:rPr>
        <w:t xml:space="preserve"> Report of the Directors </w:t>
      </w:r>
      <w:r w:rsidR="00D502F5">
        <w:rPr>
          <w:rFonts w:cs="AvenirNextLTPro-Regular"/>
        </w:rPr>
        <w:t>below.</w:t>
      </w:r>
      <w:r w:rsidRPr="00B148F9">
        <w:rPr>
          <w:rFonts w:cs="Calibri"/>
        </w:rPr>
        <w:t xml:space="preserve"> </w:t>
      </w:r>
    </w:p>
    <w:p w14:paraId="7887BD0D" w14:textId="77777777" w:rsidR="00B837B9" w:rsidRPr="00B148F9" w:rsidRDefault="00B837B9" w:rsidP="00B837B9">
      <w:pPr>
        <w:rPr>
          <w:rFonts w:cs="Calibri"/>
          <w:i/>
        </w:rPr>
      </w:pPr>
    </w:p>
    <w:p w14:paraId="0A6C9423" w14:textId="77777777" w:rsidR="00B837B9" w:rsidRPr="00B148F9" w:rsidRDefault="00B837B9" w:rsidP="00B837B9">
      <w:pPr>
        <w:pStyle w:val="Heading4"/>
        <w:ind w:left="0" w:firstLine="0"/>
        <w:jc w:val="both"/>
        <w:rPr>
          <w:rFonts w:ascii="Century Gothic" w:hAnsi="Century Gothic"/>
          <w:i/>
          <w:iCs w:val="0"/>
          <w:szCs w:val="20"/>
        </w:rPr>
      </w:pPr>
      <w:r w:rsidRPr="00B148F9">
        <w:rPr>
          <w:rFonts w:ascii="Century Gothic" w:hAnsi="Century Gothic"/>
          <w:i/>
          <w:iCs w:val="0"/>
          <w:szCs w:val="20"/>
        </w:rPr>
        <w:t>Investment Manager</w:t>
      </w:r>
    </w:p>
    <w:p w14:paraId="027BB24C" w14:textId="77777777" w:rsidR="00B837B9" w:rsidRPr="00B148F9" w:rsidRDefault="00B837B9" w:rsidP="00B837B9">
      <w:pPr>
        <w:rPr>
          <w:rFonts w:cs="Calibri"/>
        </w:rPr>
      </w:pPr>
      <w:r w:rsidRPr="00B148F9">
        <w:rPr>
          <w:rFonts w:cs="Calibri"/>
        </w:rPr>
        <w:t xml:space="preserve">The Investment Manager’s key responsibilities include identifying and recommending suitable investments for the Company and negotiating the terms on which such investments will be made. </w:t>
      </w:r>
    </w:p>
    <w:p w14:paraId="5E73CE32" w14:textId="77777777" w:rsidR="00B837B9" w:rsidRPr="00B148F9" w:rsidRDefault="00B837B9" w:rsidP="00B837B9">
      <w:pPr>
        <w:rPr>
          <w:rFonts w:cs="Calibri"/>
        </w:rPr>
      </w:pPr>
    </w:p>
    <w:p w14:paraId="1BBA4409" w14:textId="2C649902" w:rsidR="00B837B9" w:rsidRPr="00B148F9" w:rsidRDefault="00B837B9" w:rsidP="00B837B9">
      <w:pPr>
        <w:contextualSpacing/>
        <w:rPr>
          <w:rFonts w:cs="Calibri"/>
        </w:rPr>
      </w:pPr>
      <w:r w:rsidRPr="00B148F9">
        <w:rPr>
          <w:rFonts w:cs="Calibri"/>
        </w:rPr>
        <w:t>The Investment Manager focuses on identifying transformational innovations across the life sciences space, speciﬁcally backing scientiﬁc programs that have the potential to disrupt the prevailing standard of care in their respective disease areas. The Investment Manager’s screening process has been honed by Roderick Wong, M.D.</w:t>
      </w:r>
      <w:r w:rsidR="00997CE4" w:rsidRPr="00B148F9">
        <w:rPr>
          <w:rFonts w:cs="Calibri"/>
        </w:rPr>
        <w:t>,</w:t>
      </w:r>
      <w:r w:rsidRPr="00B148F9">
        <w:rPr>
          <w:rFonts w:cs="Calibri"/>
        </w:rPr>
        <w:t xml:space="preserve"> throughout his 15-year tenure as an investment management professional. Importantly, the Investment Manager’s screening process has the beneﬁt of a robust business and the Investment Manager’s 30-person team, including a research team of ten individuals with advanced scientiﬁc and medical degrees along with academic and industry research and drug development expertise. </w:t>
      </w:r>
    </w:p>
    <w:p w14:paraId="53D0DF04" w14:textId="77777777" w:rsidR="00B837B9" w:rsidRPr="00B148F9" w:rsidRDefault="00B837B9" w:rsidP="00B837B9">
      <w:pPr>
        <w:contextualSpacing/>
        <w:rPr>
          <w:rFonts w:cs="Calibri"/>
        </w:rPr>
      </w:pPr>
    </w:p>
    <w:p w14:paraId="0F087CD0" w14:textId="7E2FB9A1" w:rsidR="00B837B9" w:rsidRPr="00B148F9" w:rsidRDefault="00B837B9" w:rsidP="00B837B9">
      <w:pPr>
        <w:contextualSpacing/>
        <w:rPr>
          <w:rFonts w:cs="Calibri"/>
        </w:rPr>
      </w:pPr>
      <w:r w:rsidRPr="00B148F9">
        <w:rPr>
          <w:rFonts w:cs="Calibri"/>
        </w:rPr>
        <w:t xml:space="preserve">The Investment Manager invests across the public/private spectrum, supporting investments through multiple stages of their respective life cycles. To date, the Investment Manager has successfully supported companies through the FDA approval process and the commercialization of the approved drugs. The Investment Manager also engages in new company </w:t>
      </w:r>
      <w:r w:rsidR="00A104B9" w:rsidRPr="00B148F9">
        <w:rPr>
          <w:rFonts w:cs="Calibri"/>
        </w:rPr>
        <w:t>creation</w:t>
      </w:r>
      <w:r w:rsidRPr="00B148F9">
        <w:rPr>
          <w:rFonts w:cs="Calibri"/>
        </w:rPr>
        <w:t xml:space="preserve"> around promising academic licenses. </w:t>
      </w:r>
    </w:p>
    <w:p w14:paraId="53A901AA" w14:textId="77777777" w:rsidR="00B837B9" w:rsidRPr="00B148F9" w:rsidRDefault="00B837B9" w:rsidP="00B837B9">
      <w:pPr>
        <w:autoSpaceDE w:val="0"/>
        <w:autoSpaceDN w:val="0"/>
        <w:adjustRightInd w:val="0"/>
        <w:spacing w:after="120"/>
        <w:rPr>
          <w:rFonts w:cs="AvenirNextLTPro-Regular"/>
        </w:rPr>
      </w:pPr>
    </w:p>
    <w:p w14:paraId="15B1C940" w14:textId="4A3B0AA3" w:rsidR="00B837B9" w:rsidRPr="00B148F9" w:rsidRDefault="00B837B9" w:rsidP="00B837B9">
      <w:pPr>
        <w:rPr>
          <w:rFonts w:cs="Calibri"/>
        </w:rPr>
      </w:pPr>
      <w:r w:rsidRPr="00B148F9">
        <w:rPr>
          <w:rFonts w:cs="Arial"/>
          <w:bCs/>
        </w:rPr>
        <w:t xml:space="preserve">Following the IPO, the Investment Manager </w:t>
      </w:r>
      <w:r w:rsidR="00326813" w:rsidRPr="00B148F9">
        <w:rPr>
          <w:rFonts w:cs="Arial"/>
          <w:bCs/>
        </w:rPr>
        <w:t>i</w:t>
      </w:r>
      <w:r w:rsidRPr="00B148F9">
        <w:rPr>
          <w:rFonts w:cs="Arial"/>
          <w:bCs/>
        </w:rPr>
        <w:t xml:space="preserve">s paid a monthly management fee, in advance, as of the beginning of each month in an amount equal to 0.104% (1.25% per annum) </w:t>
      </w:r>
      <w:r w:rsidRPr="00B148F9">
        <w:rPr>
          <w:rFonts w:cs="Calibri"/>
        </w:rPr>
        <w:t>of NAV</w:t>
      </w:r>
      <w:r w:rsidR="006940C9" w:rsidRPr="00B148F9">
        <w:rPr>
          <w:rFonts w:cs="Calibri"/>
        </w:rPr>
        <w:t xml:space="preserve">. Furthermore, as a member of the Performance Allocation Share Class Fund, the Investment Manager </w:t>
      </w:r>
      <w:r w:rsidRPr="00B148F9">
        <w:rPr>
          <w:rFonts w:cs="Calibri"/>
        </w:rPr>
        <w:t xml:space="preserve">will receive a </w:t>
      </w:r>
      <w:r w:rsidR="00607419" w:rsidRPr="00B148F9">
        <w:rPr>
          <w:rFonts w:cs="Calibri"/>
        </w:rPr>
        <w:t xml:space="preserve">proportion of a </w:t>
      </w:r>
      <w:r w:rsidRPr="00B148F9">
        <w:rPr>
          <w:rFonts w:cs="Calibri"/>
        </w:rPr>
        <w:t xml:space="preserve">further variable </w:t>
      </w:r>
      <w:r w:rsidR="006940C9" w:rsidRPr="00B148F9">
        <w:rPr>
          <w:rFonts w:cs="Calibri"/>
        </w:rPr>
        <w:t>amount</w:t>
      </w:r>
      <w:r w:rsidRPr="00B148F9">
        <w:rPr>
          <w:rFonts w:cs="Calibri"/>
        </w:rPr>
        <w:t xml:space="preserve"> equivalent to 20% of the NAV appreciation adjusted for distributions and share issuance for the period from IPO to 31 December 2019 triggered by outperformance of the Company’s hurdle rate of 8% pro-rated for the period.</w:t>
      </w:r>
      <w:r w:rsidR="00EF10F5">
        <w:rPr>
          <w:rFonts w:cs="Calibri"/>
        </w:rPr>
        <w:t xml:space="preserve"> </w:t>
      </w:r>
      <w:r w:rsidR="00EF10F5" w:rsidRPr="00EF10F5">
        <w:rPr>
          <w:rFonts w:cs="Calibri"/>
        </w:rPr>
        <w:t xml:space="preserve">Following the year end, the Performance Allocation Share Class Fund entered </w:t>
      </w:r>
      <w:r w:rsidR="00EF10F5" w:rsidRPr="00EF10F5">
        <w:rPr>
          <w:rFonts w:cs="Calibri"/>
        </w:rPr>
        <w:lastRenderedPageBreak/>
        <w:t>into a letter agreement pursuant to which the Performance Allocation Share Class Fund agreed to defer distributions of the Company’s Ordinary Shares (see Note 13).</w:t>
      </w:r>
    </w:p>
    <w:p w14:paraId="608264B4" w14:textId="77777777" w:rsidR="00B837B9" w:rsidRPr="00B148F9" w:rsidRDefault="00B837B9" w:rsidP="00B837B9">
      <w:pPr>
        <w:rPr>
          <w:rFonts w:cs="Calibri"/>
        </w:rPr>
      </w:pPr>
    </w:p>
    <w:p w14:paraId="055E4009" w14:textId="5613F1AB" w:rsidR="00B837B9" w:rsidRPr="00B148F9" w:rsidRDefault="00B837B9" w:rsidP="00B837B9">
      <w:pPr>
        <w:rPr>
          <w:rFonts w:cs="Calibri"/>
        </w:rPr>
      </w:pPr>
      <w:r w:rsidRPr="00B148F9">
        <w:rPr>
          <w:rFonts w:cs="Calibri"/>
        </w:rPr>
        <w:t xml:space="preserve">A summary of the fees paid to the Investment Manager is </w:t>
      </w:r>
      <w:r w:rsidR="00997CE4" w:rsidRPr="00B148F9">
        <w:rPr>
          <w:rFonts w:cs="Calibri"/>
        </w:rPr>
        <w:t xml:space="preserve">provided </w:t>
      </w:r>
      <w:r w:rsidRPr="00B148F9">
        <w:rPr>
          <w:rFonts w:cs="Calibri"/>
        </w:rPr>
        <w:t>in Note 1</w:t>
      </w:r>
      <w:r w:rsidR="004A6DA1" w:rsidRPr="00B148F9">
        <w:rPr>
          <w:rFonts w:cs="Calibri"/>
        </w:rPr>
        <w:t>0</w:t>
      </w:r>
      <w:r w:rsidRPr="00B148F9">
        <w:rPr>
          <w:rFonts w:cs="Calibri"/>
        </w:rPr>
        <w:t xml:space="preserve"> of the financial statements. </w:t>
      </w:r>
    </w:p>
    <w:p w14:paraId="0BCB494D" w14:textId="77777777" w:rsidR="00B837B9" w:rsidRPr="00B148F9" w:rsidRDefault="00B837B9" w:rsidP="00B837B9">
      <w:pPr>
        <w:rPr>
          <w:rFonts w:cs="Calibri"/>
        </w:rPr>
      </w:pPr>
    </w:p>
    <w:p w14:paraId="10C7D303" w14:textId="77777777" w:rsidR="00B837B9" w:rsidRPr="00B148F9" w:rsidRDefault="00B837B9" w:rsidP="00B837B9">
      <w:pPr>
        <w:pStyle w:val="Heading3"/>
        <w:jc w:val="both"/>
        <w:rPr>
          <w:rFonts w:ascii="Century Gothic" w:hAnsi="Century Gothic"/>
          <w:i/>
          <w:iCs/>
          <w:szCs w:val="20"/>
        </w:rPr>
      </w:pPr>
      <w:r w:rsidRPr="00B148F9">
        <w:rPr>
          <w:rFonts w:ascii="Century Gothic" w:hAnsi="Century Gothic"/>
          <w:i/>
          <w:iCs/>
          <w:szCs w:val="20"/>
        </w:rPr>
        <w:t>Administrator</w:t>
      </w:r>
    </w:p>
    <w:p w14:paraId="5CF6CADE" w14:textId="77777777" w:rsidR="00B837B9" w:rsidRPr="00B148F9" w:rsidRDefault="00B837B9" w:rsidP="00B837B9">
      <w:pPr>
        <w:rPr>
          <w:rFonts w:cs="Calibri"/>
        </w:rPr>
      </w:pPr>
      <w:r w:rsidRPr="00B148F9">
        <w:rPr>
          <w:rFonts w:cs="Calibri"/>
        </w:rPr>
        <w:t xml:space="preserve">The Board has delegated administration and company secretarial services to the Administrator. </w:t>
      </w:r>
    </w:p>
    <w:p w14:paraId="02D18A02" w14:textId="77777777" w:rsidR="00B837B9" w:rsidRPr="00B148F9" w:rsidRDefault="00B837B9" w:rsidP="00B837B9">
      <w:pPr>
        <w:rPr>
          <w:rFonts w:cs="Calibri"/>
        </w:rPr>
      </w:pPr>
    </w:p>
    <w:p w14:paraId="3BA81CA8" w14:textId="77777777" w:rsidR="00B837B9" w:rsidRPr="00B148F9" w:rsidRDefault="00B837B9" w:rsidP="00B837B9">
      <w:pPr>
        <w:rPr>
          <w:rFonts w:cs="Calibri"/>
        </w:rPr>
      </w:pPr>
      <w:r w:rsidRPr="00B148F9">
        <w:rPr>
          <w:rFonts w:cs="Calibri"/>
        </w:rPr>
        <w:t xml:space="preserve">Further details on the responsibilities assigned to the Investment Manager and the Administrator can be found in the </w:t>
      </w:r>
      <w:r w:rsidRPr="00B148F9">
        <w:rPr>
          <w:rFonts w:cs="AvenirNextLTPro-Regular"/>
        </w:rPr>
        <w:t>Report of the Directors</w:t>
      </w:r>
      <w:r w:rsidRPr="00B148F9">
        <w:rPr>
          <w:rFonts w:cs="Calibri"/>
        </w:rPr>
        <w:t>.</w:t>
      </w:r>
    </w:p>
    <w:p w14:paraId="3B604023" w14:textId="77777777" w:rsidR="00B837B9" w:rsidRPr="00B148F9" w:rsidRDefault="00B837B9" w:rsidP="00B837B9"/>
    <w:p w14:paraId="768946CB" w14:textId="77777777" w:rsidR="00B837B9" w:rsidRPr="00B148F9" w:rsidRDefault="00B837B9" w:rsidP="00B837B9">
      <w:pPr>
        <w:pStyle w:val="Heading3"/>
        <w:jc w:val="both"/>
        <w:rPr>
          <w:rFonts w:cs="Calibri"/>
        </w:rPr>
      </w:pPr>
      <w:r w:rsidRPr="00B148F9">
        <w:rPr>
          <w:rFonts w:ascii="Century Gothic" w:hAnsi="Century Gothic"/>
          <w:i/>
          <w:iCs/>
          <w:szCs w:val="20"/>
        </w:rPr>
        <w:t>Employees and Officers of the Company</w:t>
      </w:r>
    </w:p>
    <w:p w14:paraId="0B6DCFE9" w14:textId="77777777" w:rsidR="00B837B9" w:rsidRPr="00B148F9" w:rsidRDefault="00B837B9" w:rsidP="00B837B9">
      <w:pPr>
        <w:rPr>
          <w:rFonts w:cs="Calibri"/>
        </w:rPr>
      </w:pPr>
      <w:r w:rsidRPr="00B148F9">
        <w:rPr>
          <w:rFonts w:cs="Calibri"/>
        </w:rPr>
        <w:t>The Company does not have any employees and therefore policies for employees are not required. The Directors of the Company are detailed in the Report of the Directors.</w:t>
      </w:r>
    </w:p>
    <w:p w14:paraId="0ECDE25B" w14:textId="77777777" w:rsidR="00B837B9" w:rsidRPr="00B148F9" w:rsidRDefault="00B837B9" w:rsidP="00B837B9">
      <w:pPr>
        <w:rPr>
          <w:rFonts w:cs="Calibri"/>
        </w:rPr>
      </w:pPr>
    </w:p>
    <w:p w14:paraId="0B718631" w14:textId="77777777" w:rsidR="00B837B9" w:rsidRPr="00B148F9" w:rsidRDefault="00B837B9" w:rsidP="00B746FC">
      <w:pPr>
        <w:pStyle w:val="Heading3"/>
        <w:spacing w:after="0"/>
        <w:jc w:val="both"/>
        <w:rPr>
          <w:rFonts w:cs="Calibri"/>
          <w:b/>
        </w:rPr>
      </w:pPr>
      <w:r w:rsidRPr="00B148F9">
        <w:rPr>
          <w:rFonts w:ascii="Century Gothic" w:hAnsi="Century Gothic"/>
          <w:b/>
          <w:szCs w:val="20"/>
        </w:rPr>
        <w:t>Investment Process</w:t>
      </w:r>
    </w:p>
    <w:p w14:paraId="48F45086" w14:textId="77777777" w:rsidR="00B837B9" w:rsidRPr="00B148F9" w:rsidRDefault="00B837B9" w:rsidP="00B837B9">
      <w:pPr>
        <w:rPr>
          <w:rFonts w:cs="Calibri"/>
        </w:rPr>
      </w:pPr>
    </w:p>
    <w:p w14:paraId="1D35C412" w14:textId="24C4228E" w:rsidR="00B837B9" w:rsidRPr="00B148F9" w:rsidRDefault="00B837B9" w:rsidP="00B837B9">
      <w:pPr>
        <w:rPr>
          <w:rFonts w:cs="Calibri"/>
        </w:rPr>
      </w:pPr>
      <w:r w:rsidRPr="00B148F9">
        <w:rPr>
          <w:rFonts w:cs="Calibri"/>
        </w:rPr>
        <w:t xml:space="preserve">The Company achieves its investment objective by leveraging the Investment Manager’s data-driven proprietary pipeline of innovative assets to invest in </w:t>
      </w:r>
      <w:r w:rsidR="00A104B9" w:rsidRPr="00B148F9">
        <w:rPr>
          <w:rFonts w:cs="Calibri"/>
        </w:rPr>
        <w:t>life science</w:t>
      </w:r>
      <w:r w:rsidRPr="00B148F9">
        <w:rPr>
          <w:rFonts w:cs="Calibri"/>
        </w:rPr>
        <w:t xml:space="preserve"> </w:t>
      </w:r>
      <w:r w:rsidR="00A104B9" w:rsidRPr="00B148F9">
        <w:rPr>
          <w:rFonts w:cs="Calibri"/>
        </w:rPr>
        <w:t>c</w:t>
      </w:r>
      <w:r w:rsidRPr="00B148F9">
        <w:rPr>
          <w:rFonts w:cs="Calibri"/>
        </w:rPr>
        <w:t>ompanies across various geographies (primarily the US, Europe, and China); across various therapeutic categories and product types (including but not limited to gen</w:t>
      </w:r>
      <w:r w:rsidR="00F618F8" w:rsidRPr="00B148F9">
        <w:rPr>
          <w:rFonts w:cs="Calibri"/>
        </w:rPr>
        <w:t>etic</w:t>
      </w:r>
      <w:r w:rsidRPr="00B148F9">
        <w:rPr>
          <w:rFonts w:cs="Calibri"/>
        </w:rPr>
        <w:t xml:space="preserve"> medicines, biologics, traditional modalities such as small molecule pharmaceuticals and antibodies, and medical devices); and in both a passive and active capacity and intends, from time to time, to take a controlling or majority position with active involvement in a Portfolio Company to assist and inﬂuence its management. In those situations, it is expected that the Investment Manager’s senior executives may serve in temporary executive capacities. </w:t>
      </w:r>
    </w:p>
    <w:p w14:paraId="32AF97D8" w14:textId="77777777" w:rsidR="00B837B9" w:rsidRPr="00B148F9" w:rsidRDefault="00B837B9" w:rsidP="00B837B9">
      <w:pPr>
        <w:rPr>
          <w:rFonts w:cs="Calibri"/>
        </w:rPr>
      </w:pPr>
    </w:p>
    <w:p w14:paraId="156100E1" w14:textId="62FBB17C" w:rsidR="00B837B9" w:rsidRPr="00B148F9" w:rsidRDefault="00B837B9" w:rsidP="00B837B9">
      <w:pPr>
        <w:rPr>
          <w:rFonts w:cstheme="minorHAnsi"/>
        </w:rPr>
      </w:pPr>
      <w:r w:rsidRPr="00B148F9">
        <w:rPr>
          <w:rFonts w:cstheme="minorHAnsi"/>
        </w:rPr>
        <w:t xml:space="preserve">Deal sourcing is both internally and externally generated. The Investment Manager has developed repeatable internal processes combining technology and manpower to comprehensively cover critical drivers of innovation. </w:t>
      </w:r>
      <w:r w:rsidR="00087E4D" w:rsidRPr="00B148F9">
        <w:rPr>
          <w:rFonts w:cstheme="minorHAnsi"/>
        </w:rPr>
        <w:t xml:space="preserve">The </w:t>
      </w:r>
      <w:r w:rsidRPr="00B148F9">
        <w:rPr>
          <w:rFonts w:cstheme="minorHAnsi"/>
        </w:rPr>
        <w:t>Investment Manager has and continues to cultivate relationships with entrepreneurs, principal investigators, and other peer investors to allow for a wide range of intelligence gathering of investment opportunities. Their team generate</w:t>
      </w:r>
      <w:r w:rsidR="00997CE4" w:rsidRPr="00B148F9">
        <w:rPr>
          <w:rFonts w:cstheme="minorHAnsi"/>
        </w:rPr>
        <w:t>s</w:t>
      </w:r>
      <w:r w:rsidRPr="00B148F9">
        <w:rPr>
          <w:rFonts w:cstheme="minorHAnsi"/>
        </w:rPr>
        <w:t xml:space="preserve"> ideas from their wide network of doctors, academics, management teams and syndicate partners throughout the world, and can rely on their proprietary in-house research developed over fifteen years of operating in the life sciences sector. Potential investments are then subject to a diligence process: a new ventures team uses data science technology to enhance data management and is building </w:t>
      </w:r>
      <w:r w:rsidR="00997CE4" w:rsidRPr="00B148F9">
        <w:rPr>
          <w:rFonts w:cstheme="minorHAnsi"/>
        </w:rPr>
        <w:t>an</w:t>
      </w:r>
      <w:r w:rsidRPr="00B148F9">
        <w:rPr>
          <w:rFonts w:cstheme="minorHAnsi"/>
        </w:rPr>
        <w:t xml:space="preserve"> in-house genetic analysis capabilit</w:t>
      </w:r>
      <w:r w:rsidR="00997CE4" w:rsidRPr="00B148F9">
        <w:rPr>
          <w:rFonts w:cstheme="minorHAnsi"/>
        </w:rPr>
        <w:t>y</w:t>
      </w:r>
      <w:r w:rsidRPr="00B148F9">
        <w:rPr>
          <w:rFonts w:cstheme="minorHAnsi"/>
        </w:rPr>
        <w:t xml:space="preserve"> for high-probability target identification. Their research team uses a collaborative team-based approach that leverages the industry and academic backgrounds of its team members for exceptional research. </w:t>
      </w:r>
    </w:p>
    <w:p w14:paraId="456B6F2F" w14:textId="77777777" w:rsidR="00B837B9" w:rsidRPr="00B148F9" w:rsidRDefault="00B837B9" w:rsidP="00B837B9">
      <w:pPr>
        <w:rPr>
          <w:rFonts w:cstheme="minorHAnsi"/>
        </w:rPr>
      </w:pPr>
    </w:p>
    <w:p w14:paraId="459547CC" w14:textId="2B768958" w:rsidR="00B837B9" w:rsidRPr="00B148F9" w:rsidRDefault="00B837B9" w:rsidP="00B837B9">
      <w:pPr>
        <w:rPr>
          <w:rFonts w:cstheme="minorHAnsi"/>
        </w:rPr>
      </w:pPr>
      <w:r w:rsidRPr="00B148F9">
        <w:rPr>
          <w:rFonts w:cstheme="minorHAnsi"/>
        </w:rPr>
        <w:t xml:space="preserve">Once invested, </w:t>
      </w:r>
      <w:r w:rsidR="00997CE4" w:rsidRPr="00B148F9">
        <w:rPr>
          <w:rFonts w:cstheme="minorHAnsi"/>
        </w:rPr>
        <w:t>the Investment Manager is</w:t>
      </w:r>
      <w:r w:rsidRPr="00B148F9">
        <w:rPr>
          <w:rFonts w:cstheme="minorHAnsi"/>
        </w:rPr>
        <w:t xml:space="preserve"> well-placed to offer support to early-stage </w:t>
      </w:r>
      <w:r w:rsidRPr="00B148F9">
        <w:rPr>
          <w:rFonts w:cs="Calibri"/>
          <w:color w:val="000000"/>
        </w:rPr>
        <w:t xml:space="preserve">LifeSci </w:t>
      </w:r>
      <w:r w:rsidR="00997CE4" w:rsidRPr="00B148F9">
        <w:rPr>
          <w:rFonts w:cs="Calibri"/>
          <w:color w:val="000000"/>
        </w:rPr>
        <w:t>c</w:t>
      </w:r>
      <w:r w:rsidRPr="00B148F9">
        <w:rPr>
          <w:rFonts w:cs="Calibri"/>
          <w:color w:val="000000"/>
        </w:rPr>
        <w:t>ompanies</w:t>
      </w:r>
      <w:r w:rsidRPr="00B148F9">
        <w:rPr>
          <w:rFonts w:cstheme="minorHAnsi"/>
        </w:rPr>
        <w:t xml:space="preserve"> and NewCos. The Investment Manager’s business and operations teams consist of members with financial, capital markets, legal, regulatory, tax, and accounting expertise and enforce a strong compliance culture. The Investment Manager’s capabilities include expertise in intellectual property licensing, hiring experienced management, scientific program management, clinical trial design, commercialization and distribution across geographies, board governance, investor syndicate-building and capital markets. </w:t>
      </w:r>
    </w:p>
    <w:p w14:paraId="0AF04244" w14:textId="77777777" w:rsidR="00B837B9" w:rsidRPr="00B148F9" w:rsidRDefault="00B837B9" w:rsidP="00B837B9">
      <w:pPr>
        <w:rPr>
          <w:rFonts w:cstheme="minorHAnsi"/>
        </w:rPr>
      </w:pPr>
    </w:p>
    <w:p w14:paraId="3E2AE66C" w14:textId="698556E3" w:rsidR="00B837B9" w:rsidRPr="00B148F9" w:rsidRDefault="00B837B9" w:rsidP="00B837B9">
      <w:pPr>
        <w:rPr>
          <w:rFonts w:cstheme="minorHAnsi"/>
        </w:rPr>
      </w:pPr>
      <w:r w:rsidRPr="00B148F9">
        <w:rPr>
          <w:rFonts w:cstheme="minorHAnsi"/>
        </w:rPr>
        <w:t>For example, as illustrated by the largest portfolio holding, Rocket, the Investment Manager was involved in every aspect of forming the company. Rocket was born out of a year</w:t>
      </w:r>
      <w:r w:rsidR="006374A4" w:rsidRPr="00B148F9">
        <w:rPr>
          <w:rFonts w:cstheme="minorHAnsi"/>
        </w:rPr>
        <w:t>-</w:t>
      </w:r>
      <w:r w:rsidRPr="00B148F9">
        <w:rPr>
          <w:rFonts w:cstheme="minorHAnsi"/>
        </w:rPr>
        <w:t xml:space="preserve">long study in gene therapy. In late 2015, Rocket </w:t>
      </w:r>
      <w:r w:rsidR="00997CE4" w:rsidRPr="00B148F9">
        <w:rPr>
          <w:rFonts w:cstheme="minorHAnsi"/>
        </w:rPr>
        <w:t xml:space="preserve">was formed </w:t>
      </w:r>
      <w:r w:rsidRPr="00B148F9">
        <w:rPr>
          <w:rFonts w:cstheme="minorHAnsi"/>
        </w:rPr>
        <w:t xml:space="preserve">around a single academic license </w:t>
      </w:r>
      <w:r w:rsidR="00997CE4" w:rsidRPr="00B148F9">
        <w:rPr>
          <w:rFonts w:cstheme="minorHAnsi"/>
        </w:rPr>
        <w:t>from</w:t>
      </w:r>
      <w:r w:rsidRPr="00B148F9">
        <w:rPr>
          <w:rFonts w:cstheme="minorHAnsi"/>
        </w:rPr>
        <w:t xml:space="preserve"> a European academic institution. The Investment Manager continued to identify additional targets and licensed four </w:t>
      </w:r>
      <w:r w:rsidR="00997CE4" w:rsidRPr="00B148F9">
        <w:rPr>
          <w:rFonts w:cstheme="minorHAnsi"/>
        </w:rPr>
        <w:t xml:space="preserve">additional </w:t>
      </w:r>
      <w:r w:rsidRPr="00B148F9">
        <w:rPr>
          <w:rFonts w:cstheme="minorHAnsi"/>
        </w:rPr>
        <w:t>academic programs while hiring a strong management team. The Investment Manager completed two private financings, syndicating both the Series A and Series B rounds, and took the company public through a reverse merger in January 2018. While it is publicly listed, Rocket represents a unique value proposition in its</w:t>
      </w:r>
      <w:r w:rsidR="00997CE4" w:rsidRPr="00B148F9">
        <w:rPr>
          <w:rFonts w:cstheme="minorHAnsi"/>
        </w:rPr>
        <w:t xml:space="preserve"> scalable</w:t>
      </w:r>
      <w:r w:rsidRPr="00B148F9">
        <w:rPr>
          <w:rFonts w:cstheme="minorHAnsi"/>
        </w:rPr>
        <w:t xml:space="preserve"> platform equipped to advance two types of gene replacement therapies. The Investment Manager has </w:t>
      </w:r>
      <w:r w:rsidRPr="00B148F9">
        <w:rPr>
          <w:rFonts w:cstheme="minorHAnsi"/>
        </w:rPr>
        <w:lastRenderedPageBreak/>
        <w:t xml:space="preserve">a control position through share ownership and strong board representation and believes it will continue to add value to the company by adding new development targets to Rocket’s existing pipeline. </w:t>
      </w:r>
    </w:p>
    <w:p w14:paraId="0ED68E29" w14:textId="77777777" w:rsidR="00B837B9" w:rsidRPr="00B148F9" w:rsidRDefault="00B837B9" w:rsidP="00B837B9">
      <w:pPr>
        <w:rPr>
          <w:rFonts w:cstheme="minorHAnsi"/>
        </w:rPr>
      </w:pPr>
    </w:p>
    <w:p w14:paraId="581874F6" w14:textId="6356AE81" w:rsidR="00B837B9" w:rsidRPr="00B148F9" w:rsidRDefault="00B837B9" w:rsidP="00B837B9">
      <w:pPr>
        <w:rPr>
          <w:rFonts w:cstheme="minorHAnsi"/>
        </w:rPr>
      </w:pPr>
      <w:r w:rsidRPr="00B148F9">
        <w:rPr>
          <w:rFonts w:cstheme="minorHAnsi"/>
        </w:rPr>
        <w:t xml:space="preserve">While the United States has been the leader in developing and commercializing disruptive innovations, </w:t>
      </w:r>
      <w:r w:rsidR="00997CE4" w:rsidRPr="00B148F9">
        <w:rPr>
          <w:rFonts w:cstheme="minorHAnsi"/>
        </w:rPr>
        <w:t xml:space="preserve">the Investment Manager </w:t>
      </w:r>
      <w:r w:rsidRPr="00B148F9">
        <w:rPr>
          <w:rFonts w:cstheme="minorHAnsi"/>
        </w:rPr>
        <w:t>believe</w:t>
      </w:r>
      <w:r w:rsidR="00997CE4" w:rsidRPr="00B148F9">
        <w:rPr>
          <w:rFonts w:cstheme="minorHAnsi"/>
        </w:rPr>
        <w:t>s</w:t>
      </w:r>
      <w:r w:rsidRPr="00B148F9">
        <w:rPr>
          <w:rFonts w:cstheme="minorHAnsi"/>
        </w:rPr>
        <w:t xml:space="preserve"> that access to capital plays a large role in establishing leadership. It </w:t>
      </w:r>
      <w:r w:rsidR="00B6671D" w:rsidRPr="00B148F9">
        <w:rPr>
          <w:rFonts w:cstheme="minorHAnsi"/>
        </w:rPr>
        <w:t>believes that</w:t>
      </w:r>
      <w:r w:rsidRPr="00B148F9">
        <w:rPr>
          <w:rFonts w:cstheme="minorHAnsi"/>
        </w:rPr>
        <w:t xml:space="preserve"> important scientific developments are happening worldwide and not only from the most recognized and renowned institutions. The Investment Manager has access to s</w:t>
      </w:r>
      <w:r w:rsidR="009B1A29">
        <w:rPr>
          <w:rFonts w:cstheme="minorHAnsi"/>
        </w:rPr>
        <w:t>ourcing assets globally and has</w:t>
      </w:r>
      <w:r w:rsidRPr="00B148F9">
        <w:rPr>
          <w:rFonts w:cstheme="minorHAnsi"/>
        </w:rPr>
        <w:t xml:space="preserve"> developed cross-border capabilities. </w:t>
      </w:r>
      <w:r w:rsidR="00997CE4" w:rsidRPr="00B148F9">
        <w:rPr>
          <w:rFonts w:cstheme="minorHAnsi"/>
        </w:rPr>
        <w:t>The Investment Manager is</w:t>
      </w:r>
      <w:r w:rsidRPr="00B148F9">
        <w:rPr>
          <w:rFonts w:cstheme="minorHAnsi"/>
        </w:rPr>
        <w:t xml:space="preserve"> committed to building a footprint in the United Kingdom and intend</w:t>
      </w:r>
      <w:r w:rsidR="00997CE4" w:rsidRPr="00B148F9">
        <w:rPr>
          <w:rFonts w:cstheme="minorHAnsi"/>
        </w:rPr>
        <w:t>s</w:t>
      </w:r>
      <w:r w:rsidRPr="00B148F9">
        <w:rPr>
          <w:rFonts w:cstheme="minorHAnsi"/>
        </w:rPr>
        <w:t xml:space="preserve"> to prioritize advancing early-stage scientific development regardless of origination. </w:t>
      </w:r>
    </w:p>
    <w:p w14:paraId="3D4BF8CE" w14:textId="77777777" w:rsidR="00B837B9" w:rsidRPr="00B148F9" w:rsidRDefault="00B837B9" w:rsidP="00B837B9">
      <w:pPr>
        <w:rPr>
          <w:rFonts w:cstheme="minorHAnsi"/>
        </w:rPr>
      </w:pPr>
    </w:p>
    <w:p w14:paraId="2694BED8" w14:textId="3908F235" w:rsidR="00B837B9" w:rsidRPr="00B148F9" w:rsidRDefault="00B837B9" w:rsidP="00A94612">
      <w:pPr>
        <w:pStyle w:val="ListParagraph"/>
        <w:numPr>
          <w:ilvl w:val="0"/>
          <w:numId w:val="24"/>
        </w:numPr>
        <w:spacing w:after="160" w:line="259" w:lineRule="auto"/>
        <w:contextualSpacing/>
        <w:rPr>
          <w:rFonts w:cstheme="minorHAnsi"/>
        </w:rPr>
      </w:pPr>
      <w:r w:rsidRPr="00B148F9">
        <w:rPr>
          <w:rFonts w:cstheme="minorHAnsi"/>
        </w:rPr>
        <w:t xml:space="preserve">USA. The Investment Manager has a core focus on the US, with deep coverage of opportunities from academia to mid-size public companies. </w:t>
      </w:r>
      <w:r w:rsidR="00997CE4" w:rsidRPr="00B148F9">
        <w:rPr>
          <w:rFonts w:cstheme="minorHAnsi"/>
        </w:rPr>
        <w:t xml:space="preserve">The </w:t>
      </w:r>
      <w:r w:rsidRPr="00B148F9">
        <w:rPr>
          <w:rFonts w:cstheme="minorHAnsi"/>
        </w:rPr>
        <w:t xml:space="preserve">US Portfolio Companies reflect a larger pool of opportunities created by the most robust venture and capital markets ecosystem.  </w:t>
      </w:r>
    </w:p>
    <w:p w14:paraId="336A2D4D" w14:textId="42F13937" w:rsidR="00B837B9" w:rsidRPr="00B148F9" w:rsidRDefault="00B837B9" w:rsidP="00A94612">
      <w:pPr>
        <w:pStyle w:val="ListParagraph"/>
        <w:numPr>
          <w:ilvl w:val="0"/>
          <w:numId w:val="24"/>
        </w:numPr>
        <w:spacing w:after="160" w:line="259" w:lineRule="auto"/>
        <w:contextualSpacing/>
        <w:rPr>
          <w:rFonts w:cstheme="minorHAnsi"/>
        </w:rPr>
      </w:pPr>
      <w:r w:rsidRPr="00B148F9">
        <w:rPr>
          <w:rFonts w:cstheme="minorHAnsi"/>
        </w:rPr>
        <w:t xml:space="preserve">UK &amp; Europe. </w:t>
      </w:r>
      <w:r w:rsidR="00997CE4" w:rsidRPr="00B148F9">
        <w:rPr>
          <w:rFonts w:cstheme="minorHAnsi"/>
        </w:rPr>
        <w:t xml:space="preserve">The Investment Manager </w:t>
      </w:r>
      <w:r w:rsidRPr="00B148F9">
        <w:rPr>
          <w:rFonts w:cstheme="minorHAnsi"/>
        </w:rPr>
        <w:t>ha</w:t>
      </w:r>
      <w:r w:rsidR="00997CE4" w:rsidRPr="00B148F9">
        <w:rPr>
          <w:rFonts w:cstheme="minorHAnsi"/>
        </w:rPr>
        <w:t>s</w:t>
      </w:r>
      <w:r w:rsidRPr="00B148F9">
        <w:rPr>
          <w:rFonts w:cstheme="minorHAnsi"/>
        </w:rPr>
        <w:t xml:space="preserve"> identified and invested in exceptional British and European scientific assets. </w:t>
      </w:r>
      <w:r w:rsidR="00326813" w:rsidRPr="00B148F9">
        <w:rPr>
          <w:rFonts w:cstheme="minorHAnsi"/>
        </w:rPr>
        <w:t>It</w:t>
      </w:r>
      <w:r w:rsidR="00997CE4" w:rsidRPr="00B148F9">
        <w:rPr>
          <w:rFonts w:cstheme="minorHAnsi"/>
        </w:rPr>
        <w:t xml:space="preserve"> </w:t>
      </w:r>
      <w:r w:rsidRPr="00B148F9">
        <w:rPr>
          <w:rFonts w:cstheme="minorHAnsi"/>
        </w:rPr>
        <w:t>wish</w:t>
      </w:r>
      <w:r w:rsidR="00326813" w:rsidRPr="00B148F9">
        <w:rPr>
          <w:rFonts w:cstheme="minorHAnsi"/>
        </w:rPr>
        <w:t>es</w:t>
      </w:r>
      <w:r w:rsidRPr="00B148F9">
        <w:rPr>
          <w:rFonts w:cstheme="minorHAnsi"/>
        </w:rPr>
        <w:t xml:space="preserve"> to contribute to these biotech ecosystems by injecting capital where needed and community building. </w:t>
      </w:r>
      <w:r w:rsidR="00326813" w:rsidRPr="00B148F9">
        <w:rPr>
          <w:rFonts w:cstheme="minorHAnsi"/>
        </w:rPr>
        <w:t>It</w:t>
      </w:r>
      <w:r w:rsidR="00997CE4" w:rsidRPr="00B148F9">
        <w:rPr>
          <w:rFonts w:cstheme="minorHAnsi"/>
        </w:rPr>
        <w:t xml:space="preserve"> </w:t>
      </w:r>
      <w:r w:rsidRPr="00B148F9">
        <w:rPr>
          <w:rFonts w:cstheme="minorHAnsi"/>
        </w:rPr>
        <w:t>intend</w:t>
      </w:r>
      <w:r w:rsidR="00326813" w:rsidRPr="00B148F9">
        <w:rPr>
          <w:rFonts w:cstheme="minorHAnsi"/>
        </w:rPr>
        <w:t>s</w:t>
      </w:r>
      <w:r w:rsidRPr="00B148F9">
        <w:rPr>
          <w:rFonts w:cstheme="minorHAnsi"/>
        </w:rPr>
        <w:t xml:space="preserve"> to engage in NewCo </w:t>
      </w:r>
      <w:r w:rsidR="00A104B9" w:rsidRPr="00B148F9">
        <w:rPr>
          <w:rFonts w:cstheme="minorHAnsi"/>
        </w:rPr>
        <w:t>creation</w:t>
      </w:r>
      <w:r w:rsidRPr="00B148F9">
        <w:rPr>
          <w:rFonts w:cstheme="minorHAnsi"/>
        </w:rPr>
        <w:t xml:space="preserve"> around promising early stage assets by partnering with universities and in</w:t>
      </w:r>
      <w:r w:rsidR="00997CE4" w:rsidRPr="00B148F9">
        <w:rPr>
          <w:rFonts w:cstheme="minorHAnsi"/>
        </w:rPr>
        <w:t>-</w:t>
      </w:r>
      <w:r w:rsidRPr="00B148F9">
        <w:rPr>
          <w:rFonts w:cstheme="minorHAnsi"/>
        </w:rPr>
        <w:t>licensing academic programs</w:t>
      </w:r>
      <w:r w:rsidR="00997CE4" w:rsidRPr="00B148F9">
        <w:rPr>
          <w:rFonts w:cstheme="minorHAnsi"/>
        </w:rPr>
        <w:t xml:space="preserve"> as well as through </w:t>
      </w:r>
      <w:r w:rsidR="00326813" w:rsidRPr="00B148F9">
        <w:rPr>
          <w:rFonts w:cstheme="minorHAnsi"/>
        </w:rPr>
        <w:t>its</w:t>
      </w:r>
      <w:r w:rsidR="00997CE4" w:rsidRPr="00B148F9">
        <w:rPr>
          <w:rFonts w:cstheme="minorHAnsi"/>
        </w:rPr>
        <w:t xml:space="preserve"> proprietary in-house efforts</w:t>
      </w:r>
      <w:r w:rsidRPr="00B148F9">
        <w:rPr>
          <w:rFonts w:cstheme="minorHAnsi"/>
        </w:rPr>
        <w:t xml:space="preserve">; and providing financial and human capital to entrepreneurs to advance scientific programs in development. </w:t>
      </w:r>
    </w:p>
    <w:p w14:paraId="0B58ABBB" w14:textId="74286B84" w:rsidR="00B837B9" w:rsidRPr="00B148F9" w:rsidRDefault="00B837B9" w:rsidP="00A94612">
      <w:pPr>
        <w:pStyle w:val="ListParagraph"/>
        <w:numPr>
          <w:ilvl w:val="0"/>
          <w:numId w:val="24"/>
        </w:numPr>
        <w:spacing w:after="160" w:line="259" w:lineRule="auto"/>
        <w:contextualSpacing/>
        <w:rPr>
          <w:rFonts w:cstheme="minorHAnsi"/>
          <w:b/>
        </w:rPr>
      </w:pPr>
      <w:r w:rsidRPr="00B148F9">
        <w:rPr>
          <w:rFonts w:cstheme="minorHAnsi"/>
        </w:rPr>
        <w:t xml:space="preserve">China. It is early days in the East. </w:t>
      </w:r>
      <w:r w:rsidR="00997CE4" w:rsidRPr="00B148F9">
        <w:rPr>
          <w:rFonts w:cstheme="minorHAnsi"/>
        </w:rPr>
        <w:t xml:space="preserve">The Investment Manager </w:t>
      </w:r>
      <w:r w:rsidRPr="00B148F9">
        <w:rPr>
          <w:rFonts w:cstheme="minorHAnsi"/>
        </w:rPr>
        <w:t>plan</w:t>
      </w:r>
      <w:r w:rsidR="00997CE4" w:rsidRPr="00B148F9">
        <w:rPr>
          <w:rFonts w:cstheme="minorHAnsi"/>
        </w:rPr>
        <w:t>s</w:t>
      </w:r>
      <w:r w:rsidRPr="00B148F9">
        <w:rPr>
          <w:rFonts w:cstheme="minorHAnsi"/>
        </w:rPr>
        <w:t xml:space="preserve"> to capture commercialization opportunities in China through participation in the building of NewCos to bring successful Western drugs to Chinese patients.</w:t>
      </w:r>
    </w:p>
    <w:p w14:paraId="63C0E6B8" w14:textId="77777777" w:rsidR="00B837B9" w:rsidRPr="00B148F9" w:rsidRDefault="00B837B9" w:rsidP="00B837B9">
      <w:pPr>
        <w:contextualSpacing/>
        <w:rPr>
          <w:rFonts w:cs="Calibri"/>
        </w:rPr>
      </w:pPr>
    </w:p>
    <w:p w14:paraId="7A600D1D" w14:textId="4DB19FE3" w:rsidR="00B837B9" w:rsidRPr="00B148F9" w:rsidRDefault="00B837B9" w:rsidP="00B837B9">
      <w:pPr>
        <w:contextualSpacing/>
        <w:rPr>
          <w:rFonts w:cs="Calibri"/>
        </w:rPr>
      </w:pPr>
      <w:r w:rsidRPr="00B148F9">
        <w:rPr>
          <w:rFonts w:cs="Calibri"/>
        </w:rPr>
        <w:t xml:space="preserve">The majority of the Investment Manager’s private investments since 2015 have been as lead </w:t>
      </w:r>
      <w:r w:rsidR="00997CE4" w:rsidRPr="00B148F9">
        <w:rPr>
          <w:rFonts w:cs="Calibri"/>
        </w:rPr>
        <w:t xml:space="preserve">investor </w:t>
      </w:r>
      <w:r w:rsidRPr="00B148F9">
        <w:rPr>
          <w:rFonts w:cs="Calibri"/>
        </w:rPr>
        <w:t xml:space="preserve">or a strong participant in ﬁnancing rounds involving other active, highly respected, and well-connected investors in the biopharma and medical technology sectors. </w:t>
      </w:r>
    </w:p>
    <w:p w14:paraId="51E3FD6E" w14:textId="77777777" w:rsidR="00B837B9" w:rsidRPr="00B148F9" w:rsidRDefault="00B837B9" w:rsidP="00B837B9">
      <w:pPr>
        <w:ind w:left="720"/>
        <w:contextualSpacing/>
        <w:rPr>
          <w:rFonts w:cs="Calibri"/>
        </w:rPr>
      </w:pPr>
    </w:p>
    <w:p w14:paraId="327E5461" w14:textId="20C6998B" w:rsidR="00B837B9" w:rsidRPr="00B148F9" w:rsidRDefault="00B837B9" w:rsidP="00B837B9">
      <w:pPr>
        <w:contextualSpacing/>
        <w:rPr>
          <w:rFonts w:cs="Calibri"/>
        </w:rPr>
      </w:pPr>
      <w:r w:rsidRPr="00B148F9">
        <w:rPr>
          <w:rFonts w:cs="Calibri"/>
        </w:rPr>
        <w:t xml:space="preserve">The Investment Manager’s team is comprised of individuals with medical and advanced scientiﬁc training </w:t>
      </w:r>
      <w:r w:rsidR="00191219" w:rsidRPr="00B148F9">
        <w:rPr>
          <w:rFonts w:cs="Calibri"/>
        </w:rPr>
        <w:t xml:space="preserve">as well as </w:t>
      </w:r>
      <w:r w:rsidRPr="00B148F9">
        <w:rPr>
          <w:rFonts w:cs="Calibri"/>
        </w:rPr>
        <w:t xml:space="preserve">legal and banking experience, enabling a deeply differentiated approach to </w:t>
      </w:r>
      <w:r w:rsidR="00B6671D" w:rsidRPr="00B148F9">
        <w:rPr>
          <w:rFonts w:cs="Calibri"/>
        </w:rPr>
        <w:t>research, idea</w:t>
      </w:r>
      <w:r w:rsidRPr="00B148F9">
        <w:rPr>
          <w:rFonts w:cs="Calibri"/>
        </w:rPr>
        <w:t xml:space="preserve"> generation</w:t>
      </w:r>
      <w:r w:rsidR="00581FA4" w:rsidRPr="00B148F9">
        <w:rPr>
          <w:rFonts w:cs="Calibri"/>
        </w:rPr>
        <w:t>,</w:t>
      </w:r>
      <w:r w:rsidRPr="00B148F9">
        <w:rPr>
          <w:rFonts w:cs="Calibri"/>
        </w:rPr>
        <w:t xml:space="preserve"> and deal execution. Complementing its outstanding scientiﬁc perspicaci</w:t>
      </w:r>
      <w:r w:rsidR="009B1A29">
        <w:rPr>
          <w:rFonts w:cs="Calibri"/>
        </w:rPr>
        <w:t>ty and industry relationships are</w:t>
      </w:r>
      <w:r w:rsidRPr="00B148F9">
        <w:rPr>
          <w:rFonts w:cs="Calibri"/>
        </w:rPr>
        <w:t xml:space="preserve"> the Investment Manager’s business </w:t>
      </w:r>
      <w:r w:rsidR="00997CE4" w:rsidRPr="00B148F9">
        <w:rPr>
          <w:rFonts w:cs="Calibri"/>
        </w:rPr>
        <w:t xml:space="preserve">and </w:t>
      </w:r>
      <w:r w:rsidR="00581FA4" w:rsidRPr="00B148F9">
        <w:rPr>
          <w:rFonts w:cs="Calibri"/>
        </w:rPr>
        <w:t>N</w:t>
      </w:r>
      <w:r w:rsidR="00997CE4" w:rsidRPr="00B148F9">
        <w:rPr>
          <w:rFonts w:cs="Calibri"/>
        </w:rPr>
        <w:t xml:space="preserve">ew Venture </w:t>
      </w:r>
      <w:r w:rsidRPr="00B148F9">
        <w:rPr>
          <w:rFonts w:cs="Calibri"/>
        </w:rPr>
        <w:t>team</w:t>
      </w:r>
      <w:r w:rsidR="00997CE4" w:rsidRPr="00B148F9">
        <w:rPr>
          <w:rFonts w:cs="Calibri"/>
        </w:rPr>
        <w:t>s</w:t>
      </w:r>
      <w:r w:rsidRPr="00B148F9">
        <w:rPr>
          <w:rFonts w:cs="Calibri"/>
        </w:rPr>
        <w:t xml:space="preserve">, whose members include a life sciences attorney, former investment bankers, </w:t>
      </w:r>
      <w:r w:rsidR="00581FA4" w:rsidRPr="00B148F9">
        <w:rPr>
          <w:rFonts w:cs="Calibri"/>
        </w:rPr>
        <w:t xml:space="preserve">former </w:t>
      </w:r>
      <w:r w:rsidR="00997CE4" w:rsidRPr="00B148F9">
        <w:rPr>
          <w:rFonts w:cs="Calibri"/>
        </w:rPr>
        <w:t>corporate executives and a venture capitalist</w:t>
      </w:r>
      <w:r w:rsidRPr="00B148F9">
        <w:rPr>
          <w:rFonts w:cs="Calibri"/>
        </w:rPr>
        <w:t>, who together actively engage with banks, academic institutions, and corporate management teams, cultivating strong relationships and expanding their network of key contacts and syndicate partners. The Investment Manager believes the well-roundedness of the team, strengthened by strong ties across industry, academia, banking platforms, and unafﬁliated investor relationships, will enhance its management team’s ability to source viable prospective target businesses, capitalise them, and ensure public-market readiness. The Company believes that the Investment Manager’s management team is equipped with the knowledge, experience, capital and human resources, strong operations and forward-thinking sustainable corporate governance practices to pursue unique opportunities that will offer attractive risk-adjusted returns. The Investment Manager’s attractive long-term return proﬁle is the result of differentiated deal sourcing and what it refers to as its data-ﬁrst process, focusing on the comprehensive collection and diligence of primary scientiﬁc data.</w:t>
      </w:r>
    </w:p>
    <w:p w14:paraId="3377EAE6" w14:textId="77777777" w:rsidR="00B837B9" w:rsidRPr="00B148F9" w:rsidRDefault="00B837B9" w:rsidP="00B837B9">
      <w:pPr>
        <w:contextualSpacing/>
        <w:rPr>
          <w:rFonts w:cs="Calibri"/>
        </w:rPr>
      </w:pPr>
    </w:p>
    <w:p w14:paraId="1A7B5558" w14:textId="77777777" w:rsidR="00B837B9" w:rsidRPr="00B148F9" w:rsidRDefault="00B837B9" w:rsidP="00B837B9">
      <w:pPr>
        <w:pStyle w:val="Heading4"/>
        <w:ind w:left="0" w:firstLine="0"/>
        <w:jc w:val="both"/>
        <w:rPr>
          <w:rFonts w:ascii="Century Gothic" w:hAnsi="Century Gothic"/>
          <w:i/>
          <w:iCs w:val="0"/>
          <w:szCs w:val="20"/>
        </w:rPr>
      </w:pPr>
      <w:r w:rsidRPr="00B148F9">
        <w:rPr>
          <w:rFonts w:ascii="Century Gothic" w:hAnsi="Century Gothic"/>
          <w:i/>
          <w:iCs w:val="0"/>
          <w:szCs w:val="20"/>
        </w:rPr>
        <w:t xml:space="preserve">Investment restrictions </w:t>
      </w:r>
    </w:p>
    <w:p w14:paraId="0885D801" w14:textId="77777777" w:rsidR="00B837B9" w:rsidRPr="00B148F9" w:rsidRDefault="00B837B9" w:rsidP="00B837B9">
      <w:pPr>
        <w:autoSpaceDE w:val="0"/>
        <w:autoSpaceDN w:val="0"/>
        <w:adjustRightInd w:val="0"/>
        <w:rPr>
          <w:rFonts w:cs="AvenirNextLTPro-Regular"/>
        </w:rPr>
      </w:pPr>
      <w:r w:rsidRPr="00B148F9">
        <w:rPr>
          <w:rFonts w:cs="AvenirNextLTPro-Regular"/>
        </w:rPr>
        <w:t xml:space="preserve">The Company will be subject to the following restrictions when making investments in accordance with its investment policy: </w:t>
      </w:r>
    </w:p>
    <w:p w14:paraId="11BC5956" w14:textId="77777777" w:rsidR="00B837B9" w:rsidRPr="00B148F9" w:rsidRDefault="00B837B9" w:rsidP="00B837B9">
      <w:pPr>
        <w:autoSpaceDE w:val="0"/>
        <w:autoSpaceDN w:val="0"/>
        <w:adjustRightInd w:val="0"/>
        <w:rPr>
          <w:rFonts w:cs="AvenirNextLTPro-Regular"/>
        </w:rPr>
      </w:pPr>
    </w:p>
    <w:p w14:paraId="01BBE9D9" w14:textId="77777777" w:rsidR="00B837B9" w:rsidRPr="00B148F9" w:rsidRDefault="00B837B9" w:rsidP="00A94612">
      <w:pPr>
        <w:pStyle w:val="ListParagraph"/>
        <w:numPr>
          <w:ilvl w:val="0"/>
          <w:numId w:val="29"/>
        </w:numPr>
        <w:autoSpaceDE w:val="0"/>
        <w:autoSpaceDN w:val="0"/>
        <w:adjustRightInd w:val="0"/>
        <w:spacing w:after="120"/>
        <w:rPr>
          <w:rFonts w:cs="AvenirNextLTPro-Regular"/>
        </w:rPr>
      </w:pPr>
      <w:r w:rsidRPr="00B148F9">
        <w:rPr>
          <w:rFonts w:cs="AvenirNextLTPro-Regular"/>
        </w:rPr>
        <w:t>the Company may not make an investment or a series of investments in a Portfolio Company that result in the Company’s aggregate investment in such Portfolio Company exceeding 15 per cent. of the Company’s gross assets at the time of each such investment, save for Rocket for which the limit will be 30 per cent;</w:t>
      </w:r>
    </w:p>
    <w:p w14:paraId="2106E6C0" w14:textId="77777777" w:rsidR="00B837B9" w:rsidRPr="00B148F9" w:rsidRDefault="00B837B9" w:rsidP="00A94612">
      <w:pPr>
        <w:pStyle w:val="ListParagraph"/>
        <w:numPr>
          <w:ilvl w:val="0"/>
          <w:numId w:val="29"/>
        </w:numPr>
        <w:autoSpaceDE w:val="0"/>
        <w:autoSpaceDN w:val="0"/>
        <w:adjustRightInd w:val="0"/>
        <w:spacing w:after="120"/>
        <w:rPr>
          <w:rFonts w:cs="AvenirNextLTPro-Regular"/>
        </w:rPr>
      </w:pPr>
      <w:r w:rsidRPr="00B148F9">
        <w:rPr>
          <w:rFonts w:cs="AvenirNextLTPro-Regular"/>
        </w:rPr>
        <w:lastRenderedPageBreak/>
        <w:t>the Company may not make an investment in a Portfolio Company that would cause the Company’s holding to exceed 150 per cent. of the total issued share capital of that Portfolio Company;</w:t>
      </w:r>
    </w:p>
    <w:p w14:paraId="20CF2115" w14:textId="77777777" w:rsidR="00B837B9" w:rsidRPr="00B148F9" w:rsidRDefault="00B837B9" w:rsidP="00A94612">
      <w:pPr>
        <w:pStyle w:val="ListParagraph"/>
        <w:numPr>
          <w:ilvl w:val="0"/>
          <w:numId w:val="29"/>
        </w:numPr>
        <w:autoSpaceDE w:val="0"/>
        <w:autoSpaceDN w:val="0"/>
        <w:adjustRightInd w:val="0"/>
        <w:rPr>
          <w:rFonts w:cs="AvenirNextLTPro-Regular"/>
        </w:rPr>
      </w:pPr>
      <w:r w:rsidRPr="00B148F9">
        <w:rPr>
          <w:rFonts w:cs="AvenirNextLTPro-Regular"/>
        </w:rPr>
        <w:t xml:space="preserve">the Company may not make any direct investment in any tobacco company and not knowingly make or continue to hold any Public Portfolio Company investments that would result in exposure to tobacco companies exceeding one per cent. of the aggregate value of the Public Portfolio Companies from time to time. </w:t>
      </w:r>
    </w:p>
    <w:p w14:paraId="4534D821" w14:textId="77777777" w:rsidR="00B837B9" w:rsidRPr="00B148F9" w:rsidRDefault="00B837B9" w:rsidP="00B837B9">
      <w:pPr>
        <w:autoSpaceDE w:val="0"/>
        <w:autoSpaceDN w:val="0"/>
        <w:adjustRightInd w:val="0"/>
        <w:rPr>
          <w:rFonts w:cs="AvenirNextLTPro-Regular"/>
        </w:rPr>
      </w:pPr>
    </w:p>
    <w:p w14:paraId="175437FE" w14:textId="2776FA26" w:rsidR="00B837B9" w:rsidRPr="00B148F9" w:rsidRDefault="00B837B9" w:rsidP="00B837B9">
      <w:pPr>
        <w:autoSpaceDE w:val="0"/>
        <w:autoSpaceDN w:val="0"/>
        <w:adjustRightInd w:val="0"/>
        <w:rPr>
          <w:rFonts w:cs="AvenirNextLTPro-Regular"/>
        </w:rPr>
      </w:pPr>
      <w:r w:rsidRPr="00B148F9">
        <w:rPr>
          <w:rFonts w:cs="AvenirNextLTPro-Regular"/>
        </w:rPr>
        <w:t xml:space="preserve">Each of these investment restrictions will be calculated as at the time of investment, other than for the original portfolio </w:t>
      </w:r>
      <w:r w:rsidR="00997CE4" w:rsidRPr="00B148F9">
        <w:rPr>
          <w:rFonts w:cs="AvenirNextLTPro-Regular"/>
        </w:rPr>
        <w:t>a</w:t>
      </w:r>
      <w:r w:rsidRPr="00B148F9">
        <w:rPr>
          <w:rFonts w:cs="AvenirNextLTPro-Regular"/>
        </w:rPr>
        <w:t xml:space="preserve">ssets which were calculated as at the time of the re-domiciliation, </w:t>
      </w:r>
      <w:r w:rsidR="00737E9B" w:rsidRPr="00B148F9">
        <w:rPr>
          <w:rFonts w:cs="AvenirNextLTPro-Regular"/>
        </w:rPr>
        <w:t xml:space="preserve">as </w:t>
      </w:r>
      <w:r w:rsidRPr="00B148F9">
        <w:rPr>
          <w:rFonts w:cs="AvenirNextLTPro-Regular"/>
        </w:rPr>
        <w:t>prior stated in the prospectus. In the event that any of the above limits are breached at any point after the relevant investment has been made (for instance, upon successful realisation of economic and/or scientiﬁc milestones or as a result of any movements in the value of the Company’s gross assets), there will be no requirement to sell any investment (in whole or in part).</w:t>
      </w:r>
    </w:p>
    <w:p w14:paraId="14F4C220" w14:textId="77777777" w:rsidR="00B837B9" w:rsidRPr="00B148F9" w:rsidRDefault="00B837B9" w:rsidP="00B837B9">
      <w:pPr>
        <w:pStyle w:val="ListParagraph"/>
        <w:autoSpaceDE w:val="0"/>
        <w:autoSpaceDN w:val="0"/>
        <w:adjustRightInd w:val="0"/>
        <w:spacing w:after="120"/>
        <w:rPr>
          <w:rFonts w:cs="AvenirNextLTPro-Regular"/>
        </w:rPr>
      </w:pPr>
    </w:p>
    <w:p w14:paraId="0CC7F79B" w14:textId="77777777" w:rsidR="00B837B9" w:rsidRPr="00B148F9" w:rsidRDefault="00B837B9" w:rsidP="00B837B9">
      <w:pPr>
        <w:pStyle w:val="Heading4"/>
        <w:ind w:left="0" w:firstLine="0"/>
        <w:jc w:val="both"/>
        <w:rPr>
          <w:rFonts w:ascii="Century Gothic" w:hAnsi="Century Gothic"/>
          <w:i/>
          <w:iCs w:val="0"/>
          <w:szCs w:val="20"/>
        </w:rPr>
      </w:pPr>
      <w:r w:rsidRPr="00B148F9">
        <w:rPr>
          <w:rFonts w:ascii="Century Gothic" w:hAnsi="Century Gothic"/>
          <w:i/>
          <w:iCs w:val="0"/>
          <w:szCs w:val="20"/>
        </w:rPr>
        <w:t>Listing Rule Investment Restrictions</w:t>
      </w:r>
    </w:p>
    <w:p w14:paraId="6E72AEB3" w14:textId="77777777" w:rsidR="00B837B9" w:rsidRPr="00B148F9" w:rsidRDefault="00B837B9" w:rsidP="00B837B9">
      <w:pPr>
        <w:autoSpaceDE w:val="0"/>
        <w:autoSpaceDN w:val="0"/>
        <w:adjustRightInd w:val="0"/>
        <w:rPr>
          <w:rFonts w:cs="Calibri"/>
        </w:rPr>
      </w:pPr>
      <w:r w:rsidRPr="00B148F9">
        <w:rPr>
          <w:rFonts w:cs="Calibri"/>
        </w:rPr>
        <w:t>In addition to the above restrictions which were set by the Investment Manager, the Company currently complies with the investment restrictions set out below and will continue to do so for so long as they remain requirements of the FCA:</w:t>
      </w:r>
    </w:p>
    <w:p w14:paraId="40A50E7A" w14:textId="77777777" w:rsidR="00B837B9" w:rsidRPr="00B148F9" w:rsidRDefault="00B837B9" w:rsidP="00B837B9">
      <w:pPr>
        <w:autoSpaceDE w:val="0"/>
        <w:autoSpaceDN w:val="0"/>
        <w:adjustRightInd w:val="0"/>
        <w:rPr>
          <w:rFonts w:cs="Calibri"/>
        </w:rPr>
      </w:pPr>
    </w:p>
    <w:p w14:paraId="17292521" w14:textId="26725E93" w:rsidR="00B837B9" w:rsidRPr="00B148F9" w:rsidRDefault="00B837B9" w:rsidP="00A94612">
      <w:pPr>
        <w:numPr>
          <w:ilvl w:val="0"/>
          <w:numId w:val="27"/>
        </w:numPr>
        <w:ind w:right="396"/>
        <w:contextualSpacing/>
        <w:rPr>
          <w:rFonts w:cs="Calibri"/>
        </w:rPr>
      </w:pPr>
      <w:r w:rsidRPr="00B148F9">
        <w:rPr>
          <w:rFonts w:cs="Calibri"/>
        </w:rPr>
        <w:t>the Company will</w:t>
      </w:r>
      <w:r w:rsidR="00BD5C1E" w:rsidRPr="00B148F9">
        <w:rPr>
          <w:rFonts w:cs="Calibri"/>
        </w:rPr>
        <w:t xml:space="preserve"> not</w:t>
      </w:r>
      <w:r w:rsidRPr="00B148F9">
        <w:rPr>
          <w:rFonts w:cs="Calibri"/>
        </w:rPr>
        <w:t xml:space="preserve"> conduct any trading activity which is significant in the context of the Company as a whole;</w:t>
      </w:r>
    </w:p>
    <w:p w14:paraId="20822F6B" w14:textId="77777777" w:rsidR="00B837B9" w:rsidRPr="00B148F9" w:rsidRDefault="00B837B9" w:rsidP="00B837B9">
      <w:pPr>
        <w:ind w:right="396"/>
        <w:rPr>
          <w:lang w:eastAsia="en-GB"/>
        </w:rPr>
      </w:pPr>
    </w:p>
    <w:p w14:paraId="3D61D9D6" w14:textId="77777777" w:rsidR="00B837B9" w:rsidRPr="00B148F9" w:rsidRDefault="00B837B9" w:rsidP="00A94612">
      <w:pPr>
        <w:numPr>
          <w:ilvl w:val="0"/>
          <w:numId w:val="27"/>
        </w:numPr>
        <w:ind w:right="396"/>
        <w:contextualSpacing/>
        <w:rPr>
          <w:rFonts w:cs="Calibri"/>
        </w:rPr>
      </w:pPr>
      <w:r w:rsidRPr="00B148F9">
        <w:rPr>
          <w:rFonts w:cs="Calibri"/>
        </w:rPr>
        <w:t>the Company must, at all times, invest and manage its assets in a way which is consistent with its objective of spreading investment risk and in accordance with the published investment policy; and</w:t>
      </w:r>
    </w:p>
    <w:p w14:paraId="6DEEC8E5" w14:textId="77777777" w:rsidR="00B837B9" w:rsidRPr="00B148F9" w:rsidRDefault="00B837B9" w:rsidP="00B837B9">
      <w:pPr>
        <w:ind w:right="396"/>
        <w:rPr>
          <w:lang w:eastAsia="en-GB"/>
        </w:rPr>
      </w:pPr>
    </w:p>
    <w:p w14:paraId="7C9DF771" w14:textId="77777777" w:rsidR="00B837B9" w:rsidRPr="00B148F9" w:rsidRDefault="00B837B9" w:rsidP="00A94612">
      <w:pPr>
        <w:numPr>
          <w:ilvl w:val="0"/>
          <w:numId w:val="28"/>
        </w:numPr>
        <w:ind w:right="396"/>
        <w:contextualSpacing/>
        <w:rPr>
          <w:lang w:eastAsia="en-GB"/>
        </w:rPr>
      </w:pPr>
      <w:r w:rsidRPr="00B148F9">
        <w:rPr>
          <w:rFonts w:cs="Calibri"/>
        </w:rPr>
        <w:t>not more than 10% of the gross asset value at the time of investment is made will be invested in other closed-ended investment funds which are listed on the Official List.</w:t>
      </w:r>
    </w:p>
    <w:p w14:paraId="532AACCD" w14:textId="77777777" w:rsidR="00B837B9" w:rsidRPr="00B148F9" w:rsidRDefault="00B837B9" w:rsidP="00B837B9">
      <w:pPr>
        <w:autoSpaceDE w:val="0"/>
        <w:autoSpaceDN w:val="0"/>
        <w:adjustRightInd w:val="0"/>
        <w:rPr>
          <w:rFonts w:cs="Calibri"/>
          <w:b/>
        </w:rPr>
      </w:pPr>
    </w:p>
    <w:p w14:paraId="27340CF7" w14:textId="598908CD" w:rsidR="00B837B9" w:rsidRPr="00B148F9" w:rsidRDefault="00B837B9" w:rsidP="00B837B9">
      <w:pPr>
        <w:rPr>
          <w:rFonts w:cs="Calibri"/>
        </w:rPr>
      </w:pPr>
      <w:r w:rsidRPr="00B148F9">
        <w:rPr>
          <w:rFonts w:cs="Calibri"/>
        </w:rPr>
        <w:t xml:space="preserve">As required by the </w:t>
      </w:r>
      <w:r w:rsidRPr="00B148F9">
        <w:t>Listing Rules</w:t>
      </w:r>
      <w:r w:rsidRPr="00B148F9">
        <w:rPr>
          <w:rFonts w:cs="Calibri"/>
        </w:rPr>
        <w:t>, any material change to the investment policy of the Company will be made only with the prior approval of the FCA and Shareholders</w:t>
      </w:r>
      <w:r w:rsidR="00326813" w:rsidRPr="00B148F9">
        <w:rPr>
          <w:rFonts w:cs="Calibri"/>
        </w:rPr>
        <w:t>.</w:t>
      </w:r>
    </w:p>
    <w:p w14:paraId="12E22711" w14:textId="77777777" w:rsidR="00B837B9" w:rsidRPr="00B148F9" w:rsidRDefault="00B837B9" w:rsidP="00B837B9">
      <w:pPr>
        <w:rPr>
          <w:rFonts w:cs="Calibri"/>
          <w:b/>
          <w:highlight w:val="yellow"/>
        </w:rPr>
      </w:pPr>
    </w:p>
    <w:p w14:paraId="090167A8" w14:textId="77777777" w:rsidR="00B837B9" w:rsidRPr="00B148F9" w:rsidRDefault="00B837B9" w:rsidP="00B837B9">
      <w:pPr>
        <w:pStyle w:val="Heading3"/>
        <w:spacing w:after="0"/>
        <w:ind w:left="0" w:firstLine="0"/>
        <w:jc w:val="both"/>
        <w:rPr>
          <w:rFonts w:ascii="Century Gothic" w:hAnsi="Century Gothic"/>
          <w:b/>
          <w:szCs w:val="20"/>
        </w:rPr>
      </w:pPr>
      <w:r w:rsidRPr="00B148F9">
        <w:rPr>
          <w:rFonts w:ascii="Century Gothic" w:hAnsi="Century Gothic"/>
          <w:b/>
          <w:szCs w:val="20"/>
        </w:rPr>
        <w:t>Operational &amp; Financial Review for the period</w:t>
      </w:r>
    </w:p>
    <w:p w14:paraId="15F25F84" w14:textId="77777777" w:rsidR="00B837B9" w:rsidRPr="00B148F9" w:rsidRDefault="00B837B9" w:rsidP="00B837B9">
      <w:pPr>
        <w:pStyle w:val="ListParagraph"/>
        <w:ind w:left="644"/>
        <w:rPr>
          <w:rFonts w:cs="Calibri"/>
          <w:b/>
        </w:rPr>
      </w:pPr>
    </w:p>
    <w:p w14:paraId="0E47095F" w14:textId="77777777" w:rsidR="00B837B9" w:rsidRPr="00B148F9" w:rsidRDefault="00B837B9" w:rsidP="00B837B9">
      <w:pPr>
        <w:pStyle w:val="Heading4"/>
        <w:ind w:left="0" w:firstLine="0"/>
        <w:jc w:val="both"/>
        <w:rPr>
          <w:rFonts w:ascii="Century Gothic" w:hAnsi="Century Gothic"/>
          <w:i/>
          <w:iCs w:val="0"/>
          <w:szCs w:val="20"/>
        </w:rPr>
      </w:pPr>
      <w:r w:rsidRPr="00B148F9">
        <w:rPr>
          <w:rFonts w:ascii="Century Gothic" w:hAnsi="Century Gothic"/>
          <w:i/>
          <w:iCs w:val="0"/>
          <w:szCs w:val="20"/>
        </w:rPr>
        <w:t>Key Performance Indicators</w:t>
      </w:r>
    </w:p>
    <w:p w14:paraId="563F40C0" w14:textId="77777777" w:rsidR="00B837B9" w:rsidRPr="00B148F9" w:rsidRDefault="00B837B9" w:rsidP="00B837B9">
      <w:pPr>
        <w:rPr>
          <w:rFonts w:cs="Calibri"/>
        </w:rPr>
      </w:pPr>
      <w:r w:rsidRPr="00B148F9">
        <w:rPr>
          <w:rFonts w:cs="Calibri"/>
        </w:rPr>
        <w:t>The Board has identified the following indicators for assessing the Company’s annual performance in meeting its objectives:</w:t>
      </w:r>
    </w:p>
    <w:p w14:paraId="53A3EB47" w14:textId="77777777" w:rsidR="00B837B9" w:rsidRPr="00B148F9" w:rsidRDefault="00B837B9" w:rsidP="00B837B9">
      <w:pPr>
        <w:jc w:val="left"/>
        <w:rPr>
          <w:rFonts w:cs="Arial"/>
          <w:b/>
        </w:rPr>
      </w:pPr>
    </w:p>
    <w:tbl>
      <w:tblPr>
        <w:tblStyle w:val="TableGrid"/>
        <w:tblW w:w="0" w:type="auto"/>
        <w:tblLook w:val="04A0" w:firstRow="1" w:lastRow="0" w:firstColumn="1" w:lastColumn="0" w:noHBand="0" w:noVBand="1"/>
      </w:tblPr>
      <w:tblGrid>
        <w:gridCol w:w="2155"/>
        <w:gridCol w:w="2375"/>
        <w:gridCol w:w="2266"/>
        <w:gridCol w:w="2266"/>
      </w:tblGrid>
      <w:tr w:rsidR="00B837B9" w:rsidRPr="00B148F9" w14:paraId="12379D35" w14:textId="77777777" w:rsidTr="00B837B9">
        <w:tc>
          <w:tcPr>
            <w:tcW w:w="2155" w:type="dxa"/>
          </w:tcPr>
          <w:p w14:paraId="5285E15A" w14:textId="77777777" w:rsidR="00B837B9" w:rsidRPr="00B148F9" w:rsidRDefault="00B837B9" w:rsidP="00B837B9">
            <w:pPr>
              <w:jc w:val="left"/>
              <w:rPr>
                <w:rFonts w:cs="Arial"/>
                <w:b/>
              </w:rPr>
            </w:pPr>
            <w:r w:rsidRPr="00B148F9">
              <w:rPr>
                <w:rFonts w:cs="Arial"/>
                <w:b/>
              </w:rPr>
              <w:t>Financial KPIs</w:t>
            </w:r>
          </w:p>
        </w:tc>
        <w:tc>
          <w:tcPr>
            <w:tcW w:w="2375" w:type="dxa"/>
          </w:tcPr>
          <w:p w14:paraId="75231C5F" w14:textId="1A480CF4" w:rsidR="00B837B9" w:rsidRPr="00B148F9" w:rsidRDefault="00B55C5A" w:rsidP="00B837B9">
            <w:pPr>
              <w:jc w:val="left"/>
              <w:rPr>
                <w:rFonts w:cs="Arial"/>
                <w:b/>
              </w:rPr>
            </w:pPr>
            <w:r w:rsidRPr="00B148F9">
              <w:rPr>
                <w:rFonts w:cs="Arial"/>
                <w:b/>
              </w:rPr>
              <w:t>Descr</w:t>
            </w:r>
            <w:r w:rsidR="00EC65E6" w:rsidRPr="00B148F9">
              <w:rPr>
                <w:rFonts w:cs="Arial"/>
                <w:b/>
              </w:rPr>
              <w:t>iption</w:t>
            </w:r>
          </w:p>
        </w:tc>
        <w:tc>
          <w:tcPr>
            <w:tcW w:w="2266" w:type="dxa"/>
          </w:tcPr>
          <w:p w14:paraId="5F04712E" w14:textId="77777777" w:rsidR="00B837B9" w:rsidRPr="00B148F9" w:rsidRDefault="00B837B9" w:rsidP="00B837B9">
            <w:pPr>
              <w:jc w:val="left"/>
              <w:rPr>
                <w:rFonts w:cs="Arial"/>
                <w:b/>
              </w:rPr>
            </w:pPr>
            <w:r w:rsidRPr="00B148F9">
              <w:rPr>
                <w:rFonts w:cs="Arial"/>
                <w:b/>
              </w:rPr>
              <w:t>Progress</w:t>
            </w:r>
          </w:p>
        </w:tc>
        <w:tc>
          <w:tcPr>
            <w:tcW w:w="2266" w:type="dxa"/>
          </w:tcPr>
          <w:p w14:paraId="4876D78A" w14:textId="77777777" w:rsidR="00B837B9" w:rsidRPr="00B148F9" w:rsidRDefault="00B837B9" w:rsidP="00B837B9">
            <w:pPr>
              <w:jc w:val="left"/>
              <w:rPr>
                <w:rFonts w:cs="Arial"/>
                <w:b/>
              </w:rPr>
            </w:pPr>
            <w:r w:rsidRPr="00B148F9">
              <w:rPr>
                <w:rFonts w:cs="Arial"/>
                <w:b/>
              </w:rPr>
              <w:t>Key factors</w:t>
            </w:r>
          </w:p>
        </w:tc>
      </w:tr>
      <w:tr w:rsidR="00B837B9" w:rsidRPr="00B148F9" w14:paraId="66CDD097" w14:textId="77777777" w:rsidTr="00B837B9">
        <w:tc>
          <w:tcPr>
            <w:tcW w:w="2155" w:type="dxa"/>
          </w:tcPr>
          <w:p w14:paraId="7A96A615" w14:textId="77777777" w:rsidR="00B837B9" w:rsidRPr="00B148F9" w:rsidRDefault="00B837B9" w:rsidP="00B837B9">
            <w:pPr>
              <w:jc w:val="right"/>
              <w:rPr>
                <w:rFonts w:cs="Arial"/>
                <w:bCs/>
              </w:rPr>
            </w:pPr>
            <w:r w:rsidRPr="00B148F9">
              <w:rPr>
                <w:rFonts w:cs="Arial"/>
                <w:bCs/>
              </w:rPr>
              <w:t>NAV Growth</w:t>
            </w:r>
          </w:p>
        </w:tc>
        <w:tc>
          <w:tcPr>
            <w:tcW w:w="2375" w:type="dxa"/>
          </w:tcPr>
          <w:p w14:paraId="006E7DCD" w14:textId="77777777" w:rsidR="00B837B9" w:rsidRPr="00B148F9" w:rsidRDefault="00B837B9" w:rsidP="00B837B9">
            <w:pPr>
              <w:jc w:val="left"/>
              <w:rPr>
                <w:rFonts w:cs="Arial"/>
                <w:bCs/>
                <w:sz w:val="18"/>
                <w:szCs w:val="18"/>
              </w:rPr>
            </w:pPr>
            <w:r w:rsidRPr="00B148F9">
              <w:rPr>
                <w:rFonts w:cs="Arial"/>
                <w:bCs/>
                <w:sz w:val="18"/>
                <w:szCs w:val="18"/>
              </w:rPr>
              <w:t>Includes performance of the portfolio companies and cash management strategy</w:t>
            </w:r>
          </w:p>
          <w:p w14:paraId="29DCD2DA" w14:textId="77777777" w:rsidR="00B837B9" w:rsidRPr="00B148F9" w:rsidRDefault="00B837B9" w:rsidP="00B837B9">
            <w:pPr>
              <w:jc w:val="left"/>
              <w:rPr>
                <w:rFonts w:cs="Arial"/>
                <w:bCs/>
                <w:sz w:val="18"/>
                <w:szCs w:val="18"/>
              </w:rPr>
            </w:pPr>
          </w:p>
          <w:p w14:paraId="1791C393" w14:textId="77777777" w:rsidR="00B837B9" w:rsidRPr="00B148F9" w:rsidRDefault="00B837B9" w:rsidP="00B837B9">
            <w:pPr>
              <w:jc w:val="left"/>
              <w:rPr>
                <w:rFonts w:cs="Arial"/>
                <w:bCs/>
                <w:sz w:val="18"/>
                <w:szCs w:val="18"/>
              </w:rPr>
            </w:pPr>
            <w:r w:rsidRPr="00B148F9">
              <w:rPr>
                <w:rFonts w:cs="Arial"/>
                <w:bCs/>
                <w:sz w:val="18"/>
                <w:szCs w:val="18"/>
              </w:rPr>
              <w:t>Net of all fees and costs</w:t>
            </w:r>
          </w:p>
        </w:tc>
        <w:tc>
          <w:tcPr>
            <w:tcW w:w="2266" w:type="dxa"/>
          </w:tcPr>
          <w:p w14:paraId="4E089D3B" w14:textId="399F59FE" w:rsidR="00B837B9" w:rsidRPr="00B148F9" w:rsidRDefault="00B837B9" w:rsidP="00B837B9">
            <w:pPr>
              <w:jc w:val="left"/>
              <w:rPr>
                <w:rFonts w:cs="Arial"/>
                <w:bCs/>
                <w:sz w:val="18"/>
                <w:szCs w:val="18"/>
              </w:rPr>
            </w:pPr>
            <w:r w:rsidRPr="00B148F9">
              <w:rPr>
                <w:rFonts w:cs="Arial"/>
                <w:bCs/>
                <w:sz w:val="18"/>
                <w:szCs w:val="18"/>
              </w:rPr>
              <w:t>22%</w:t>
            </w:r>
            <w:r w:rsidR="00A41811" w:rsidRPr="00B148F9">
              <w:rPr>
                <w:rFonts w:cs="Arial"/>
                <w:bCs/>
                <w:sz w:val="18"/>
                <w:szCs w:val="18"/>
              </w:rPr>
              <w:t xml:space="preserve"> Ordinary</w:t>
            </w:r>
            <w:r w:rsidRPr="00B148F9">
              <w:rPr>
                <w:rFonts w:cs="Arial"/>
                <w:bCs/>
                <w:sz w:val="18"/>
                <w:szCs w:val="18"/>
              </w:rPr>
              <w:t xml:space="preserve"> NAV growth during the reporting period driven by Rocket and successful cash management</w:t>
            </w:r>
          </w:p>
        </w:tc>
        <w:tc>
          <w:tcPr>
            <w:tcW w:w="2266" w:type="dxa"/>
          </w:tcPr>
          <w:p w14:paraId="3B84B2D1" w14:textId="77777777" w:rsidR="00B837B9" w:rsidRPr="00B148F9" w:rsidRDefault="00B837B9" w:rsidP="00B837B9">
            <w:pPr>
              <w:jc w:val="left"/>
              <w:rPr>
                <w:rFonts w:cs="Arial"/>
                <w:bCs/>
                <w:sz w:val="18"/>
                <w:szCs w:val="18"/>
              </w:rPr>
            </w:pPr>
            <w:r w:rsidRPr="00B148F9">
              <w:rPr>
                <w:rFonts w:cs="Arial"/>
                <w:bCs/>
                <w:sz w:val="18"/>
                <w:szCs w:val="18"/>
              </w:rPr>
              <w:t>Portfolio performance and progression through clinical trials</w:t>
            </w:r>
          </w:p>
          <w:p w14:paraId="6CCCDDEE" w14:textId="77777777" w:rsidR="00B837B9" w:rsidRPr="00B148F9" w:rsidRDefault="00B837B9" w:rsidP="00B837B9">
            <w:pPr>
              <w:jc w:val="left"/>
              <w:rPr>
                <w:rFonts w:cs="Arial"/>
                <w:bCs/>
                <w:sz w:val="18"/>
                <w:szCs w:val="18"/>
              </w:rPr>
            </w:pPr>
          </w:p>
          <w:p w14:paraId="0A6AE3C8" w14:textId="77777777" w:rsidR="00B837B9" w:rsidRPr="00B148F9" w:rsidRDefault="00B837B9" w:rsidP="00B837B9">
            <w:pPr>
              <w:jc w:val="left"/>
              <w:rPr>
                <w:rFonts w:cs="Arial"/>
                <w:bCs/>
                <w:sz w:val="18"/>
                <w:szCs w:val="18"/>
              </w:rPr>
            </w:pPr>
            <w:r w:rsidRPr="00B148F9">
              <w:rPr>
                <w:rFonts w:cs="Arial"/>
                <w:bCs/>
                <w:sz w:val="18"/>
                <w:szCs w:val="18"/>
              </w:rPr>
              <w:t>Cash management</w:t>
            </w:r>
          </w:p>
          <w:p w14:paraId="41B12DEC" w14:textId="77777777" w:rsidR="00B837B9" w:rsidRPr="00B148F9" w:rsidRDefault="00B837B9" w:rsidP="00B837B9">
            <w:pPr>
              <w:jc w:val="left"/>
              <w:rPr>
                <w:rFonts w:cs="Arial"/>
                <w:bCs/>
                <w:sz w:val="18"/>
                <w:szCs w:val="18"/>
              </w:rPr>
            </w:pPr>
          </w:p>
          <w:p w14:paraId="453B8E67" w14:textId="77777777" w:rsidR="00B837B9" w:rsidRPr="00B148F9" w:rsidRDefault="00B837B9" w:rsidP="00B837B9">
            <w:pPr>
              <w:jc w:val="left"/>
              <w:rPr>
                <w:rFonts w:cs="Arial"/>
                <w:bCs/>
                <w:sz w:val="18"/>
                <w:szCs w:val="18"/>
              </w:rPr>
            </w:pPr>
            <w:r w:rsidRPr="00B148F9">
              <w:rPr>
                <w:rFonts w:cs="Arial"/>
                <w:bCs/>
                <w:sz w:val="18"/>
                <w:szCs w:val="18"/>
              </w:rPr>
              <w:t xml:space="preserve">Capital pool and deployment </w:t>
            </w:r>
          </w:p>
          <w:p w14:paraId="18D2CCD4" w14:textId="77777777" w:rsidR="00B837B9" w:rsidRPr="00B148F9" w:rsidRDefault="00B837B9" w:rsidP="00B837B9">
            <w:pPr>
              <w:jc w:val="left"/>
              <w:rPr>
                <w:rFonts w:cs="Arial"/>
                <w:bCs/>
                <w:sz w:val="18"/>
                <w:szCs w:val="18"/>
              </w:rPr>
            </w:pPr>
          </w:p>
          <w:p w14:paraId="6A089876" w14:textId="77777777" w:rsidR="00B837B9" w:rsidRPr="00B148F9" w:rsidRDefault="00B837B9" w:rsidP="00B837B9">
            <w:pPr>
              <w:jc w:val="left"/>
              <w:rPr>
                <w:rFonts w:cs="Arial"/>
                <w:bCs/>
                <w:sz w:val="18"/>
                <w:szCs w:val="18"/>
              </w:rPr>
            </w:pPr>
            <w:r w:rsidRPr="00B148F9">
              <w:rPr>
                <w:rFonts w:cs="Arial"/>
                <w:bCs/>
                <w:sz w:val="18"/>
                <w:szCs w:val="18"/>
              </w:rPr>
              <w:t>Scientific and financial risks</w:t>
            </w:r>
          </w:p>
        </w:tc>
      </w:tr>
      <w:tr w:rsidR="00B837B9" w:rsidRPr="00B148F9" w14:paraId="01382FE3" w14:textId="77777777" w:rsidTr="00B837B9">
        <w:tc>
          <w:tcPr>
            <w:tcW w:w="2155" w:type="dxa"/>
          </w:tcPr>
          <w:p w14:paraId="00C81603" w14:textId="77777777" w:rsidR="00B837B9" w:rsidRPr="00B148F9" w:rsidRDefault="00B837B9" w:rsidP="00B837B9">
            <w:pPr>
              <w:jc w:val="right"/>
              <w:rPr>
                <w:rFonts w:cs="Arial"/>
                <w:bCs/>
              </w:rPr>
            </w:pPr>
            <w:r w:rsidRPr="00B148F9">
              <w:rPr>
                <w:rFonts w:cs="Arial"/>
                <w:bCs/>
              </w:rPr>
              <w:t>Total Shareholder Return</w:t>
            </w:r>
          </w:p>
        </w:tc>
        <w:tc>
          <w:tcPr>
            <w:tcW w:w="2375" w:type="dxa"/>
          </w:tcPr>
          <w:p w14:paraId="17012CCF" w14:textId="77777777" w:rsidR="00B837B9" w:rsidRPr="00B148F9" w:rsidRDefault="00B837B9" w:rsidP="00B837B9">
            <w:pPr>
              <w:jc w:val="left"/>
              <w:rPr>
                <w:rFonts w:cs="Arial"/>
                <w:bCs/>
                <w:sz w:val="18"/>
                <w:szCs w:val="18"/>
              </w:rPr>
            </w:pPr>
            <w:r w:rsidRPr="00B148F9">
              <w:rPr>
                <w:rFonts w:cs="Arial"/>
                <w:bCs/>
                <w:sz w:val="18"/>
                <w:szCs w:val="18"/>
              </w:rPr>
              <w:t>Indicates performance of delivering value to the shareholders</w:t>
            </w:r>
          </w:p>
        </w:tc>
        <w:tc>
          <w:tcPr>
            <w:tcW w:w="2266" w:type="dxa"/>
          </w:tcPr>
          <w:p w14:paraId="2320D220" w14:textId="77777777" w:rsidR="00B837B9" w:rsidRPr="00B148F9" w:rsidRDefault="00B837B9" w:rsidP="00B837B9">
            <w:pPr>
              <w:jc w:val="left"/>
              <w:rPr>
                <w:rFonts w:cs="Arial"/>
                <w:bCs/>
                <w:sz w:val="18"/>
                <w:szCs w:val="18"/>
              </w:rPr>
            </w:pPr>
            <w:r w:rsidRPr="00B148F9">
              <w:rPr>
                <w:rFonts w:cs="Arial"/>
                <w:bCs/>
                <w:sz w:val="18"/>
                <w:szCs w:val="18"/>
              </w:rPr>
              <w:t>32% return during the reporting period (US$1.04 to US$1.37 price per share)</w:t>
            </w:r>
          </w:p>
        </w:tc>
        <w:tc>
          <w:tcPr>
            <w:tcW w:w="2266" w:type="dxa"/>
          </w:tcPr>
          <w:p w14:paraId="3D29DB32" w14:textId="77777777" w:rsidR="00B837B9" w:rsidRPr="00B148F9" w:rsidRDefault="00B837B9" w:rsidP="00B837B9">
            <w:pPr>
              <w:jc w:val="left"/>
              <w:rPr>
                <w:rFonts w:cs="Arial"/>
                <w:bCs/>
                <w:sz w:val="18"/>
                <w:szCs w:val="18"/>
              </w:rPr>
            </w:pPr>
            <w:r w:rsidRPr="00B148F9">
              <w:rPr>
                <w:rFonts w:cs="Arial"/>
                <w:bCs/>
                <w:sz w:val="18"/>
                <w:szCs w:val="18"/>
              </w:rPr>
              <w:t>Portfolio performance</w:t>
            </w:r>
          </w:p>
          <w:p w14:paraId="09CAECE3" w14:textId="77777777" w:rsidR="00B837B9" w:rsidRPr="00B148F9" w:rsidRDefault="00B837B9" w:rsidP="00B837B9">
            <w:pPr>
              <w:jc w:val="left"/>
              <w:rPr>
                <w:rFonts w:cs="Arial"/>
                <w:bCs/>
                <w:sz w:val="18"/>
                <w:szCs w:val="18"/>
              </w:rPr>
            </w:pPr>
          </w:p>
          <w:p w14:paraId="48EE88D8" w14:textId="77777777" w:rsidR="00B837B9" w:rsidRPr="00B148F9" w:rsidRDefault="00B837B9" w:rsidP="00B837B9">
            <w:pPr>
              <w:jc w:val="left"/>
              <w:rPr>
                <w:rFonts w:cs="Arial"/>
                <w:bCs/>
                <w:sz w:val="18"/>
                <w:szCs w:val="18"/>
              </w:rPr>
            </w:pPr>
            <w:r w:rsidRPr="00B148F9">
              <w:rPr>
                <w:rFonts w:cs="Arial"/>
                <w:bCs/>
                <w:sz w:val="18"/>
                <w:szCs w:val="18"/>
              </w:rPr>
              <w:t>Liquidity of RTW.L shares</w:t>
            </w:r>
          </w:p>
          <w:p w14:paraId="0204B225" w14:textId="77777777" w:rsidR="00B837B9" w:rsidRPr="00B148F9" w:rsidRDefault="00B837B9" w:rsidP="00B837B9">
            <w:pPr>
              <w:jc w:val="left"/>
              <w:rPr>
                <w:rFonts w:cs="Arial"/>
                <w:bCs/>
                <w:sz w:val="18"/>
                <w:szCs w:val="18"/>
              </w:rPr>
            </w:pPr>
          </w:p>
          <w:p w14:paraId="0932E998" w14:textId="77777777" w:rsidR="00B837B9" w:rsidRPr="00B148F9" w:rsidRDefault="00B837B9" w:rsidP="00B837B9">
            <w:pPr>
              <w:jc w:val="left"/>
              <w:rPr>
                <w:rFonts w:cs="Arial"/>
                <w:bCs/>
                <w:sz w:val="18"/>
                <w:szCs w:val="18"/>
              </w:rPr>
            </w:pPr>
            <w:r w:rsidRPr="00B148F9">
              <w:rPr>
                <w:rFonts w:cs="Arial"/>
                <w:bCs/>
                <w:sz w:val="18"/>
                <w:szCs w:val="18"/>
              </w:rPr>
              <w:t>General market sentiment</w:t>
            </w:r>
          </w:p>
        </w:tc>
      </w:tr>
      <w:tr w:rsidR="00B837B9" w:rsidRPr="00B148F9" w14:paraId="7FA5CF06" w14:textId="77777777" w:rsidTr="00B837B9">
        <w:trPr>
          <w:trHeight w:val="332"/>
        </w:trPr>
        <w:tc>
          <w:tcPr>
            <w:tcW w:w="2155" w:type="dxa"/>
          </w:tcPr>
          <w:p w14:paraId="6391BC65" w14:textId="77777777" w:rsidR="00B837B9" w:rsidRPr="00B148F9" w:rsidRDefault="00B837B9" w:rsidP="00B837B9">
            <w:pPr>
              <w:jc w:val="right"/>
              <w:rPr>
                <w:rFonts w:cs="Arial"/>
                <w:bCs/>
              </w:rPr>
            </w:pPr>
            <w:r w:rsidRPr="00B148F9">
              <w:rPr>
                <w:rFonts w:cs="Arial"/>
                <w:bCs/>
              </w:rPr>
              <w:lastRenderedPageBreak/>
              <w:t>Capital Pool</w:t>
            </w:r>
          </w:p>
        </w:tc>
        <w:tc>
          <w:tcPr>
            <w:tcW w:w="2375" w:type="dxa"/>
          </w:tcPr>
          <w:p w14:paraId="68F54E54" w14:textId="77777777" w:rsidR="00B837B9" w:rsidRPr="00B148F9" w:rsidRDefault="00B837B9" w:rsidP="00B837B9">
            <w:pPr>
              <w:jc w:val="left"/>
              <w:rPr>
                <w:rFonts w:cs="Arial"/>
                <w:bCs/>
                <w:sz w:val="18"/>
                <w:szCs w:val="18"/>
              </w:rPr>
            </w:pPr>
            <w:r w:rsidRPr="00B148F9">
              <w:rPr>
                <w:rFonts w:cs="Arial"/>
                <w:bCs/>
                <w:sz w:val="18"/>
                <w:szCs w:val="18"/>
              </w:rPr>
              <w:t>Provides a reliable source of funding for portfolio companies</w:t>
            </w:r>
          </w:p>
        </w:tc>
        <w:tc>
          <w:tcPr>
            <w:tcW w:w="2266" w:type="dxa"/>
          </w:tcPr>
          <w:p w14:paraId="25CAD08C" w14:textId="77777777" w:rsidR="00B837B9" w:rsidRPr="00B148F9" w:rsidRDefault="00B837B9" w:rsidP="00B837B9">
            <w:pPr>
              <w:jc w:val="left"/>
              <w:rPr>
                <w:rFonts w:cs="Arial"/>
                <w:bCs/>
                <w:sz w:val="18"/>
                <w:szCs w:val="18"/>
              </w:rPr>
            </w:pPr>
            <w:r w:rsidRPr="00B148F9">
              <w:rPr>
                <w:rFonts w:cs="Arial"/>
                <w:bCs/>
                <w:sz w:val="18"/>
                <w:szCs w:val="18"/>
              </w:rPr>
              <w:t xml:space="preserve">Roughly half of the NAV capital deployed into the portfolio companies; </w:t>
            </w:r>
          </w:p>
          <w:p w14:paraId="70AF5124" w14:textId="4545E3F8" w:rsidR="00B837B9" w:rsidRPr="00B148F9" w:rsidRDefault="00B837B9">
            <w:pPr>
              <w:jc w:val="left"/>
              <w:rPr>
                <w:rFonts w:cs="Arial"/>
                <w:bCs/>
                <w:sz w:val="18"/>
                <w:szCs w:val="18"/>
              </w:rPr>
            </w:pPr>
            <w:r w:rsidRPr="00B148F9">
              <w:rPr>
                <w:rFonts w:cs="Arial"/>
                <w:bCs/>
                <w:sz w:val="18"/>
                <w:szCs w:val="18"/>
              </w:rPr>
              <w:t>~$43.</w:t>
            </w:r>
            <w:r w:rsidR="00997CE4" w:rsidRPr="00B148F9">
              <w:rPr>
                <w:rFonts w:cs="Arial"/>
                <w:bCs/>
                <w:sz w:val="18"/>
                <w:szCs w:val="18"/>
              </w:rPr>
              <w:t>8</w:t>
            </w:r>
            <w:r w:rsidRPr="00B148F9">
              <w:rPr>
                <w:rFonts w:cs="Arial"/>
                <w:bCs/>
                <w:sz w:val="18"/>
                <w:szCs w:val="18"/>
              </w:rPr>
              <w:t xml:space="preserve"> million available as capital pool</w:t>
            </w:r>
          </w:p>
        </w:tc>
        <w:tc>
          <w:tcPr>
            <w:tcW w:w="2266" w:type="dxa"/>
          </w:tcPr>
          <w:p w14:paraId="10C8BA75" w14:textId="77777777" w:rsidR="00B837B9" w:rsidRPr="00B148F9" w:rsidRDefault="00B837B9" w:rsidP="00B837B9">
            <w:pPr>
              <w:jc w:val="left"/>
              <w:rPr>
                <w:rFonts w:cs="Arial"/>
                <w:bCs/>
                <w:sz w:val="18"/>
                <w:szCs w:val="18"/>
              </w:rPr>
            </w:pPr>
            <w:r w:rsidRPr="00B148F9">
              <w:rPr>
                <w:rFonts w:cs="Arial"/>
                <w:bCs/>
                <w:sz w:val="18"/>
                <w:szCs w:val="18"/>
              </w:rPr>
              <w:t xml:space="preserve">Funds availability to be deployed into new portfolio companies or for follow-on investments into existing </w:t>
            </w:r>
          </w:p>
        </w:tc>
      </w:tr>
      <w:tr w:rsidR="00B837B9" w:rsidRPr="00B148F9" w14:paraId="7E51A310" w14:textId="77777777" w:rsidTr="00B837B9">
        <w:tc>
          <w:tcPr>
            <w:tcW w:w="2155" w:type="dxa"/>
          </w:tcPr>
          <w:p w14:paraId="1704260C" w14:textId="77777777" w:rsidR="00B837B9" w:rsidRPr="00B148F9" w:rsidRDefault="00B837B9" w:rsidP="00B837B9">
            <w:pPr>
              <w:jc w:val="left"/>
              <w:rPr>
                <w:rFonts w:cs="Arial"/>
                <w:b/>
              </w:rPr>
            </w:pPr>
            <w:r w:rsidRPr="00B148F9">
              <w:rPr>
                <w:rFonts w:cs="Arial"/>
                <w:b/>
              </w:rPr>
              <w:t>Non-Financial KPIs</w:t>
            </w:r>
          </w:p>
        </w:tc>
        <w:tc>
          <w:tcPr>
            <w:tcW w:w="2375" w:type="dxa"/>
          </w:tcPr>
          <w:p w14:paraId="1534606C" w14:textId="77777777" w:rsidR="00B837B9" w:rsidRPr="00B148F9" w:rsidRDefault="00B837B9" w:rsidP="00B837B9">
            <w:pPr>
              <w:jc w:val="left"/>
              <w:rPr>
                <w:rFonts w:cs="Arial"/>
                <w:b/>
                <w:sz w:val="18"/>
                <w:szCs w:val="18"/>
              </w:rPr>
            </w:pPr>
          </w:p>
        </w:tc>
        <w:tc>
          <w:tcPr>
            <w:tcW w:w="2266" w:type="dxa"/>
          </w:tcPr>
          <w:p w14:paraId="1563BC58" w14:textId="77777777" w:rsidR="00B837B9" w:rsidRPr="00B148F9" w:rsidRDefault="00B837B9" w:rsidP="00B837B9">
            <w:pPr>
              <w:jc w:val="left"/>
              <w:rPr>
                <w:rFonts w:cs="Arial"/>
                <w:bCs/>
                <w:sz w:val="18"/>
                <w:szCs w:val="18"/>
              </w:rPr>
            </w:pPr>
          </w:p>
        </w:tc>
        <w:tc>
          <w:tcPr>
            <w:tcW w:w="2266" w:type="dxa"/>
          </w:tcPr>
          <w:p w14:paraId="2E3D3CC8" w14:textId="77777777" w:rsidR="00B837B9" w:rsidRPr="00B148F9" w:rsidRDefault="00B837B9" w:rsidP="00B837B9">
            <w:pPr>
              <w:jc w:val="left"/>
              <w:rPr>
                <w:rFonts w:cs="Arial"/>
                <w:bCs/>
                <w:sz w:val="18"/>
                <w:szCs w:val="18"/>
              </w:rPr>
            </w:pPr>
          </w:p>
        </w:tc>
      </w:tr>
      <w:tr w:rsidR="00B837B9" w:rsidRPr="00B148F9" w14:paraId="7C4D3625" w14:textId="77777777" w:rsidTr="00B837B9">
        <w:tc>
          <w:tcPr>
            <w:tcW w:w="2155" w:type="dxa"/>
          </w:tcPr>
          <w:p w14:paraId="1CE997EC" w14:textId="77777777" w:rsidR="00B837B9" w:rsidRPr="00B148F9" w:rsidRDefault="00B837B9" w:rsidP="00B837B9">
            <w:pPr>
              <w:jc w:val="right"/>
              <w:rPr>
                <w:rFonts w:cs="Arial"/>
                <w:bCs/>
              </w:rPr>
            </w:pPr>
            <w:r w:rsidRPr="00B148F9">
              <w:rPr>
                <w:rFonts w:cs="Arial"/>
                <w:bCs/>
              </w:rPr>
              <w:t>Diversified portfolio across geographies and therapeutic modalities</w:t>
            </w:r>
          </w:p>
        </w:tc>
        <w:tc>
          <w:tcPr>
            <w:tcW w:w="2375" w:type="dxa"/>
          </w:tcPr>
          <w:p w14:paraId="4875FCFE" w14:textId="77777777" w:rsidR="00B837B9" w:rsidRPr="00B148F9" w:rsidRDefault="00B837B9" w:rsidP="00B837B9">
            <w:pPr>
              <w:jc w:val="left"/>
              <w:rPr>
                <w:rFonts w:cs="Arial"/>
                <w:bCs/>
                <w:sz w:val="18"/>
                <w:szCs w:val="18"/>
              </w:rPr>
            </w:pPr>
            <w:r w:rsidRPr="00B148F9">
              <w:rPr>
                <w:rFonts w:cs="Arial"/>
                <w:bCs/>
                <w:sz w:val="18"/>
                <w:szCs w:val="18"/>
              </w:rPr>
              <w:t>Measures Company’s commitment to invest in the best-in-class science and innovative assets worldwide</w:t>
            </w:r>
          </w:p>
        </w:tc>
        <w:tc>
          <w:tcPr>
            <w:tcW w:w="2266" w:type="dxa"/>
          </w:tcPr>
          <w:p w14:paraId="71778851" w14:textId="77777777" w:rsidR="00B837B9" w:rsidRPr="00B148F9" w:rsidRDefault="00B837B9" w:rsidP="00B837B9">
            <w:pPr>
              <w:jc w:val="left"/>
              <w:rPr>
                <w:rFonts w:cs="Arial"/>
                <w:bCs/>
                <w:sz w:val="18"/>
                <w:szCs w:val="18"/>
              </w:rPr>
            </w:pPr>
            <w:r w:rsidRPr="00B148F9">
              <w:rPr>
                <w:rFonts w:cs="Arial"/>
                <w:bCs/>
                <w:sz w:val="18"/>
                <w:szCs w:val="18"/>
              </w:rPr>
              <w:t>Portfolio companies’ focus spans across multiple therapeutic areas, treatment modalities and geographies</w:t>
            </w:r>
          </w:p>
        </w:tc>
        <w:tc>
          <w:tcPr>
            <w:tcW w:w="2266" w:type="dxa"/>
          </w:tcPr>
          <w:p w14:paraId="11B588C9" w14:textId="5925AA4E" w:rsidR="00B837B9" w:rsidRPr="00B148F9" w:rsidRDefault="00B837B9" w:rsidP="00B837B9">
            <w:pPr>
              <w:jc w:val="left"/>
              <w:rPr>
                <w:rFonts w:cs="Arial"/>
                <w:bCs/>
                <w:sz w:val="18"/>
                <w:szCs w:val="18"/>
              </w:rPr>
            </w:pPr>
            <w:r w:rsidRPr="00B148F9">
              <w:rPr>
                <w:rFonts w:cs="Arial"/>
                <w:bCs/>
                <w:sz w:val="18"/>
                <w:szCs w:val="18"/>
              </w:rPr>
              <w:t>Continue to diversify within life sciences sector, looking for opportunities globally and also support local biotech ecosystems</w:t>
            </w:r>
          </w:p>
        </w:tc>
      </w:tr>
      <w:tr w:rsidR="00B837B9" w:rsidRPr="00B148F9" w14:paraId="4477F930" w14:textId="77777777" w:rsidTr="00B837B9">
        <w:tc>
          <w:tcPr>
            <w:tcW w:w="2155" w:type="dxa"/>
          </w:tcPr>
          <w:p w14:paraId="3923334F" w14:textId="77777777" w:rsidR="00B837B9" w:rsidRPr="00B148F9" w:rsidRDefault="00B837B9" w:rsidP="00B837B9">
            <w:pPr>
              <w:jc w:val="right"/>
              <w:rPr>
                <w:rFonts w:cs="Arial"/>
                <w:bCs/>
              </w:rPr>
            </w:pPr>
            <w:r w:rsidRPr="00B148F9">
              <w:rPr>
                <w:rFonts w:cs="Arial"/>
                <w:bCs/>
              </w:rPr>
              <w:t>Active and robust pipeline</w:t>
            </w:r>
          </w:p>
        </w:tc>
        <w:tc>
          <w:tcPr>
            <w:tcW w:w="2375" w:type="dxa"/>
          </w:tcPr>
          <w:p w14:paraId="16743FEF" w14:textId="77777777" w:rsidR="00B837B9" w:rsidRPr="00B148F9" w:rsidRDefault="00B837B9" w:rsidP="00B837B9">
            <w:pPr>
              <w:jc w:val="left"/>
              <w:rPr>
                <w:rFonts w:cs="Arial"/>
                <w:bCs/>
                <w:sz w:val="18"/>
                <w:szCs w:val="18"/>
              </w:rPr>
            </w:pPr>
            <w:r w:rsidRPr="00B148F9">
              <w:rPr>
                <w:rFonts w:cs="Arial"/>
                <w:bCs/>
                <w:sz w:val="18"/>
                <w:szCs w:val="18"/>
              </w:rPr>
              <w:t>Delivers transformational new treatments and medical devices to patients in need</w:t>
            </w:r>
          </w:p>
        </w:tc>
        <w:tc>
          <w:tcPr>
            <w:tcW w:w="2266" w:type="dxa"/>
          </w:tcPr>
          <w:p w14:paraId="04C56C53" w14:textId="77777777" w:rsidR="00B837B9" w:rsidRPr="00B148F9" w:rsidRDefault="00B837B9" w:rsidP="00B837B9">
            <w:pPr>
              <w:jc w:val="left"/>
              <w:rPr>
                <w:rFonts w:cs="Arial"/>
                <w:bCs/>
                <w:sz w:val="18"/>
                <w:szCs w:val="18"/>
              </w:rPr>
            </w:pPr>
            <w:r w:rsidRPr="00B148F9">
              <w:rPr>
                <w:rFonts w:cs="Arial"/>
                <w:bCs/>
                <w:sz w:val="18"/>
                <w:szCs w:val="18"/>
              </w:rPr>
              <w:t xml:space="preserve">14/18 programs are in clinical stage capturing a spectrum of early stage Phase 1 to late stage Pivotal </w:t>
            </w:r>
          </w:p>
        </w:tc>
        <w:tc>
          <w:tcPr>
            <w:tcW w:w="2266" w:type="dxa"/>
          </w:tcPr>
          <w:p w14:paraId="24D95DFB" w14:textId="77777777" w:rsidR="00B837B9" w:rsidRPr="00B148F9" w:rsidRDefault="00B837B9" w:rsidP="00B837B9">
            <w:pPr>
              <w:jc w:val="left"/>
              <w:rPr>
                <w:rFonts w:cs="Arial"/>
                <w:bCs/>
                <w:sz w:val="18"/>
                <w:szCs w:val="18"/>
              </w:rPr>
            </w:pPr>
            <w:r w:rsidRPr="00B148F9">
              <w:rPr>
                <w:rFonts w:cs="Arial"/>
                <w:bCs/>
                <w:sz w:val="18"/>
                <w:szCs w:val="18"/>
              </w:rPr>
              <w:t>Balance and breadth of the pipeline across all clinical stages</w:t>
            </w:r>
          </w:p>
          <w:p w14:paraId="41F73801" w14:textId="77777777" w:rsidR="00B837B9" w:rsidRPr="00B148F9" w:rsidRDefault="00B837B9" w:rsidP="00B837B9">
            <w:pPr>
              <w:jc w:val="left"/>
              <w:rPr>
                <w:rFonts w:cs="Arial"/>
                <w:bCs/>
                <w:sz w:val="18"/>
                <w:szCs w:val="18"/>
              </w:rPr>
            </w:pPr>
          </w:p>
          <w:p w14:paraId="442C65B1" w14:textId="77777777" w:rsidR="00B837B9" w:rsidRPr="00B148F9" w:rsidRDefault="00B837B9" w:rsidP="00B837B9">
            <w:pPr>
              <w:jc w:val="left"/>
              <w:rPr>
                <w:rFonts w:cs="Arial"/>
                <w:bCs/>
                <w:sz w:val="18"/>
                <w:szCs w:val="18"/>
              </w:rPr>
            </w:pPr>
            <w:r w:rsidRPr="00B148F9">
              <w:rPr>
                <w:rFonts w:cs="Arial"/>
                <w:bCs/>
                <w:sz w:val="18"/>
                <w:szCs w:val="18"/>
              </w:rPr>
              <w:t>Data readouts and progress through multiple clinical stages</w:t>
            </w:r>
          </w:p>
          <w:p w14:paraId="7645FD48" w14:textId="77777777" w:rsidR="00B837B9" w:rsidRPr="00B148F9" w:rsidRDefault="00B837B9" w:rsidP="00B837B9">
            <w:pPr>
              <w:jc w:val="left"/>
              <w:rPr>
                <w:rFonts w:cs="Arial"/>
                <w:bCs/>
                <w:sz w:val="18"/>
                <w:szCs w:val="18"/>
              </w:rPr>
            </w:pPr>
          </w:p>
          <w:p w14:paraId="7612A605" w14:textId="77777777" w:rsidR="00B837B9" w:rsidRPr="00B148F9" w:rsidRDefault="00B837B9" w:rsidP="00B837B9">
            <w:pPr>
              <w:jc w:val="left"/>
              <w:rPr>
                <w:rFonts w:cs="Arial"/>
                <w:bCs/>
                <w:sz w:val="18"/>
                <w:szCs w:val="18"/>
              </w:rPr>
            </w:pPr>
            <w:r w:rsidRPr="00B148F9">
              <w:rPr>
                <w:rFonts w:cs="Arial"/>
                <w:bCs/>
                <w:sz w:val="18"/>
                <w:szCs w:val="18"/>
              </w:rPr>
              <w:t>Commercial opportunity and competitive landscape</w:t>
            </w:r>
          </w:p>
        </w:tc>
      </w:tr>
    </w:tbl>
    <w:p w14:paraId="499F8B84" w14:textId="77777777" w:rsidR="00B837B9" w:rsidRPr="00B148F9" w:rsidRDefault="00B837B9" w:rsidP="00B837B9"/>
    <w:p w14:paraId="08B82212" w14:textId="77777777" w:rsidR="00B837B9" w:rsidRPr="00B148F9" w:rsidRDefault="00B837B9" w:rsidP="00B837B9">
      <w:pPr>
        <w:pStyle w:val="Heading5"/>
        <w:spacing w:after="240"/>
        <w:rPr>
          <w:rFonts w:ascii="Century Gothic" w:hAnsi="Century Gothic"/>
          <w:i/>
          <w:color w:val="auto"/>
        </w:rPr>
      </w:pPr>
      <w:r w:rsidRPr="00B148F9">
        <w:rPr>
          <w:rFonts w:ascii="Century Gothic" w:hAnsi="Century Gothic"/>
          <w:i/>
          <w:color w:val="auto"/>
        </w:rPr>
        <w:t>Market Capitalisation</w:t>
      </w:r>
    </w:p>
    <w:p w14:paraId="1AFFBB39" w14:textId="254769DA" w:rsidR="00B837B9" w:rsidRPr="00B148F9" w:rsidRDefault="00B837B9" w:rsidP="00B837B9">
      <w:r w:rsidRPr="00B148F9">
        <w:t>The market capitalisation grew from US$16</w:t>
      </w:r>
      <w:r w:rsidR="00997CE4" w:rsidRPr="00B148F9">
        <w:t>8</w:t>
      </w:r>
      <w:r w:rsidRPr="00B148F9">
        <w:t xml:space="preserve"> million to US$221 million during the period since IPO. This was driven by appreciation in the Company’s share price as there was no equity issuance. </w:t>
      </w:r>
    </w:p>
    <w:p w14:paraId="5FBE3366" w14:textId="77777777" w:rsidR="00B837B9" w:rsidRPr="00B148F9" w:rsidRDefault="00B837B9" w:rsidP="00B837B9"/>
    <w:p w14:paraId="1EC6CB04" w14:textId="77777777" w:rsidR="00B837B9" w:rsidRPr="00B148F9" w:rsidRDefault="00B837B9" w:rsidP="00B837B9">
      <w:pPr>
        <w:pStyle w:val="Heading5"/>
        <w:spacing w:before="0" w:after="240"/>
        <w:rPr>
          <w:rFonts w:ascii="Century Gothic" w:hAnsi="Century Gothic"/>
          <w:i/>
          <w:color w:val="auto"/>
        </w:rPr>
      </w:pPr>
      <w:r w:rsidRPr="00B148F9">
        <w:rPr>
          <w:rFonts w:ascii="Century Gothic" w:hAnsi="Century Gothic"/>
          <w:i/>
          <w:color w:val="auto"/>
        </w:rPr>
        <w:t>Share Price</w:t>
      </w:r>
    </w:p>
    <w:p w14:paraId="4B670EB3" w14:textId="3FB491FC" w:rsidR="00B837B9" w:rsidRPr="00B148F9" w:rsidRDefault="00B837B9" w:rsidP="00B837B9">
      <w:r w:rsidRPr="00B148F9">
        <w:t>The Company’s share price rose from US$1.0</w:t>
      </w:r>
      <w:r w:rsidR="00997CE4" w:rsidRPr="00B148F9">
        <w:t>4</w:t>
      </w:r>
      <w:r w:rsidRPr="00B148F9">
        <w:t xml:space="preserve"> to US$1.37 in the three months since IPO</w:t>
      </w:r>
      <w:r w:rsidR="00997CE4" w:rsidRPr="00B148F9">
        <w:t>,</w:t>
      </w:r>
      <w:r w:rsidRPr="00B148F9">
        <w:t xml:space="preserve"> reflecting high demand for the Company’s shares.</w:t>
      </w:r>
    </w:p>
    <w:p w14:paraId="4BABD659" w14:textId="77777777" w:rsidR="00B837B9" w:rsidRPr="00B148F9" w:rsidRDefault="00B837B9" w:rsidP="00B837B9"/>
    <w:p w14:paraId="1A4AEEB3" w14:textId="066C36B0" w:rsidR="00B837B9" w:rsidRPr="00B148F9" w:rsidRDefault="00A41811" w:rsidP="00B837B9">
      <w:pPr>
        <w:pStyle w:val="Heading5"/>
        <w:spacing w:before="0" w:after="240"/>
        <w:rPr>
          <w:rFonts w:ascii="Century Gothic" w:hAnsi="Century Gothic"/>
          <w:i/>
          <w:color w:val="auto"/>
        </w:rPr>
      </w:pPr>
      <w:r w:rsidRPr="00B148F9">
        <w:rPr>
          <w:rFonts w:ascii="Century Gothic" w:hAnsi="Century Gothic"/>
          <w:i/>
          <w:color w:val="auto"/>
        </w:rPr>
        <w:t xml:space="preserve">Ordinary </w:t>
      </w:r>
      <w:r w:rsidR="00B837B9" w:rsidRPr="00B148F9">
        <w:rPr>
          <w:rFonts w:ascii="Century Gothic" w:hAnsi="Century Gothic"/>
          <w:i/>
          <w:color w:val="auto"/>
        </w:rPr>
        <w:t>NAV</w:t>
      </w:r>
    </w:p>
    <w:p w14:paraId="47B3FEC0" w14:textId="1E165B05" w:rsidR="00B837B9" w:rsidRPr="00B148F9" w:rsidRDefault="00B837B9" w:rsidP="00B837B9">
      <w:r w:rsidRPr="00B148F9">
        <w:t>The</w:t>
      </w:r>
      <w:r w:rsidR="004A6DA1" w:rsidRPr="00B148F9">
        <w:t xml:space="preserve"> Ordinary</w:t>
      </w:r>
      <w:r w:rsidRPr="00B148F9">
        <w:t xml:space="preserve"> NAV of the Company grew from US$168</w:t>
      </w:r>
      <w:r w:rsidR="009D1083" w:rsidRPr="00B148F9">
        <w:t>.0</w:t>
      </w:r>
      <w:r w:rsidR="00257AC8" w:rsidRPr="00B148F9">
        <w:t xml:space="preserve"> </w:t>
      </w:r>
      <w:r w:rsidRPr="00B148F9">
        <w:t>million to US$20</w:t>
      </w:r>
      <w:r w:rsidR="009D1083" w:rsidRPr="00B148F9">
        <w:t>5.7</w:t>
      </w:r>
      <w:r w:rsidRPr="00B148F9">
        <w:t xml:space="preserve"> million since IPO. This growth was driven solely by growth in the value of the Company’s portfolio as there was no share issuance during this period. The main drivers of the valuation growth were </w:t>
      </w:r>
      <w:r w:rsidR="006B0097" w:rsidRPr="00B148F9">
        <w:t>p</w:t>
      </w:r>
      <w:r w:rsidRPr="00B148F9">
        <w:t>ortfolio</w:t>
      </w:r>
      <w:r w:rsidR="0031754F" w:rsidRPr="00B148F9">
        <w:t xml:space="preserve"> assets</w:t>
      </w:r>
      <w:r w:rsidRPr="00B148F9">
        <w:t xml:space="preserve"> </w:t>
      </w:r>
      <w:r w:rsidR="006B0097" w:rsidRPr="00B148F9">
        <w:t>unrealised g</w:t>
      </w:r>
      <w:r w:rsidRPr="00B148F9">
        <w:t xml:space="preserve">ains of </w:t>
      </w:r>
      <w:r w:rsidR="0031754F" w:rsidRPr="00B148F9">
        <w:t>59</w:t>
      </w:r>
      <w:r w:rsidR="00151D8C" w:rsidRPr="00B148F9">
        <w:t>.</w:t>
      </w:r>
      <w:r w:rsidR="00286D43" w:rsidRPr="00B148F9">
        <w:t>0</w:t>
      </w:r>
      <w:r w:rsidRPr="00B148F9">
        <w:t>%</w:t>
      </w:r>
      <w:r w:rsidR="006B0097" w:rsidRPr="00B148F9">
        <w:t xml:space="preserve"> and public p</w:t>
      </w:r>
      <w:r w:rsidRPr="00B148F9">
        <w:t xml:space="preserve">ortfolio </w:t>
      </w:r>
      <w:r w:rsidR="006B0097" w:rsidRPr="00B148F9">
        <w:t>r</w:t>
      </w:r>
      <w:r w:rsidRPr="00B148F9">
        <w:t xml:space="preserve">ealised </w:t>
      </w:r>
      <w:r w:rsidR="006B0097" w:rsidRPr="00B148F9">
        <w:t>g</w:t>
      </w:r>
      <w:r w:rsidRPr="00B148F9">
        <w:t xml:space="preserve">ains of </w:t>
      </w:r>
      <w:r w:rsidR="00151D8C" w:rsidRPr="00B148F9">
        <w:t>10.7</w:t>
      </w:r>
      <w:r w:rsidRPr="00B148F9">
        <w:t>%.</w:t>
      </w:r>
    </w:p>
    <w:p w14:paraId="5F40EEA7" w14:textId="77777777" w:rsidR="00B837B9" w:rsidRPr="00B148F9" w:rsidRDefault="00B837B9" w:rsidP="00B837B9"/>
    <w:p w14:paraId="591073E1" w14:textId="06E138A0" w:rsidR="00B837B9" w:rsidRPr="00B148F9" w:rsidRDefault="00B837B9" w:rsidP="00B837B9">
      <w:pPr>
        <w:pStyle w:val="Heading5"/>
        <w:spacing w:before="0" w:after="240"/>
        <w:rPr>
          <w:rFonts w:ascii="Century Gothic" w:hAnsi="Century Gothic"/>
          <w:i/>
          <w:color w:val="auto"/>
        </w:rPr>
      </w:pPr>
      <w:r w:rsidRPr="00B148F9">
        <w:rPr>
          <w:rFonts w:ascii="Century Gothic" w:hAnsi="Century Gothic"/>
          <w:i/>
          <w:color w:val="auto"/>
        </w:rPr>
        <w:t>NAV Per</w:t>
      </w:r>
      <w:r w:rsidR="0014419B" w:rsidRPr="00B148F9">
        <w:rPr>
          <w:rFonts w:ascii="Century Gothic" w:hAnsi="Century Gothic"/>
          <w:i/>
          <w:color w:val="auto"/>
        </w:rPr>
        <w:t xml:space="preserve"> Ordin</w:t>
      </w:r>
      <w:r w:rsidR="009E4330" w:rsidRPr="00B148F9">
        <w:rPr>
          <w:rFonts w:ascii="Century Gothic" w:hAnsi="Century Gothic"/>
          <w:i/>
          <w:color w:val="auto"/>
        </w:rPr>
        <w:t>ary</w:t>
      </w:r>
      <w:r w:rsidRPr="00B148F9">
        <w:rPr>
          <w:rFonts w:ascii="Century Gothic" w:hAnsi="Century Gothic"/>
          <w:i/>
          <w:color w:val="auto"/>
        </w:rPr>
        <w:t xml:space="preserve"> Share</w:t>
      </w:r>
    </w:p>
    <w:p w14:paraId="673A5833" w14:textId="0B53BB15" w:rsidR="00B837B9" w:rsidRPr="00B148F9" w:rsidRDefault="00B837B9" w:rsidP="00B837B9">
      <w:r w:rsidRPr="00B148F9">
        <w:t xml:space="preserve">The growth in NAV per </w:t>
      </w:r>
      <w:r w:rsidR="005E7B50" w:rsidRPr="00B148F9">
        <w:t>Ord</w:t>
      </w:r>
      <w:r w:rsidR="00784D7F" w:rsidRPr="00B148F9">
        <w:t xml:space="preserve">inary </w:t>
      </w:r>
      <w:r w:rsidRPr="00B148F9">
        <w:t>share was driven solely by the strong performance of the Company’s investment portfolio as the company did not issue or re-purchase shares during the period.</w:t>
      </w:r>
    </w:p>
    <w:p w14:paraId="44569816" w14:textId="77777777" w:rsidR="00B837B9" w:rsidRPr="00B148F9" w:rsidRDefault="00B837B9" w:rsidP="00B837B9">
      <w:pPr>
        <w:pStyle w:val="Heading5"/>
        <w:spacing w:before="0"/>
        <w:rPr>
          <w:rFonts w:ascii="Century Gothic" w:hAnsi="Century Gothic"/>
          <w:color w:val="auto"/>
        </w:rPr>
      </w:pPr>
    </w:p>
    <w:p w14:paraId="49154BA0" w14:textId="66279BBE" w:rsidR="00B837B9" w:rsidRPr="00B148F9" w:rsidRDefault="00B837B9" w:rsidP="00B837B9">
      <w:pPr>
        <w:pStyle w:val="Heading5"/>
        <w:spacing w:before="0" w:after="240"/>
        <w:rPr>
          <w:rFonts w:ascii="Century Gothic" w:hAnsi="Century Gothic"/>
          <w:i/>
          <w:color w:val="auto"/>
        </w:rPr>
      </w:pPr>
      <w:r w:rsidRPr="00B148F9">
        <w:rPr>
          <w:rFonts w:ascii="Century Gothic" w:hAnsi="Century Gothic"/>
          <w:i/>
          <w:color w:val="auto"/>
        </w:rPr>
        <w:t xml:space="preserve">Total Return to Shareholders Based on </w:t>
      </w:r>
      <w:r w:rsidR="00784D7F" w:rsidRPr="00B148F9">
        <w:rPr>
          <w:rFonts w:ascii="Century Gothic" w:hAnsi="Century Gothic"/>
          <w:i/>
          <w:color w:val="auto"/>
        </w:rPr>
        <w:t xml:space="preserve">Ordinary </w:t>
      </w:r>
      <w:r w:rsidRPr="00B148F9">
        <w:rPr>
          <w:rFonts w:ascii="Century Gothic" w:hAnsi="Century Gothic"/>
          <w:i/>
          <w:color w:val="auto"/>
        </w:rPr>
        <w:t>NAV</w:t>
      </w:r>
    </w:p>
    <w:p w14:paraId="5103057A" w14:textId="3B633D33" w:rsidR="00B837B9" w:rsidRPr="00B148F9" w:rsidRDefault="00B837B9" w:rsidP="00B837B9">
      <w:r w:rsidRPr="00B148F9">
        <w:t xml:space="preserve">The return of </w:t>
      </w:r>
      <w:r w:rsidR="002464A1" w:rsidRPr="00B148F9">
        <w:t>2</w:t>
      </w:r>
      <w:r w:rsidR="00997CE4" w:rsidRPr="00B148F9">
        <w:t>2</w:t>
      </w:r>
      <w:r w:rsidRPr="00B148F9">
        <w:t>% in</w:t>
      </w:r>
      <w:r w:rsidR="00FF511A" w:rsidRPr="00B148F9">
        <w:t xml:space="preserve"> less than</w:t>
      </w:r>
      <w:r w:rsidRPr="00B148F9">
        <w:t xml:space="preserve"> </w:t>
      </w:r>
      <w:r w:rsidR="007E75D6" w:rsidRPr="00B148F9">
        <w:t>a</w:t>
      </w:r>
      <w:r w:rsidRPr="00B148F9">
        <w:t xml:space="preserve"> </w:t>
      </w:r>
      <w:r w:rsidR="007E75D6" w:rsidRPr="00B148F9">
        <w:t>three-month</w:t>
      </w:r>
      <w:r w:rsidRPr="00B148F9">
        <w:t xml:space="preserve"> period since IPO was the result of strong portfolio performance </w:t>
      </w:r>
      <w:r w:rsidR="006374A4" w:rsidRPr="00B148F9">
        <w:t xml:space="preserve">and exceeded the pro-rated (approximate) 2% annual hurdle of 8% p.a. for the portfolio and triggered the payment of a Performance Allocation Amount to the Performance Allocation Share Class Fund.   </w:t>
      </w:r>
    </w:p>
    <w:p w14:paraId="7BF5F6AD" w14:textId="77777777" w:rsidR="00B837B9" w:rsidRPr="00B148F9" w:rsidRDefault="00B837B9" w:rsidP="00B837B9"/>
    <w:p w14:paraId="2605577D" w14:textId="77777777" w:rsidR="00B837B9" w:rsidRPr="00B148F9" w:rsidRDefault="00B837B9" w:rsidP="00B837B9">
      <w:pPr>
        <w:pStyle w:val="Heading5"/>
        <w:spacing w:before="0" w:after="240"/>
        <w:rPr>
          <w:rFonts w:ascii="Century Gothic" w:hAnsi="Century Gothic"/>
          <w:i/>
          <w:color w:val="auto"/>
        </w:rPr>
      </w:pPr>
      <w:r w:rsidRPr="00B148F9">
        <w:rPr>
          <w:rFonts w:ascii="Century Gothic" w:hAnsi="Century Gothic"/>
          <w:i/>
          <w:color w:val="auto"/>
        </w:rPr>
        <w:t>Total Return to Shareholders Based on Share Price</w:t>
      </w:r>
    </w:p>
    <w:p w14:paraId="35FA2E01" w14:textId="53472D24" w:rsidR="00B837B9" w:rsidRPr="00B148F9" w:rsidRDefault="00B837B9" w:rsidP="00B837B9">
      <w:r w:rsidRPr="00B148F9">
        <w:t xml:space="preserve">The return of </w:t>
      </w:r>
      <w:r w:rsidR="002464A1" w:rsidRPr="00B148F9">
        <w:t>3</w:t>
      </w:r>
      <w:r w:rsidRPr="00B148F9">
        <w:t xml:space="preserve">2% in </w:t>
      </w:r>
      <w:r w:rsidR="007E75D6" w:rsidRPr="00B148F9">
        <w:t>less than a</w:t>
      </w:r>
      <w:r w:rsidRPr="00B148F9">
        <w:t xml:space="preserve"> </w:t>
      </w:r>
      <w:r w:rsidR="007E75D6" w:rsidRPr="00B148F9">
        <w:t>three-month</w:t>
      </w:r>
      <w:r w:rsidRPr="00B148F9">
        <w:t xml:space="preserve"> period since IPO </w:t>
      </w:r>
      <w:r w:rsidR="006374A4" w:rsidRPr="00B148F9">
        <w:t>was the result of strong portfolio performance coupled with high demand for the Company’s shares which traded at a premium to net asset value throughout the period.</w:t>
      </w:r>
    </w:p>
    <w:p w14:paraId="11CF0FD9" w14:textId="47EE1943" w:rsidR="00B82CC4" w:rsidRPr="00B148F9" w:rsidRDefault="00B82CC4" w:rsidP="00B837B9"/>
    <w:p w14:paraId="144C00D3" w14:textId="49CEA6E1" w:rsidR="00B82CC4" w:rsidRPr="00B148F9" w:rsidRDefault="00B82CC4" w:rsidP="00B82CC4">
      <w:pPr>
        <w:spacing w:after="240"/>
        <w:rPr>
          <w:i/>
        </w:rPr>
      </w:pPr>
      <w:r w:rsidRPr="00B148F9">
        <w:rPr>
          <w:i/>
        </w:rPr>
        <w:t>Ongoing Charges</w:t>
      </w:r>
    </w:p>
    <w:p w14:paraId="130B6CEC" w14:textId="583BFEBE" w:rsidR="00B82CC4" w:rsidRPr="00B148F9" w:rsidRDefault="00B82CC4" w:rsidP="00B837B9">
      <w:r w:rsidRPr="00B148F9">
        <w:lastRenderedPageBreak/>
        <w:t xml:space="preserve">The Company’s ongoing charges ratio is </w:t>
      </w:r>
      <w:r w:rsidR="00361510" w:rsidRPr="00B148F9">
        <w:t>2</w:t>
      </w:r>
      <w:r w:rsidRPr="00B148F9">
        <w:t>%, calculated in accordance with the AIC recommended methodology, which excludes non-recurring costs and uses the average NAV in its calculation.</w:t>
      </w:r>
    </w:p>
    <w:p w14:paraId="33C10081" w14:textId="36573070" w:rsidR="00780DC6" w:rsidRPr="00B148F9" w:rsidRDefault="00780DC6" w:rsidP="00B837B9"/>
    <w:p w14:paraId="43B4FAEC" w14:textId="77777777" w:rsidR="00780DC6" w:rsidRPr="00B148F9" w:rsidRDefault="00780DC6" w:rsidP="00EE53BF">
      <w:pPr>
        <w:pStyle w:val="Heading3"/>
        <w:spacing w:after="0"/>
        <w:rPr>
          <w:rFonts w:ascii="Century Gothic" w:eastAsia="Times New Roman" w:hAnsi="Century Gothic" w:cs="Times New Roman"/>
          <w:b/>
          <w:bCs w:val="0"/>
          <w:kern w:val="0"/>
          <w:szCs w:val="20"/>
          <w:lang w:eastAsia="en-US"/>
        </w:rPr>
      </w:pPr>
      <w:r w:rsidRPr="00B148F9">
        <w:rPr>
          <w:rFonts w:ascii="Century Gothic" w:eastAsia="Times New Roman" w:hAnsi="Century Gothic" w:cs="Times New Roman"/>
          <w:b/>
          <w:bCs w:val="0"/>
          <w:kern w:val="0"/>
          <w:szCs w:val="20"/>
          <w:lang w:eastAsia="en-US"/>
        </w:rPr>
        <w:t>Principal Risks and Uncertainties</w:t>
      </w:r>
    </w:p>
    <w:p w14:paraId="110B02E8" w14:textId="77777777" w:rsidR="00780DC6" w:rsidRPr="00B148F9" w:rsidRDefault="00780DC6" w:rsidP="00780DC6"/>
    <w:p w14:paraId="6E7B4995" w14:textId="78F3A382" w:rsidR="00780DC6" w:rsidRPr="00B148F9" w:rsidRDefault="00780DC6" w:rsidP="00780DC6">
      <w:r w:rsidRPr="00B148F9">
        <w:t xml:space="preserve">Under the FCA’s Disclosure </w:t>
      </w:r>
      <w:r w:rsidR="004A6DA1" w:rsidRPr="00B148F9">
        <w:t xml:space="preserve">Guidance </w:t>
      </w:r>
      <w:r w:rsidRPr="00B148F9">
        <w:t>and Transparency Rules the Directors are required to identify the material risks to which the Company is exposed and the steps taken to mitigate those risks.</w:t>
      </w:r>
    </w:p>
    <w:p w14:paraId="0AC2C807" w14:textId="77777777" w:rsidR="00780DC6" w:rsidRPr="00B148F9" w:rsidRDefault="00780DC6" w:rsidP="00780DC6"/>
    <w:p w14:paraId="6D80616C" w14:textId="07602BF3" w:rsidR="00780DC6" w:rsidRPr="00B148F9" w:rsidRDefault="00780DC6" w:rsidP="00780DC6">
      <w:r w:rsidRPr="00B148F9">
        <w:t xml:space="preserve">The Company has five categories of risks in its risk register </w:t>
      </w:r>
      <w:r w:rsidR="005138C1" w:rsidRPr="00B148F9">
        <w:t>namely:</w:t>
      </w:r>
    </w:p>
    <w:p w14:paraId="712664DE" w14:textId="77777777" w:rsidR="00780DC6" w:rsidRPr="00B148F9" w:rsidRDefault="00780DC6" w:rsidP="00780DC6"/>
    <w:p w14:paraId="68F88392" w14:textId="77777777" w:rsidR="00780DC6" w:rsidRPr="00B148F9" w:rsidRDefault="00780DC6" w:rsidP="00A94612">
      <w:pPr>
        <w:pStyle w:val="ListParagraph"/>
        <w:numPr>
          <w:ilvl w:val="0"/>
          <w:numId w:val="31"/>
        </w:numPr>
      </w:pPr>
      <w:r w:rsidRPr="00B148F9">
        <w:t>Investment Risks</w:t>
      </w:r>
    </w:p>
    <w:p w14:paraId="20DC59AC" w14:textId="77777777" w:rsidR="00780DC6" w:rsidRPr="00B148F9" w:rsidRDefault="00780DC6" w:rsidP="00A94612">
      <w:pPr>
        <w:pStyle w:val="ListParagraph"/>
        <w:numPr>
          <w:ilvl w:val="0"/>
          <w:numId w:val="31"/>
        </w:numPr>
      </w:pPr>
      <w:r w:rsidRPr="00B148F9">
        <w:t>Operational Risks</w:t>
      </w:r>
    </w:p>
    <w:p w14:paraId="4068E8F6" w14:textId="77777777" w:rsidR="00780DC6" w:rsidRPr="00B148F9" w:rsidRDefault="00780DC6" w:rsidP="00A94612">
      <w:pPr>
        <w:pStyle w:val="ListParagraph"/>
        <w:numPr>
          <w:ilvl w:val="0"/>
          <w:numId w:val="31"/>
        </w:numPr>
      </w:pPr>
      <w:r w:rsidRPr="00B148F9">
        <w:t>Governance/Reputational Risks</w:t>
      </w:r>
    </w:p>
    <w:p w14:paraId="13BDF82A" w14:textId="77777777" w:rsidR="00780DC6" w:rsidRPr="00B148F9" w:rsidRDefault="00780DC6" w:rsidP="00A94612">
      <w:pPr>
        <w:pStyle w:val="ListParagraph"/>
        <w:numPr>
          <w:ilvl w:val="0"/>
          <w:numId w:val="31"/>
        </w:numPr>
      </w:pPr>
      <w:r w:rsidRPr="00B148F9">
        <w:t>External Risks</w:t>
      </w:r>
    </w:p>
    <w:p w14:paraId="79E63214" w14:textId="77777777" w:rsidR="00780DC6" w:rsidRPr="00B148F9" w:rsidRDefault="00780DC6" w:rsidP="00A94612">
      <w:pPr>
        <w:pStyle w:val="ListParagraph"/>
        <w:numPr>
          <w:ilvl w:val="0"/>
          <w:numId w:val="31"/>
        </w:numPr>
      </w:pPr>
      <w:r w:rsidRPr="00B148F9">
        <w:t>Emerging Risks</w:t>
      </w:r>
    </w:p>
    <w:p w14:paraId="0F1C2CC5" w14:textId="77777777" w:rsidR="00780DC6" w:rsidRPr="00B148F9" w:rsidRDefault="00780DC6" w:rsidP="00780DC6"/>
    <w:p w14:paraId="46EE2CA6" w14:textId="77777777" w:rsidR="00780DC6" w:rsidRPr="00B148F9" w:rsidRDefault="00780DC6" w:rsidP="00780DC6">
      <w:pPr>
        <w:jc w:val="left"/>
        <w:rPr>
          <w:rFonts w:cs="Arial"/>
          <w:b/>
        </w:rPr>
      </w:pPr>
    </w:p>
    <w:tbl>
      <w:tblPr>
        <w:tblStyle w:val="TableGrid"/>
        <w:tblW w:w="9085" w:type="dxa"/>
        <w:tblLook w:val="04A0" w:firstRow="1" w:lastRow="0" w:firstColumn="1" w:lastColumn="0" w:noHBand="0" w:noVBand="1"/>
      </w:tblPr>
      <w:tblGrid>
        <w:gridCol w:w="1845"/>
        <w:gridCol w:w="3249"/>
        <w:gridCol w:w="3991"/>
      </w:tblGrid>
      <w:tr w:rsidR="00780DC6" w:rsidRPr="00B148F9" w14:paraId="28A6D05A" w14:textId="77777777" w:rsidTr="00617322">
        <w:trPr>
          <w:trHeight w:val="1200"/>
        </w:trPr>
        <w:tc>
          <w:tcPr>
            <w:tcW w:w="1845" w:type="dxa"/>
            <w:noWrap/>
            <w:hideMark/>
          </w:tcPr>
          <w:p w14:paraId="3A33C727" w14:textId="77777777" w:rsidR="00780DC6" w:rsidRPr="00B148F9" w:rsidRDefault="00780DC6" w:rsidP="00780DC6">
            <w:pPr>
              <w:jc w:val="left"/>
              <w:rPr>
                <w:rFonts w:cs="Arial"/>
                <w:b/>
                <w:bCs/>
              </w:rPr>
            </w:pPr>
            <w:r w:rsidRPr="00B148F9">
              <w:rPr>
                <w:rFonts w:cs="Arial"/>
                <w:b/>
                <w:bCs/>
              </w:rPr>
              <w:t>RISK TYPE</w:t>
            </w:r>
          </w:p>
        </w:tc>
        <w:tc>
          <w:tcPr>
            <w:tcW w:w="3249" w:type="dxa"/>
            <w:noWrap/>
            <w:hideMark/>
          </w:tcPr>
          <w:p w14:paraId="6F6BFDC1" w14:textId="77777777" w:rsidR="00780DC6" w:rsidRPr="00B148F9" w:rsidRDefault="00780DC6" w:rsidP="00780DC6">
            <w:pPr>
              <w:jc w:val="left"/>
              <w:rPr>
                <w:rFonts w:cs="Arial"/>
                <w:b/>
                <w:bCs/>
              </w:rPr>
            </w:pPr>
            <w:r w:rsidRPr="00B148F9">
              <w:rPr>
                <w:rFonts w:cs="Arial"/>
                <w:b/>
                <w:bCs/>
              </w:rPr>
              <w:t>RISK DESCRIPTION</w:t>
            </w:r>
          </w:p>
        </w:tc>
        <w:tc>
          <w:tcPr>
            <w:tcW w:w="3991" w:type="dxa"/>
            <w:noWrap/>
            <w:hideMark/>
          </w:tcPr>
          <w:p w14:paraId="1CF2C61C" w14:textId="77777777" w:rsidR="00780DC6" w:rsidRPr="00B148F9" w:rsidRDefault="00780DC6" w:rsidP="00780DC6">
            <w:pPr>
              <w:jc w:val="left"/>
              <w:rPr>
                <w:rFonts w:cs="Arial"/>
                <w:b/>
                <w:bCs/>
              </w:rPr>
            </w:pPr>
            <w:r w:rsidRPr="00B148F9">
              <w:rPr>
                <w:rFonts w:cs="Arial"/>
                <w:b/>
                <w:bCs/>
              </w:rPr>
              <w:t>RISK CONTROL MEASURE</w:t>
            </w:r>
          </w:p>
        </w:tc>
      </w:tr>
      <w:tr w:rsidR="00780DC6" w:rsidRPr="00B148F9" w14:paraId="23C9DEFD" w14:textId="77777777" w:rsidTr="00617322">
        <w:trPr>
          <w:trHeight w:val="300"/>
        </w:trPr>
        <w:tc>
          <w:tcPr>
            <w:tcW w:w="1845" w:type="dxa"/>
            <w:noWrap/>
            <w:hideMark/>
          </w:tcPr>
          <w:p w14:paraId="2293DEAB" w14:textId="77777777" w:rsidR="00780DC6" w:rsidRPr="00B148F9" w:rsidRDefault="00780DC6" w:rsidP="00780DC6">
            <w:pPr>
              <w:jc w:val="left"/>
              <w:rPr>
                <w:rFonts w:cs="Arial"/>
                <w:b/>
                <w:bCs/>
              </w:rPr>
            </w:pPr>
            <w:r w:rsidRPr="00B148F9">
              <w:rPr>
                <w:rFonts w:cs="Arial"/>
                <w:b/>
                <w:bCs/>
              </w:rPr>
              <w:t>INVESTMENT</w:t>
            </w:r>
          </w:p>
        </w:tc>
        <w:tc>
          <w:tcPr>
            <w:tcW w:w="3249" w:type="dxa"/>
            <w:noWrap/>
            <w:hideMark/>
          </w:tcPr>
          <w:p w14:paraId="1DD21506" w14:textId="77777777" w:rsidR="00780DC6" w:rsidRPr="00B148F9" w:rsidRDefault="00780DC6" w:rsidP="00780DC6">
            <w:pPr>
              <w:jc w:val="left"/>
              <w:rPr>
                <w:rFonts w:cs="Arial"/>
                <w:b/>
                <w:bCs/>
              </w:rPr>
            </w:pPr>
            <w:r w:rsidRPr="00B148F9">
              <w:rPr>
                <w:rFonts w:cs="Arial"/>
                <w:b/>
                <w:bCs/>
              </w:rPr>
              <w:t> </w:t>
            </w:r>
          </w:p>
        </w:tc>
        <w:tc>
          <w:tcPr>
            <w:tcW w:w="3991" w:type="dxa"/>
            <w:noWrap/>
            <w:hideMark/>
          </w:tcPr>
          <w:p w14:paraId="1F7D44EC" w14:textId="77777777" w:rsidR="00780DC6" w:rsidRPr="00B148F9" w:rsidRDefault="00780DC6" w:rsidP="00780DC6">
            <w:pPr>
              <w:jc w:val="left"/>
              <w:rPr>
                <w:rFonts w:cs="Arial"/>
                <w:b/>
                <w:bCs/>
              </w:rPr>
            </w:pPr>
            <w:r w:rsidRPr="00B148F9">
              <w:rPr>
                <w:rFonts w:cs="Arial"/>
                <w:b/>
                <w:bCs/>
              </w:rPr>
              <w:t> </w:t>
            </w:r>
          </w:p>
        </w:tc>
      </w:tr>
      <w:tr w:rsidR="00780DC6" w:rsidRPr="00B148F9" w14:paraId="404870B8" w14:textId="77777777" w:rsidTr="00617322">
        <w:trPr>
          <w:trHeight w:val="1665"/>
        </w:trPr>
        <w:tc>
          <w:tcPr>
            <w:tcW w:w="1845" w:type="dxa"/>
            <w:hideMark/>
          </w:tcPr>
          <w:p w14:paraId="127C4DCE" w14:textId="77777777" w:rsidR="00780DC6" w:rsidRPr="00B148F9" w:rsidRDefault="00780DC6" w:rsidP="00780DC6">
            <w:pPr>
              <w:jc w:val="left"/>
              <w:rPr>
                <w:rFonts w:cs="Arial"/>
                <w:bCs/>
              </w:rPr>
            </w:pPr>
            <w:r w:rsidRPr="00B148F9">
              <w:rPr>
                <w:rFonts w:cs="Arial"/>
                <w:bCs/>
              </w:rPr>
              <w:t>Failure to achieve investment</w:t>
            </w:r>
            <w:r w:rsidRPr="00B148F9">
              <w:rPr>
                <w:rFonts w:cs="Arial"/>
                <w:bCs/>
              </w:rPr>
              <w:br/>
              <w:t>objective</w:t>
            </w:r>
          </w:p>
        </w:tc>
        <w:tc>
          <w:tcPr>
            <w:tcW w:w="3249" w:type="dxa"/>
            <w:hideMark/>
          </w:tcPr>
          <w:p w14:paraId="45C18CA9" w14:textId="77777777" w:rsidR="00780DC6" w:rsidRPr="00B148F9" w:rsidRDefault="00780DC6" w:rsidP="00780DC6">
            <w:pPr>
              <w:jc w:val="left"/>
              <w:rPr>
                <w:rFonts w:cs="Arial"/>
              </w:rPr>
            </w:pPr>
            <w:r w:rsidRPr="00B148F9">
              <w:rPr>
                <w:rFonts w:cs="Arial"/>
              </w:rPr>
              <w:t>The Company’s target return on net assets is not</w:t>
            </w:r>
            <w:r w:rsidRPr="00B148F9">
              <w:rPr>
                <w:rFonts w:cs="Arial"/>
              </w:rPr>
              <w:br/>
              <w:t>guaranteed and may not be achieved.</w:t>
            </w:r>
          </w:p>
        </w:tc>
        <w:tc>
          <w:tcPr>
            <w:tcW w:w="3991" w:type="dxa"/>
            <w:hideMark/>
          </w:tcPr>
          <w:p w14:paraId="2D3E0B68" w14:textId="77777777" w:rsidR="00780DC6" w:rsidRPr="00B148F9" w:rsidRDefault="00780DC6" w:rsidP="00780DC6">
            <w:pPr>
              <w:jc w:val="left"/>
              <w:rPr>
                <w:rFonts w:cs="Arial"/>
              </w:rPr>
            </w:pPr>
            <w:r w:rsidRPr="00B148F9">
              <w:rPr>
                <w:rFonts w:cs="Arial"/>
              </w:rPr>
              <w:t>The Board will monitor and supervise the Company’s</w:t>
            </w:r>
            <w:r w:rsidRPr="00B148F9">
              <w:rPr>
                <w:rFonts w:cs="Arial"/>
              </w:rPr>
              <w:br/>
              <w:t>performance, compared to the target return, similar</w:t>
            </w:r>
            <w:r w:rsidRPr="00B148F9">
              <w:rPr>
                <w:rFonts w:cs="Arial"/>
              </w:rPr>
              <w:br/>
              <w:t>investment funds and broader market conditions. Where</w:t>
            </w:r>
            <w:r w:rsidRPr="00B148F9">
              <w:rPr>
                <w:rFonts w:cs="Arial"/>
              </w:rPr>
              <w:br/>
              <w:t>performance is unsatisfactory, the Board will discuss the</w:t>
            </w:r>
            <w:r w:rsidRPr="00B148F9">
              <w:rPr>
                <w:rFonts w:cs="Arial"/>
              </w:rPr>
              <w:br/>
              <w:t xml:space="preserve">appropriate response with the Investment Manager. </w:t>
            </w:r>
          </w:p>
        </w:tc>
      </w:tr>
      <w:tr w:rsidR="00780DC6" w:rsidRPr="00B148F9" w14:paraId="04F025D8" w14:textId="77777777" w:rsidTr="00617322">
        <w:trPr>
          <w:trHeight w:val="300"/>
        </w:trPr>
        <w:tc>
          <w:tcPr>
            <w:tcW w:w="1845" w:type="dxa"/>
            <w:noWrap/>
            <w:hideMark/>
          </w:tcPr>
          <w:p w14:paraId="361917D0" w14:textId="77777777" w:rsidR="00780DC6" w:rsidRPr="00B148F9" w:rsidRDefault="00780DC6" w:rsidP="00780DC6">
            <w:pPr>
              <w:jc w:val="left"/>
              <w:rPr>
                <w:rFonts w:cs="Arial"/>
                <w:b/>
                <w:bCs/>
              </w:rPr>
            </w:pPr>
            <w:r w:rsidRPr="00B148F9">
              <w:rPr>
                <w:rFonts w:cs="Arial"/>
                <w:b/>
                <w:bCs/>
              </w:rPr>
              <w:t>OPERATIONAL</w:t>
            </w:r>
          </w:p>
        </w:tc>
        <w:tc>
          <w:tcPr>
            <w:tcW w:w="3249" w:type="dxa"/>
            <w:noWrap/>
            <w:hideMark/>
          </w:tcPr>
          <w:p w14:paraId="7BB35FA6" w14:textId="77777777" w:rsidR="00780DC6" w:rsidRPr="00B148F9" w:rsidRDefault="00780DC6" w:rsidP="00780DC6">
            <w:pPr>
              <w:jc w:val="left"/>
              <w:rPr>
                <w:rFonts w:cs="Arial"/>
                <w:b/>
                <w:bCs/>
              </w:rPr>
            </w:pPr>
            <w:r w:rsidRPr="00B148F9">
              <w:rPr>
                <w:rFonts w:cs="Arial"/>
                <w:b/>
                <w:bCs/>
              </w:rPr>
              <w:t> </w:t>
            </w:r>
          </w:p>
        </w:tc>
        <w:tc>
          <w:tcPr>
            <w:tcW w:w="3991" w:type="dxa"/>
            <w:noWrap/>
            <w:hideMark/>
          </w:tcPr>
          <w:p w14:paraId="2B696262" w14:textId="77777777" w:rsidR="00780DC6" w:rsidRPr="00B148F9" w:rsidRDefault="00780DC6" w:rsidP="00780DC6">
            <w:pPr>
              <w:jc w:val="left"/>
              <w:rPr>
                <w:rFonts w:cs="Arial"/>
                <w:b/>
                <w:bCs/>
              </w:rPr>
            </w:pPr>
            <w:r w:rsidRPr="00B148F9">
              <w:rPr>
                <w:rFonts w:cs="Arial"/>
                <w:b/>
                <w:bCs/>
              </w:rPr>
              <w:t> </w:t>
            </w:r>
          </w:p>
        </w:tc>
      </w:tr>
      <w:tr w:rsidR="00780DC6" w:rsidRPr="00B148F9" w14:paraId="595EA0C2" w14:textId="77777777" w:rsidTr="00617322">
        <w:trPr>
          <w:trHeight w:val="557"/>
        </w:trPr>
        <w:tc>
          <w:tcPr>
            <w:tcW w:w="1845" w:type="dxa"/>
            <w:hideMark/>
          </w:tcPr>
          <w:p w14:paraId="0BE87396" w14:textId="77777777" w:rsidR="00780DC6" w:rsidRPr="00B148F9" w:rsidRDefault="00780DC6" w:rsidP="00780DC6">
            <w:pPr>
              <w:jc w:val="left"/>
              <w:rPr>
                <w:rFonts w:cs="Arial"/>
                <w:bCs/>
              </w:rPr>
            </w:pPr>
            <w:r w:rsidRPr="00B148F9">
              <w:rPr>
                <w:rFonts w:cs="Arial"/>
                <w:bCs/>
              </w:rPr>
              <w:t>Counterparty Risk</w:t>
            </w:r>
          </w:p>
        </w:tc>
        <w:tc>
          <w:tcPr>
            <w:tcW w:w="3249" w:type="dxa"/>
            <w:hideMark/>
          </w:tcPr>
          <w:p w14:paraId="5B452E9B" w14:textId="6869D3F8" w:rsidR="00780DC6" w:rsidRPr="00B148F9" w:rsidRDefault="00780DC6" w:rsidP="00780DC6">
            <w:pPr>
              <w:jc w:val="left"/>
              <w:rPr>
                <w:rFonts w:cs="Arial"/>
              </w:rPr>
            </w:pPr>
            <w:r w:rsidRPr="00B148F9">
              <w:rPr>
                <w:rFonts w:cs="Arial"/>
              </w:rPr>
              <w:t xml:space="preserve">The Company has the potential to be exposed to the creditworthiness of trading counterparties in OTC derivatives contracts, its prime broker in the event of re-hypothecation of its investments and any counterparty where collateral or cash margin is provided </w:t>
            </w:r>
            <w:r w:rsidR="00527AB0" w:rsidRPr="00B148F9">
              <w:rPr>
                <w:rFonts w:cs="Arial"/>
              </w:rPr>
              <w:t>or where cash is deposited</w:t>
            </w:r>
            <w:r w:rsidRPr="00B148F9">
              <w:rPr>
                <w:rFonts w:cs="Arial"/>
              </w:rPr>
              <w:t xml:space="preserve"> in the normal course of business.</w:t>
            </w:r>
          </w:p>
          <w:p w14:paraId="6FA70A18" w14:textId="77777777" w:rsidR="00780DC6" w:rsidRPr="00B148F9" w:rsidRDefault="00780DC6" w:rsidP="00780DC6">
            <w:pPr>
              <w:jc w:val="left"/>
              <w:rPr>
                <w:rFonts w:cs="Arial"/>
              </w:rPr>
            </w:pPr>
          </w:p>
        </w:tc>
        <w:tc>
          <w:tcPr>
            <w:tcW w:w="3991" w:type="dxa"/>
            <w:hideMark/>
          </w:tcPr>
          <w:p w14:paraId="763B3B4B" w14:textId="75BAF045" w:rsidR="00780DC6" w:rsidRPr="00B148F9" w:rsidRDefault="00780DC6" w:rsidP="00FF2A82">
            <w:pPr>
              <w:jc w:val="left"/>
              <w:rPr>
                <w:rFonts w:cs="Arial"/>
              </w:rPr>
            </w:pPr>
            <w:r w:rsidRPr="00B148F9">
              <w:rPr>
                <w:rFonts w:cs="Arial"/>
              </w:rPr>
              <w:t xml:space="preserve">The Company uses Goldman Sachs as a prime broker </w:t>
            </w:r>
            <w:r w:rsidR="00D666DE" w:rsidRPr="00B148F9">
              <w:rPr>
                <w:rFonts w:cs="Arial"/>
              </w:rPr>
              <w:t xml:space="preserve">and </w:t>
            </w:r>
            <w:r w:rsidRPr="00B148F9">
              <w:rPr>
                <w:rFonts w:cs="Arial"/>
              </w:rPr>
              <w:t>Cowen as an ISDA counterparty. To monitor counterparty risk, the Investment Manager monitors fluctuations in share prices, per</w:t>
            </w:r>
            <w:r w:rsidR="009B1A29">
              <w:rPr>
                <w:rFonts w:cs="Arial"/>
              </w:rPr>
              <w:t xml:space="preserve"> </w:t>
            </w:r>
            <w:r w:rsidRPr="00B148F9">
              <w:rPr>
                <w:rFonts w:cs="Arial"/>
              </w:rPr>
              <w:t>cent change day/month/year and 5-year CDS spreads, and S&amp;P credit ratings. If a share price moves up or down in excess of 20 per cent</w:t>
            </w:r>
            <w:r w:rsidR="009B1A29">
              <w:rPr>
                <w:rFonts w:cs="Arial"/>
              </w:rPr>
              <w:t>.</w:t>
            </w:r>
            <w:r w:rsidRPr="00B148F9">
              <w:rPr>
                <w:rFonts w:cs="Arial"/>
              </w:rPr>
              <w:t>, the trader at the Investment Manager is alerted immediately. In case of an alert, the trader notifies Chief Compliance Officer. There has been no disruption in operations with the prime broker.</w:t>
            </w:r>
            <w:r w:rsidR="00527AB0" w:rsidRPr="00B148F9">
              <w:rPr>
                <w:rFonts w:cs="Arial"/>
              </w:rPr>
              <w:t xml:space="preserve">  The Company’s bankers are an offshore subsidiary of Barclays Bank PLC</w:t>
            </w:r>
            <w:r w:rsidR="007F3457" w:rsidRPr="00B148F9">
              <w:rPr>
                <w:rFonts w:cs="Arial"/>
              </w:rPr>
              <w:t xml:space="preserve"> and the </w:t>
            </w:r>
            <w:r w:rsidR="007405DA" w:rsidRPr="00B148F9">
              <w:rPr>
                <w:rFonts w:cs="Arial"/>
              </w:rPr>
              <w:t>B</w:t>
            </w:r>
            <w:r w:rsidR="007F3457" w:rsidRPr="00B148F9">
              <w:rPr>
                <w:rFonts w:cs="Arial"/>
              </w:rPr>
              <w:t xml:space="preserve">oard has asked the </w:t>
            </w:r>
            <w:r w:rsidR="007405DA" w:rsidRPr="00B148F9">
              <w:rPr>
                <w:rFonts w:cs="Arial"/>
              </w:rPr>
              <w:t>I</w:t>
            </w:r>
            <w:r w:rsidR="007F3457" w:rsidRPr="00B148F9">
              <w:rPr>
                <w:rFonts w:cs="Arial"/>
              </w:rPr>
              <w:t xml:space="preserve">nvestment </w:t>
            </w:r>
            <w:r w:rsidR="007405DA" w:rsidRPr="00B148F9">
              <w:rPr>
                <w:rFonts w:cs="Arial"/>
              </w:rPr>
              <w:t>M</w:t>
            </w:r>
            <w:r w:rsidR="007F3457" w:rsidRPr="00B148F9">
              <w:rPr>
                <w:rFonts w:cs="Arial"/>
              </w:rPr>
              <w:t>anager to include Barclays in its CDS monitoring program.</w:t>
            </w:r>
          </w:p>
        </w:tc>
      </w:tr>
      <w:tr w:rsidR="00780DC6" w:rsidRPr="00B148F9" w14:paraId="372A703A" w14:textId="77777777" w:rsidTr="00617322">
        <w:trPr>
          <w:trHeight w:val="300"/>
        </w:trPr>
        <w:tc>
          <w:tcPr>
            <w:tcW w:w="1845" w:type="dxa"/>
            <w:noWrap/>
            <w:hideMark/>
          </w:tcPr>
          <w:p w14:paraId="1E4A1DB4" w14:textId="77777777" w:rsidR="00780DC6" w:rsidRPr="00B148F9" w:rsidRDefault="00780DC6" w:rsidP="00780DC6">
            <w:pPr>
              <w:jc w:val="left"/>
              <w:rPr>
                <w:rFonts w:cs="Arial"/>
                <w:b/>
                <w:bCs/>
              </w:rPr>
            </w:pPr>
            <w:r w:rsidRPr="00B148F9">
              <w:rPr>
                <w:rFonts w:cs="Arial"/>
                <w:b/>
                <w:bCs/>
              </w:rPr>
              <w:t>GOVERNANCE/</w:t>
            </w:r>
            <w:r w:rsidRPr="00B148F9">
              <w:rPr>
                <w:rFonts w:cs="Arial"/>
                <w:b/>
                <w:bCs/>
              </w:rPr>
              <w:br/>
              <w:t>REPUTATIONAL</w:t>
            </w:r>
          </w:p>
        </w:tc>
        <w:tc>
          <w:tcPr>
            <w:tcW w:w="3249" w:type="dxa"/>
            <w:noWrap/>
            <w:hideMark/>
          </w:tcPr>
          <w:p w14:paraId="1C623319" w14:textId="77777777" w:rsidR="00780DC6" w:rsidRPr="00B148F9" w:rsidRDefault="00780DC6" w:rsidP="00780DC6">
            <w:pPr>
              <w:jc w:val="left"/>
              <w:rPr>
                <w:rFonts w:cs="Arial"/>
                <w:b/>
                <w:bCs/>
              </w:rPr>
            </w:pPr>
            <w:r w:rsidRPr="00B148F9">
              <w:rPr>
                <w:rFonts w:cs="Arial"/>
                <w:b/>
                <w:bCs/>
              </w:rPr>
              <w:t> </w:t>
            </w:r>
          </w:p>
        </w:tc>
        <w:tc>
          <w:tcPr>
            <w:tcW w:w="3991" w:type="dxa"/>
            <w:noWrap/>
            <w:hideMark/>
          </w:tcPr>
          <w:p w14:paraId="7E4EFC1A" w14:textId="77777777" w:rsidR="00780DC6" w:rsidRPr="00B148F9" w:rsidRDefault="00780DC6" w:rsidP="00780DC6">
            <w:pPr>
              <w:jc w:val="left"/>
              <w:rPr>
                <w:rFonts w:cs="Arial"/>
                <w:b/>
                <w:bCs/>
              </w:rPr>
            </w:pPr>
            <w:r w:rsidRPr="00B148F9">
              <w:rPr>
                <w:rFonts w:cs="Arial"/>
                <w:b/>
                <w:bCs/>
              </w:rPr>
              <w:t> </w:t>
            </w:r>
          </w:p>
        </w:tc>
      </w:tr>
      <w:tr w:rsidR="00780DC6" w:rsidRPr="00B148F9" w14:paraId="578AA4F3" w14:textId="77777777" w:rsidTr="00617322">
        <w:trPr>
          <w:trHeight w:val="2160"/>
        </w:trPr>
        <w:tc>
          <w:tcPr>
            <w:tcW w:w="1845" w:type="dxa"/>
            <w:hideMark/>
          </w:tcPr>
          <w:p w14:paraId="7220216E" w14:textId="3E00FBD1" w:rsidR="00780DC6" w:rsidRPr="00B148F9" w:rsidRDefault="00780DC6" w:rsidP="00780DC6">
            <w:pPr>
              <w:jc w:val="left"/>
              <w:rPr>
                <w:rFonts w:cs="Arial"/>
                <w:bCs/>
              </w:rPr>
            </w:pPr>
            <w:r w:rsidRPr="00B148F9">
              <w:rPr>
                <w:rFonts w:cs="Arial"/>
                <w:bCs/>
              </w:rPr>
              <w:lastRenderedPageBreak/>
              <w:t xml:space="preserve">The </w:t>
            </w:r>
            <w:r w:rsidR="005138C1" w:rsidRPr="00B148F9">
              <w:rPr>
                <w:rFonts w:cs="Arial"/>
                <w:bCs/>
              </w:rPr>
              <w:t>Investment</w:t>
            </w:r>
            <w:r w:rsidRPr="00B148F9">
              <w:rPr>
                <w:rFonts w:cs="Arial"/>
                <w:bCs/>
              </w:rPr>
              <w:t xml:space="preserve"> Manager relies on key </w:t>
            </w:r>
            <w:r w:rsidR="005138C1" w:rsidRPr="00B148F9">
              <w:rPr>
                <w:rFonts w:cs="Arial"/>
                <w:bCs/>
              </w:rPr>
              <w:t>personnel</w:t>
            </w:r>
          </w:p>
        </w:tc>
        <w:tc>
          <w:tcPr>
            <w:tcW w:w="3249" w:type="dxa"/>
            <w:hideMark/>
          </w:tcPr>
          <w:p w14:paraId="55AF7A49" w14:textId="592F4314" w:rsidR="00780DC6" w:rsidRPr="00B148F9" w:rsidRDefault="00780DC6" w:rsidP="00780DC6">
            <w:pPr>
              <w:jc w:val="left"/>
              <w:rPr>
                <w:rFonts w:cs="Arial"/>
              </w:rPr>
            </w:pPr>
            <w:r w:rsidRPr="00B148F9">
              <w:rPr>
                <w:rFonts w:cs="Arial"/>
              </w:rPr>
              <w:t>The Investment Manager relies on the founder of RTW</w:t>
            </w:r>
            <w:r w:rsidR="005138C1" w:rsidRPr="00B148F9">
              <w:rPr>
                <w:rFonts w:cs="Arial"/>
              </w:rPr>
              <w:t>,</w:t>
            </w:r>
            <w:r w:rsidRPr="00B148F9">
              <w:rPr>
                <w:rFonts w:cs="Arial"/>
              </w:rPr>
              <w:t xml:space="preserve"> R</w:t>
            </w:r>
            <w:r w:rsidR="005138C1" w:rsidRPr="00B148F9">
              <w:rPr>
                <w:rFonts w:cs="Arial"/>
              </w:rPr>
              <w:t>oderick</w:t>
            </w:r>
            <w:r w:rsidRPr="00B148F9">
              <w:rPr>
                <w:rFonts w:cs="Arial"/>
              </w:rPr>
              <w:t xml:space="preserve"> Wong M.D. and has a small team. </w:t>
            </w:r>
            <w:r w:rsidR="00A125BA" w:rsidRPr="00B148F9">
              <w:rPr>
                <w:rFonts w:cs="Arial"/>
              </w:rPr>
              <w:t>Roderick</w:t>
            </w:r>
            <w:r w:rsidRPr="00B148F9">
              <w:rPr>
                <w:rFonts w:cs="Arial"/>
              </w:rPr>
              <w:t xml:space="preserve"> Wong is a key figure at the Investment Manager, and will be extensively involved in investment decisions</w:t>
            </w:r>
            <w:r w:rsidR="00D565C7" w:rsidRPr="00B148F9">
              <w:rPr>
                <w:rFonts w:cs="Arial"/>
              </w:rPr>
              <w:t>.</w:t>
            </w:r>
          </w:p>
        </w:tc>
        <w:tc>
          <w:tcPr>
            <w:tcW w:w="3991" w:type="dxa"/>
            <w:hideMark/>
          </w:tcPr>
          <w:p w14:paraId="47F33024" w14:textId="2ABA0D14" w:rsidR="00780DC6" w:rsidRPr="00B148F9" w:rsidRDefault="00780DC6" w:rsidP="00780DC6">
            <w:pPr>
              <w:jc w:val="left"/>
              <w:rPr>
                <w:rFonts w:cs="Arial"/>
              </w:rPr>
            </w:pPr>
            <w:r w:rsidRPr="00B148F9">
              <w:rPr>
                <w:rFonts w:cs="Arial"/>
              </w:rPr>
              <w:t xml:space="preserve">In the event that </w:t>
            </w:r>
            <w:r w:rsidR="00A125BA" w:rsidRPr="00B148F9">
              <w:rPr>
                <w:rFonts w:cs="Arial"/>
              </w:rPr>
              <w:t>Roderick</w:t>
            </w:r>
            <w:r w:rsidR="00464AA9" w:rsidRPr="00B148F9">
              <w:rPr>
                <w:rFonts w:cs="Arial"/>
              </w:rPr>
              <w:t xml:space="preserve"> </w:t>
            </w:r>
            <w:r w:rsidRPr="00B148F9">
              <w:rPr>
                <w:rFonts w:cs="Arial"/>
              </w:rPr>
              <w:t>Wong was to no longer work for the Investment Manager</w:t>
            </w:r>
            <w:r w:rsidR="00464AA9" w:rsidRPr="00B148F9">
              <w:rPr>
                <w:rFonts w:cs="Arial"/>
              </w:rPr>
              <w:t xml:space="preserve"> or is incapacitated</w:t>
            </w:r>
            <w:r w:rsidRPr="00B148F9">
              <w:rPr>
                <w:rFonts w:cs="Arial"/>
              </w:rPr>
              <w:t xml:space="preserve">, the </w:t>
            </w:r>
            <w:r w:rsidR="00464AA9" w:rsidRPr="00B148F9">
              <w:rPr>
                <w:rFonts w:cs="Arial"/>
              </w:rPr>
              <w:t>Board is</w:t>
            </w:r>
            <w:r w:rsidRPr="00B148F9">
              <w:rPr>
                <w:rFonts w:cs="Arial"/>
              </w:rPr>
              <w:t xml:space="preserve"> able to terminate the Investment Management Agreement with</w:t>
            </w:r>
            <w:r w:rsidR="00464AA9" w:rsidRPr="00B148F9">
              <w:rPr>
                <w:rFonts w:cs="Arial"/>
              </w:rPr>
              <w:t>in 180 days if a suitable replacement has not been found</w:t>
            </w:r>
            <w:r w:rsidR="00617322" w:rsidRPr="00B148F9">
              <w:rPr>
                <w:rFonts w:cs="Arial"/>
              </w:rPr>
              <w:t xml:space="preserve"> </w:t>
            </w:r>
            <w:r w:rsidRPr="00B148F9">
              <w:rPr>
                <w:rFonts w:cs="Arial"/>
              </w:rPr>
              <w:t>and will consider whether it is appropriate to</w:t>
            </w:r>
            <w:r w:rsidR="00617322" w:rsidRPr="00B148F9">
              <w:rPr>
                <w:rFonts w:cs="Arial"/>
              </w:rPr>
              <w:t xml:space="preserve"> </w:t>
            </w:r>
            <w:r w:rsidR="00464AA9" w:rsidRPr="00B148F9">
              <w:rPr>
                <w:rFonts w:cs="Arial"/>
              </w:rPr>
              <w:t>wind up</w:t>
            </w:r>
            <w:r w:rsidRPr="00B148F9">
              <w:rPr>
                <w:rFonts w:cs="Arial"/>
              </w:rPr>
              <w:t xml:space="preserve"> the Company and return capital to shareholders, or to appoint a new Investment Manager.</w:t>
            </w:r>
          </w:p>
        </w:tc>
      </w:tr>
      <w:tr w:rsidR="00780DC6" w:rsidRPr="00B148F9" w14:paraId="4E3DC57A" w14:textId="77777777" w:rsidTr="00617322">
        <w:trPr>
          <w:trHeight w:val="300"/>
        </w:trPr>
        <w:tc>
          <w:tcPr>
            <w:tcW w:w="1845" w:type="dxa"/>
            <w:noWrap/>
            <w:hideMark/>
          </w:tcPr>
          <w:p w14:paraId="7CE6F03D" w14:textId="77777777" w:rsidR="00780DC6" w:rsidRPr="00B148F9" w:rsidRDefault="00780DC6" w:rsidP="00780DC6">
            <w:pPr>
              <w:jc w:val="left"/>
              <w:rPr>
                <w:rFonts w:cs="Arial"/>
                <w:b/>
                <w:bCs/>
              </w:rPr>
            </w:pPr>
            <w:r w:rsidRPr="00B148F9">
              <w:rPr>
                <w:rFonts w:cs="Arial"/>
                <w:b/>
                <w:bCs/>
              </w:rPr>
              <w:t>EXTERNAL RISKS</w:t>
            </w:r>
          </w:p>
        </w:tc>
        <w:tc>
          <w:tcPr>
            <w:tcW w:w="3249" w:type="dxa"/>
            <w:noWrap/>
            <w:hideMark/>
          </w:tcPr>
          <w:p w14:paraId="429B5EED" w14:textId="77777777" w:rsidR="00780DC6" w:rsidRPr="00B148F9" w:rsidRDefault="00780DC6" w:rsidP="00780DC6">
            <w:pPr>
              <w:jc w:val="left"/>
              <w:rPr>
                <w:rFonts w:cs="Arial"/>
                <w:b/>
                <w:bCs/>
              </w:rPr>
            </w:pPr>
            <w:r w:rsidRPr="00B148F9">
              <w:rPr>
                <w:rFonts w:cs="Arial"/>
                <w:b/>
                <w:bCs/>
              </w:rPr>
              <w:t> </w:t>
            </w:r>
          </w:p>
        </w:tc>
        <w:tc>
          <w:tcPr>
            <w:tcW w:w="3991" w:type="dxa"/>
            <w:noWrap/>
            <w:hideMark/>
          </w:tcPr>
          <w:p w14:paraId="5D959338" w14:textId="77777777" w:rsidR="00780DC6" w:rsidRPr="00B148F9" w:rsidRDefault="00780DC6" w:rsidP="00780DC6">
            <w:pPr>
              <w:jc w:val="left"/>
              <w:rPr>
                <w:rFonts w:cs="Arial"/>
                <w:b/>
                <w:bCs/>
              </w:rPr>
            </w:pPr>
            <w:r w:rsidRPr="00B148F9">
              <w:rPr>
                <w:rFonts w:cs="Arial"/>
                <w:b/>
                <w:bCs/>
              </w:rPr>
              <w:t> </w:t>
            </w:r>
          </w:p>
        </w:tc>
      </w:tr>
      <w:tr w:rsidR="00780DC6" w:rsidRPr="00B148F9" w14:paraId="1C48AB1C" w14:textId="77777777" w:rsidTr="00617322">
        <w:trPr>
          <w:trHeight w:val="1995"/>
        </w:trPr>
        <w:tc>
          <w:tcPr>
            <w:tcW w:w="1845" w:type="dxa"/>
            <w:hideMark/>
          </w:tcPr>
          <w:p w14:paraId="32CDB602" w14:textId="77777777" w:rsidR="00780DC6" w:rsidRPr="00B148F9" w:rsidRDefault="00780DC6" w:rsidP="00780DC6">
            <w:pPr>
              <w:jc w:val="left"/>
              <w:rPr>
                <w:rFonts w:cs="Arial"/>
                <w:bCs/>
              </w:rPr>
            </w:pPr>
            <w:r w:rsidRPr="00B148F9">
              <w:rPr>
                <w:rFonts w:cs="Arial"/>
                <w:bCs/>
              </w:rPr>
              <w:t>Exposure to global political and economic risks</w:t>
            </w:r>
          </w:p>
        </w:tc>
        <w:tc>
          <w:tcPr>
            <w:tcW w:w="3249" w:type="dxa"/>
            <w:hideMark/>
          </w:tcPr>
          <w:p w14:paraId="18CC38A8" w14:textId="77777777" w:rsidR="00780DC6" w:rsidRPr="00B148F9" w:rsidRDefault="00780DC6" w:rsidP="00780DC6">
            <w:pPr>
              <w:jc w:val="left"/>
              <w:rPr>
                <w:rFonts w:cs="Arial"/>
              </w:rPr>
            </w:pPr>
            <w:r w:rsidRPr="00B148F9">
              <w:rPr>
                <w:rFonts w:cs="Arial"/>
              </w:rPr>
              <w:t>It is anticipated approximately 75% of investments will be in US companies or licensing agreement with US institutions and 25% of investments will be made in other geographies. The Company’s investments will be exposed to foreign exchange, and global political, economic, and regulatory risks.</w:t>
            </w:r>
          </w:p>
        </w:tc>
        <w:tc>
          <w:tcPr>
            <w:tcW w:w="3991" w:type="dxa"/>
            <w:hideMark/>
          </w:tcPr>
          <w:p w14:paraId="6DA634E8" w14:textId="77777777" w:rsidR="00780DC6" w:rsidRPr="00B148F9" w:rsidRDefault="00780DC6" w:rsidP="00780DC6">
            <w:pPr>
              <w:jc w:val="left"/>
              <w:rPr>
                <w:rFonts w:cs="Arial"/>
              </w:rPr>
            </w:pPr>
            <w:r w:rsidRPr="00B148F9">
              <w:rPr>
                <w:rFonts w:cs="Arial"/>
              </w:rPr>
              <w:t>The Investment Manager has extensive experience transacting across the global healthcare marketplace, and will be responsible for identifying relevant events and updating the investment plans appropriately.</w:t>
            </w:r>
          </w:p>
        </w:tc>
      </w:tr>
      <w:tr w:rsidR="00780DC6" w:rsidRPr="00B148F9" w14:paraId="4F85D240" w14:textId="77777777" w:rsidTr="00617322">
        <w:trPr>
          <w:trHeight w:val="2775"/>
        </w:trPr>
        <w:tc>
          <w:tcPr>
            <w:tcW w:w="1845" w:type="dxa"/>
            <w:hideMark/>
          </w:tcPr>
          <w:p w14:paraId="2AD90A58" w14:textId="77777777" w:rsidR="00780DC6" w:rsidRPr="00B148F9" w:rsidRDefault="00780DC6" w:rsidP="00780DC6">
            <w:pPr>
              <w:jc w:val="left"/>
              <w:rPr>
                <w:rFonts w:cs="Arial"/>
                <w:bCs/>
              </w:rPr>
            </w:pPr>
            <w:r w:rsidRPr="00B148F9">
              <w:rPr>
                <w:rFonts w:cs="Arial"/>
                <w:bCs/>
              </w:rPr>
              <w:t>Clinical Development &amp; Regulatory Risks</w:t>
            </w:r>
          </w:p>
        </w:tc>
        <w:tc>
          <w:tcPr>
            <w:tcW w:w="3249" w:type="dxa"/>
            <w:hideMark/>
          </w:tcPr>
          <w:p w14:paraId="636E9C25" w14:textId="77777777" w:rsidR="00780DC6" w:rsidRPr="00B148F9" w:rsidRDefault="00780DC6" w:rsidP="00780DC6">
            <w:pPr>
              <w:jc w:val="left"/>
              <w:rPr>
                <w:rFonts w:cs="Arial"/>
              </w:rPr>
            </w:pPr>
            <w:r w:rsidRPr="00B148F9">
              <w:rPr>
                <w:rFonts w:cs="Arial"/>
              </w:rPr>
              <w:t>New drugs, medical devices and procedures are subject to extensive regulatory scrutiny before approval, and approvals can be revoked.</w:t>
            </w:r>
          </w:p>
        </w:tc>
        <w:tc>
          <w:tcPr>
            <w:tcW w:w="3991" w:type="dxa"/>
            <w:hideMark/>
          </w:tcPr>
          <w:p w14:paraId="256930E7" w14:textId="0CAC11C3" w:rsidR="00780DC6" w:rsidRPr="00B148F9" w:rsidRDefault="00780DC6" w:rsidP="00780DC6">
            <w:pPr>
              <w:jc w:val="left"/>
              <w:rPr>
                <w:rFonts w:cs="Arial"/>
              </w:rPr>
            </w:pPr>
            <w:r w:rsidRPr="00B148F9">
              <w:rPr>
                <w:rFonts w:cs="Arial"/>
              </w:rPr>
              <w:t xml:space="preserve">The Investment Manager’s due diligence process includes the likely attitude of regulators towards a potential new therapy. The due diligence will also consider the unmet need of the disease and whether the therapy offers advantages over the current standard of care.  In the current Covid-19 </w:t>
            </w:r>
            <w:r w:rsidR="00E96E31" w:rsidRPr="00B148F9">
              <w:rPr>
                <w:rFonts w:cs="Arial"/>
              </w:rPr>
              <w:t>c</w:t>
            </w:r>
            <w:r w:rsidRPr="00B148F9">
              <w:rPr>
                <w:rFonts w:cs="Arial"/>
              </w:rPr>
              <w:t>risis it is possible that the FDA and other clinical regulators globally will prioritise therapies, diagnostics and devices related to this disease which might slow clinical trials.</w:t>
            </w:r>
          </w:p>
        </w:tc>
      </w:tr>
      <w:tr w:rsidR="00780DC6" w:rsidRPr="00B148F9" w14:paraId="07D41F2F" w14:textId="77777777" w:rsidTr="00617322">
        <w:trPr>
          <w:trHeight w:val="3915"/>
        </w:trPr>
        <w:tc>
          <w:tcPr>
            <w:tcW w:w="1845" w:type="dxa"/>
            <w:hideMark/>
          </w:tcPr>
          <w:p w14:paraId="5BDFD443" w14:textId="77777777" w:rsidR="00780DC6" w:rsidRPr="00B148F9" w:rsidRDefault="00780DC6" w:rsidP="00780DC6">
            <w:pPr>
              <w:jc w:val="left"/>
              <w:rPr>
                <w:rFonts w:cs="Arial"/>
                <w:bCs/>
              </w:rPr>
            </w:pPr>
            <w:r w:rsidRPr="00B148F9">
              <w:rPr>
                <w:rFonts w:cs="Arial"/>
                <w:bCs/>
              </w:rPr>
              <w:t>Imposition of pricing controls for clinical products and services.</w:t>
            </w:r>
          </w:p>
        </w:tc>
        <w:tc>
          <w:tcPr>
            <w:tcW w:w="3249" w:type="dxa"/>
            <w:hideMark/>
          </w:tcPr>
          <w:p w14:paraId="34DF0793" w14:textId="0DB60056" w:rsidR="00780DC6" w:rsidRPr="00B148F9" w:rsidRDefault="00780DC6" w:rsidP="00780DC6">
            <w:pPr>
              <w:jc w:val="left"/>
              <w:rPr>
                <w:rFonts w:cs="Arial"/>
              </w:rPr>
            </w:pPr>
            <w:r w:rsidRPr="00B148F9">
              <w:rPr>
                <w:rFonts w:cs="Arial"/>
              </w:rPr>
              <w:t>Portfolio Company products may be subject to price controls, price gouging claims and other pricing regulation in the US and other major markets; or government healthcare systems may be the major purchasers of the products</w:t>
            </w:r>
            <w:r w:rsidR="004500E1" w:rsidRPr="00B148F9">
              <w:rPr>
                <w:rFonts w:cs="Arial"/>
              </w:rPr>
              <w:t>.</w:t>
            </w:r>
          </w:p>
        </w:tc>
        <w:tc>
          <w:tcPr>
            <w:tcW w:w="3991" w:type="dxa"/>
            <w:hideMark/>
          </w:tcPr>
          <w:p w14:paraId="6B326831" w14:textId="77777777" w:rsidR="00780DC6" w:rsidRPr="00B148F9" w:rsidRDefault="00780DC6" w:rsidP="00780DC6">
            <w:pPr>
              <w:jc w:val="left"/>
              <w:rPr>
                <w:rFonts w:cs="Arial"/>
              </w:rPr>
            </w:pPr>
            <w:r w:rsidRPr="00B148F9">
              <w:rPr>
                <w:rFonts w:cs="Arial"/>
              </w:rPr>
              <w:t xml:space="preserve">While future political developments cannot be reliably forecast, the Investment Manager’s due diligence process includes an assessment of political risk, and the likely acceptability of the investee’s pricing intentions. </w:t>
            </w:r>
          </w:p>
        </w:tc>
      </w:tr>
    </w:tbl>
    <w:p w14:paraId="6FBCF975" w14:textId="77777777" w:rsidR="00780DC6" w:rsidRPr="00B148F9" w:rsidRDefault="00780DC6" w:rsidP="00780DC6"/>
    <w:tbl>
      <w:tblPr>
        <w:tblStyle w:val="TableGrid"/>
        <w:tblW w:w="9085" w:type="dxa"/>
        <w:tblLook w:val="04A0" w:firstRow="1" w:lastRow="0" w:firstColumn="1" w:lastColumn="0" w:noHBand="0" w:noVBand="1"/>
      </w:tblPr>
      <w:tblGrid>
        <w:gridCol w:w="1845"/>
        <w:gridCol w:w="3249"/>
        <w:gridCol w:w="3991"/>
      </w:tblGrid>
      <w:tr w:rsidR="00780DC6" w:rsidRPr="00B148F9" w14:paraId="261445E5" w14:textId="77777777" w:rsidTr="00617322">
        <w:trPr>
          <w:trHeight w:val="300"/>
        </w:trPr>
        <w:tc>
          <w:tcPr>
            <w:tcW w:w="1845" w:type="dxa"/>
            <w:noWrap/>
            <w:hideMark/>
          </w:tcPr>
          <w:p w14:paraId="3FBADDDD" w14:textId="77777777" w:rsidR="00780DC6" w:rsidRPr="00B148F9" w:rsidRDefault="00780DC6" w:rsidP="00780DC6">
            <w:pPr>
              <w:jc w:val="left"/>
              <w:rPr>
                <w:rFonts w:cs="Arial"/>
                <w:b/>
                <w:bCs/>
              </w:rPr>
            </w:pPr>
            <w:r w:rsidRPr="00B148F9">
              <w:rPr>
                <w:rFonts w:cs="Arial"/>
                <w:b/>
                <w:bCs/>
              </w:rPr>
              <w:t>EMERGING RISKS</w:t>
            </w:r>
          </w:p>
        </w:tc>
        <w:tc>
          <w:tcPr>
            <w:tcW w:w="3249" w:type="dxa"/>
            <w:noWrap/>
            <w:hideMark/>
          </w:tcPr>
          <w:p w14:paraId="7EDE3189" w14:textId="77777777" w:rsidR="00780DC6" w:rsidRPr="00B148F9" w:rsidRDefault="00780DC6" w:rsidP="00780DC6">
            <w:pPr>
              <w:jc w:val="left"/>
              <w:rPr>
                <w:rFonts w:cs="Arial"/>
                <w:b/>
                <w:bCs/>
              </w:rPr>
            </w:pPr>
            <w:r w:rsidRPr="00B148F9">
              <w:rPr>
                <w:rFonts w:cs="Arial"/>
                <w:b/>
                <w:bCs/>
              </w:rPr>
              <w:t> </w:t>
            </w:r>
          </w:p>
        </w:tc>
        <w:tc>
          <w:tcPr>
            <w:tcW w:w="3991" w:type="dxa"/>
            <w:noWrap/>
            <w:hideMark/>
          </w:tcPr>
          <w:p w14:paraId="2D1F5533" w14:textId="77777777" w:rsidR="00780DC6" w:rsidRPr="00B148F9" w:rsidRDefault="00780DC6" w:rsidP="00780DC6">
            <w:pPr>
              <w:jc w:val="left"/>
              <w:rPr>
                <w:rFonts w:cs="Arial"/>
                <w:b/>
                <w:bCs/>
              </w:rPr>
            </w:pPr>
            <w:r w:rsidRPr="00B148F9">
              <w:rPr>
                <w:rFonts w:cs="Arial"/>
                <w:b/>
                <w:bCs/>
              </w:rPr>
              <w:t> </w:t>
            </w:r>
          </w:p>
        </w:tc>
      </w:tr>
      <w:tr w:rsidR="00780DC6" w:rsidRPr="00B148F9" w14:paraId="0679D2DB" w14:textId="77777777" w:rsidTr="00617322">
        <w:trPr>
          <w:trHeight w:val="3300"/>
        </w:trPr>
        <w:tc>
          <w:tcPr>
            <w:tcW w:w="1845" w:type="dxa"/>
            <w:hideMark/>
          </w:tcPr>
          <w:p w14:paraId="72CA16CA" w14:textId="77777777" w:rsidR="00780DC6" w:rsidRPr="00B148F9" w:rsidRDefault="00780DC6" w:rsidP="00780DC6">
            <w:pPr>
              <w:jc w:val="left"/>
              <w:rPr>
                <w:rFonts w:cs="Arial"/>
                <w:b/>
                <w:bCs/>
              </w:rPr>
            </w:pPr>
            <w:r w:rsidRPr="00B148F9">
              <w:rPr>
                <w:rFonts w:cs="Arial"/>
                <w:b/>
                <w:bCs/>
              </w:rPr>
              <w:lastRenderedPageBreak/>
              <w:t>Covid-19</w:t>
            </w:r>
          </w:p>
        </w:tc>
        <w:tc>
          <w:tcPr>
            <w:tcW w:w="3249" w:type="dxa"/>
            <w:hideMark/>
          </w:tcPr>
          <w:p w14:paraId="4DD930DA" w14:textId="244E32EE" w:rsidR="00780DC6" w:rsidRPr="00B148F9" w:rsidRDefault="00780DC6" w:rsidP="00780DC6">
            <w:pPr>
              <w:jc w:val="left"/>
              <w:rPr>
                <w:rFonts w:cs="Arial"/>
              </w:rPr>
            </w:pPr>
            <w:r w:rsidRPr="00B148F9">
              <w:rPr>
                <w:rFonts w:cs="Arial"/>
              </w:rPr>
              <w:t>The UK government in common with th</w:t>
            </w:r>
            <w:r w:rsidR="005138C1" w:rsidRPr="00B148F9">
              <w:rPr>
                <w:rFonts w:cs="Arial"/>
              </w:rPr>
              <w:t xml:space="preserve">e US and many other countries </w:t>
            </w:r>
            <w:r w:rsidRPr="00B148F9">
              <w:rPr>
                <w:rFonts w:cs="Arial"/>
              </w:rPr>
              <w:t xml:space="preserve">has implemented unprecedented measures to restrict the possibility of transmission of the Covid-19 virus by limiting personal contact and international travel. Whilst the ultimate scope and duration of these measures is currently unclear, they are likely to have a severe impact on the Global Economy, which Governments and the Central Banks are attempting to offset with both traditional and unconventional fiscal and monetary policy measures.  The </w:t>
            </w:r>
            <w:r w:rsidR="005138C1" w:rsidRPr="00B148F9">
              <w:rPr>
                <w:rFonts w:cs="Arial"/>
              </w:rPr>
              <w:t>Company’s portfolio</w:t>
            </w:r>
            <w:r w:rsidRPr="00B148F9">
              <w:rPr>
                <w:rFonts w:cs="Arial"/>
              </w:rPr>
              <w:t xml:space="preserve"> will be impacted by any risks emerging from changes in the macroeconomic environment. </w:t>
            </w:r>
          </w:p>
        </w:tc>
        <w:tc>
          <w:tcPr>
            <w:tcW w:w="3991" w:type="dxa"/>
            <w:hideMark/>
          </w:tcPr>
          <w:p w14:paraId="20340393" w14:textId="77777777" w:rsidR="00780DC6" w:rsidRPr="00B148F9" w:rsidRDefault="00780DC6" w:rsidP="00780DC6">
            <w:pPr>
              <w:jc w:val="left"/>
              <w:rPr>
                <w:rFonts w:cs="Arial"/>
              </w:rPr>
            </w:pPr>
            <w:r w:rsidRPr="00B148F9">
              <w:rPr>
                <w:rFonts w:cs="Arial"/>
              </w:rPr>
              <w:t>The Investment Manager has extensive experience transacting across the global healthcare marketplace, and will be responsible for identifying relevant events and updating the investment plans appropriately.</w:t>
            </w:r>
          </w:p>
        </w:tc>
      </w:tr>
    </w:tbl>
    <w:p w14:paraId="0A9AD4BC" w14:textId="77777777" w:rsidR="00780DC6" w:rsidRPr="00B148F9" w:rsidRDefault="00780DC6" w:rsidP="00780DC6">
      <w:pPr>
        <w:jc w:val="left"/>
        <w:rPr>
          <w:rFonts w:cs="Arial"/>
          <w:b/>
        </w:rPr>
      </w:pPr>
    </w:p>
    <w:p w14:paraId="70DFD41C" w14:textId="77777777" w:rsidR="00780DC6" w:rsidRPr="00B148F9" w:rsidRDefault="00780DC6" w:rsidP="00780DC6">
      <w:pPr>
        <w:jc w:val="left"/>
        <w:rPr>
          <w:rFonts w:cs="Arial"/>
          <w:b/>
        </w:rPr>
      </w:pPr>
    </w:p>
    <w:p w14:paraId="56FA9DAE" w14:textId="7EB57540" w:rsidR="00780DC6" w:rsidRPr="00B148F9" w:rsidRDefault="00780DC6" w:rsidP="00780DC6">
      <w:pPr>
        <w:pStyle w:val="Heading3"/>
        <w:rPr>
          <w:rFonts w:ascii="Century Gothic" w:hAnsi="Century Gothic"/>
          <w:b/>
          <w:szCs w:val="20"/>
        </w:rPr>
      </w:pPr>
      <w:r w:rsidRPr="00B148F9">
        <w:rPr>
          <w:rFonts w:ascii="Century Gothic" w:hAnsi="Century Gothic"/>
          <w:b/>
          <w:szCs w:val="20"/>
        </w:rPr>
        <w:t>Longer Term Viability Statement</w:t>
      </w:r>
    </w:p>
    <w:p w14:paraId="678009C1" w14:textId="77777777" w:rsidR="00780DC6" w:rsidRPr="00B148F9" w:rsidRDefault="00780DC6" w:rsidP="00780DC6">
      <w:pPr>
        <w:rPr>
          <w:i/>
        </w:rPr>
      </w:pPr>
      <w:r w:rsidRPr="00B148F9">
        <w:rPr>
          <w:i/>
        </w:rPr>
        <w:t>Assessing the prospects of the Company</w:t>
      </w:r>
    </w:p>
    <w:p w14:paraId="36032062" w14:textId="77777777" w:rsidR="00780DC6" w:rsidRPr="00B148F9" w:rsidRDefault="00780DC6" w:rsidP="00780DC6"/>
    <w:p w14:paraId="30FE1F54" w14:textId="5C1C77F9" w:rsidR="00780DC6" w:rsidRPr="00B148F9" w:rsidRDefault="00780DC6" w:rsidP="00780DC6">
      <w:r w:rsidRPr="00B148F9">
        <w:t>The corporate planning process is underpinned by scenarios that encompass a wide spectrum of potential outcomes. These scenarios are designed to explore the resilience of the Company to the potential impact of significant risks set out below.</w:t>
      </w:r>
    </w:p>
    <w:p w14:paraId="2004972F" w14:textId="77777777" w:rsidR="00780DC6" w:rsidRPr="00B148F9" w:rsidRDefault="00780DC6" w:rsidP="00780DC6"/>
    <w:p w14:paraId="6B28AC5B" w14:textId="732AE789" w:rsidR="00780DC6" w:rsidRPr="00B148F9" w:rsidRDefault="00780DC6" w:rsidP="00780DC6">
      <w:r w:rsidRPr="00B148F9">
        <w:t>The scenarios are designed to be severe but plausible and take full account of the availability and likely effectiveness of the mitigating actions that could be taken to avoid or reduce the impact or occurrence of the underlying risks and which would realistically be open to management in the circumstances. In considering the likely effectiveness of such actions, the conclusions of the Board’s regular monitoring and review of risk and</w:t>
      </w:r>
      <w:r w:rsidR="0017413E" w:rsidRPr="00B148F9">
        <w:t xml:space="preserve"> the Investment Manager’s</w:t>
      </w:r>
      <w:r w:rsidRPr="00B148F9">
        <w:t xml:space="preserve"> internal control systems, as discussed </w:t>
      </w:r>
      <w:r w:rsidR="00D502F5">
        <w:t>above,</w:t>
      </w:r>
      <w:r w:rsidR="005138C1" w:rsidRPr="00B148F9">
        <w:t xml:space="preserve"> is taken into account.</w:t>
      </w:r>
    </w:p>
    <w:p w14:paraId="12690770" w14:textId="77777777" w:rsidR="00780DC6" w:rsidRPr="00B148F9" w:rsidRDefault="00780DC6" w:rsidP="00780DC6"/>
    <w:p w14:paraId="624F0836" w14:textId="4032241B" w:rsidR="00780DC6" w:rsidRPr="00B148F9" w:rsidRDefault="00780DC6" w:rsidP="00780DC6">
      <w:r w:rsidRPr="00B148F9">
        <w:t xml:space="preserve">The Board reviewed the impact of stress testing the quantifiable risks to the Company’s cash flows as detailed in risk factors 1-5 </w:t>
      </w:r>
      <w:r w:rsidR="00464AA9" w:rsidRPr="00B148F9">
        <w:t xml:space="preserve">in the previous pages </w:t>
      </w:r>
      <w:r w:rsidRPr="00B148F9">
        <w:t>and concluded that the Company, would have sufficient working capital to fund its operations in the following extreme scenario:</w:t>
      </w:r>
    </w:p>
    <w:p w14:paraId="0CFAE61F" w14:textId="77777777" w:rsidR="00780DC6" w:rsidRPr="00B148F9" w:rsidRDefault="00780DC6" w:rsidP="00780DC6"/>
    <w:p w14:paraId="105AF953" w14:textId="5E9FF779" w:rsidR="00780DC6" w:rsidRPr="00B148F9" w:rsidRDefault="00780DC6" w:rsidP="00A94612">
      <w:pPr>
        <w:pStyle w:val="ListParagraph"/>
        <w:numPr>
          <w:ilvl w:val="0"/>
          <w:numId w:val="32"/>
        </w:numPr>
      </w:pPr>
      <w:r w:rsidRPr="00B148F9">
        <w:t xml:space="preserve">The Company incurred NAV losses of 41% of NAV over a </w:t>
      </w:r>
      <w:r w:rsidR="005133DF" w:rsidRPr="00B148F9">
        <w:t>three-year</w:t>
      </w:r>
      <w:r w:rsidRPr="00B148F9">
        <w:t xml:space="preserve"> period.</w:t>
      </w:r>
    </w:p>
    <w:p w14:paraId="0D1B9243" w14:textId="558ACD2B" w:rsidR="00780DC6" w:rsidRPr="00B148F9" w:rsidRDefault="00780DC6" w:rsidP="00A94612">
      <w:pPr>
        <w:pStyle w:val="ListParagraph"/>
        <w:numPr>
          <w:ilvl w:val="0"/>
          <w:numId w:val="32"/>
        </w:numPr>
      </w:pPr>
      <w:r w:rsidRPr="00B148F9">
        <w:t>No new capital was raised</w:t>
      </w:r>
      <w:r w:rsidR="005138C1" w:rsidRPr="00B148F9">
        <w:t>.</w:t>
      </w:r>
    </w:p>
    <w:p w14:paraId="75C6D526" w14:textId="70938467" w:rsidR="00780DC6" w:rsidRPr="00B148F9" w:rsidRDefault="00780DC6" w:rsidP="00A94612">
      <w:pPr>
        <w:pStyle w:val="ListParagraph"/>
        <w:numPr>
          <w:ilvl w:val="0"/>
          <w:numId w:val="32"/>
        </w:numPr>
      </w:pPr>
      <w:r w:rsidRPr="00B148F9">
        <w:t>$42m of private investments were funded from cash and by selling public portfolio investments</w:t>
      </w:r>
      <w:r w:rsidR="005138C1" w:rsidRPr="00B148F9">
        <w:t>.</w:t>
      </w:r>
    </w:p>
    <w:p w14:paraId="67EC1793" w14:textId="77777777" w:rsidR="00780DC6" w:rsidRPr="00B148F9" w:rsidRDefault="00780DC6" w:rsidP="00780DC6"/>
    <w:p w14:paraId="67515D82" w14:textId="39E5CABA" w:rsidR="00780DC6" w:rsidRPr="00B148F9" w:rsidRDefault="00780DC6" w:rsidP="00780DC6">
      <w:r w:rsidRPr="00B148F9">
        <w:t>The Board considers that this stress testing</w:t>
      </w:r>
      <w:r w:rsidR="005133DF" w:rsidRPr="00B148F9">
        <w:t>-</w:t>
      </w:r>
      <w:r w:rsidRPr="00B148F9">
        <w:t xml:space="preserve">based assessment of the Company’s prospects is reasonable in the circumstances of the inherent uncertainty involved. </w:t>
      </w:r>
    </w:p>
    <w:p w14:paraId="377D2EC7" w14:textId="77777777" w:rsidR="00780DC6" w:rsidRPr="00B148F9" w:rsidRDefault="00780DC6" w:rsidP="00780DC6"/>
    <w:p w14:paraId="58784702" w14:textId="77777777" w:rsidR="00780DC6" w:rsidRPr="00B148F9" w:rsidRDefault="00780DC6" w:rsidP="00780DC6">
      <w:pPr>
        <w:rPr>
          <w:i/>
        </w:rPr>
      </w:pPr>
      <w:r w:rsidRPr="00B148F9">
        <w:rPr>
          <w:i/>
        </w:rPr>
        <w:t>The period over which we confirm longer term viability</w:t>
      </w:r>
    </w:p>
    <w:p w14:paraId="1948F2D8" w14:textId="3F9F1F62" w:rsidR="00780DC6" w:rsidRPr="00B148F9" w:rsidRDefault="00780DC6" w:rsidP="00EE53BF">
      <w:pPr>
        <w:spacing w:before="240"/>
      </w:pPr>
      <w:r w:rsidRPr="00B148F9">
        <w:t xml:space="preserve">Within the context of the corporate planning framework discussed above, the Board has assessed the prospects of the Company over a </w:t>
      </w:r>
      <w:r w:rsidR="00E77EE2" w:rsidRPr="00B148F9">
        <w:t>three-year</w:t>
      </w:r>
      <w:r w:rsidRPr="00B148F9">
        <w:t xml:space="preserve"> period ending 31 December 2022. Whilst the Board has no reason to believe the Company will not be viable over a longer period, given the inherent uncertainty involved, the period over which the Board considers it possible to form a reasonable expectation as to the Company’s longer term viability, based on the stress testing scenario planning discussed above, is the three year period to December 2022.  This period is used for the Investment</w:t>
      </w:r>
      <w:r w:rsidR="005138C1" w:rsidRPr="00B148F9">
        <w:t xml:space="preserve"> </w:t>
      </w:r>
      <w:r w:rsidRPr="00B148F9">
        <w:t xml:space="preserve">Manager’s business plans and has been selected because </w:t>
      </w:r>
      <w:r w:rsidRPr="00B148F9">
        <w:lastRenderedPageBreak/>
        <w:t>it presents the Board and therefore readers of the annual report with a reasonable degree of confidence whilst still providing an appropriate longer term outlook.</w:t>
      </w:r>
    </w:p>
    <w:p w14:paraId="1E98F727" w14:textId="77777777" w:rsidR="00780DC6" w:rsidRPr="00B148F9" w:rsidRDefault="00780DC6" w:rsidP="00780DC6">
      <w:pPr>
        <w:rPr>
          <w:i/>
        </w:rPr>
      </w:pPr>
    </w:p>
    <w:p w14:paraId="6D4E4CDC" w14:textId="77777777" w:rsidR="00780DC6" w:rsidRPr="00B148F9" w:rsidRDefault="00780DC6" w:rsidP="00780DC6">
      <w:pPr>
        <w:rPr>
          <w:i/>
        </w:rPr>
      </w:pPr>
      <w:r w:rsidRPr="00B148F9">
        <w:rPr>
          <w:i/>
        </w:rPr>
        <w:t>Confirmation of longer term viability</w:t>
      </w:r>
    </w:p>
    <w:p w14:paraId="6FE78EE0" w14:textId="77777777" w:rsidR="00780DC6" w:rsidRPr="00B148F9" w:rsidRDefault="00780DC6" w:rsidP="00EE53BF">
      <w:pPr>
        <w:spacing w:before="240"/>
      </w:pPr>
      <w:r w:rsidRPr="00B148F9">
        <w:t>The Board confirms that its assessment of the principal risks facing the Company was robust.</w:t>
      </w:r>
    </w:p>
    <w:p w14:paraId="21612A6D" w14:textId="77777777" w:rsidR="00780DC6" w:rsidRPr="00B148F9" w:rsidRDefault="00780DC6" w:rsidP="00780DC6"/>
    <w:p w14:paraId="27A5659A" w14:textId="68C69598" w:rsidR="00780DC6" w:rsidRPr="00B148F9" w:rsidRDefault="00780DC6" w:rsidP="00780DC6">
      <w:r w:rsidRPr="00B148F9">
        <w:t>Based upon the robust assessment of the principal risks facing the Company and its stress testing based assessment of the Company’s prospects, the Board confirms that it has a reasonable expectation that the Company will be able to continue in operation and meet its liabilities as they fall due over the period to December 2022</w:t>
      </w:r>
      <w:r w:rsidR="005138C1" w:rsidRPr="00B148F9">
        <w:t>.</w:t>
      </w:r>
    </w:p>
    <w:p w14:paraId="66A5DAAE" w14:textId="7BA1FC5C" w:rsidR="00E417C4" w:rsidRPr="00B148F9" w:rsidRDefault="00E417C4" w:rsidP="00B837B9"/>
    <w:p w14:paraId="14862666" w14:textId="77777777" w:rsidR="00542297" w:rsidRPr="00B148F9" w:rsidRDefault="00542297" w:rsidP="00542297">
      <w:pPr>
        <w:pStyle w:val="wordsection1"/>
        <w:jc w:val="both"/>
        <w:rPr>
          <w:rFonts w:ascii="Century Gothic" w:hAnsi="Century Gothic"/>
          <w:b/>
          <w:bCs/>
          <w:sz w:val="20"/>
          <w:szCs w:val="20"/>
        </w:rPr>
      </w:pPr>
      <w:r w:rsidRPr="00B148F9">
        <w:rPr>
          <w:rFonts w:ascii="Century Gothic" w:hAnsi="Century Gothic"/>
          <w:b/>
          <w:bCs/>
          <w:sz w:val="20"/>
          <w:szCs w:val="20"/>
        </w:rPr>
        <w:t xml:space="preserve">Directors’ Responsibilities Pursuant to Section 172 of the Companies Act 2006 </w:t>
      </w:r>
    </w:p>
    <w:p w14:paraId="797BD64A" w14:textId="77777777" w:rsidR="00542297" w:rsidRPr="00B148F9" w:rsidRDefault="00542297" w:rsidP="00542297">
      <w:pPr>
        <w:pStyle w:val="wordsection1"/>
        <w:rPr>
          <w:rFonts w:ascii="Century Gothic" w:hAnsi="Century Gothic" w:cs="Arial"/>
          <w:sz w:val="20"/>
          <w:szCs w:val="20"/>
        </w:rPr>
      </w:pPr>
    </w:p>
    <w:p w14:paraId="1ED8E0C7" w14:textId="77777777" w:rsidR="00542297" w:rsidRPr="00B148F9" w:rsidRDefault="00542297" w:rsidP="00542297">
      <w:pPr>
        <w:pStyle w:val="wordsection1"/>
        <w:jc w:val="both"/>
        <w:rPr>
          <w:rFonts w:ascii="Century Gothic" w:hAnsi="Century Gothic"/>
          <w:sz w:val="20"/>
          <w:szCs w:val="20"/>
        </w:rPr>
      </w:pPr>
      <w:r w:rsidRPr="00B148F9">
        <w:rPr>
          <w:rFonts w:ascii="Century Gothic" w:hAnsi="Century Gothic"/>
          <w:sz w:val="20"/>
          <w:szCs w:val="20"/>
        </w:rPr>
        <w:t>Section 172 of the Companies Act 2006 applies directly to UK domiciled companies. Nonetheless the AIC Code requires that the matters set out in section 172 are reported on by all companies, irrespective of domicile, provided this does not conflict with local company law.</w:t>
      </w:r>
    </w:p>
    <w:p w14:paraId="0133EA91" w14:textId="77777777" w:rsidR="00542297" w:rsidRPr="00B148F9" w:rsidRDefault="00542297" w:rsidP="00542297">
      <w:pPr>
        <w:pStyle w:val="wordsection1"/>
        <w:jc w:val="both"/>
        <w:rPr>
          <w:rFonts w:ascii="Century Gothic" w:hAnsi="Century Gothic"/>
          <w:sz w:val="20"/>
          <w:szCs w:val="20"/>
        </w:rPr>
      </w:pPr>
    </w:p>
    <w:p w14:paraId="3FBA7FF6" w14:textId="77777777" w:rsidR="00542297" w:rsidRPr="00B148F9" w:rsidRDefault="00542297" w:rsidP="00542297">
      <w:pPr>
        <w:pStyle w:val="wordsection1"/>
        <w:jc w:val="both"/>
        <w:rPr>
          <w:rFonts w:ascii="Century Gothic" w:hAnsi="Century Gothic"/>
          <w:b/>
          <w:bCs/>
          <w:sz w:val="20"/>
          <w:szCs w:val="20"/>
        </w:rPr>
      </w:pPr>
      <w:r w:rsidRPr="00B148F9">
        <w:rPr>
          <w:rFonts w:ascii="Century Gothic" w:hAnsi="Century Gothic"/>
          <w:sz w:val="20"/>
          <w:szCs w:val="20"/>
        </w:rPr>
        <w:t>Section 172  recognises that directors are responsible for acting in a way that they consider, in good faith, is the most likely to promote the success of the Company for the benefit of its shareholders as a whole. In doing so, they are also required to consider the broader implications of their decisions and operations on other key stakeholders and their impact on the wider community and the environment. Key decisions are those that are either material to the Company or are significant to any of the Company’s key stakeholders. The Company’s engagement with key stakeholders and the key decisions that were made or approved by the Directors during the year are described below.</w:t>
      </w:r>
    </w:p>
    <w:p w14:paraId="70CBDE8D" w14:textId="77777777" w:rsidR="00542297" w:rsidRPr="00B148F9" w:rsidRDefault="00542297" w:rsidP="00542297">
      <w:pPr>
        <w:pStyle w:val="wordsection1"/>
        <w:jc w:val="both"/>
        <w:rPr>
          <w:rFonts w:ascii="Century Gothic" w:hAnsi="Century Gothic"/>
          <w:sz w:val="20"/>
          <w:szCs w:val="20"/>
          <w:highlight w:val="yellow"/>
        </w:rPr>
      </w:pPr>
    </w:p>
    <w:p w14:paraId="5825B8E3" w14:textId="77777777" w:rsidR="00542297" w:rsidRPr="00B148F9" w:rsidRDefault="00542297" w:rsidP="00542297">
      <w:pPr>
        <w:pStyle w:val="wordsection1"/>
        <w:jc w:val="both"/>
        <w:rPr>
          <w:rFonts w:ascii="Century Gothic" w:hAnsi="Century Gothic"/>
          <w:sz w:val="20"/>
          <w:szCs w:val="20"/>
        </w:rPr>
      </w:pPr>
    </w:p>
    <w:tbl>
      <w:tblPr>
        <w:tblW w:w="0" w:type="auto"/>
        <w:tblCellMar>
          <w:left w:w="0" w:type="dxa"/>
          <w:right w:w="0" w:type="dxa"/>
        </w:tblCellMar>
        <w:tblLook w:val="04A0" w:firstRow="1" w:lastRow="0" w:firstColumn="1" w:lastColumn="0" w:noHBand="0" w:noVBand="1"/>
      </w:tblPr>
      <w:tblGrid>
        <w:gridCol w:w="3012"/>
        <w:gridCol w:w="3012"/>
        <w:gridCol w:w="3016"/>
      </w:tblGrid>
      <w:tr w:rsidR="00542297" w:rsidRPr="00B148F9" w14:paraId="23F2144E" w14:textId="77777777" w:rsidTr="00EE53BF">
        <w:trPr>
          <w:trHeight w:val="446"/>
        </w:trPr>
        <w:tc>
          <w:tcPr>
            <w:tcW w:w="30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32CB6F" w14:textId="77777777" w:rsidR="00542297" w:rsidRPr="00B148F9" w:rsidRDefault="00542297" w:rsidP="00EE53BF">
            <w:pPr>
              <w:jc w:val="left"/>
              <w:rPr>
                <w:b/>
                <w:bCs/>
              </w:rPr>
            </w:pPr>
            <w:r w:rsidRPr="00B148F9">
              <w:rPr>
                <w:b/>
                <w:bCs/>
              </w:rPr>
              <w:t>Stakeholder group</w:t>
            </w:r>
          </w:p>
        </w:tc>
        <w:tc>
          <w:tcPr>
            <w:tcW w:w="3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33B8A" w14:textId="77777777" w:rsidR="00542297" w:rsidRPr="00B148F9" w:rsidRDefault="00542297" w:rsidP="00EE53BF">
            <w:pPr>
              <w:jc w:val="left"/>
              <w:rPr>
                <w:b/>
                <w:bCs/>
              </w:rPr>
            </w:pPr>
            <w:r w:rsidRPr="00B148F9">
              <w:rPr>
                <w:b/>
                <w:bCs/>
              </w:rPr>
              <w:t>Methods of engagement</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FEB48" w14:textId="77777777" w:rsidR="00542297" w:rsidRPr="00B148F9" w:rsidRDefault="00542297" w:rsidP="00EE53BF">
            <w:pPr>
              <w:jc w:val="left"/>
              <w:rPr>
                <w:b/>
                <w:bCs/>
              </w:rPr>
            </w:pPr>
            <w:r w:rsidRPr="00B148F9">
              <w:rPr>
                <w:b/>
                <w:bCs/>
              </w:rPr>
              <w:t>Benefits of engagements</w:t>
            </w:r>
          </w:p>
        </w:tc>
      </w:tr>
      <w:tr w:rsidR="001E5651" w:rsidRPr="00B148F9" w14:paraId="780D231E" w14:textId="77777777" w:rsidTr="00EE53BF">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022CA" w14:textId="77777777" w:rsidR="001E5651" w:rsidRPr="00B148F9" w:rsidRDefault="001E5651" w:rsidP="00EE53BF">
            <w:pPr>
              <w:jc w:val="left"/>
              <w:rPr>
                <w:b/>
                <w:bCs/>
              </w:rPr>
            </w:pPr>
            <w:r w:rsidRPr="00B148F9">
              <w:rPr>
                <w:b/>
                <w:bCs/>
              </w:rPr>
              <w:t>Shareholders</w:t>
            </w:r>
          </w:p>
          <w:p w14:paraId="34436E35" w14:textId="77777777" w:rsidR="001E5651" w:rsidRPr="00B148F9" w:rsidRDefault="001E5651" w:rsidP="00EE53BF">
            <w:pPr>
              <w:jc w:val="left"/>
            </w:pPr>
          </w:p>
          <w:p w14:paraId="19E7C464" w14:textId="74CD9EDA" w:rsidR="001E5651" w:rsidRPr="00B148F9" w:rsidRDefault="001E5651" w:rsidP="00EE53BF">
            <w:pPr>
              <w:jc w:val="left"/>
            </w:pPr>
            <w:r w:rsidRPr="00B148F9">
              <w:t xml:space="preserve">The major investors in the Company’s shares are set out </w:t>
            </w:r>
            <w:r w:rsidR="00D502F5">
              <w:t>below</w:t>
            </w:r>
          </w:p>
          <w:p w14:paraId="6B6601B3" w14:textId="77777777" w:rsidR="001E5651" w:rsidRPr="00B148F9" w:rsidRDefault="001E5651" w:rsidP="00EE53BF">
            <w:pPr>
              <w:jc w:val="left"/>
            </w:pPr>
          </w:p>
          <w:p w14:paraId="435C13E8" w14:textId="77777777" w:rsidR="001E5651" w:rsidRPr="00B148F9" w:rsidRDefault="001E5651" w:rsidP="00EE53BF">
            <w:pPr>
              <w:jc w:val="left"/>
            </w:pPr>
            <w:r w:rsidRPr="00B148F9">
              <w:t>Continued access to capital is vital to the Company’s longer term growth objectives, and therefore, in line with its objectives, the Company seeks to maintain shareholder satisfaction through:</w:t>
            </w:r>
          </w:p>
          <w:p w14:paraId="3E748A11" w14:textId="77777777" w:rsidR="001E5651" w:rsidRPr="00B148F9" w:rsidRDefault="001E5651" w:rsidP="00A94612">
            <w:pPr>
              <w:pStyle w:val="ListParagraph"/>
              <w:numPr>
                <w:ilvl w:val="0"/>
                <w:numId w:val="36"/>
              </w:numPr>
              <w:contextualSpacing/>
              <w:jc w:val="left"/>
            </w:pPr>
            <w:r w:rsidRPr="00B148F9">
              <w:t xml:space="preserve">Positive risk-adjusted returns </w:t>
            </w:r>
          </w:p>
          <w:p w14:paraId="17E17F67" w14:textId="77777777" w:rsidR="001E5651" w:rsidRPr="00B148F9" w:rsidRDefault="001E5651" w:rsidP="00EE53BF">
            <w:pPr>
              <w:jc w:val="left"/>
            </w:pPr>
          </w:p>
          <w:p w14:paraId="7D0C659D" w14:textId="4527D416" w:rsidR="001E5651" w:rsidRPr="00B148F9" w:rsidRDefault="001E5651" w:rsidP="00EE53BF">
            <w:pPr>
              <w:jc w:val="left"/>
            </w:pPr>
          </w:p>
        </w:tc>
        <w:tc>
          <w:tcPr>
            <w:tcW w:w="3012" w:type="dxa"/>
            <w:tcBorders>
              <w:top w:val="nil"/>
              <w:left w:val="nil"/>
              <w:bottom w:val="single" w:sz="8" w:space="0" w:color="auto"/>
              <w:right w:val="single" w:sz="8" w:space="0" w:color="auto"/>
            </w:tcBorders>
            <w:tcMar>
              <w:top w:w="0" w:type="dxa"/>
              <w:left w:w="108" w:type="dxa"/>
              <w:bottom w:w="0" w:type="dxa"/>
              <w:right w:w="108" w:type="dxa"/>
            </w:tcMar>
          </w:tcPr>
          <w:p w14:paraId="09D1C279" w14:textId="77777777" w:rsidR="001E5651" w:rsidRPr="00B148F9" w:rsidRDefault="001E5651" w:rsidP="00EE53BF">
            <w:pPr>
              <w:jc w:val="left"/>
            </w:pPr>
          </w:p>
          <w:p w14:paraId="4F1E3EDF" w14:textId="77777777" w:rsidR="001E5651" w:rsidRPr="00B148F9" w:rsidRDefault="001E5651" w:rsidP="00EE53BF">
            <w:pPr>
              <w:jc w:val="left"/>
            </w:pPr>
          </w:p>
          <w:p w14:paraId="565EE393" w14:textId="77777777" w:rsidR="001E5651" w:rsidRPr="00B148F9" w:rsidRDefault="001E5651" w:rsidP="00EE53BF">
            <w:pPr>
              <w:jc w:val="left"/>
            </w:pPr>
            <w:r w:rsidRPr="00B148F9">
              <w:t>The Company engages with its shareholders through the issue of regular portfolio updates in the form of RNS announcements and quarterly factsheets.</w:t>
            </w:r>
          </w:p>
          <w:p w14:paraId="114D7431" w14:textId="77777777" w:rsidR="001E5651" w:rsidRPr="00B148F9" w:rsidRDefault="001E5651" w:rsidP="00EE53BF">
            <w:pPr>
              <w:jc w:val="left"/>
            </w:pPr>
          </w:p>
          <w:p w14:paraId="636F43F4" w14:textId="77777777" w:rsidR="001E5651" w:rsidRPr="00B148F9" w:rsidRDefault="001E5651" w:rsidP="00EE53BF">
            <w:pPr>
              <w:jc w:val="left"/>
            </w:pPr>
            <w:r w:rsidRPr="00B148F9">
              <w:t>The Company provides in-depth commentary on the investment portfolio, corporate governance and corporate outlook in its semi-annual financial statements.</w:t>
            </w:r>
          </w:p>
          <w:p w14:paraId="3E8EE4C5" w14:textId="77777777" w:rsidR="001E5651" w:rsidRPr="00B148F9" w:rsidRDefault="001E5651" w:rsidP="00EE53BF">
            <w:pPr>
              <w:jc w:val="left"/>
            </w:pPr>
          </w:p>
          <w:p w14:paraId="0AEB4072" w14:textId="77777777" w:rsidR="001E5651" w:rsidRPr="00B148F9" w:rsidRDefault="001E5651" w:rsidP="00EE53BF">
            <w:pPr>
              <w:jc w:val="left"/>
            </w:pPr>
            <w:r w:rsidRPr="00B148F9">
              <w:t>In addition, the Company, through its brokers and Investment Manager undertake regular roadshows to meet with existing and prospective investors to solicit their feedback, understand any areas of concern, and share forward looking investment commentary.</w:t>
            </w:r>
          </w:p>
          <w:p w14:paraId="7E1417F2" w14:textId="77777777" w:rsidR="001E5651" w:rsidRPr="00B148F9" w:rsidRDefault="001E5651" w:rsidP="00EE53BF">
            <w:pPr>
              <w:jc w:val="left"/>
            </w:pPr>
          </w:p>
          <w:p w14:paraId="6B92350E" w14:textId="63E7AA81" w:rsidR="001E5651" w:rsidRPr="00B148F9" w:rsidRDefault="001E5651" w:rsidP="00EE53BF">
            <w:pPr>
              <w:jc w:val="left"/>
            </w:pPr>
            <w:r w:rsidRPr="00B148F9">
              <w:t xml:space="preserve">The Board receives quarterly feedback from its brokers in respect of their investor </w:t>
            </w:r>
            <w:r w:rsidRPr="00B148F9">
              <w:lastRenderedPageBreak/>
              <w:t>engagement and investor sentiment.</w:t>
            </w: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14:paraId="2F52CFE6" w14:textId="77777777" w:rsidR="001E5651" w:rsidRPr="00B148F9" w:rsidRDefault="001E5651" w:rsidP="00EE53BF">
            <w:pPr>
              <w:jc w:val="left"/>
            </w:pPr>
          </w:p>
          <w:p w14:paraId="16FE787C" w14:textId="77777777" w:rsidR="001E5651" w:rsidRPr="00B148F9" w:rsidRDefault="001E5651" w:rsidP="00EE53BF">
            <w:pPr>
              <w:jc w:val="left"/>
            </w:pPr>
          </w:p>
          <w:p w14:paraId="3B60DCED" w14:textId="77777777" w:rsidR="001E5651" w:rsidRPr="00B148F9" w:rsidRDefault="001E5651" w:rsidP="00EE53BF">
            <w:pPr>
              <w:jc w:val="left"/>
            </w:pPr>
            <w:r w:rsidRPr="00B148F9">
              <w:t>In the financial year the Company issued:</w:t>
            </w:r>
          </w:p>
          <w:p w14:paraId="0E084C90" w14:textId="77777777" w:rsidR="001E5651" w:rsidRPr="00B148F9" w:rsidRDefault="001E5651" w:rsidP="00A94612">
            <w:pPr>
              <w:numPr>
                <w:ilvl w:val="0"/>
                <w:numId w:val="35"/>
              </w:numPr>
              <w:contextualSpacing/>
              <w:jc w:val="left"/>
            </w:pPr>
            <w:r w:rsidRPr="00B148F9">
              <w:t>4 Portfolio updates by way of RNS</w:t>
            </w:r>
          </w:p>
          <w:p w14:paraId="6F6DE955" w14:textId="77777777" w:rsidR="001E5651" w:rsidRPr="00B148F9" w:rsidRDefault="001E5651" w:rsidP="00A94612">
            <w:pPr>
              <w:numPr>
                <w:ilvl w:val="0"/>
                <w:numId w:val="35"/>
              </w:numPr>
              <w:contextualSpacing/>
              <w:jc w:val="left"/>
            </w:pPr>
            <w:r w:rsidRPr="00B148F9">
              <w:t>Fact sheets will be released on a quarterly basis starting in 2020</w:t>
            </w:r>
          </w:p>
          <w:p w14:paraId="669D447C" w14:textId="77777777" w:rsidR="001E5651" w:rsidRPr="00B148F9" w:rsidRDefault="001E5651" w:rsidP="00EE53BF">
            <w:pPr>
              <w:ind w:left="30"/>
              <w:jc w:val="left"/>
            </w:pPr>
          </w:p>
          <w:p w14:paraId="3A592463" w14:textId="77777777" w:rsidR="001E5651" w:rsidRPr="00B148F9" w:rsidRDefault="001E5651" w:rsidP="00EE53BF">
            <w:pPr>
              <w:ind w:left="30"/>
              <w:jc w:val="left"/>
            </w:pPr>
            <w:r w:rsidRPr="00B148F9">
              <w:t>Through its roadshows and broker outreach, the Company has met with 40+ investors / prospective investors.</w:t>
            </w:r>
          </w:p>
          <w:p w14:paraId="08D5AD8E" w14:textId="77777777" w:rsidR="001E5651" w:rsidRPr="00B148F9" w:rsidRDefault="001E5651" w:rsidP="00EE53BF">
            <w:pPr>
              <w:jc w:val="left"/>
            </w:pPr>
          </w:p>
          <w:p w14:paraId="086FCDEC" w14:textId="77777777" w:rsidR="001E5651" w:rsidRPr="00B148F9" w:rsidRDefault="001E5651" w:rsidP="00EE53BF">
            <w:pPr>
              <w:ind w:left="30"/>
              <w:jc w:val="left"/>
            </w:pPr>
          </w:p>
          <w:p w14:paraId="1A097654" w14:textId="0E5D60AF" w:rsidR="001E5651" w:rsidRPr="00B148F9" w:rsidRDefault="001E5651" w:rsidP="00EE53BF">
            <w:pPr>
              <w:jc w:val="left"/>
            </w:pPr>
          </w:p>
        </w:tc>
      </w:tr>
      <w:tr w:rsidR="001E5651" w:rsidRPr="00B148F9" w14:paraId="7C58E1F8" w14:textId="77777777" w:rsidTr="00EE53BF">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3F267" w14:textId="77777777" w:rsidR="001E5651" w:rsidRPr="00B148F9" w:rsidRDefault="001E5651" w:rsidP="00EE53BF">
            <w:pPr>
              <w:jc w:val="left"/>
              <w:rPr>
                <w:b/>
                <w:bCs/>
              </w:rPr>
            </w:pPr>
            <w:r w:rsidRPr="00B148F9">
              <w:rPr>
                <w:b/>
                <w:bCs/>
              </w:rPr>
              <w:t>Service providers</w:t>
            </w:r>
          </w:p>
          <w:p w14:paraId="58C72F49" w14:textId="77777777" w:rsidR="001E5651" w:rsidRPr="00B148F9" w:rsidRDefault="001E5651" w:rsidP="00EE53BF">
            <w:pPr>
              <w:jc w:val="left"/>
            </w:pPr>
          </w:p>
          <w:p w14:paraId="6C6DE380" w14:textId="77777777" w:rsidR="001E5651" w:rsidRPr="00B148F9" w:rsidRDefault="001E5651" w:rsidP="00EE53BF">
            <w:pPr>
              <w:jc w:val="left"/>
            </w:pPr>
            <w:r w:rsidRPr="00B148F9">
              <w:t>The Company does not have any direct employees; however, it works closely with a number of service providers (the Investment Manager, Administrators, secretaries, auditor, third party valuation agent, brokers and other professional advisers).</w:t>
            </w:r>
          </w:p>
          <w:p w14:paraId="2B09355A" w14:textId="4EBD997D" w:rsidR="001E5651" w:rsidRPr="00B148F9" w:rsidRDefault="001E5651" w:rsidP="00EE53BF">
            <w:pPr>
              <w:jc w:val="left"/>
              <w:rPr>
                <w:b/>
                <w:bCs/>
              </w:rPr>
            </w:pPr>
            <w:r w:rsidRPr="00B148F9">
              <w:t>The independence, quality and timeliness of their service provision is critical to the success of the Company.</w:t>
            </w:r>
          </w:p>
        </w:tc>
        <w:tc>
          <w:tcPr>
            <w:tcW w:w="3012" w:type="dxa"/>
            <w:tcBorders>
              <w:top w:val="nil"/>
              <w:left w:val="nil"/>
              <w:bottom w:val="single" w:sz="8" w:space="0" w:color="auto"/>
              <w:right w:val="single" w:sz="8" w:space="0" w:color="auto"/>
            </w:tcBorders>
            <w:tcMar>
              <w:top w:w="0" w:type="dxa"/>
              <w:left w:w="108" w:type="dxa"/>
              <w:bottom w:w="0" w:type="dxa"/>
              <w:right w:w="108" w:type="dxa"/>
            </w:tcMar>
          </w:tcPr>
          <w:p w14:paraId="5AB63124" w14:textId="77777777" w:rsidR="001E5651" w:rsidRPr="00B148F9" w:rsidRDefault="001E5651" w:rsidP="00EE53BF">
            <w:pPr>
              <w:jc w:val="left"/>
            </w:pPr>
          </w:p>
          <w:p w14:paraId="1A881F07" w14:textId="77777777" w:rsidR="001E5651" w:rsidRPr="00B148F9" w:rsidRDefault="001E5651" w:rsidP="00EE53BF">
            <w:pPr>
              <w:jc w:val="left"/>
            </w:pPr>
          </w:p>
          <w:p w14:paraId="731B0710" w14:textId="5EFD2F97" w:rsidR="001E5651" w:rsidRPr="00B148F9" w:rsidRDefault="001E5651" w:rsidP="00EE53BF">
            <w:pPr>
              <w:jc w:val="left"/>
            </w:pPr>
            <w:r w:rsidRPr="00B148F9">
              <w:t xml:space="preserve">The Company has identified its key service providers and on an annual </w:t>
            </w:r>
            <w:r w:rsidR="004500E1" w:rsidRPr="00B148F9">
              <w:t>basis undertakes</w:t>
            </w:r>
            <w:r w:rsidRPr="00B148F9">
              <w:t xml:space="preserve"> a review of performance based on a questionnaire through which it also seeks feedback.</w:t>
            </w:r>
          </w:p>
          <w:p w14:paraId="6EEAE181" w14:textId="77777777" w:rsidR="001E5651" w:rsidRPr="00B148F9" w:rsidRDefault="001E5651" w:rsidP="00EE53BF">
            <w:pPr>
              <w:jc w:val="left"/>
            </w:pPr>
          </w:p>
          <w:p w14:paraId="43D9F2E5" w14:textId="77777777" w:rsidR="001E5651" w:rsidRPr="00B148F9" w:rsidRDefault="001E5651" w:rsidP="00EE53BF">
            <w:pPr>
              <w:jc w:val="left"/>
            </w:pPr>
            <w:r w:rsidRPr="00B148F9">
              <w:t>Furthermore, the Board and its sub-committees engage regularly with its service providers on a formal and informal basis.</w:t>
            </w:r>
          </w:p>
          <w:p w14:paraId="1B481DBA" w14:textId="77777777" w:rsidR="001E5651" w:rsidRPr="00B148F9" w:rsidRDefault="001E5651" w:rsidP="00EE53BF">
            <w:pPr>
              <w:jc w:val="left"/>
            </w:pPr>
          </w:p>
          <w:p w14:paraId="1B50967D" w14:textId="38A91694" w:rsidR="001E5651" w:rsidRPr="00B148F9" w:rsidRDefault="001E5651" w:rsidP="00EE53BF">
            <w:pPr>
              <w:jc w:val="left"/>
            </w:pPr>
            <w:r w:rsidRPr="00B148F9">
              <w:t>The Company will also regularly review all material contracts for service quality and value.</w:t>
            </w: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14:paraId="49D3F379" w14:textId="77777777" w:rsidR="001E5651" w:rsidRPr="00B148F9" w:rsidRDefault="001E5651" w:rsidP="00EE53BF">
            <w:pPr>
              <w:jc w:val="left"/>
            </w:pPr>
          </w:p>
          <w:p w14:paraId="63303C47" w14:textId="77777777" w:rsidR="001E5651" w:rsidRPr="00B148F9" w:rsidRDefault="001E5651" w:rsidP="00EE53BF">
            <w:pPr>
              <w:jc w:val="left"/>
            </w:pPr>
          </w:p>
          <w:p w14:paraId="7DA9F640" w14:textId="4C854908" w:rsidR="001E5651" w:rsidRPr="00B148F9" w:rsidRDefault="001E5651" w:rsidP="00EE53BF">
            <w:pPr>
              <w:jc w:val="left"/>
            </w:pPr>
            <w:r w:rsidRPr="00B148F9">
              <w:t>The Feedback given by the service providers is used to review the Company’s policies and procedures to ensure open lines of communication, and operational efficiency.</w:t>
            </w:r>
          </w:p>
        </w:tc>
      </w:tr>
      <w:tr w:rsidR="001E5651" w:rsidRPr="00B148F9" w14:paraId="5D2E3637" w14:textId="77777777" w:rsidTr="00EE53BF">
        <w:tc>
          <w:tcPr>
            <w:tcW w:w="3012" w:type="dxa"/>
            <w:tcBorders>
              <w:top w:val="nil"/>
              <w:left w:val="single" w:sz="8" w:space="0" w:color="auto"/>
              <w:bottom w:val="nil"/>
              <w:right w:val="single" w:sz="8" w:space="0" w:color="auto"/>
            </w:tcBorders>
            <w:tcMar>
              <w:top w:w="0" w:type="dxa"/>
              <w:left w:w="108" w:type="dxa"/>
              <w:bottom w:w="0" w:type="dxa"/>
              <w:right w:w="108" w:type="dxa"/>
            </w:tcMar>
            <w:hideMark/>
          </w:tcPr>
          <w:p w14:paraId="304F9E8F" w14:textId="77777777" w:rsidR="001E5651" w:rsidRPr="00B148F9" w:rsidRDefault="001E5651" w:rsidP="00EE53BF">
            <w:pPr>
              <w:jc w:val="left"/>
              <w:rPr>
                <w:b/>
                <w:bCs/>
              </w:rPr>
            </w:pPr>
            <w:r w:rsidRPr="00B148F9">
              <w:rPr>
                <w:b/>
                <w:bCs/>
              </w:rPr>
              <w:t>Portfolio Companies</w:t>
            </w:r>
          </w:p>
          <w:p w14:paraId="7982A7F1" w14:textId="77777777" w:rsidR="001E5651" w:rsidRPr="00B148F9" w:rsidRDefault="001E5651" w:rsidP="00EE53BF">
            <w:pPr>
              <w:jc w:val="left"/>
            </w:pPr>
          </w:p>
          <w:p w14:paraId="0AEF3D54" w14:textId="2E738811" w:rsidR="001E5651" w:rsidRPr="00B148F9" w:rsidRDefault="001E5651" w:rsidP="001E5651">
            <w:pPr>
              <w:jc w:val="left"/>
            </w:pPr>
            <w:r w:rsidRPr="00B148F9">
              <w:t xml:space="preserve">The Company has currently invested in 7 Portfolio Companies which are listed </w:t>
            </w:r>
            <w:r w:rsidR="00D502F5">
              <w:t>above</w:t>
            </w:r>
          </w:p>
          <w:p w14:paraId="3267A887" w14:textId="7AAFC88E" w:rsidR="001E5651" w:rsidRPr="00B148F9" w:rsidRDefault="001E5651" w:rsidP="001E5651"/>
          <w:p w14:paraId="44ADD9FC" w14:textId="344D6642" w:rsidR="001E5651" w:rsidRPr="00B148F9" w:rsidRDefault="001E5651" w:rsidP="00EE53BF">
            <w:pPr>
              <w:tabs>
                <w:tab w:val="left" w:pos="1920"/>
              </w:tabs>
            </w:pPr>
            <w:r w:rsidRPr="00B148F9">
              <w:tab/>
            </w:r>
          </w:p>
        </w:tc>
        <w:tc>
          <w:tcPr>
            <w:tcW w:w="3012" w:type="dxa"/>
            <w:tcBorders>
              <w:top w:val="nil"/>
              <w:left w:val="nil"/>
              <w:bottom w:val="nil"/>
              <w:right w:val="single" w:sz="8" w:space="0" w:color="auto"/>
            </w:tcBorders>
            <w:tcMar>
              <w:top w:w="0" w:type="dxa"/>
              <w:left w:w="108" w:type="dxa"/>
              <w:bottom w:w="0" w:type="dxa"/>
              <w:right w:w="108" w:type="dxa"/>
            </w:tcMar>
          </w:tcPr>
          <w:p w14:paraId="39FEDF01" w14:textId="77777777" w:rsidR="001E5651" w:rsidRPr="00B148F9" w:rsidRDefault="001E5651" w:rsidP="00EE53BF">
            <w:pPr>
              <w:jc w:val="left"/>
            </w:pPr>
          </w:p>
          <w:p w14:paraId="01BE00BC" w14:textId="77777777" w:rsidR="001E5651" w:rsidRPr="00B148F9" w:rsidRDefault="001E5651" w:rsidP="00EE53BF">
            <w:pPr>
              <w:jc w:val="left"/>
            </w:pPr>
          </w:p>
          <w:p w14:paraId="6E713C6C" w14:textId="712ED7D4" w:rsidR="001E5651" w:rsidRPr="00B148F9" w:rsidRDefault="001E5651" w:rsidP="00EE53BF">
            <w:pPr>
              <w:jc w:val="left"/>
            </w:pPr>
            <w:r w:rsidRPr="00B148F9">
              <w:t>The Investment Manager engages on a regular basis with its portfolio companies in order to conduct regular on-going due diligence and to meet obligations if the Investment Manager holds a board seat.</w:t>
            </w:r>
          </w:p>
        </w:tc>
        <w:tc>
          <w:tcPr>
            <w:tcW w:w="3016" w:type="dxa"/>
            <w:tcBorders>
              <w:top w:val="nil"/>
              <w:left w:val="nil"/>
              <w:bottom w:val="nil"/>
              <w:right w:val="single" w:sz="8" w:space="0" w:color="auto"/>
            </w:tcBorders>
            <w:tcMar>
              <w:top w:w="0" w:type="dxa"/>
              <w:left w:w="108" w:type="dxa"/>
              <w:bottom w:w="0" w:type="dxa"/>
              <w:right w:w="108" w:type="dxa"/>
            </w:tcMar>
          </w:tcPr>
          <w:p w14:paraId="2D1ACE50" w14:textId="77777777" w:rsidR="001E5651" w:rsidRPr="00B148F9" w:rsidRDefault="001E5651" w:rsidP="00EE53BF">
            <w:pPr>
              <w:jc w:val="left"/>
            </w:pPr>
          </w:p>
          <w:p w14:paraId="7869AC00" w14:textId="77777777" w:rsidR="001E5651" w:rsidRPr="00B148F9" w:rsidRDefault="001E5651" w:rsidP="00EE53BF">
            <w:pPr>
              <w:jc w:val="left"/>
            </w:pPr>
          </w:p>
          <w:p w14:paraId="5E7582F7" w14:textId="08F86D25" w:rsidR="001E5651" w:rsidRPr="00B148F9" w:rsidRDefault="001E5651" w:rsidP="00EE53BF">
            <w:pPr>
              <w:jc w:val="left"/>
            </w:pPr>
            <w:r w:rsidRPr="00B148F9">
              <w:t>Honesty, fairness and integrity of the management teams of the portfolio companies are vital to the long-term success of the Company’s investments.</w:t>
            </w:r>
          </w:p>
        </w:tc>
      </w:tr>
      <w:tr w:rsidR="001E5651" w:rsidRPr="00B148F9" w14:paraId="18EFA99A" w14:textId="77777777" w:rsidTr="0054229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4C228" w14:textId="77777777" w:rsidR="001E5651" w:rsidRPr="00B148F9" w:rsidRDefault="001E5651" w:rsidP="001E5651">
            <w:pPr>
              <w:jc w:val="left"/>
              <w:rPr>
                <w:b/>
                <w:bCs/>
              </w:rPr>
            </w:pPr>
            <w:r w:rsidRPr="00B148F9">
              <w:rPr>
                <w:b/>
                <w:bCs/>
              </w:rPr>
              <w:t>Community &amp; Environment</w:t>
            </w:r>
          </w:p>
          <w:p w14:paraId="65395AC3" w14:textId="77777777" w:rsidR="001E5651" w:rsidRPr="00B148F9" w:rsidRDefault="001E5651" w:rsidP="001E5651">
            <w:pPr>
              <w:jc w:val="left"/>
            </w:pPr>
          </w:p>
          <w:p w14:paraId="158DC2D6" w14:textId="645BC9B2" w:rsidR="001E5651" w:rsidRPr="00B148F9" w:rsidRDefault="001E5651" w:rsidP="001E5651">
            <w:pPr>
              <w:jc w:val="left"/>
              <w:rPr>
                <w:b/>
                <w:bCs/>
              </w:rPr>
            </w:pPr>
            <w:r w:rsidRPr="00B148F9">
              <w:t>The Company does not have any direct employees</w:t>
            </w:r>
          </w:p>
        </w:tc>
        <w:tc>
          <w:tcPr>
            <w:tcW w:w="3012" w:type="dxa"/>
            <w:tcBorders>
              <w:top w:val="nil"/>
              <w:left w:val="nil"/>
              <w:bottom w:val="single" w:sz="8" w:space="0" w:color="auto"/>
              <w:right w:val="single" w:sz="8" w:space="0" w:color="auto"/>
            </w:tcBorders>
            <w:tcMar>
              <w:top w:w="0" w:type="dxa"/>
              <w:left w:w="108" w:type="dxa"/>
              <w:bottom w:w="0" w:type="dxa"/>
              <w:right w:w="108" w:type="dxa"/>
            </w:tcMar>
          </w:tcPr>
          <w:p w14:paraId="3055B038" w14:textId="77777777" w:rsidR="001E5651" w:rsidRPr="00B148F9" w:rsidRDefault="001E5651" w:rsidP="001E5651">
            <w:pPr>
              <w:jc w:val="left"/>
            </w:pPr>
          </w:p>
          <w:p w14:paraId="6256262A" w14:textId="77777777" w:rsidR="001E5651" w:rsidRPr="00B148F9" w:rsidRDefault="001E5651" w:rsidP="001E5651">
            <w:pPr>
              <w:jc w:val="left"/>
            </w:pPr>
          </w:p>
          <w:p w14:paraId="7A78529F" w14:textId="00235508" w:rsidR="001E5651" w:rsidRPr="00B148F9" w:rsidRDefault="001E5651" w:rsidP="001E5651">
            <w:pPr>
              <w:jc w:val="left"/>
            </w:pPr>
            <w:r w:rsidRPr="00B148F9">
              <w:t xml:space="preserve">The Company aims to </w:t>
            </w:r>
            <w:r w:rsidR="004500E1" w:rsidRPr="00B148F9">
              <w:t>minimize</w:t>
            </w:r>
            <w:r w:rsidRPr="00B148F9">
              <w:t xml:space="preserve"> its environmental footprint.</w:t>
            </w: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14:paraId="743A4079" w14:textId="77777777" w:rsidR="001E5651" w:rsidRPr="00B148F9" w:rsidRDefault="001E5651" w:rsidP="001E5651">
            <w:pPr>
              <w:jc w:val="left"/>
            </w:pPr>
          </w:p>
          <w:p w14:paraId="79C854D2" w14:textId="77777777" w:rsidR="001E5651" w:rsidRPr="00B148F9" w:rsidRDefault="001E5651" w:rsidP="001E5651">
            <w:pPr>
              <w:jc w:val="left"/>
            </w:pPr>
          </w:p>
          <w:p w14:paraId="75069784" w14:textId="156AE7AA" w:rsidR="001E5651" w:rsidRPr="00B148F9" w:rsidRDefault="001E5651" w:rsidP="001E5651">
            <w:pPr>
              <w:jc w:val="left"/>
            </w:pPr>
            <w:r w:rsidRPr="00B148F9">
              <w:t xml:space="preserve">The Company and the Directors minimise air travel by making maximum use of video conferencing for Company related matters.  </w:t>
            </w:r>
          </w:p>
        </w:tc>
      </w:tr>
    </w:tbl>
    <w:p w14:paraId="50E2B8D1" w14:textId="77777777" w:rsidR="00542297" w:rsidRPr="00B148F9" w:rsidRDefault="00542297" w:rsidP="00542297"/>
    <w:p w14:paraId="0F4AEE11" w14:textId="4E1D10A8" w:rsidR="006B0097" w:rsidRPr="00B148F9" w:rsidRDefault="006B0097" w:rsidP="000D4F40">
      <w:pPr>
        <w:jc w:val="left"/>
        <w:rPr>
          <w:rFonts w:cs="Arial"/>
          <w:b/>
        </w:rPr>
      </w:pPr>
    </w:p>
    <w:p w14:paraId="725141F1" w14:textId="5DD57FAA" w:rsidR="006E5659" w:rsidRPr="00B148F9" w:rsidRDefault="006E5659" w:rsidP="000D4F40">
      <w:pPr>
        <w:jc w:val="left"/>
        <w:rPr>
          <w:rFonts w:cs="Arial"/>
          <w:b/>
        </w:rPr>
      </w:pPr>
      <w:r w:rsidRPr="00B148F9">
        <w:rPr>
          <w:rFonts w:cs="Arial"/>
          <w:b/>
        </w:rPr>
        <w:t>Report of the Directors</w:t>
      </w:r>
    </w:p>
    <w:p w14:paraId="325BBCDA" w14:textId="77777777" w:rsidR="006E5659" w:rsidRPr="00B148F9" w:rsidRDefault="006E5659" w:rsidP="00326CD3">
      <w:pPr>
        <w:tabs>
          <w:tab w:val="left" w:pos="3720"/>
        </w:tabs>
        <w:jc w:val="center"/>
        <w:rPr>
          <w:rFonts w:cs="Arial"/>
          <w:b/>
          <w:smallCaps/>
        </w:rPr>
      </w:pPr>
    </w:p>
    <w:p w14:paraId="0468CC3E" w14:textId="17EBE70F" w:rsidR="006E5659" w:rsidRPr="00B148F9" w:rsidRDefault="006E5659" w:rsidP="00326CD3">
      <w:pPr>
        <w:tabs>
          <w:tab w:val="left" w:pos="3720"/>
        </w:tabs>
        <w:rPr>
          <w:rFonts w:cs="Arial"/>
        </w:rPr>
      </w:pPr>
      <w:r w:rsidRPr="00B148F9">
        <w:rPr>
          <w:rFonts w:cs="Arial"/>
        </w:rPr>
        <w:t xml:space="preserve">The Directors hereby submit the annual report and audited financial statements </w:t>
      </w:r>
      <w:r w:rsidR="008D79FD" w:rsidRPr="00B148F9">
        <w:rPr>
          <w:rFonts w:cs="Arial"/>
        </w:rPr>
        <w:t xml:space="preserve">for </w:t>
      </w:r>
      <w:r w:rsidRPr="00B148F9">
        <w:rPr>
          <w:rFonts w:cs="Arial"/>
        </w:rPr>
        <w:t xml:space="preserve">the Company for the </w:t>
      </w:r>
      <w:r w:rsidR="003A2DEB" w:rsidRPr="00B148F9">
        <w:rPr>
          <w:rFonts w:cs="Arial"/>
        </w:rPr>
        <w:t>year</w:t>
      </w:r>
      <w:r w:rsidRPr="00B148F9">
        <w:rPr>
          <w:rFonts w:cs="Arial"/>
        </w:rPr>
        <w:t xml:space="preserve"> ended 31 </w:t>
      </w:r>
      <w:r w:rsidR="00D0343D" w:rsidRPr="00B148F9">
        <w:rPr>
          <w:rFonts w:cs="Arial"/>
        </w:rPr>
        <w:t xml:space="preserve">December </w:t>
      </w:r>
      <w:r w:rsidRPr="00B148F9">
        <w:rPr>
          <w:rFonts w:cs="Arial"/>
        </w:rPr>
        <w:t>201</w:t>
      </w:r>
      <w:r w:rsidR="006E4996" w:rsidRPr="00B148F9">
        <w:rPr>
          <w:rFonts w:cs="Arial"/>
        </w:rPr>
        <w:t>9</w:t>
      </w:r>
      <w:r w:rsidR="008D79FD" w:rsidRPr="00B148F9">
        <w:rPr>
          <w:rFonts w:cs="Arial"/>
        </w:rPr>
        <w:t>.</w:t>
      </w:r>
      <w:r w:rsidR="005E6E5B" w:rsidRPr="00B148F9">
        <w:rPr>
          <w:rFonts w:cs="Arial"/>
        </w:rPr>
        <w:t xml:space="preserve"> </w:t>
      </w:r>
    </w:p>
    <w:p w14:paraId="43702038" w14:textId="77777777" w:rsidR="006E5659" w:rsidRPr="00B148F9" w:rsidRDefault="006E5659" w:rsidP="00326CD3">
      <w:pPr>
        <w:tabs>
          <w:tab w:val="left" w:pos="3720"/>
        </w:tabs>
        <w:rPr>
          <w:rFonts w:cs="Arial"/>
        </w:rPr>
      </w:pPr>
    </w:p>
    <w:p w14:paraId="3F90D8F0" w14:textId="77777777" w:rsidR="003E663B" w:rsidRPr="00B148F9" w:rsidRDefault="003E663B" w:rsidP="003E663B">
      <w:pPr>
        <w:tabs>
          <w:tab w:val="left" w:pos="3720"/>
        </w:tabs>
        <w:rPr>
          <w:rFonts w:cs="Arial"/>
          <w:b/>
        </w:rPr>
      </w:pPr>
      <w:r w:rsidRPr="00B148F9">
        <w:rPr>
          <w:rFonts w:cs="Arial"/>
          <w:b/>
        </w:rPr>
        <w:t xml:space="preserve">Principal </w:t>
      </w:r>
      <w:r w:rsidR="000A54D1" w:rsidRPr="00B148F9">
        <w:rPr>
          <w:rFonts w:cs="Arial"/>
          <w:b/>
        </w:rPr>
        <w:t>a</w:t>
      </w:r>
      <w:r w:rsidRPr="00B148F9">
        <w:rPr>
          <w:rFonts w:cs="Arial"/>
          <w:b/>
        </w:rPr>
        <w:t>ctivities</w:t>
      </w:r>
    </w:p>
    <w:p w14:paraId="32DF4BCD" w14:textId="2416E94D" w:rsidR="003E663B" w:rsidRPr="00B148F9" w:rsidRDefault="00521A37" w:rsidP="003E663B">
      <w:pPr>
        <w:tabs>
          <w:tab w:val="left" w:pos="3720"/>
        </w:tabs>
        <w:rPr>
          <w:rFonts w:cs="Arial"/>
        </w:rPr>
      </w:pPr>
      <w:r w:rsidRPr="00B148F9">
        <w:rPr>
          <w:rFonts w:cs="Arial"/>
        </w:rPr>
        <w:t xml:space="preserve">Further information on </w:t>
      </w:r>
      <w:r w:rsidR="00F52499" w:rsidRPr="00B148F9">
        <w:rPr>
          <w:rFonts w:cs="Arial"/>
        </w:rPr>
        <w:t>the principal</w:t>
      </w:r>
      <w:r w:rsidRPr="00B148F9">
        <w:rPr>
          <w:rFonts w:cs="Arial"/>
        </w:rPr>
        <w:t xml:space="preserve"> activities of the Company can be found</w:t>
      </w:r>
      <w:r w:rsidR="00AC2BD4" w:rsidRPr="00B148F9">
        <w:rPr>
          <w:rFonts w:cs="Arial"/>
        </w:rPr>
        <w:t xml:space="preserve"> </w:t>
      </w:r>
      <w:r w:rsidR="00D502F5">
        <w:rPr>
          <w:rFonts w:cs="Arial"/>
        </w:rPr>
        <w:t>above.</w:t>
      </w:r>
    </w:p>
    <w:p w14:paraId="3B6BBE6E" w14:textId="77777777" w:rsidR="003E663B" w:rsidRPr="00B148F9" w:rsidRDefault="003E663B" w:rsidP="003E663B">
      <w:pPr>
        <w:rPr>
          <w:rFonts w:cs="Arial"/>
        </w:rPr>
      </w:pPr>
    </w:p>
    <w:p w14:paraId="2F755C53" w14:textId="77777777" w:rsidR="003E663B" w:rsidRPr="00B148F9" w:rsidRDefault="000A54D1" w:rsidP="003E663B">
      <w:pPr>
        <w:tabs>
          <w:tab w:val="left" w:pos="3720"/>
        </w:tabs>
        <w:rPr>
          <w:rFonts w:cs="Arial"/>
        </w:rPr>
      </w:pPr>
      <w:r w:rsidRPr="00B148F9">
        <w:rPr>
          <w:rFonts w:cs="Arial"/>
          <w:b/>
        </w:rPr>
        <w:t>Business r</w:t>
      </w:r>
      <w:r w:rsidR="003E663B" w:rsidRPr="00B148F9">
        <w:rPr>
          <w:rFonts w:cs="Arial"/>
          <w:b/>
        </w:rPr>
        <w:t>eview</w:t>
      </w:r>
    </w:p>
    <w:p w14:paraId="4463B83D" w14:textId="15AF551B" w:rsidR="003E663B" w:rsidRPr="00B148F9" w:rsidRDefault="003E663B" w:rsidP="003E663B">
      <w:pPr>
        <w:tabs>
          <w:tab w:val="left" w:pos="3720"/>
        </w:tabs>
        <w:rPr>
          <w:rFonts w:cs="Arial"/>
        </w:rPr>
      </w:pPr>
      <w:r w:rsidRPr="00B148F9">
        <w:rPr>
          <w:rFonts w:cs="Arial"/>
        </w:rPr>
        <w:t xml:space="preserve">A review of the Company’s business and its likely future development is provided in the Chairman’s Statement </w:t>
      </w:r>
      <w:r w:rsidR="00D502F5">
        <w:rPr>
          <w:rFonts w:cs="Arial"/>
        </w:rPr>
        <w:t>above</w:t>
      </w:r>
      <w:r w:rsidRPr="00B148F9">
        <w:rPr>
          <w:rFonts w:cs="Arial"/>
        </w:rPr>
        <w:t xml:space="preserve">. The underlying investments of the </w:t>
      </w:r>
      <w:r w:rsidR="00BD5C1E" w:rsidRPr="00B148F9">
        <w:rPr>
          <w:rFonts w:cs="Arial"/>
        </w:rPr>
        <w:t>Company</w:t>
      </w:r>
      <w:r w:rsidRPr="00B148F9">
        <w:rPr>
          <w:rFonts w:cs="Arial"/>
        </w:rPr>
        <w:t xml:space="preserve"> are reviewed in </w:t>
      </w:r>
      <w:r w:rsidR="001E548C" w:rsidRPr="00B148F9">
        <w:rPr>
          <w:rFonts w:cs="Arial"/>
        </w:rPr>
        <w:t>the Investment Manager’s</w:t>
      </w:r>
      <w:r w:rsidRPr="00B148F9">
        <w:rPr>
          <w:rFonts w:cs="Arial"/>
        </w:rPr>
        <w:t xml:space="preserve"> Report </w:t>
      </w:r>
      <w:r w:rsidR="00D502F5">
        <w:rPr>
          <w:rFonts w:cs="Arial"/>
        </w:rPr>
        <w:t>above.</w:t>
      </w:r>
    </w:p>
    <w:p w14:paraId="409FDF11" w14:textId="77777777" w:rsidR="008F5989" w:rsidRPr="00B148F9" w:rsidRDefault="008F5989" w:rsidP="008F5989">
      <w:pPr>
        <w:tabs>
          <w:tab w:val="left" w:pos="3720"/>
        </w:tabs>
        <w:rPr>
          <w:rFonts w:cs="Arial"/>
          <w:b/>
        </w:rPr>
      </w:pPr>
    </w:p>
    <w:p w14:paraId="503D6006" w14:textId="77777777" w:rsidR="006E5659" w:rsidRPr="00B148F9" w:rsidRDefault="006E5659" w:rsidP="00326CD3">
      <w:pPr>
        <w:tabs>
          <w:tab w:val="left" w:pos="3720"/>
        </w:tabs>
        <w:rPr>
          <w:rFonts w:cs="Arial"/>
          <w:b/>
        </w:rPr>
      </w:pPr>
      <w:r w:rsidRPr="00B148F9">
        <w:rPr>
          <w:rFonts w:cs="Arial"/>
          <w:b/>
        </w:rPr>
        <w:t xml:space="preserve">Results and </w:t>
      </w:r>
      <w:r w:rsidR="000A54D1" w:rsidRPr="00B148F9">
        <w:rPr>
          <w:rFonts w:cs="Arial"/>
          <w:b/>
        </w:rPr>
        <w:t>d</w:t>
      </w:r>
      <w:r w:rsidR="00685663" w:rsidRPr="00B148F9">
        <w:rPr>
          <w:rFonts w:cs="Arial"/>
          <w:b/>
        </w:rPr>
        <w:t>istribution</w:t>
      </w:r>
      <w:r w:rsidR="000A54D1" w:rsidRPr="00B148F9">
        <w:rPr>
          <w:rFonts w:cs="Arial"/>
          <w:b/>
        </w:rPr>
        <w:t>s</w:t>
      </w:r>
    </w:p>
    <w:p w14:paraId="5D999FA5" w14:textId="77777777" w:rsidR="007B7828" w:rsidRPr="00B148F9" w:rsidRDefault="007B7828" w:rsidP="00326CD3">
      <w:pPr>
        <w:tabs>
          <w:tab w:val="left" w:pos="3720"/>
        </w:tabs>
        <w:rPr>
          <w:rFonts w:cs="Arial"/>
        </w:rPr>
      </w:pPr>
    </w:p>
    <w:p w14:paraId="698E5222" w14:textId="77777777" w:rsidR="007B7828" w:rsidRPr="00B148F9" w:rsidRDefault="007B7828" w:rsidP="00326CD3">
      <w:pPr>
        <w:tabs>
          <w:tab w:val="left" w:pos="3720"/>
        </w:tabs>
        <w:rPr>
          <w:b/>
        </w:rPr>
      </w:pPr>
      <w:r w:rsidRPr="00B148F9">
        <w:rPr>
          <w:b/>
        </w:rPr>
        <w:t>The Company</w:t>
      </w:r>
    </w:p>
    <w:p w14:paraId="13F1D059" w14:textId="4BABE5BE" w:rsidR="006E5659" w:rsidRPr="00B148F9" w:rsidRDefault="006E5659" w:rsidP="00326CD3">
      <w:pPr>
        <w:tabs>
          <w:tab w:val="left" w:pos="3720"/>
        </w:tabs>
        <w:rPr>
          <w:rFonts w:cs="Arial"/>
        </w:rPr>
      </w:pPr>
      <w:r w:rsidRPr="00B148F9">
        <w:rPr>
          <w:rFonts w:cs="Arial"/>
        </w:rPr>
        <w:t>The results</w:t>
      </w:r>
      <w:r w:rsidR="0002117A" w:rsidRPr="00B148F9">
        <w:rPr>
          <w:rFonts w:cs="Arial"/>
        </w:rPr>
        <w:t xml:space="preserve"> of the Company</w:t>
      </w:r>
      <w:r w:rsidRPr="00B148F9">
        <w:rPr>
          <w:rFonts w:cs="Arial"/>
        </w:rPr>
        <w:t xml:space="preserve"> for the </w:t>
      </w:r>
      <w:r w:rsidR="003A2DEB" w:rsidRPr="00B148F9">
        <w:rPr>
          <w:rFonts w:cs="Arial"/>
        </w:rPr>
        <w:t>year</w:t>
      </w:r>
      <w:r w:rsidRPr="00B148F9">
        <w:rPr>
          <w:rFonts w:cs="Arial"/>
        </w:rPr>
        <w:t xml:space="preserve"> are shown in the audited statement of </w:t>
      </w:r>
      <w:r w:rsidR="003C78F1" w:rsidRPr="00B148F9">
        <w:rPr>
          <w:rFonts w:cs="Arial"/>
        </w:rPr>
        <w:t>operations</w:t>
      </w:r>
      <w:r w:rsidR="0002117A" w:rsidRPr="00B148F9">
        <w:rPr>
          <w:rFonts w:cs="Arial"/>
        </w:rPr>
        <w:t xml:space="preserve"> </w:t>
      </w:r>
      <w:r w:rsidR="00D502F5">
        <w:rPr>
          <w:rFonts w:cs="Arial"/>
        </w:rPr>
        <w:t>below.</w:t>
      </w:r>
    </w:p>
    <w:p w14:paraId="5908F7F6" w14:textId="77777777" w:rsidR="00EA5B63" w:rsidRPr="00B148F9" w:rsidRDefault="00EA5B63" w:rsidP="00326CD3">
      <w:pPr>
        <w:tabs>
          <w:tab w:val="left" w:pos="3720"/>
        </w:tabs>
        <w:rPr>
          <w:rFonts w:cs="Arial"/>
        </w:rPr>
      </w:pPr>
    </w:p>
    <w:p w14:paraId="481D7833" w14:textId="4F99704B" w:rsidR="00EA5B63" w:rsidRPr="00B148F9" w:rsidRDefault="00EA5B63" w:rsidP="00326CD3">
      <w:pPr>
        <w:tabs>
          <w:tab w:val="left" w:pos="3720"/>
        </w:tabs>
        <w:rPr>
          <w:rFonts w:cs="Arial"/>
        </w:rPr>
      </w:pPr>
      <w:r w:rsidRPr="00B148F9">
        <w:rPr>
          <w:rFonts w:cs="Arial"/>
        </w:rPr>
        <w:t xml:space="preserve">The Net Asset Value of the </w:t>
      </w:r>
      <w:r w:rsidR="00CB2DD1" w:rsidRPr="00B148F9">
        <w:rPr>
          <w:rFonts w:cs="Arial"/>
        </w:rPr>
        <w:t>Company</w:t>
      </w:r>
      <w:r w:rsidRPr="00B148F9">
        <w:rPr>
          <w:rFonts w:cs="Arial"/>
        </w:rPr>
        <w:t xml:space="preserve"> as at 31 </w:t>
      </w:r>
      <w:r w:rsidR="00CB2DD1" w:rsidRPr="00B148F9">
        <w:rPr>
          <w:rFonts w:cs="Arial"/>
        </w:rPr>
        <w:t xml:space="preserve">December </w:t>
      </w:r>
      <w:r w:rsidRPr="00B148F9">
        <w:rPr>
          <w:rFonts w:cs="Arial"/>
        </w:rPr>
        <w:t>201</w:t>
      </w:r>
      <w:r w:rsidR="00C82127" w:rsidRPr="00B148F9">
        <w:rPr>
          <w:rFonts w:cs="Arial"/>
        </w:rPr>
        <w:t>9</w:t>
      </w:r>
      <w:r w:rsidRPr="00B148F9">
        <w:rPr>
          <w:rFonts w:cs="Arial"/>
        </w:rPr>
        <w:t xml:space="preserve"> was </w:t>
      </w:r>
      <w:r w:rsidR="00BE05D5" w:rsidRPr="00B148F9">
        <w:rPr>
          <w:rFonts w:cs="Arial"/>
        </w:rPr>
        <w:t>US$2</w:t>
      </w:r>
      <w:r w:rsidR="004A6DA1" w:rsidRPr="00B148F9">
        <w:rPr>
          <w:rFonts w:cs="Arial"/>
        </w:rPr>
        <w:t>14</w:t>
      </w:r>
      <w:r w:rsidR="00BE05D5" w:rsidRPr="00B148F9">
        <w:rPr>
          <w:rFonts w:cs="Arial"/>
        </w:rPr>
        <w:t>.</w:t>
      </w:r>
      <w:r w:rsidR="004A6DA1" w:rsidRPr="00B148F9">
        <w:rPr>
          <w:rFonts w:cs="Arial"/>
        </w:rPr>
        <w:t>4</w:t>
      </w:r>
      <w:r w:rsidR="00BE05D5" w:rsidRPr="00B148F9">
        <w:rPr>
          <w:rFonts w:cs="Arial"/>
        </w:rPr>
        <w:t xml:space="preserve"> </w:t>
      </w:r>
      <w:r w:rsidRPr="00B148F9">
        <w:rPr>
          <w:rFonts w:cs="Arial"/>
        </w:rPr>
        <w:t>million (201</w:t>
      </w:r>
      <w:r w:rsidR="00C82127" w:rsidRPr="00B148F9">
        <w:rPr>
          <w:rFonts w:cs="Arial"/>
        </w:rPr>
        <w:t>8</w:t>
      </w:r>
      <w:r w:rsidR="00F14255" w:rsidRPr="00B148F9">
        <w:rPr>
          <w:rFonts w:cs="Arial"/>
        </w:rPr>
        <w:t xml:space="preserve">: </w:t>
      </w:r>
      <w:r w:rsidR="00BE05D5" w:rsidRPr="00B148F9">
        <w:rPr>
          <w:rFonts w:cs="Arial"/>
        </w:rPr>
        <w:t>US$</w:t>
      </w:r>
      <w:r w:rsidR="006A19A1" w:rsidRPr="00B148F9">
        <w:rPr>
          <w:rFonts w:cs="Arial"/>
        </w:rPr>
        <w:t>65.7</w:t>
      </w:r>
      <w:r w:rsidR="00CC7AE5" w:rsidRPr="00B148F9">
        <w:rPr>
          <w:rFonts w:cs="Arial"/>
        </w:rPr>
        <w:t xml:space="preserve"> </w:t>
      </w:r>
      <w:r w:rsidRPr="00B148F9">
        <w:rPr>
          <w:rFonts w:cs="Arial"/>
        </w:rPr>
        <w:t>million).</w:t>
      </w:r>
    </w:p>
    <w:p w14:paraId="2D992295" w14:textId="77777777" w:rsidR="006044E1" w:rsidRPr="00B148F9" w:rsidRDefault="006044E1" w:rsidP="00326CD3">
      <w:pPr>
        <w:tabs>
          <w:tab w:val="left" w:pos="3720"/>
        </w:tabs>
        <w:rPr>
          <w:rFonts w:cs="Arial"/>
        </w:rPr>
      </w:pPr>
    </w:p>
    <w:p w14:paraId="66D070BD" w14:textId="05E2296C" w:rsidR="000C678F" w:rsidRPr="00B148F9" w:rsidRDefault="00A62A83" w:rsidP="00A20228">
      <w:pPr>
        <w:pStyle w:val="hs"/>
        <w:rPr>
          <w:rFonts w:ascii="Century Gothic" w:hAnsi="Century Gothic"/>
          <w:sz w:val="20"/>
          <w:szCs w:val="20"/>
        </w:rPr>
      </w:pPr>
      <w:r w:rsidRPr="00B148F9">
        <w:rPr>
          <w:rFonts w:ascii="Century Gothic" w:hAnsi="Century Gothic" w:cs="Arial"/>
          <w:sz w:val="20"/>
          <w:szCs w:val="20"/>
        </w:rPr>
        <w:t>No di</w:t>
      </w:r>
      <w:r w:rsidR="00733C8A" w:rsidRPr="00B148F9">
        <w:rPr>
          <w:rFonts w:ascii="Century Gothic" w:hAnsi="Century Gothic" w:cs="Arial"/>
          <w:sz w:val="20"/>
          <w:szCs w:val="20"/>
        </w:rPr>
        <w:t>vidend</w:t>
      </w:r>
      <w:r w:rsidRPr="00B148F9">
        <w:rPr>
          <w:rFonts w:ascii="Century Gothic" w:hAnsi="Century Gothic" w:cs="Arial"/>
          <w:sz w:val="20"/>
          <w:szCs w:val="20"/>
        </w:rPr>
        <w:t xml:space="preserve">s </w:t>
      </w:r>
      <w:r w:rsidR="00C540D7" w:rsidRPr="00B148F9">
        <w:rPr>
          <w:rFonts w:ascii="Century Gothic" w:hAnsi="Century Gothic" w:cs="Arial"/>
          <w:sz w:val="20"/>
          <w:szCs w:val="20"/>
        </w:rPr>
        <w:t xml:space="preserve">or distributions respectively </w:t>
      </w:r>
      <w:r w:rsidRPr="00B148F9">
        <w:rPr>
          <w:rFonts w:ascii="Century Gothic" w:hAnsi="Century Gothic" w:cs="Arial"/>
          <w:sz w:val="20"/>
          <w:szCs w:val="20"/>
        </w:rPr>
        <w:t xml:space="preserve">were paid during the </w:t>
      </w:r>
      <w:r w:rsidR="00036A4D" w:rsidRPr="00B148F9">
        <w:rPr>
          <w:rFonts w:ascii="Century Gothic" w:hAnsi="Century Gothic" w:cs="Arial"/>
          <w:sz w:val="20"/>
          <w:szCs w:val="20"/>
        </w:rPr>
        <w:t>year</w:t>
      </w:r>
      <w:r w:rsidR="00BE05D5" w:rsidRPr="00B148F9">
        <w:rPr>
          <w:rFonts w:ascii="Century Gothic" w:hAnsi="Century Gothic" w:cs="Arial"/>
          <w:sz w:val="20"/>
          <w:szCs w:val="20"/>
        </w:rPr>
        <w:t>s</w:t>
      </w:r>
      <w:r w:rsidRPr="00B148F9">
        <w:rPr>
          <w:rFonts w:ascii="Century Gothic" w:hAnsi="Century Gothic" w:cs="Arial"/>
          <w:sz w:val="20"/>
          <w:szCs w:val="20"/>
        </w:rPr>
        <w:t xml:space="preserve"> ended 31 </w:t>
      </w:r>
      <w:r w:rsidR="00CB2DD1" w:rsidRPr="00B148F9">
        <w:rPr>
          <w:rFonts w:ascii="Century Gothic" w:hAnsi="Century Gothic" w:cs="Arial"/>
          <w:sz w:val="20"/>
          <w:szCs w:val="20"/>
        </w:rPr>
        <w:t xml:space="preserve">December </w:t>
      </w:r>
      <w:r w:rsidRPr="00B148F9">
        <w:rPr>
          <w:rFonts w:ascii="Century Gothic" w:hAnsi="Century Gothic" w:cs="Arial"/>
          <w:sz w:val="20"/>
          <w:szCs w:val="20"/>
        </w:rPr>
        <w:t xml:space="preserve">2019 </w:t>
      </w:r>
      <w:r w:rsidR="00BE05D5" w:rsidRPr="00B148F9">
        <w:rPr>
          <w:rFonts w:ascii="Century Gothic" w:hAnsi="Century Gothic" w:cs="Arial"/>
          <w:sz w:val="20"/>
          <w:szCs w:val="20"/>
        </w:rPr>
        <w:t>and 31 December 2018.</w:t>
      </w:r>
      <w:r w:rsidR="000C678F" w:rsidRPr="00B148F9">
        <w:rPr>
          <w:rFonts w:ascii="Century Gothic" w:hAnsi="Century Gothic"/>
          <w:sz w:val="20"/>
          <w:szCs w:val="20"/>
        </w:rPr>
        <w:t xml:space="preserve"> </w:t>
      </w:r>
    </w:p>
    <w:p w14:paraId="407F4A60" w14:textId="325CDDFA" w:rsidR="008F4E5D" w:rsidRPr="00B148F9" w:rsidRDefault="008F4E5D" w:rsidP="00A20228">
      <w:pPr>
        <w:pStyle w:val="hs"/>
        <w:rPr>
          <w:rFonts w:ascii="Century Gothic" w:hAnsi="Century Gothic"/>
          <w:sz w:val="20"/>
          <w:szCs w:val="20"/>
        </w:rPr>
      </w:pPr>
    </w:p>
    <w:p w14:paraId="2FBC8654" w14:textId="5B0779A7" w:rsidR="008F4E5D" w:rsidRPr="00B148F9" w:rsidRDefault="008F4E5D" w:rsidP="002F1219">
      <w:pPr>
        <w:tabs>
          <w:tab w:val="left" w:pos="3720"/>
        </w:tabs>
      </w:pPr>
      <w:r w:rsidRPr="00B148F9">
        <w:rPr>
          <w:rFonts w:cs="Arial"/>
          <w:b/>
        </w:rPr>
        <w:t>Capital Structure</w:t>
      </w:r>
    </w:p>
    <w:p w14:paraId="586CA950" w14:textId="6A572A10" w:rsidR="00C22EFE" w:rsidRPr="00B148F9" w:rsidRDefault="00185321" w:rsidP="00185321">
      <w:pPr>
        <w:pStyle w:val="hs"/>
        <w:rPr>
          <w:rFonts w:ascii="Century Gothic" w:hAnsi="Century Gothic"/>
          <w:sz w:val="20"/>
          <w:szCs w:val="20"/>
        </w:rPr>
      </w:pPr>
      <w:r w:rsidRPr="00B148F9">
        <w:rPr>
          <w:rFonts w:ascii="Century Gothic" w:hAnsi="Century Gothic"/>
          <w:sz w:val="20"/>
          <w:szCs w:val="20"/>
        </w:rPr>
        <w:t>The Company was incorporated as a limited liability corporation in Delaware on 16 February</w:t>
      </w:r>
      <w:r w:rsidR="003C78F1" w:rsidRPr="00B148F9">
        <w:rPr>
          <w:rFonts w:ascii="Century Gothic" w:hAnsi="Century Gothic"/>
          <w:sz w:val="20"/>
          <w:szCs w:val="20"/>
        </w:rPr>
        <w:t xml:space="preserve"> </w:t>
      </w:r>
      <w:r w:rsidRPr="00B148F9">
        <w:rPr>
          <w:rFonts w:ascii="Century Gothic" w:hAnsi="Century Gothic"/>
          <w:sz w:val="20"/>
          <w:szCs w:val="20"/>
        </w:rPr>
        <w:t>2017. The Company was subsequently re-domiciled as a non-cellular company limited by</w:t>
      </w:r>
      <w:r w:rsidR="00892154" w:rsidRPr="00B148F9">
        <w:rPr>
          <w:rFonts w:ascii="Century Gothic" w:hAnsi="Century Gothic"/>
          <w:sz w:val="20"/>
          <w:szCs w:val="20"/>
        </w:rPr>
        <w:t xml:space="preserve"> </w:t>
      </w:r>
      <w:r w:rsidRPr="00B148F9">
        <w:rPr>
          <w:rFonts w:ascii="Century Gothic" w:hAnsi="Century Gothic"/>
          <w:sz w:val="20"/>
          <w:szCs w:val="20"/>
        </w:rPr>
        <w:t xml:space="preserve">shares under </w:t>
      </w:r>
      <w:r w:rsidR="00503BFE" w:rsidRPr="00B148F9">
        <w:rPr>
          <w:rFonts w:ascii="Century Gothic" w:hAnsi="Century Gothic"/>
          <w:sz w:val="20"/>
          <w:szCs w:val="20"/>
        </w:rPr>
        <w:t xml:space="preserve">the </w:t>
      </w:r>
      <w:r w:rsidR="006A19A1" w:rsidRPr="00B148F9">
        <w:rPr>
          <w:rFonts w:ascii="Century Gothic" w:hAnsi="Century Gothic"/>
          <w:sz w:val="20"/>
          <w:szCs w:val="20"/>
        </w:rPr>
        <w:t>Companies Law</w:t>
      </w:r>
      <w:r w:rsidRPr="00B148F9">
        <w:rPr>
          <w:rFonts w:ascii="Century Gothic" w:hAnsi="Century Gothic"/>
          <w:sz w:val="20"/>
          <w:szCs w:val="20"/>
        </w:rPr>
        <w:t xml:space="preserve"> on 2 October 2019 with registered number</w:t>
      </w:r>
      <w:r w:rsidR="006A19A1" w:rsidRPr="00B148F9">
        <w:rPr>
          <w:rFonts w:ascii="Century Gothic" w:hAnsi="Century Gothic"/>
          <w:sz w:val="20"/>
          <w:szCs w:val="20"/>
        </w:rPr>
        <w:t xml:space="preserve"> </w:t>
      </w:r>
      <w:r w:rsidRPr="00B148F9">
        <w:rPr>
          <w:rFonts w:ascii="Century Gothic" w:hAnsi="Century Gothic"/>
          <w:sz w:val="20"/>
          <w:szCs w:val="20"/>
        </w:rPr>
        <w:t>66847</w:t>
      </w:r>
      <w:r w:rsidR="00C22EFE" w:rsidRPr="00B148F9">
        <w:rPr>
          <w:rFonts w:ascii="Century Gothic" w:hAnsi="Century Gothic"/>
          <w:sz w:val="20"/>
          <w:szCs w:val="20"/>
        </w:rPr>
        <w:t>.</w:t>
      </w:r>
    </w:p>
    <w:p w14:paraId="304A0CC9" w14:textId="77777777" w:rsidR="00C22EFE" w:rsidRPr="00B148F9" w:rsidRDefault="00C22EFE" w:rsidP="00C22EFE">
      <w:pPr>
        <w:pStyle w:val="hs"/>
        <w:rPr>
          <w:rFonts w:ascii="Century Gothic" w:hAnsi="Century Gothic"/>
          <w:sz w:val="20"/>
          <w:szCs w:val="20"/>
        </w:rPr>
      </w:pPr>
    </w:p>
    <w:p w14:paraId="5BA835D5" w14:textId="06F72DA2" w:rsidR="00C22EFE" w:rsidRPr="00B148F9" w:rsidRDefault="00185321" w:rsidP="007A1250">
      <w:pPr>
        <w:pStyle w:val="hs"/>
        <w:rPr>
          <w:rFonts w:ascii="Century Gothic" w:hAnsi="Century Gothic"/>
          <w:sz w:val="20"/>
          <w:szCs w:val="20"/>
        </w:rPr>
      </w:pPr>
      <w:r w:rsidRPr="00B148F9">
        <w:rPr>
          <w:rFonts w:ascii="Century Gothic" w:hAnsi="Century Gothic"/>
          <w:sz w:val="20"/>
          <w:szCs w:val="20"/>
        </w:rPr>
        <w:t xml:space="preserve">On </w:t>
      </w:r>
      <w:r w:rsidR="00E464A9" w:rsidRPr="00B148F9">
        <w:rPr>
          <w:rFonts w:ascii="Century Gothic" w:hAnsi="Century Gothic"/>
          <w:sz w:val="20"/>
          <w:szCs w:val="20"/>
        </w:rPr>
        <w:t>re-domiciliation</w:t>
      </w:r>
      <w:r w:rsidR="00C22EFE" w:rsidRPr="00B148F9">
        <w:rPr>
          <w:rFonts w:ascii="Century Gothic" w:hAnsi="Century Gothic"/>
          <w:sz w:val="20"/>
          <w:szCs w:val="20"/>
        </w:rPr>
        <w:t xml:space="preserve">, the Company’s fully paid issued share capital consisted of </w:t>
      </w:r>
      <w:r w:rsidRPr="00B148F9">
        <w:rPr>
          <w:rFonts w:ascii="Century Gothic" w:hAnsi="Century Gothic"/>
          <w:sz w:val="20"/>
          <w:szCs w:val="20"/>
        </w:rPr>
        <w:t>147,144,094</w:t>
      </w:r>
      <w:r w:rsidR="00C22EFE" w:rsidRPr="00B148F9">
        <w:rPr>
          <w:rFonts w:ascii="Century Gothic" w:hAnsi="Century Gothic"/>
          <w:sz w:val="20"/>
          <w:szCs w:val="20"/>
        </w:rPr>
        <w:t xml:space="preserve"> </w:t>
      </w:r>
      <w:r w:rsidR="00F14255" w:rsidRPr="00B148F9">
        <w:rPr>
          <w:rFonts w:ascii="Century Gothic" w:hAnsi="Century Gothic"/>
          <w:sz w:val="20"/>
          <w:szCs w:val="20"/>
        </w:rPr>
        <w:t>Ordinary S</w:t>
      </w:r>
      <w:r w:rsidR="00C22EFE" w:rsidRPr="00B148F9">
        <w:rPr>
          <w:rFonts w:ascii="Century Gothic" w:hAnsi="Century Gothic"/>
          <w:sz w:val="20"/>
          <w:szCs w:val="20"/>
        </w:rPr>
        <w:t>hares</w:t>
      </w:r>
      <w:r w:rsidR="00F14255" w:rsidRPr="00B148F9">
        <w:rPr>
          <w:rFonts w:ascii="Century Gothic" w:hAnsi="Century Gothic"/>
          <w:sz w:val="20"/>
          <w:szCs w:val="20"/>
        </w:rPr>
        <w:t xml:space="preserve">, 1 </w:t>
      </w:r>
      <w:r w:rsidR="0039350B" w:rsidRPr="00B148F9">
        <w:rPr>
          <w:rFonts w:ascii="Century Gothic" w:hAnsi="Century Gothic"/>
          <w:sz w:val="20"/>
          <w:szCs w:val="20"/>
        </w:rPr>
        <w:t>Performance Allocation</w:t>
      </w:r>
      <w:r w:rsidR="00F14255" w:rsidRPr="00B148F9">
        <w:rPr>
          <w:rFonts w:ascii="Century Gothic" w:hAnsi="Century Gothic"/>
          <w:sz w:val="20"/>
          <w:szCs w:val="20"/>
        </w:rPr>
        <w:t xml:space="preserve"> S</w:t>
      </w:r>
      <w:r w:rsidR="00C22EFE" w:rsidRPr="00B148F9">
        <w:rPr>
          <w:rFonts w:ascii="Century Gothic" w:hAnsi="Century Gothic"/>
          <w:sz w:val="20"/>
          <w:szCs w:val="20"/>
        </w:rPr>
        <w:t>hare</w:t>
      </w:r>
      <w:r w:rsidR="00F14255" w:rsidRPr="00B148F9">
        <w:rPr>
          <w:rFonts w:ascii="Century Gothic" w:hAnsi="Century Gothic"/>
          <w:sz w:val="20"/>
          <w:szCs w:val="20"/>
        </w:rPr>
        <w:t xml:space="preserve"> and 1 Management Share.</w:t>
      </w:r>
      <w:r w:rsidR="00C22EFE" w:rsidRPr="00B148F9">
        <w:rPr>
          <w:rFonts w:ascii="Century Gothic" w:hAnsi="Century Gothic"/>
          <w:sz w:val="20"/>
          <w:szCs w:val="20"/>
        </w:rPr>
        <w:t xml:space="preserve"> </w:t>
      </w:r>
    </w:p>
    <w:p w14:paraId="30D18A33" w14:textId="6B352267" w:rsidR="00C22EFE" w:rsidRPr="00B148F9" w:rsidRDefault="00C22EFE" w:rsidP="00C22EFE">
      <w:pPr>
        <w:pStyle w:val="hs"/>
        <w:rPr>
          <w:rFonts w:ascii="Century Gothic" w:hAnsi="Century Gothic"/>
          <w:sz w:val="20"/>
          <w:szCs w:val="20"/>
        </w:rPr>
      </w:pPr>
    </w:p>
    <w:p w14:paraId="51369F1A" w14:textId="48852090" w:rsidR="00C22EFE" w:rsidRPr="00B148F9" w:rsidRDefault="00C22EFE" w:rsidP="00C22EFE">
      <w:pPr>
        <w:pStyle w:val="hs"/>
        <w:rPr>
          <w:rFonts w:ascii="Century Gothic" w:hAnsi="Century Gothic"/>
          <w:sz w:val="20"/>
          <w:szCs w:val="20"/>
        </w:rPr>
      </w:pPr>
      <w:r w:rsidRPr="00B148F9">
        <w:rPr>
          <w:rFonts w:ascii="Century Gothic" w:hAnsi="Century Gothic"/>
          <w:sz w:val="20"/>
          <w:szCs w:val="20"/>
        </w:rPr>
        <w:t>On</w:t>
      </w:r>
      <w:r w:rsidR="003832A0" w:rsidRPr="00B148F9">
        <w:rPr>
          <w:rFonts w:ascii="Century Gothic" w:hAnsi="Century Gothic"/>
          <w:sz w:val="20"/>
          <w:szCs w:val="20"/>
        </w:rPr>
        <w:t xml:space="preserve"> 30</w:t>
      </w:r>
      <w:r w:rsidRPr="00B148F9">
        <w:rPr>
          <w:rFonts w:ascii="Century Gothic" w:hAnsi="Century Gothic"/>
          <w:sz w:val="20"/>
          <w:szCs w:val="20"/>
        </w:rPr>
        <w:t xml:space="preserve"> </w:t>
      </w:r>
      <w:r w:rsidR="003832A0" w:rsidRPr="00B148F9">
        <w:rPr>
          <w:rFonts w:ascii="Century Gothic" w:hAnsi="Century Gothic"/>
          <w:sz w:val="20"/>
          <w:szCs w:val="20"/>
        </w:rPr>
        <w:t>October 2019</w:t>
      </w:r>
      <w:r w:rsidRPr="00B148F9">
        <w:rPr>
          <w:rFonts w:ascii="Century Gothic" w:hAnsi="Century Gothic"/>
          <w:sz w:val="20"/>
          <w:szCs w:val="20"/>
        </w:rPr>
        <w:t xml:space="preserve">, the Company also issued </w:t>
      </w:r>
      <w:r w:rsidR="00A54218" w:rsidRPr="00B148F9">
        <w:rPr>
          <w:rFonts w:ascii="Century Gothic" w:hAnsi="Century Gothic"/>
          <w:sz w:val="20"/>
          <w:szCs w:val="20"/>
        </w:rPr>
        <w:t>14,</w:t>
      </w:r>
      <w:r w:rsidR="00F14255" w:rsidRPr="00B148F9">
        <w:rPr>
          <w:rFonts w:ascii="Century Gothic" w:hAnsi="Century Gothic"/>
          <w:sz w:val="20"/>
          <w:szCs w:val="20"/>
        </w:rPr>
        <w:t>400</w:t>
      </w:r>
      <w:r w:rsidR="00A54218" w:rsidRPr="00B148F9">
        <w:rPr>
          <w:rFonts w:ascii="Century Gothic" w:hAnsi="Century Gothic"/>
          <w:sz w:val="20"/>
          <w:szCs w:val="20"/>
        </w:rPr>
        <w:t>,</w:t>
      </w:r>
      <w:r w:rsidR="00F14255" w:rsidRPr="00B148F9">
        <w:rPr>
          <w:rFonts w:ascii="Century Gothic" w:hAnsi="Century Gothic"/>
          <w:sz w:val="20"/>
          <w:szCs w:val="20"/>
        </w:rPr>
        <w:t>6</w:t>
      </w:r>
      <w:r w:rsidR="00A54218" w:rsidRPr="00B148F9">
        <w:rPr>
          <w:rFonts w:ascii="Century Gothic" w:hAnsi="Century Gothic"/>
          <w:sz w:val="20"/>
          <w:szCs w:val="20"/>
        </w:rPr>
        <w:t>0</w:t>
      </w:r>
      <w:r w:rsidR="00F14255" w:rsidRPr="00B148F9">
        <w:rPr>
          <w:rFonts w:ascii="Century Gothic" w:hAnsi="Century Gothic"/>
          <w:sz w:val="20"/>
          <w:szCs w:val="20"/>
        </w:rPr>
        <w:t>1</w:t>
      </w:r>
      <w:r w:rsidRPr="00B148F9">
        <w:rPr>
          <w:rFonts w:ascii="Century Gothic" w:hAnsi="Century Gothic"/>
          <w:sz w:val="20"/>
          <w:szCs w:val="20"/>
        </w:rPr>
        <w:t xml:space="preserve"> Ordinary Shares in connection with the IPO</w:t>
      </w:r>
      <w:r w:rsidR="003832A0" w:rsidRPr="00B148F9">
        <w:rPr>
          <w:rFonts w:ascii="Century Gothic" w:hAnsi="Century Gothic"/>
          <w:sz w:val="20"/>
          <w:szCs w:val="20"/>
        </w:rPr>
        <w:t>.</w:t>
      </w:r>
    </w:p>
    <w:p w14:paraId="2D1FF537" w14:textId="77777777" w:rsidR="00C22EFE" w:rsidRPr="00B148F9" w:rsidRDefault="00C22EFE" w:rsidP="00C22EFE">
      <w:pPr>
        <w:pStyle w:val="hs"/>
        <w:rPr>
          <w:rFonts w:ascii="Century Gothic" w:hAnsi="Century Gothic"/>
          <w:sz w:val="20"/>
          <w:szCs w:val="20"/>
        </w:rPr>
      </w:pPr>
    </w:p>
    <w:p w14:paraId="37827EB0" w14:textId="53AFA70F" w:rsidR="00C22EFE" w:rsidRPr="00B148F9" w:rsidRDefault="00C22EFE" w:rsidP="00C22EFE">
      <w:pPr>
        <w:pStyle w:val="hs"/>
        <w:rPr>
          <w:rFonts w:ascii="Century Gothic" w:hAnsi="Century Gothic"/>
          <w:sz w:val="20"/>
          <w:szCs w:val="20"/>
        </w:rPr>
      </w:pPr>
      <w:r w:rsidRPr="00B148F9">
        <w:rPr>
          <w:rFonts w:ascii="Century Gothic" w:hAnsi="Century Gothic"/>
          <w:sz w:val="20"/>
          <w:szCs w:val="20"/>
        </w:rPr>
        <w:t xml:space="preserve">On </w:t>
      </w:r>
      <w:r w:rsidR="003832A0" w:rsidRPr="00B148F9">
        <w:rPr>
          <w:rFonts w:ascii="Century Gothic" w:hAnsi="Century Gothic"/>
          <w:sz w:val="20"/>
          <w:szCs w:val="20"/>
        </w:rPr>
        <w:t>30</w:t>
      </w:r>
      <w:r w:rsidRPr="00B148F9">
        <w:rPr>
          <w:rFonts w:ascii="Century Gothic" w:hAnsi="Century Gothic"/>
          <w:sz w:val="20"/>
          <w:szCs w:val="20"/>
        </w:rPr>
        <w:t xml:space="preserve"> </w:t>
      </w:r>
      <w:r w:rsidR="003832A0" w:rsidRPr="00B148F9">
        <w:rPr>
          <w:rFonts w:ascii="Century Gothic" w:hAnsi="Century Gothic"/>
          <w:sz w:val="20"/>
          <w:szCs w:val="20"/>
        </w:rPr>
        <w:t>October 2019</w:t>
      </w:r>
      <w:r w:rsidRPr="00B148F9">
        <w:rPr>
          <w:rFonts w:ascii="Century Gothic" w:hAnsi="Century Gothic"/>
          <w:sz w:val="20"/>
          <w:szCs w:val="20"/>
        </w:rPr>
        <w:t>, all of the issued Ordinary Shares of the Company were listed and admitted to trading on the</w:t>
      </w:r>
      <w:r w:rsidR="001156EF" w:rsidRPr="00B148F9">
        <w:rPr>
          <w:rFonts w:ascii="Century Gothic" w:hAnsi="Century Gothic"/>
          <w:sz w:val="20"/>
          <w:szCs w:val="20"/>
        </w:rPr>
        <w:t xml:space="preserve"> Specialist Fund Segment of the LSE</w:t>
      </w:r>
      <w:r w:rsidRPr="00B148F9">
        <w:rPr>
          <w:rFonts w:ascii="Century Gothic" w:hAnsi="Century Gothic"/>
          <w:sz w:val="20"/>
          <w:szCs w:val="20"/>
        </w:rPr>
        <w:t xml:space="preserve"> </w:t>
      </w:r>
      <w:r w:rsidR="001156EF" w:rsidRPr="00B148F9">
        <w:rPr>
          <w:rFonts w:ascii="Century Gothic" w:hAnsi="Century Gothic"/>
          <w:sz w:val="20"/>
          <w:szCs w:val="20"/>
        </w:rPr>
        <w:t>(“</w:t>
      </w:r>
      <w:r w:rsidR="00845BF0" w:rsidRPr="00B148F9">
        <w:rPr>
          <w:rFonts w:ascii="Century Gothic" w:hAnsi="Century Gothic"/>
          <w:sz w:val="20"/>
          <w:szCs w:val="20"/>
        </w:rPr>
        <w:t>SFS</w:t>
      </w:r>
      <w:r w:rsidR="001156EF" w:rsidRPr="00B148F9">
        <w:rPr>
          <w:rFonts w:ascii="Century Gothic" w:hAnsi="Century Gothic"/>
          <w:sz w:val="20"/>
          <w:szCs w:val="20"/>
        </w:rPr>
        <w:t>”)</w:t>
      </w:r>
      <w:r w:rsidRPr="00B148F9">
        <w:rPr>
          <w:rFonts w:ascii="Century Gothic" w:hAnsi="Century Gothic"/>
          <w:sz w:val="20"/>
          <w:szCs w:val="20"/>
        </w:rPr>
        <w:t xml:space="preserve"> under ticker symbol: </w:t>
      </w:r>
      <w:r w:rsidR="001C5B34" w:rsidRPr="00B148F9">
        <w:rPr>
          <w:rFonts w:ascii="Century Gothic" w:hAnsi="Century Gothic"/>
          <w:sz w:val="20"/>
          <w:szCs w:val="20"/>
        </w:rPr>
        <w:t>RTW</w:t>
      </w:r>
      <w:r w:rsidRPr="00B148F9">
        <w:rPr>
          <w:rFonts w:ascii="Century Gothic" w:hAnsi="Century Gothic"/>
          <w:sz w:val="20"/>
          <w:szCs w:val="20"/>
        </w:rPr>
        <w:t xml:space="preserve">. The Company’s issued </w:t>
      </w:r>
      <w:r w:rsidR="00F14255" w:rsidRPr="00B148F9">
        <w:rPr>
          <w:rFonts w:ascii="Century Gothic" w:hAnsi="Century Gothic"/>
          <w:sz w:val="20"/>
          <w:szCs w:val="20"/>
        </w:rPr>
        <w:t>Ordinary S</w:t>
      </w:r>
      <w:r w:rsidRPr="00B148F9">
        <w:rPr>
          <w:rFonts w:ascii="Century Gothic" w:hAnsi="Century Gothic"/>
          <w:sz w:val="20"/>
          <w:szCs w:val="20"/>
        </w:rPr>
        <w:t xml:space="preserve">hare capital on initial admission to the </w:t>
      </w:r>
      <w:r w:rsidR="00845BF0" w:rsidRPr="00B148F9">
        <w:rPr>
          <w:rFonts w:ascii="Century Gothic" w:hAnsi="Century Gothic"/>
          <w:sz w:val="20"/>
          <w:szCs w:val="20"/>
        </w:rPr>
        <w:t>SFS</w:t>
      </w:r>
      <w:r w:rsidRPr="00B148F9">
        <w:rPr>
          <w:rFonts w:ascii="Century Gothic" w:hAnsi="Century Gothic"/>
          <w:sz w:val="20"/>
          <w:szCs w:val="20"/>
        </w:rPr>
        <w:t xml:space="preserve"> </w:t>
      </w:r>
      <w:r w:rsidR="001C5B34" w:rsidRPr="00B148F9">
        <w:rPr>
          <w:rFonts w:ascii="Century Gothic" w:hAnsi="Century Gothic"/>
          <w:sz w:val="20"/>
          <w:szCs w:val="20"/>
        </w:rPr>
        <w:t xml:space="preserve">was </w:t>
      </w:r>
      <w:r w:rsidR="00A54218" w:rsidRPr="00B148F9">
        <w:rPr>
          <w:rFonts w:ascii="Century Gothic" w:hAnsi="Century Gothic"/>
          <w:sz w:val="20"/>
          <w:szCs w:val="20"/>
        </w:rPr>
        <w:t>16</w:t>
      </w:r>
      <w:r w:rsidR="00F14255" w:rsidRPr="00B148F9">
        <w:rPr>
          <w:rFonts w:ascii="Century Gothic" w:hAnsi="Century Gothic"/>
          <w:sz w:val="20"/>
          <w:szCs w:val="20"/>
        </w:rPr>
        <w:t>1</w:t>
      </w:r>
      <w:r w:rsidR="00A54218" w:rsidRPr="00B148F9">
        <w:rPr>
          <w:rFonts w:ascii="Century Gothic" w:hAnsi="Century Gothic"/>
          <w:sz w:val="20"/>
          <w:szCs w:val="20"/>
        </w:rPr>
        <w:t>,</w:t>
      </w:r>
      <w:r w:rsidR="00F14255" w:rsidRPr="00B148F9">
        <w:rPr>
          <w:rFonts w:ascii="Century Gothic" w:hAnsi="Century Gothic"/>
          <w:sz w:val="20"/>
          <w:szCs w:val="20"/>
        </w:rPr>
        <w:t>544</w:t>
      </w:r>
      <w:r w:rsidR="00A54218" w:rsidRPr="00B148F9">
        <w:rPr>
          <w:rFonts w:ascii="Century Gothic" w:hAnsi="Century Gothic"/>
          <w:sz w:val="20"/>
          <w:szCs w:val="20"/>
        </w:rPr>
        <w:t>,</w:t>
      </w:r>
      <w:r w:rsidR="00F14255" w:rsidRPr="00B148F9">
        <w:rPr>
          <w:rFonts w:ascii="Century Gothic" w:hAnsi="Century Gothic"/>
          <w:sz w:val="20"/>
          <w:szCs w:val="20"/>
        </w:rPr>
        <w:t>695</w:t>
      </w:r>
      <w:r w:rsidR="001C5B34" w:rsidRPr="00B148F9">
        <w:rPr>
          <w:rFonts w:ascii="Century Gothic" w:hAnsi="Century Gothic"/>
          <w:sz w:val="20"/>
          <w:szCs w:val="20"/>
        </w:rPr>
        <w:t xml:space="preserve"> </w:t>
      </w:r>
      <w:r w:rsidR="00F14255" w:rsidRPr="00B148F9">
        <w:rPr>
          <w:rFonts w:ascii="Century Gothic" w:hAnsi="Century Gothic"/>
          <w:sz w:val="20"/>
          <w:szCs w:val="20"/>
        </w:rPr>
        <w:t>s</w:t>
      </w:r>
      <w:r w:rsidR="001C5B34" w:rsidRPr="00B148F9">
        <w:rPr>
          <w:rFonts w:ascii="Century Gothic" w:hAnsi="Century Gothic"/>
          <w:sz w:val="20"/>
          <w:szCs w:val="20"/>
        </w:rPr>
        <w:t>hares.</w:t>
      </w:r>
      <w:r w:rsidR="00F14255" w:rsidRPr="00B148F9">
        <w:rPr>
          <w:rFonts w:ascii="Century Gothic" w:hAnsi="Century Gothic"/>
          <w:sz w:val="20"/>
          <w:szCs w:val="20"/>
        </w:rPr>
        <w:t xml:space="preserve"> The Management Share was redeemed upon initial admission.</w:t>
      </w:r>
      <w:r w:rsidR="00820264" w:rsidRPr="00B148F9">
        <w:rPr>
          <w:rFonts w:ascii="Century Gothic" w:hAnsi="Century Gothic"/>
          <w:sz w:val="20"/>
          <w:szCs w:val="20"/>
        </w:rPr>
        <w:t xml:space="preserve"> </w:t>
      </w:r>
      <w:r w:rsidR="00055781" w:rsidRPr="00B148F9">
        <w:rPr>
          <w:rFonts w:ascii="Century Gothic" w:hAnsi="Century Gothic"/>
          <w:sz w:val="20"/>
          <w:szCs w:val="20"/>
        </w:rPr>
        <w:t>Cornerstone s</w:t>
      </w:r>
      <w:r w:rsidR="00820264" w:rsidRPr="00B148F9">
        <w:rPr>
          <w:rFonts w:ascii="Century Gothic" w:hAnsi="Century Gothic"/>
          <w:sz w:val="20"/>
          <w:szCs w:val="20"/>
        </w:rPr>
        <w:t xml:space="preserve">hareholders of the Company who held Ordinary Shares prior to initial admission are subject to certain lock-up restrictions for 12 months in respect </w:t>
      </w:r>
      <w:r w:rsidR="00EA6D11" w:rsidRPr="00B148F9">
        <w:rPr>
          <w:rFonts w:ascii="Century Gothic" w:hAnsi="Century Gothic"/>
          <w:sz w:val="20"/>
          <w:szCs w:val="20"/>
        </w:rPr>
        <w:t xml:space="preserve">of </w:t>
      </w:r>
      <w:r w:rsidR="00997CE4" w:rsidRPr="00B148F9">
        <w:rPr>
          <w:rFonts w:ascii="Century Gothic" w:hAnsi="Century Gothic"/>
          <w:sz w:val="20"/>
          <w:szCs w:val="20"/>
        </w:rPr>
        <w:t xml:space="preserve">all but 22.5% </w:t>
      </w:r>
      <w:r w:rsidR="00820264" w:rsidRPr="00B148F9">
        <w:rPr>
          <w:rFonts w:ascii="Century Gothic" w:hAnsi="Century Gothic"/>
          <w:sz w:val="20"/>
          <w:szCs w:val="20"/>
        </w:rPr>
        <w:t>of those Ordinary Shares.</w:t>
      </w:r>
    </w:p>
    <w:p w14:paraId="5F848D1C" w14:textId="77777777" w:rsidR="00C22EFE" w:rsidRPr="00B148F9" w:rsidRDefault="00C22EFE" w:rsidP="00C22EFE">
      <w:pPr>
        <w:pStyle w:val="hs"/>
        <w:rPr>
          <w:rFonts w:ascii="Century Gothic" w:hAnsi="Century Gothic"/>
          <w:sz w:val="20"/>
          <w:szCs w:val="20"/>
        </w:rPr>
      </w:pPr>
    </w:p>
    <w:p w14:paraId="3BC78561" w14:textId="140A6767" w:rsidR="008F4E5D" w:rsidRPr="00B148F9" w:rsidRDefault="001C5B34" w:rsidP="00C22EFE">
      <w:pPr>
        <w:pStyle w:val="hs"/>
        <w:rPr>
          <w:rFonts w:ascii="Century Gothic" w:hAnsi="Century Gothic"/>
          <w:sz w:val="20"/>
          <w:szCs w:val="20"/>
        </w:rPr>
      </w:pPr>
      <w:r w:rsidRPr="00B148F9">
        <w:rPr>
          <w:rFonts w:ascii="Century Gothic" w:hAnsi="Century Gothic"/>
          <w:sz w:val="20"/>
          <w:szCs w:val="20"/>
        </w:rPr>
        <w:t>As at 31 December 2019</w:t>
      </w:r>
      <w:r w:rsidR="00C22EFE" w:rsidRPr="00B148F9">
        <w:rPr>
          <w:rFonts w:ascii="Century Gothic" w:hAnsi="Century Gothic"/>
          <w:sz w:val="20"/>
          <w:szCs w:val="20"/>
        </w:rPr>
        <w:t xml:space="preserve">, the Company’s issued share capital was </w:t>
      </w:r>
      <w:r w:rsidR="00A54218" w:rsidRPr="00B148F9">
        <w:rPr>
          <w:rFonts w:ascii="Century Gothic" w:hAnsi="Century Gothic"/>
          <w:sz w:val="20"/>
          <w:szCs w:val="20"/>
        </w:rPr>
        <w:t>16</w:t>
      </w:r>
      <w:r w:rsidR="00F14255" w:rsidRPr="00B148F9">
        <w:rPr>
          <w:rFonts w:ascii="Century Gothic" w:hAnsi="Century Gothic"/>
          <w:sz w:val="20"/>
          <w:szCs w:val="20"/>
        </w:rPr>
        <w:t>1</w:t>
      </w:r>
      <w:r w:rsidR="00A54218" w:rsidRPr="00B148F9">
        <w:rPr>
          <w:rFonts w:ascii="Century Gothic" w:hAnsi="Century Gothic"/>
          <w:sz w:val="20"/>
          <w:szCs w:val="20"/>
        </w:rPr>
        <w:t>,</w:t>
      </w:r>
      <w:r w:rsidR="00F14255" w:rsidRPr="00B148F9">
        <w:rPr>
          <w:rFonts w:ascii="Century Gothic" w:hAnsi="Century Gothic"/>
          <w:sz w:val="20"/>
          <w:szCs w:val="20"/>
        </w:rPr>
        <w:t>544</w:t>
      </w:r>
      <w:r w:rsidR="00A54218" w:rsidRPr="00B148F9">
        <w:rPr>
          <w:rFonts w:ascii="Century Gothic" w:hAnsi="Century Gothic"/>
          <w:sz w:val="20"/>
          <w:szCs w:val="20"/>
        </w:rPr>
        <w:t>,</w:t>
      </w:r>
      <w:r w:rsidR="00F14255" w:rsidRPr="00B148F9">
        <w:rPr>
          <w:rFonts w:ascii="Century Gothic" w:hAnsi="Century Gothic"/>
          <w:sz w:val="20"/>
          <w:szCs w:val="20"/>
        </w:rPr>
        <w:t>695</w:t>
      </w:r>
      <w:r w:rsidR="00A54218" w:rsidRPr="00B148F9">
        <w:rPr>
          <w:rFonts w:ascii="Century Gothic" w:hAnsi="Century Gothic"/>
          <w:sz w:val="20"/>
          <w:szCs w:val="20"/>
        </w:rPr>
        <w:t xml:space="preserve"> </w:t>
      </w:r>
      <w:r w:rsidR="00C22EFE" w:rsidRPr="00B148F9">
        <w:rPr>
          <w:rFonts w:ascii="Century Gothic" w:hAnsi="Century Gothic"/>
          <w:sz w:val="20"/>
          <w:szCs w:val="20"/>
        </w:rPr>
        <w:t>Ordinary Shares</w:t>
      </w:r>
      <w:r w:rsidR="00F14255" w:rsidRPr="00B148F9">
        <w:rPr>
          <w:rFonts w:ascii="Century Gothic" w:hAnsi="Century Gothic"/>
          <w:sz w:val="20"/>
          <w:szCs w:val="20"/>
        </w:rPr>
        <w:t xml:space="preserve"> and 1 Performance Allocation Share</w:t>
      </w:r>
      <w:r w:rsidRPr="00B148F9">
        <w:rPr>
          <w:rFonts w:ascii="Century Gothic" w:hAnsi="Century Gothic"/>
          <w:sz w:val="20"/>
          <w:szCs w:val="20"/>
        </w:rPr>
        <w:t>.</w:t>
      </w:r>
      <w:r w:rsidR="00C22EFE" w:rsidRPr="00B148F9">
        <w:rPr>
          <w:rFonts w:ascii="Century Gothic" w:hAnsi="Century Gothic"/>
          <w:sz w:val="20"/>
          <w:szCs w:val="20"/>
        </w:rPr>
        <w:t xml:space="preserve"> There are no shares held in treasury.</w:t>
      </w:r>
      <w:r w:rsidR="004F6D2D" w:rsidRPr="00B148F9">
        <w:rPr>
          <w:rFonts w:ascii="Century Gothic" w:hAnsi="Century Gothic"/>
          <w:sz w:val="20"/>
          <w:szCs w:val="20"/>
        </w:rPr>
        <w:t xml:space="preserve"> Following year end, there have been further share issuances with the issued share capital as at </w:t>
      </w:r>
      <w:r w:rsidR="00350A1A" w:rsidRPr="00B148F9">
        <w:rPr>
          <w:rFonts w:ascii="Century Gothic" w:hAnsi="Century Gothic"/>
          <w:sz w:val="20"/>
          <w:szCs w:val="20"/>
        </w:rPr>
        <w:t>2 March</w:t>
      </w:r>
      <w:r w:rsidR="004F6D2D" w:rsidRPr="00B148F9">
        <w:rPr>
          <w:rFonts w:ascii="Century Gothic" w:hAnsi="Century Gothic"/>
          <w:sz w:val="20"/>
          <w:szCs w:val="20"/>
        </w:rPr>
        <w:t xml:space="preserve"> 2020 now </w:t>
      </w:r>
      <w:r w:rsidR="00350A1A" w:rsidRPr="00B148F9">
        <w:rPr>
          <w:rFonts w:ascii="Century Gothic" w:hAnsi="Century Gothic"/>
          <w:sz w:val="20"/>
          <w:szCs w:val="20"/>
        </w:rPr>
        <w:t xml:space="preserve">173,969,428 </w:t>
      </w:r>
      <w:r w:rsidR="004F6D2D" w:rsidRPr="00B148F9">
        <w:rPr>
          <w:rFonts w:ascii="Century Gothic" w:hAnsi="Century Gothic"/>
          <w:sz w:val="20"/>
          <w:szCs w:val="20"/>
        </w:rPr>
        <w:t>Ordinary Shares.</w:t>
      </w:r>
    </w:p>
    <w:p w14:paraId="2295B18E" w14:textId="6E2BCFA5" w:rsidR="00C22EFE" w:rsidRPr="00B148F9" w:rsidRDefault="00C22EFE" w:rsidP="00C22EFE">
      <w:pPr>
        <w:pStyle w:val="hs"/>
        <w:rPr>
          <w:rFonts w:ascii="Century Gothic" w:hAnsi="Century Gothic"/>
          <w:sz w:val="20"/>
          <w:szCs w:val="20"/>
        </w:rPr>
      </w:pPr>
    </w:p>
    <w:p w14:paraId="21C9F158" w14:textId="1C66FE5A" w:rsidR="00C22EFE" w:rsidRPr="00B148F9" w:rsidRDefault="00C22EFE" w:rsidP="00C22EFE">
      <w:pPr>
        <w:pStyle w:val="hs"/>
        <w:rPr>
          <w:rFonts w:ascii="Century Gothic" w:hAnsi="Century Gothic"/>
          <w:sz w:val="20"/>
          <w:szCs w:val="20"/>
        </w:rPr>
      </w:pPr>
      <w:r w:rsidRPr="00B148F9">
        <w:rPr>
          <w:rFonts w:ascii="Century Gothic" w:hAnsi="Century Gothic"/>
          <w:sz w:val="20"/>
          <w:szCs w:val="20"/>
        </w:rPr>
        <w:t>Further issues of shares will only be made if the Directors determine such issues to be in the best interests of shareholders and the Company as a whole. Relevant factors in making such determination include net asset performance, share price rating</w:t>
      </w:r>
      <w:r w:rsidR="00326813" w:rsidRPr="00B148F9">
        <w:rPr>
          <w:rFonts w:ascii="Century Gothic" w:hAnsi="Century Gothic"/>
          <w:sz w:val="20"/>
          <w:szCs w:val="20"/>
        </w:rPr>
        <w:t>,</w:t>
      </w:r>
      <w:r w:rsidRPr="00B148F9">
        <w:rPr>
          <w:rFonts w:ascii="Century Gothic" w:hAnsi="Century Gothic"/>
          <w:sz w:val="20"/>
          <w:szCs w:val="20"/>
        </w:rPr>
        <w:t xml:space="preserve"> perceived investor demand</w:t>
      </w:r>
      <w:r w:rsidR="00326813" w:rsidRPr="00B148F9">
        <w:rPr>
          <w:rFonts w:ascii="Century Gothic" w:hAnsi="Century Gothic"/>
          <w:sz w:val="20"/>
          <w:szCs w:val="20"/>
        </w:rPr>
        <w:t xml:space="preserve"> and any regulatory restrictions</w:t>
      </w:r>
      <w:r w:rsidRPr="00B148F9">
        <w:rPr>
          <w:rFonts w:ascii="Century Gothic" w:hAnsi="Century Gothic"/>
          <w:sz w:val="20"/>
          <w:szCs w:val="20"/>
        </w:rPr>
        <w:t xml:space="preserve">. In the case of further issues of Ordinary Shares (or sales of Ordinary Shares from treasury), such Ordinary Shares will only be issued at prices which are not less than the NAV per Ordinary Share announced as of the end of the immediately preceding month in which such Ordinary Shares are being issued. </w:t>
      </w:r>
    </w:p>
    <w:p w14:paraId="2CF0F182" w14:textId="11365EF2" w:rsidR="00FD1A1F" w:rsidRPr="00B148F9" w:rsidRDefault="00FD1A1F" w:rsidP="001B12CB">
      <w:pPr>
        <w:pStyle w:val="hs"/>
        <w:rPr>
          <w:rFonts w:cs="Arial"/>
        </w:rPr>
      </w:pPr>
    </w:p>
    <w:p w14:paraId="326DC1D9" w14:textId="77777777" w:rsidR="006E5659" w:rsidRPr="00B148F9" w:rsidRDefault="006E5659" w:rsidP="00326CD3">
      <w:pPr>
        <w:tabs>
          <w:tab w:val="left" w:pos="3720"/>
        </w:tabs>
        <w:rPr>
          <w:rFonts w:cs="Arial"/>
          <w:b/>
        </w:rPr>
      </w:pPr>
      <w:r w:rsidRPr="00B148F9">
        <w:rPr>
          <w:rFonts w:cs="Arial"/>
          <w:b/>
        </w:rPr>
        <w:t>Annual General Meeting</w:t>
      </w:r>
      <w:r w:rsidR="00986D1A" w:rsidRPr="00B148F9">
        <w:rPr>
          <w:rFonts w:cs="Arial"/>
          <w:b/>
        </w:rPr>
        <w:t>s</w:t>
      </w:r>
    </w:p>
    <w:p w14:paraId="37B26F75" w14:textId="28490F61" w:rsidR="006E5659" w:rsidRPr="00B148F9" w:rsidRDefault="006E5659" w:rsidP="00326CD3">
      <w:pPr>
        <w:tabs>
          <w:tab w:val="left" w:pos="3720"/>
        </w:tabs>
        <w:rPr>
          <w:rFonts w:cs="Arial"/>
        </w:rPr>
      </w:pPr>
      <w:r w:rsidRPr="00B148F9">
        <w:rPr>
          <w:rFonts w:cs="Arial"/>
        </w:rPr>
        <w:t>The Annual General Meeting of the Company will be held</w:t>
      </w:r>
      <w:r w:rsidR="0047365D" w:rsidRPr="00B148F9">
        <w:rPr>
          <w:rFonts w:cs="Arial"/>
        </w:rPr>
        <w:t xml:space="preserve"> on</w:t>
      </w:r>
      <w:r w:rsidR="00316138" w:rsidRPr="00B148F9">
        <w:rPr>
          <w:rFonts w:cs="Arial"/>
        </w:rPr>
        <w:t xml:space="preserve"> </w:t>
      </w:r>
      <w:r w:rsidR="00AE1437" w:rsidRPr="00B148F9">
        <w:rPr>
          <w:rFonts w:cs="Arial"/>
        </w:rPr>
        <w:t>25 June</w:t>
      </w:r>
      <w:r w:rsidR="00DC2FD2" w:rsidRPr="00B148F9">
        <w:rPr>
          <w:rFonts w:cs="Arial"/>
        </w:rPr>
        <w:t xml:space="preserve"> 20</w:t>
      </w:r>
      <w:r w:rsidR="00B8340D" w:rsidRPr="00B148F9">
        <w:rPr>
          <w:rFonts w:cs="Arial"/>
        </w:rPr>
        <w:t>20</w:t>
      </w:r>
      <w:r w:rsidR="001A348C" w:rsidRPr="00B148F9">
        <w:t xml:space="preserve"> </w:t>
      </w:r>
      <w:r w:rsidRPr="00B148F9">
        <w:rPr>
          <w:rFonts w:cs="Arial"/>
        </w:rPr>
        <w:t xml:space="preserve">at </w:t>
      </w:r>
      <w:r w:rsidR="003F065E" w:rsidRPr="00B148F9">
        <w:rPr>
          <w:rFonts w:eastAsia="Calibri" w:cs="AvenirNextLTPro-Regular"/>
          <w:lang w:eastAsia="en-GB"/>
        </w:rPr>
        <w:t>Trafalgar Court, Les Banques, St Peter Port, Guernsey</w:t>
      </w:r>
      <w:r w:rsidR="00F8225F" w:rsidRPr="00B148F9">
        <w:t xml:space="preserve">. </w:t>
      </w:r>
      <w:r w:rsidRPr="00B148F9">
        <w:t>Details of the resolutions to be proposed at the AGM</w:t>
      </w:r>
      <w:r w:rsidR="001549C8" w:rsidRPr="00B148F9">
        <w:t>s</w:t>
      </w:r>
      <w:r w:rsidRPr="00B148F9">
        <w:t>, together with explanations, appear in the Notice</w:t>
      </w:r>
      <w:r w:rsidR="001549C8" w:rsidRPr="00B148F9">
        <w:t>s</w:t>
      </w:r>
      <w:r w:rsidRPr="00B148F9">
        <w:t xml:space="preserve"> of Meeting</w:t>
      </w:r>
      <w:r w:rsidR="001549C8" w:rsidRPr="00B148F9">
        <w:t>s</w:t>
      </w:r>
      <w:r w:rsidRPr="00B148F9">
        <w:t xml:space="preserve"> which </w:t>
      </w:r>
      <w:r w:rsidR="00F8225F" w:rsidRPr="00B148F9">
        <w:t>are</w:t>
      </w:r>
      <w:r w:rsidRPr="00B148F9">
        <w:t xml:space="preserve"> being sent to Shareholders </w:t>
      </w:r>
      <w:r w:rsidR="00666B79" w:rsidRPr="00B148F9">
        <w:t>in due course.</w:t>
      </w:r>
    </w:p>
    <w:p w14:paraId="536ABC3C" w14:textId="77777777" w:rsidR="006E5659" w:rsidRPr="00B148F9" w:rsidRDefault="006E5659" w:rsidP="00326CD3">
      <w:pPr>
        <w:tabs>
          <w:tab w:val="left" w:pos="3720"/>
        </w:tabs>
        <w:rPr>
          <w:rFonts w:cs="Arial"/>
        </w:rPr>
      </w:pPr>
    </w:p>
    <w:p w14:paraId="40C436BE" w14:textId="77777777" w:rsidR="006E5659" w:rsidRPr="00B148F9" w:rsidRDefault="008B0D4F" w:rsidP="00326CD3">
      <w:pPr>
        <w:tabs>
          <w:tab w:val="left" w:pos="3720"/>
        </w:tabs>
        <w:rPr>
          <w:rFonts w:cs="Arial"/>
        </w:rPr>
      </w:pPr>
      <w:r w:rsidRPr="00B148F9">
        <w:rPr>
          <w:rFonts w:cs="Arial"/>
        </w:rPr>
        <w:t>Members of the Board</w:t>
      </w:r>
      <w:r w:rsidR="00662992" w:rsidRPr="00B148F9">
        <w:rPr>
          <w:rFonts w:cs="Arial"/>
        </w:rPr>
        <w:t xml:space="preserve">, including the Chairman and the </w:t>
      </w:r>
      <w:r w:rsidR="00B346F7" w:rsidRPr="00B148F9">
        <w:rPr>
          <w:rFonts w:cs="Arial"/>
        </w:rPr>
        <w:t>A</w:t>
      </w:r>
      <w:r w:rsidR="00662992" w:rsidRPr="00B148F9">
        <w:rPr>
          <w:rFonts w:cs="Arial"/>
        </w:rPr>
        <w:t xml:space="preserve">udit </w:t>
      </w:r>
      <w:r w:rsidR="00B346F7" w:rsidRPr="00B148F9">
        <w:rPr>
          <w:rFonts w:cs="Arial"/>
        </w:rPr>
        <w:t>C</w:t>
      </w:r>
      <w:r w:rsidR="00662992" w:rsidRPr="00B148F9">
        <w:rPr>
          <w:rFonts w:cs="Arial"/>
        </w:rPr>
        <w:t xml:space="preserve">ommittee </w:t>
      </w:r>
      <w:r w:rsidR="00B346F7" w:rsidRPr="00B148F9">
        <w:rPr>
          <w:rFonts w:cs="Arial"/>
        </w:rPr>
        <w:t>C</w:t>
      </w:r>
      <w:r w:rsidR="00662992" w:rsidRPr="00B148F9">
        <w:rPr>
          <w:rFonts w:cs="Arial"/>
        </w:rPr>
        <w:t>hairman,</w:t>
      </w:r>
      <w:r w:rsidR="006E5659" w:rsidRPr="00B148F9">
        <w:rPr>
          <w:rFonts w:cs="Arial"/>
        </w:rPr>
        <w:t xml:space="preserve"> will be in attendance at the AGM</w:t>
      </w:r>
      <w:r w:rsidR="00662992" w:rsidRPr="00B148F9">
        <w:rPr>
          <w:rFonts w:cs="Arial"/>
        </w:rPr>
        <w:t>s</w:t>
      </w:r>
      <w:r w:rsidR="006E5659" w:rsidRPr="00B148F9">
        <w:rPr>
          <w:rFonts w:cs="Arial"/>
        </w:rPr>
        <w:t xml:space="preserve"> and will be available to answer shareholder questions.</w:t>
      </w:r>
    </w:p>
    <w:p w14:paraId="4274F4E9" w14:textId="77777777" w:rsidR="006E5659" w:rsidRPr="00B148F9" w:rsidRDefault="006E5659" w:rsidP="00326CD3">
      <w:pPr>
        <w:tabs>
          <w:tab w:val="left" w:pos="3720"/>
        </w:tabs>
        <w:rPr>
          <w:rFonts w:cs="Arial"/>
        </w:rPr>
      </w:pPr>
    </w:p>
    <w:p w14:paraId="023793D8" w14:textId="7B575AD8" w:rsidR="006E5659" w:rsidRPr="00B148F9" w:rsidRDefault="006E5659" w:rsidP="00326CD3">
      <w:pPr>
        <w:tabs>
          <w:tab w:val="left" w:pos="3720"/>
        </w:tabs>
        <w:rPr>
          <w:rFonts w:cs="Arial"/>
          <w:b/>
        </w:rPr>
      </w:pPr>
      <w:r w:rsidRPr="00B148F9">
        <w:rPr>
          <w:rFonts w:cs="Arial"/>
          <w:b/>
        </w:rPr>
        <w:t xml:space="preserve">Listing </w:t>
      </w:r>
      <w:r w:rsidR="000A54D1" w:rsidRPr="00B148F9">
        <w:rPr>
          <w:rFonts w:cs="Arial"/>
          <w:b/>
        </w:rPr>
        <w:t>r</w:t>
      </w:r>
      <w:r w:rsidRPr="00B148F9">
        <w:rPr>
          <w:rFonts w:cs="Arial"/>
          <w:b/>
        </w:rPr>
        <w:t>equirements</w:t>
      </w:r>
    </w:p>
    <w:p w14:paraId="37EC7F70" w14:textId="6C9BAFAB" w:rsidR="00441C99" w:rsidRPr="00B148F9" w:rsidRDefault="00441C99" w:rsidP="00441C99">
      <w:pPr>
        <w:tabs>
          <w:tab w:val="left" w:pos="3720"/>
        </w:tabs>
        <w:rPr>
          <w:rFonts w:cs="Arial"/>
        </w:rPr>
      </w:pPr>
      <w:r w:rsidRPr="00B148F9">
        <w:rPr>
          <w:rFonts w:cs="Arial"/>
        </w:rPr>
        <w:t xml:space="preserve">The Company was a private unlisted investment vehicle throughout 2018 </w:t>
      </w:r>
      <w:r w:rsidR="001F13AE" w:rsidRPr="00B148F9">
        <w:rPr>
          <w:rFonts w:cs="Arial"/>
        </w:rPr>
        <w:t xml:space="preserve">and until admission </w:t>
      </w:r>
      <w:r w:rsidR="004F6D2D" w:rsidRPr="00B148F9">
        <w:rPr>
          <w:rFonts w:cs="Arial"/>
        </w:rPr>
        <w:t>o</w:t>
      </w:r>
      <w:r w:rsidR="001F13AE" w:rsidRPr="00B148F9">
        <w:rPr>
          <w:rFonts w:cs="Arial"/>
        </w:rPr>
        <w:t xml:space="preserve">n </w:t>
      </w:r>
      <w:r w:rsidR="004F6D2D" w:rsidRPr="00B148F9">
        <w:rPr>
          <w:rFonts w:cs="Arial"/>
        </w:rPr>
        <w:t xml:space="preserve">30 October </w:t>
      </w:r>
      <w:r w:rsidR="001F13AE" w:rsidRPr="00B148F9">
        <w:rPr>
          <w:rFonts w:cs="Arial"/>
        </w:rPr>
        <w:t xml:space="preserve">2019, </w:t>
      </w:r>
      <w:r w:rsidRPr="00B148F9">
        <w:rPr>
          <w:rFonts w:cs="Arial"/>
        </w:rPr>
        <w:t>and was not subject to compliance with any corporate governance codes</w:t>
      </w:r>
      <w:r w:rsidR="00503BFE" w:rsidRPr="00B148F9">
        <w:rPr>
          <w:rFonts w:cs="Arial"/>
        </w:rPr>
        <w:t>,</w:t>
      </w:r>
      <w:r w:rsidRPr="00B148F9">
        <w:rPr>
          <w:rFonts w:cs="Arial"/>
        </w:rPr>
        <w:t xml:space="preserve"> laws, rules or regulations ordinarily applicable to public companies listed on an EU regulated market. </w:t>
      </w:r>
    </w:p>
    <w:p w14:paraId="008DB0FE" w14:textId="77777777" w:rsidR="00441C99" w:rsidRPr="00B148F9" w:rsidRDefault="00441C99" w:rsidP="00441C99">
      <w:pPr>
        <w:tabs>
          <w:tab w:val="left" w:pos="3720"/>
        </w:tabs>
        <w:rPr>
          <w:rFonts w:cs="Arial"/>
        </w:rPr>
      </w:pPr>
    </w:p>
    <w:p w14:paraId="61451325" w14:textId="402FC45D" w:rsidR="00441C99" w:rsidRPr="00B148F9" w:rsidRDefault="00441C99" w:rsidP="00441C99">
      <w:pPr>
        <w:tabs>
          <w:tab w:val="left" w:pos="3720"/>
        </w:tabs>
        <w:rPr>
          <w:rFonts w:cs="Arial"/>
        </w:rPr>
      </w:pPr>
      <w:r w:rsidRPr="00B148F9">
        <w:rPr>
          <w:rFonts w:cs="Arial"/>
        </w:rPr>
        <w:t xml:space="preserve">Following Initial </w:t>
      </w:r>
      <w:r w:rsidR="001F13AE" w:rsidRPr="00B148F9">
        <w:rPr>
          <w:rFonts w:cs="Arial"/>
        </w:rPr>
        <w:t>a</w:t>
      </w:r>
      <w:r w:rsidRPr="00B148F9">
        <w:rPr>
          <w:rFonts w:cs="Arial"/>
        </w:rPr>
        <w:t>dmission</w:t>
      </w:r>
      <w:r w:rsidR="001F13AE" w:rsidRPr="00B148F9">
        <w:rPr>
          <w:rFonts w:cs="Arial"/>
        </w:rPr>
        <w:t xml:space="preserve"> </w:t>
      </w:r>
      <w:r w:rsidR="00FD57D5" w:rsidRPr="00B148F9">
        <w:rPr>
          <w:rFonts w:cs="Arial"/>
        </w:rPr>
        <w:t xml:space="preserve">to the SFS </w:t>
      </w:r>
      <w:r w:rsidR="001F13AE" w:rsidRPr="00B148F9">
        <w:rPr>
          <w:rFonts w:cs="Arial"/>
        </w:rPr>
        <w:t>on 30 October 2019</w:t>
      </w:r>
      <w:r w:rsidRPr="00B148F9">
        <w:rPr>
          <w:rFonts w:cs="Arial"/>
        </w:rPr>
        <w:t xml:space="preserve">, the Company has become subject to the Prospectus Rules, the Disclosure Guidance and Transparency Rules (as implemented in the UK through the Financial Services and Markets Act 2000 of the United Kingdom, as amended), the Market Abuse Regulation and the admission and disclosure standards of the London Stock Exchange. </w:t>
      </w:r>
    </w:p>
    <w:p w14:paraId="51D9EB75" w14:textId="77777777" w:rsidR="00441C99" w:rsidRPr="00B148F9" w:rsidRDefault="00441C99" w:rsidP="00326CD3">
      <w:pPr>
        <w:tabs>
          <w:tab w:val="left" w:pos="3720"/>
        </w:tabs>
        <w:rPr>
          <w:rFonts w:cs="Arial"/>
          <w:lang w:eastAsia="en-GB"/>
        </w:rPr>
      </w:pPr>
    </w:p>
    <w:p w14:paraId="096EB01A" w14:textId="7C13F7BA" w:rsidR="00441C99" w:rsidRPr="00B148F9" w:rsidRDefault="00997CE4" w:rsidP="00326CD3">
      <w:pPr>
        <w:pStyle w:val="DefaultText"/>
        <w:rPr>
          <w:rFonts w:cs="Arial"/>
          <w:lang w:eastAsia="en-GB"/>
        </w:rPr>
      </w:pPr>
      <w:r w:rsidRPr="00B148F9">
        <w:rPr>
          <w:rFonts w:cs="Arial"/>
          <w:lang w:eastAsia="en-GB"/>
        </w:rPr>
        <w:t>S</w:t>
      </w:r>
      <w:r w:rsidR="006E5659" w:rsidRPr="00B148F9">
        <w:rPr>
          <w:rFonts w:cs="Arial"/>
          <w:lang w:eastAsia="en-GB"/>
        </w:rPr>
        <w:t>ince admi</w:t>
      </w:r>
      <w:r w:rsidRPr="00B148F9">
        <w:rPr>
          <w:rFonts w:cs="Arial"/>
          <w:lang w:eastAsia="en-GB"/>
        </w:rPr>
        <w:t>ssion</w:t>
      </w:r>
      <w:r w:rsidR="006E5659" w:rsidRPr="00B148F9">
        <w:rPr>
          <w:rFonts w:cs="Arial"/>
          <w:lang w:eastAsia="en-GB"/>
        </w:rPr>
        <w:t xml:space="preserve"> to the </w:t>
      </w:r>
      <w:r w:rsidR="00FD57D5" w:rsidRPr="00B148F9">
        <w:rPr>
          <w:rFonts w:cs="Arial"/>
          <w:lang w:eastAsia="en-GB"/>
        </w:rPr>
        <w:t>SFS</w:t>
      </w:r>
      <w:r w:rsidR="006E5659" w:rsidRPr="00B148F9">
        <w:rPr>
          <w:rFonts w:cs="Arial"/>
          <w:lang w:eastAsia="en-GB"/>
        </w:rPr>
        <w:t>, the Company has complied with the</w:t>
      </w:r>
      <w:r w:rsidR="00FD57D5" w:rsidRPr="00B148F9">
        <w:rPr>
          <w:rFonts w:cs="Arial"/>
          <w:lang w:eastAsia="en-GB"/>
        </w:rPr>
        <w:t xml:space="preserve"> applicable</w:t>
      </w:r>
      <w:r w:rsidR="006E5659" w:rsidRPr="00B148F9">
        <w:rPr>
          <w:rFonts w:cs="Arial"/>
          <w:lang w:eastAsia="en-GB"/>
        </w:rPr>
        <w:t xml:space="preserve"> Listing Rules</w:t>
      </w:r>
      <w:r w:rsidR="00441C99" w:rsidRPr="00B148F9">
        <w:rPr>
          <w:rFonts w:cs="Arial"/>
          <w:lang w:eastAsia="en-GB"/>
        </w:rPr>
        <w:t>.</w:t>
      </w:r>
    </w:p>
    <w:p w14:paraId="7C40884B" w14:textId="6424865A" w:rsidR="00441C99" w:rsidRPr="00B148F9" w:rsidRDefault="00441C99" w:rsidP="00326CD3">
      <w:pPr>
        <w:pStyle w:val="DefaultText"/>
        <w:rPr>
          <w:rFonts w:cs="Arial"/>
          <w:lang w:eastAsia="en-GB"/>
        </w:rPr>
      </w:pPr>
    </w:p>
    <w:p w14:paraId="4B87AA58" w14:textId="5D296B74" w:rsidR="00441C99" w:rsidRPr="00B148F9" w:rsidRDefault="00441C99" w:rsidP="00326CD3">
      <w:pPr>
        <w:pStyle w:val="DefaultText"/>
        <w:rPr>
          <w:rFonts w:cs="Arial"/>
          <w:lang w:eastAsia="en-GB"/>
        </w:rPr>
      </w:pPr>
      <w:r w:rsidRPr="00B148F9">
        <w:rPr>
          <w:rFonts w:cs="Arial"/>
          <w:b/>
          <w:lang w:eastAsia="en-GB"/>
        </w:rPr>
        <w:t>Common Reporting Standard and Tax Reporting Requirements</w:t>
      </w:r>
    </w:p>
    <w:p w14:paraId="36AA272F" w14:textId="1398453E" w:rsidR="00441C99" w:rsidRPr="00B148F9" w:rsidRDefault="00441C99" w:rsidP="00326CD3">
      <w:pPr>
        <w:pStyle w:val="DefaultText"/>
        <w:rPr>
          <w:rFonts w:cs="Arial"/>
          <w:lang w:eastAsia="en-GB"/>
        </w:rPr>
      </w:pPr>
      <w:r w:rsidRPr="00B148F9">
        <w:rPr>
          <w:rFonts w:cs="Arial"/>
          <w:lang w:eastAsia="en-GB"/>
        </w:rPr>
        <w:t xml:space="preserve">The Common Reporting Standard (“CRS”), formerly the Standard for Automatic Exchange of Financial Account Information, became effective on 1 January 2016. CRS is an information standard for the automatic exchange of information developed by the Organisation for </w:t>
      </w:r>
      <w:r w:rsidRPr="00B148F9">
        <w:rPr>
          <w:rFonts w:cs="Arial"/>
          <w:lang w:eastAsia="en-GB"/>
        </w:rPr>
        <w:lastRenderedPageBreak/>
        <w:t>Economic Co-operation and Development</w:t>
      </w:r>
      <w:r w:rsidR="008D38F8" w:rsidRPr="00B148F9">
        <w:rPr>
          <w:rFonts w:cs="Arial"/>
          <w:lang w:eastAsia="en-GB"/>
        </w:rPr>
        <w:t>.</w:t>
      </w:r>
      <w:r w:rsidRPr="00B148F9">
        <w:rPr>
          <w:rFonts w:cs="Arial"/>
          <w:lang w:eastAsia="en-GB"/>
        </w:rPr>
        <w:t xml:space="preserve"> CRS is a measure to counter tax evasion and it builds upon other information sharing legislation, such as FATCA, the UK-Guernsey Intergovernmental Agreement (“UK-Guernsey IGA”) for the Automatic Exchange of Information, and the European Union Savings Directive. Under the UK-Guernsey IGA, certain disclosure requirements may be imposed in respect of certain shareholders in the Company who are, or are entities that are controlled by one or more, residents of the United Kingdom. In addition, under FATCA, the Company is required to make certain disclosures and reports to further compliance with the legislation’s requirements. It is the Company’s policy to comply with applicable requirements under CRS, the UK-Guernsey IGA and FATCA.</w:t>
      </w:r>
    </w:p>
    <w:p w14:paraId="1CAD1430" w14:textId="77777777" w:rsidR="00AC1FF7" w:rsidRPr="00B148F9" w:rsidRDefault="00AC1FF7" w:rsidP="00326CD3">
      <w:pPr>
        <w:pStyle w:val="DefaultText"/>
        <w:rPr>
          <w:rFonts w:cs="Arial"/>
          <w:lang w:eastAsia="en-GB"/>
        </w:rPr>
      </w:pPr>
    </w:p>
    <w:p w14:paraId="09C17F11" w14:textId="77777777" w:rsidR="00AC1FF7" w:rsidRPr="00B148F9" w:rsidRDefault="00AC1FF7" w:rsidP="00A828A0">
      <w:pPr>
        <w:pStyle w:val="DefaultText"/>
        <w:rPr>
          <w:rFonts w:cs="Arial"/>
          <w:lang w:eastAsia="en-GB"/>
        </w:rPr>
      </w:pPr>
      <w:r w:rsidRPr="00B148F9">
        <w:rPr>
          <w:rFonts w:cs="Arial"/>
          <w:b/>
          <w:lang w:eastAsia="en-GB"/>
        </w:rPr>
        <w:t>AIFMD</w:t>
      </w:r>
    </w:p>
    <w:p w14:paraId="45AABD1E" w14:textId="102573D4" w:rsidR="00B4436C" w:rsidRPr="00B148F9" w:rsidRDefault="007E0D8C" w:rsidP="00875C16">
      <w:pPr>
        <w:pStyle w:val="Bodytext0"/>
        <w:jc w:val="both"/>
        <w:rPr>
          <w:rFonts w:ascii="Century Gothic" w:hAnsi="Century Gothic"/>
        </w:rPr>
      </w:pPr>
      <w:r w:rsidRPr="00B148F9">
        <w:rPr>
          <w:rFonts w:ascii="Century Gothic" w:hAnsi="Century Gothic"/>
        </w:rPr>
        <w:t>The Directors have considered the impact of AIFMD on the Company and its operations. The Company is a non-EU domiciled Alternative Investment Fund and the Investment Manager has been appointed as the Company’s non-EU AIFM. As the Company is managed by a non-EU AIFM, only a limited number of provisions of AIFMD apply. The Investment Manager has made the notiﬁcations or applications and received, where relevant, approvals for the marketing of the Ordinary Shares to “professional investors” (as deﬁned in AIFMD) in the following EEA States: the United Kingdom and the Netherlands.</w:t>
      </w:r>
    </w:p>
    <w:p w14:paraId="07D93FCB" w14:textId="77777777" w:rsidR="007E0D8C" w:rsidRPr="00B148F9" w:rsidRDefault="007E0D8C" w:rsidP="00875C16">
      <w:pPr>
        <w:pStyle w:val="Bodytext0"/>
        <w:jc w:val="both"/>
        <w:rPr>
          <w:rFonts w:ascii="Century Gothic" w:hAnsi="Century Gothic"/>
          <w:b/>
        </w:rPr>
      </w:pPr>
    </w:p>
    <w:p w14:paraId="4132A738" w14:textId="77777777" w:rsidR="001D1ACE" w:rsidRPr="00B148F9" w:rsidRDefault="001D1ACE" w:rsidP="001D1ACE">
      <w:pPr>
        <w:pStyle w:val="BodyText"/>
        <w:spacing w:after="0"/>
        <w:rPr>
          <w:rFonts w:cs="Arial"/>
          <w:b/>
        </w:rPr>
      </w:pPr>
      <w:r w:rsidRPr="00B148F9">
        <w:rPr>
          <w:b/>
        </w:rPr>
        <w:t>Corporate governance statement</w:t>
      </w:r>
      <w:r w:rsidRPr="00B148F9">
        <w:rPr>
          <w:rFonts w:cs="Arial"/>
          <w:b/>
        </w:rPr>
        <w:t xml:space="preserve"> </w:t>
      </w:r>
    </w:p>
    <w:p w14:paraId="4F45E97B" w14:textId="77777777" w:rsidR="001D1ACE" w:rsidRPr="00251CF4" w:rsidRDefault="001D1ACE" w:rsidP="001D1ACE">
      <w:pPr>
        <w:pStyle w:val="BodyText"/>
        <w:spacing w:after="0"/>
        <w:rPr>
          <w:rFonts w:cs="Arial"/>
        </w:rPr>
      </w:pPr>
      <w:r w:rsidRPr="00B148F9">
        <w:rPr>
          <w:rFonts w:cs="Arial"/>
        </w:rPr>
        <w:t xml:space="preserve">The Board recognises the value of sound corporate governance and, in particular, has regard to the requirements of the UK Code (available from the FRC’s website, </w:t>
      </w:r>
      <w:hyperlink r:id="rId344" w:history="1">
        <w:r w:rsidRPr="00B148F9">
          <w:t>www.frc.org.uk</w:t>
        </w:r>
      </w:hyperlink>
      <w:r w:rsidRPr="00251CF4">
        <w:rPr>
          <w:rFonts w:cs="Arial"/>
        </w:rPr>
        <w:t>).</w:t>
      </w:r>
    </w:p>
    <w:p w14:paraId="481B013B" w14:textId="77777777" w:rsidR="001D1ACE" w:rsidRPr="00B148F9" w:rsidRDefault="001D1ACE" w:rsidP="001D1ACE">
      <w:pPr>
        <w:pStyle w:val="BodyText"/>
        <w:spacing w:after="0"/>
        <w:rPr>
          <w:rFonts w:cs="Arial"/>
        </w:rPr>
      </w:pPr>
    </w:p>
    <w:p w14:paraId="4F0AFD57" w14:textId="77777777" w:rsidR="001D1ACE" w:rsidRPr="00B148F9" w:rsidRDefault="001D1ACE" w:rsidP="001D1ACE">
      <w:pPr>
        <w:pStyle w:val="BodyText"/>
        <w:spacing w:after="0"/>
        <w:rPr>
          <w:rFonts w:cs="Arial"/>
        </w:rPr>
      </w:pPr>
      <w:r w:rsidRPr="00B148F9">
        <w:rPr>
          <w:rFonts w:cs="Arial"/>
        </w:rPr>
        <w:t>The Company is a registered closed-ended investment scheme pursuant to the Protection of Investors (Bailiwick of Guernsey) Law, 1987, as amended, and the Registered Collective Investment Schemes Rules 2015 issued by the GFSC. The GFSC has issued a Finance Sector Code of Corporate Governance (“GFSC Code”) that applies to all companies that hold a licence from the GFSC under the regulatory laws or which are registered or authorised as Collective Investment Schemes, which includes the Company. The GFSC has stated in the GFSC Code that companies which report against the UK Code or the AIC Code are deemed to meet their code, and need take no further action.</w:t>
      </w:r>
    </w:p>
    <w:p w14:paraId="391CF48C" w14:textId="77777777" w:rsidR="001D1ACE" w:rsidRPr="00B148F9" w:rsidRDefault="001D1ACE" w:rsidP="001D1ACE">
      <w:pPr>
        <w:autoSpaceDE w:val="0"/>
        <w:autoSpaceDN w:val="0"/>
        <w:adjustRightInd w:val="0"/>
        <w:rPr>
          <w:rFonts w:cs="DINCLSLight"/>
        </w:rPr>
      </w:pPr>
    </w:p>
    <w:p w14:paraId="26DE6538" w14:textId="77777777" w:rsidR="001D1ACE" w:rsidRPr="00B148F9" w:rsidRDefault="001D1ACE" w:rsidP="001D1ACE">
      <w:pPr>
        <w:pStyle w:val="BodyText"/>
        <w:spacing w:after="0"/>
        <w:rPr>
          <w:rFonts w:cs="Arial"/>
        </w:rPr>
      </w:pPr>
      <w:r w:rsidRPr="00B148F9">
        <w:rPr>
          <w:rFonts w:cs="Arial"/>
        </w:rPr>
        <w:t xml:space="preserve">The Company’s prospectus dated 14 October 2019 stated that the Company will be in compliance with the UK Code.  The Company became a member of the AIC on listing and the Board of the Company has accordingly considered, and resolved to follow, the principles and recommendations of the AIC Code (available from the AIC’s website, www.theaic.co.uk). </w:t>
      </w:r>
    </w:p>
    <w:p w14:paraId="3CDDDE53" w14:textId="77777777" w:rsidR="001D1ACE" w:rsidRPr="00B148F9" w:rsidRDefault="001D1ACE" w:rsidP="001D1ACE">
      <w:pPr>
        <w:pStyle w:val="BodyText"/>
        <w:spacing w:after="0"/>
        <w:rPr>
          <w:rFonts w:cs="Arial"/>
        </w:rPr>
      </w:pPr>
    </w:p>
    <w:p w14:paraId="26A6ECD9" w14:textId="77777777" w:rsidR="001D1ACE" w:rsidRPr="00B148F9" w:rsidRDefault="001D1ACE" w:rsidP="001D1ACE">
      <w:pPr>
        <w:pStyle w:val="BodyText"/>
        <w:spacing w:after="0"/>
        <w:rPr>
          <w:rFonts w:cs="Arial"/>
        </w:rPr>
      </w:pPr>
      <w:r w:rsidRPr="00B148F9">
        <w:rPr>
          <w:rFonts w:cs="Arial"/>
        </w:rPr>
        <w:t xml:space="preserve">The AIC Code addresses all the principles set out in the UK Code, as well as setting out additional principles and recommendations on issues that are of specific relevance to investment companies such as the Company. The Board considers that reporting against the principles and recommendations of the AIC Code (which incorporates the UK Code) provides better information to shareholders whilst meeting the requirements of the GFSC Code. </w:t>
      </w:r>
    </w:p>
    <w:p w14:paraId="6CD8FA60" w14:textId="77777777" w:rsidR="001D1ACE" w:rsidRPr="00B148F9" w:rsidRDefault="001D1ACE" w:rsidP="001D1ACE">
      <w:pPr>
        <w:pStyle w:val="BodyText"/>
        <w:spacing w:after="0"/>
        <w:rPr>
          <w:rFonts w:cs="Arial"/>
        </w:rPr>
      </w:pPr>
    </w:p>
    <w:p w14:paraId="5B0A21E5" w14:textId="77777777" w:rsidR="001D1ACE" w:rsidRPr="00B148F9" w:rsidRDefault="001D1ACE" w:rsidP="001D1ACE">
      <w:pPr>
        <w:pStyle w:val="BodyText"/>
        <w:spacing w:after="0"/>
        <w:rPr>
          <w:rFonts w:cs="Arial"/>
        </w:rPr>
      </w:pPr>
      <w:r w:rsidRPr="00B148F9">
        <w:rPr>
          <w:rFonts w:cs="Arial"/>
        </w:rPr>
        <w:t>In respect of the period from re-domiciliation until 30 October 2019, the date of admission to the SFS, the Company substantially complied in all material respects with the relevant provisions of the GFSC Code. As from the date of initial admission, the Company has voluntarily committed to comply with the AIC Code.</w:t>
      </w:r>
    </w:p>
    <w:p w14:paraId="118CF971" w14:textId="77777777" w:rsidR="001D1ACE" w:rsidRPr="00B148F9" w:rsidRDefault="001D1ACE" w:rsidP="001D1ACE">
      <w:pPr>
        <w:pStyle w:val="ListBullet1"/>
        <w:numPr>
          <w:ilvl w:val="0"/>
          <w:numId w:val="0"/>
        </w:numPr>
        <w:tabs>
          <w:tab w:val="left" w:pos="426"/>
        </w:tabs>
        <w:spacing w:after="0"/>
        <w:rPr>
          <w:rFonts w:cs="Arial"/>
          <w:sz w:val="20"/>
        </w:rPr>
      </w:pPr>
    </w:p>
    <w:p w14:paraId="684A1AF9" w14:textId="63534B40" w:rsidR="001D1ACE" w:rsidRPr="00B148F9" w:rsidRDefault="001D1ACE" w:rsidP="001D1ACE">
      <w:pPr>
        <w:pStyle w:val="ListBullet1"/>
        <w:numPr>
          <w:ilvl w:val="0"/>
          <w:numId w:val="0"/>
        </w:numPr>
        <w:spacing w:after="0"/>
        <w:rPr>
          <w:rFonts w:cs="Arial"/>
          <w:sz w:val="20"/>
        </w:rPr>
      </w:pPr>
      <w:r w:rsidRPr="00B148F9">
        <w:rPr>
          <w:rFonts w:cs="Arial"/>
          <w:sz w:val="20"/>
        </w:rPr>
        <w:t>The Company</w:t>
      </w:r>
      <w:r w:rsidR="00BB783F" w:rsidRPr="00B148F9">
        <w:rPr>
          <w:rFonts w:cs="Arial"/>
          <w:sz w:val="20"/>
        </w:rPr>
        <w:t xml:space="preserve"> </w:t>
      </w:r>
      <w:r w:rsidRPr="00B148F9">
        <w:rPr>
          <w:rFonts w:cs="Arial"/>
          <w:sz w:val="20"/>
        </w:rPr>
        <w:t>currently complies with the relevant provisions of Section 1 of the UK Code as well as the new AIC code effective 1 January 2019.</w:t>
      </w:r>
    </w:p>
    <w:p w14:paraId="7DF9A1C3" w14:textId="77777777" w:rsidR="001D1ACE" w:rsidRPr="00B148F9" w:rsidRDefault="001D1ACE" w:rsidP="001D1ACE">
      <w:pPr>
        <w:pStyle w:val="ListBullet1"/>
        <w:numPr>
          <w:ilvl w:val="0"/>
          <w:numId w:val="0"/>
        </w:numPr>
        <w:spacing w:after="0"/>
        <w:rPr>
          <w:rFonts w:cs="Arial"/>
          <w:sz w:val="20"/>
        </w:rPr>
      </w:pPr>
    </w:p>
    <w:p w14:paraId="4846183E" w14:textId="77777777" w:rsidR="006A5449" w:rsidRPr="00B148F9" w:rsidRDefault="001D1ACE" w:rsidP="001D1ACE">
      <w:pPr>
        <w:pStyle w:val="ListBullet1"/>
        <w:numPr>
          <w:ilvl w:val="0"/>
          <w:numId w:val="0"/>
        </w:numPr>
        <w:spacing w:after="0"/>
        <w:rPr>
          <w:rFonts w:cs="Arial"/>
          <w:sz w:val="20"/>
        </w:rPr>
      </w:pPr>
      <w:r w:rsidRPr="00B148F9">
        <w:rPr>
          <w:rFonts w:cs="Arial"/>
          <w:sz w:val="20"/>
        </w:rPr>
        <w:t>For the reasons set out in the preamble to the UK Code, the Board considers certain of these provisions are not relevant to the position of the Company</w:t>
      </w:r>
      <w:r w:rsidR="00571B28" w:rsidRPr="00B148F9">
        <w:rPr>
          <w:rFonts w:cs="Arial"/>
          <w:sz w:val="20"/>
        </w:rPr>
        <w:t xml:space="preserve"> as an </w:t>
      </w:r>
      <w:r w:rsidR="004F4774" w:rsidRPr="00B148F9">
        <w:rPr>
          <w:rFonts w:cs="Arial"/>
          <w:sz w:val="20"/>
        </w:rPr>
        <w:t>externally</w:t>
      </w:r>
      <w:r w:rsidR="00571B28" w:rsidRPr="00B148F9">
        <w:rPr>
          <w:rFonts w:cs="Arial"/>
          <w:sz w:val="20"/>
        </w:rPr>
        <w:t xml:space="preserve"> managed investment company.</w:t>
      </w:r>
      <w:r w:rsidRPr="00B148F9">
        <w:rPr>
          <w:rFonts w:cs="Arial"/>
          <w:sz w:val="20"/>
        </w:rPr>
        <w:t xml:space="preserve"> </w:t>
      </w:r>
      <w:r w:rsidR="00571B28" w:rsidRPr="00B148F9">
        <w:rPr>
          <w:rFonts w:cs="Arial"/>
          <w:sz w:val="20"/>
        </w:rPr>
        <w:t xml:space="preserve">In particular all of the Company’s </w:t>
      </w:r>
      <w:r w:rsidRPr="00B148F9">
        <w:rPr>
          <w:rFonts w:cs="Arial"/>
          <w:sz w:val="20"/>
        </w:rPr>
        <w:t xml:space="preserve">day-to-day </w:t>
      </w:r>
      <w:r w:rsidR="00571B28" w:rsidRPr="00B148F9">
        <w:rPr>
          <w:rFonts w:cs="Arial"/>
          <w:sz w:val="20"/>
        </w:rPr>
        <w:t xml:space="preserve">management and administrative </w:t>
      </w:r>
      <w:r w:rsidRPr="00B148F9">
        <w:rPr>
          <w:rFonts w:cs="Arial"/>
          <w:sz w:val="20"/>
        </w:rPr>
        <w:t xml:space="preserve">functions </w:t>
      </w:r>
      <w:r w:rsidR="00571B28" w:rsidRPr="00B148F9">
        <w:rPr>
          <w:rFonts w:cs="Arial"/>
          <w:sz w:val="20"/>
        </w:rPr>
        <w:t xml:space="preserve">are outsourced </w:t>
      </w:r>
      <w:r w:rsidRPr="00B148F9">
        <w:rPr>
          <w:rFonts w:cs="Arial"/>
          <w:sz w:val="20"/>
        </w:rPr>
        <w:t xml:space="preserve">to third parties. </w:t>
      </w:r>
      <w:r w:rsidR="009C09A8" w:rsidRPr="00B148F9">
        <w:rPr>
          <w:rFonts w:cs="Arial"/>
          <w:sz w:val="20"/>
        </w:rPr>
        <w:t>As a result, t</w:t>
      </w:r>
      <w:r w:rsidRPr="00B148F9">
        <w:rPr>
          <w:rFonts w:cs="MetaPlusBook-Roman"/>
          <w:sz w:val="20"/>
        </w:rPr>
        <w:t xml:space="preserve">he Company </w:t>
      </w:r>
      <w:r w:rsidR="00571B28" w:rsidRPr="00B148F9">
        <w:rPr>
          <w:rFonts w:cs="MetaPlusBook-Roman"/>
          <w:sz w:val="20"/>
        </w:rPr>
        <w:t>has no</w:t>
      </w:r>
      <w:r w:rsidRPr="00B148F9">
        <w:rPr>
          <w:rFonts w:cs="MetaPlusBook-Roman"/>
          <w:sz w:val="20"/>
        </w:rPr>
        <w:t xml:space="preserve"> chief executive or any</w:t>
      </w:r>
      <w:r w:rsidRPr="00B148F9">
        <w:rPr>
          <w:sz w:val="20"/>
        </w:rPr>
        <w:t xml:space="preserve"> executive directors</w:t>
      </w:r>
      <w:r w:rsidRPr="00B148F9">
        <w:rPr>
          <w:rFonts w:cs="MetaPlusBook-Roman"/>
          <w:sz w:val="20"/>
        </w:rPr>
        <w:t>, employees or internal operations</w:t>
      </w:r>
      <w:r w:rsidRPr="00B148F9">
        <w:rPr>
          <w:rFonts w:cs="Arial"/>
          <w:sz w:val="20"/>
        </w:rPr>
        <w:t xml:space="preserve"> and has therefore not reported further in respect of these provisions</w:t>
      </w:r>
      <w:r w:rsidRPr="00B148F9">
        <w:rPr>
          <w:sz w:val="20"/>
        </w:rPr>
        <w:t>.</w:t>
      </w:r>
      <w:r w:rsidRPr="00B148F9">
        <w:rPr>
          <w:rFonts w:cs="Arial"/>
          <w:sz w:val="20"/>
        </w:rPr>
        <w:t xml:space="preserve"> </w:t>
      </w:r>
    </w:p>
    <w:p w14:paraId="7415E20F" w14:textId="77777777" w:rsidR="006A5449" w:rsidRPr="00B148F9" w:rsidRDefault="006A5449" w:rsidP="001D1ACE">
      <w:pPr>
        <w:pStyle w:val="ListBullet1"/>
        <w:numPr>
          <w:ilvl w:val="0"/>
          <w:numId w:val="0"/>
        </w:numPr>
        <w:spacing w:after="0"/>
        <w:rPr>
          <w:rFonts w:cs="Arial"/>
          <w:sz w:val="20"/>
        </w:rPr>
      </w:pPr>
    </w:p>
    <w:p w14:paraId="7941B067" w14:textId="77777777" w:rsidR="006A5449" w:rsidRPr="00B148F9" w:rsidRDefault="006A5449" w:rsidP="001D1ACE">
      <w:pPr>
        <w:pStyle w:val="ListBullet1"/>
        <w:numPr>
          <w:ilvl w:val="0"/>
          <w:numId w:val="0"/>
        </w:numPr>
        <w:spacing w:after="0"/>
        <w:rPr>
          <w:rFonts w:cs="Arial"/>
          <w:sz w:val="20"/>
        </w:rPr>
      </w:pPr>
      <w:r w:rsidRPr="00B148F9">
        <w:rPr>
          <w:rFonts w:cs="Arial"/>
          <w:sz w:val="20"/>
        </w:rPr>
        <w:t xml:space="preserve">Provision 14 of the AIC Code states a Board should consider appointing one independent non-executive Director to be the Senior Independent Director. The Board, having taken into account its small size and that the Chairman and two of the other three Directors are each similarly independent and non-executive, considers it unnecessary to appoint such a Senior </w:t>
      </w:r>
      <w:r w:rsidRPr="00B148F9">
        <w:rPr>
          <w:rFonts w:cs="Arial"/>
          <w:sz w:val="20"/>
        </w:rPr>
        <w:lastRenderedPageBreak/>
        <w:t>Independent Director. All members of the Board are available to shareholders if they have unresolved concerns.</w:t>
      </w:r>
    </w:p>
    <w:p w14:paraId="545CBB34" w14:textId="77777777" w:rsidR="006A5449" w:rsidRPr="00B148F9" w:rsidRDefault="006A5449" w:rsidP="001D1ACE">
      <w:pPr>
        <w:pStyle w:val="ListBullet1"/>
        <w:numPr>
          <w:ilvl w:val="0"/>
          <w:numId w:val="0"/>
        </w:numPr>
        <w:spacing w:after="0"/>
        <w:rPr>
          <w:rFonts w:cs="Arial"/>
          <w:sz w:val="20"/>
        </w:rPr>
      </w:pPr>
    </w:p>
    <w:p w14:paraId="6CBFB7D7" w14:textId="357B4041" w:rsidR="001D1ACE" w:rsidRPr="00B148F9" w:rsidRDefault="001D1ACE" w:rsidP="001D1ACE">
      <w:pPr>
        <w:pStyle w:val="ListBullet1"/>
        <w:numPr>
          <w:ilvl w:val="0"/>
          <w:numId w:val="0"/>
        </w:numPr>
        <w:spacing w:after="0"/>
        <w:rPr>
          <w:rFonts w:cs="Arial"/>
          <w:sz w:val="20"/>
        </w:rPr>
      </w:pPr>
      <w:r w:rsidRPr="00B148F9">
        <w:rPr>
          <w:rFonts w:cs="Arial"/>
          <w:sz w:val="20"/>
        </w:rPr>
        <w:t>The need for an internal audit function is discussed in the Report of the Audit Committee.</w:t>
      </w:r>
    </w:p>
    <w:p w14:paraId="11FC92A4" w14:textId="77777777" w:rsidR="001D1ACE" w:rsidRPr="00B148F9" w:rsidRDefault="001D1ACE" w:rsidP="001D1ACE"/>
    <w:p w14:paraId="08A63072" w14:textId="6836F4D5" w:rsidR="001D1ACE" w:rsidRPr="00B148F9" w:rsidRDefault="001D1ACE" w:rsidP="001D1ACE">
      <w:pPr>
        <w:rPr>
          <w:rFonts w:cs="Arial"/>
          <w:b/>
          <w:i/>
        </w:rPr>
      </w:pPr>
      <w:r w:rsidRPr="00B148F9">
        <w:rPr>
          <w:b/>
        </w:rPr>
        <w:t>The Board</w:t>
      </w:r>
    </w:p>
    <w:p w14:paraId="6A9D45A0" w14:textId="05D7D256" w:rsidR="001D1ACE" w:rsidRPr="00B148F9" w:rsidRDefault="001D1ACE" w:rsidP="001D1ACE">
      <w:r w:rsidRPr="00B148F9">
        <w:t>The Board monitors developments in corporate governance to ensure the Board remains aligned with best practice</w:t>
      </w:r>
      <w:r w:rsidR="00E63A29" w:rsidRPr="00B148F9">
        <w:t>s</w:t>
      </w:r>
      <w:r w:rsidRPr="00B148F9">
        <w:t xml:space="preserve"> especially with respect to the increased focus on diversity. The Board acknowledges the importance of diversity, including gender, for the effective functioning of the Board and commits to supporting diversity in the boardroom. It is the Board’s ongoing aspiration to have a well-diversified representation. The Board also values diversity of business skills and experience because Directors with diverse skill sets, capabilities and experience gained from different geographical backgrounds enhance the Board by bringing a wide range of perspectives to the Company. No specific diversity parameters have been set as the Board believes that all appointments should be made on merit and taken in the context of skills, knowledge and experience required for an effective Board.</w:t>
      </w:r>
    </w:p>
    <w:p w14:paraId="2E84FE84" w14:textId="77777777" w:rsidR="001D1ACE" w:rsidRPr="00B148F9" w:rsidRDefault="001D1ACE" w:rsidP="001D1ACE"/>
    <w:p w14:paraId="3F24DD4D" w14:textId="4702214C" w:rsidR="001D1ACE" w:rsidRPr="00B148F9" w:rsidRDefault="001D1ACE" w:rsidP="001D1ACE">
      <w:pPr>
        <w:rPr>
          <w:rFonts w:cs="Arial"/>
        </w:rPr>
      </w:pPr>
      <w:r w:rsidRPr="00B148F9">
        <w:t xml:space="preserve">The Board believes the current board members have the appropriate qualifications, experience and expertise to manage the Company. The Director’s biographies can be found </w:t>
      </w:r>
      <w:r w:rsidR="00D502F5">
        <w:t>above.</w:t>
      </w:r>
    </w:p>
    <w:p w14:paraId="26B9D67C" w14:textId="77777777" w:rsidR="001D1ACE" w:rsidRPr="00B148F9" w:rsidRDefault="001D1ACE" w:rsidP="00E1723A">
      <w:pPr>
        <w:pStyle w:val="ListBullet1"/>
        <w:numPr>
          <w:ilvl w:val="0"/>
          <w:numId w:val="0"/>
        </w:numPr>
        <w:spacing w:after="0"/>
        <w:rPr>
          <w:b/>
        </w:rPr>
      </w:pPr>
    </w:p>
    <w:p w14:paraId="36C7DE2D" w14:textId="0F306CE0" w:rsidR="00E1723A" w:rsidRPr="00B148F9" w:rsidRDefault="00E1723A" w:rsidP="00E1723A">
      <w:pPr>
        <w:pStyle w:val="ListBullet1"/>
        <w:numPr>
          <w:ilvl w:val="0"/>
          <w:numId w:val="0"/>
        </w:numPr>
        <w:spacing w:after="0"/>
        <w:rPr>
          <w:rFonts w:cs="Arial"/>
          <w:sz w:val="20"/>
        </w:rPr>
      </w:pPr>
      <w:r w:rsidRPr="00B148F9">
        <w:rPr>
          <w:rFonts w:cs="Arial"/>
          <w:sz w:val="20"/>
        </w:rPr>
        <w:t xml:space="preserve">The Directors of the Company at the date of this report are </w:t>
      </w:r>
      <w:r w:rsidR="00706B2F" w:rsidRPr="00B148F9">
        <w:rPr>
          <w:rFonts w:cs="Arial"/>
          <w:sz w:val="20"/>
        </w:rPr>
        <w:t>William Simpson</w:t>
      </w:r>
      <w:r w:rsidRPr="00B148F9">
        <w:rPr>
          <w:rFonts w:cs="Arial"/>
          <w:sz w:val="20"/>
        </w:rPr>
        <w:t xml:space="preserve"> (Chairman), </w:t>
      </w:r>
      <w:r w:rsidR="00706B2F" w:rsidRPr="00B148F9">
        <w:rPr>
          <w:rFonts w:cs="Arial"/>
          <w:sz w:val="20"/>
        </w:rPr>
        <w:t>Paul Le Page (Chair of Audit Committee)</w:t>
      </w:r>
      <w:r w:rsidRPr="00B148F9">
        <w:rPr>
          <w:rFonts w:cs="Arial"/>
          <w:sz w:val="20"/>
        </w:rPr>
        <w:t xml:space="preserve">, </w:t>
      </w:r>
      <w:r w:rsidR="00706B2F" w:rsidRPr="00B148F9">
        <w:rPr>
          <w:rFonts w:cs="Arial"/>
          <w:sz w:val="20"/>
        </w:rPr>
        <w:t xml:space="preserve">William Scott </w:t>
      </w:r>
      <w:r w:rsidRPr="00B148F9">
        <w:rPr>
          <w:rFonts w:cs="Arial"/>
          <w:sz w:val="20"/>
        </w:rPr>
        <w:t xml:space="preserve">and </w:t>
      </w:r>
      <w:r w:rsidR="00706B2F" w:rsidRPr="00B148F9">
        <w:rPr>
          <w:rFonts w:cs="Arial"/>
          <w:sz w:val="20"/>
        </w:rPr>
        <w:t>Stephanie Sirota</w:t>
      </w:r>
      <w:r w:rsidRPr="00B148F9">
        <w:rPr>
          <w:rFonts w:cs="Arial"/>
          <w:sz w:val="20"/>
        </w:rPr>
        <w:t>.</w:t>
      </w:r>
    </w:p>
    <w:p w14:paraId="2CA322C4" w14:textId="77777777" w:rsidR="00E1723A" w:rsidRPr="00B148F9" w:rsidRDefault="00E1723A" w:rsidP="00E1723A">
      <w:pPr>
        <w:pStyle w:val="ListBullet1"/>
        <w:numPr>
          <w:ilvl w:val="0"/>
          <w:numId w:val="0"/>
        </w:numPr>
        <w:spacing w:after="0"/>
        <w:rPr>
          <w:rFonts w:cs="Arial"/>
          <w:sz w:val="20"/>
        </w:rPr>
      </w:pPr>
    </w:p>
    <w:p w14:paraId="09797872" w14:textId="61A99C3A" w:rsidR="00E1723A" w:rsidRPr="00B148F9" w:rsidRDefault="00E1723A" w:rsidP="00E1723A">
      <w:pPr>
        <w:pStyle w:val="ListBullet1"/>
        <w:numPr>
          <w:ilvl w:val="0"/>
          <w:numId w:val="0"/>
        </w:numPr>
        <w:spacing w:after="0"/>
        <w:rPr>
          <w:rFonts w:cs="Arial"/>
          <w:sz w:val="20"/>
        </w:rPr>
      </w:pPr>
      <w:r w:rsidRPr="00B148F9">
        <w:rPr>
          <w:rFonts w:cs="Arial"/>
          <w:sz w:val="20"/>
        </w:rPr>
        <w:t>The Board meets on at least a quarterly basis. The dates for each scheduled meeting are planned at the beginning of the year and confirmed in writing in accordance with the Company</w:t>
      </w:r>
      <w:r w:rsidR="007714F5" w:rsidRPr="00B148F9">
        <w:rPr>
          <w:rFonts w:cs="Arial"/>
          <w:sz w:val="20"/>
        </w:rPr>
        <w:t>’</w:t>
      </w:r>
      <w:r w:rsidRPr="00B148F9">
        <w:rPr>
          <w:rFonts w:cs="Arial"/>
          <w:sz w:val="20"/>
        </w:rPr>
        <w:t xml:space="preserve">s articles of incorporation. Meetings for urgent issues may be and are convened at short notice if all </w:t>
      </w:r>
      <w:r w:rsidR="001D3169" w:rsidRPr="00B148F9">
        <w:rPr>
          <w:rFonts w:cs="Arial"/>
          <w:sz w:val="20"/>
        </w:rPr>
        <w:t>D</w:t>
      </w:r>
      <w:r w:rsidRPr="00B148F9">
        <w:rPr>
          <w:rFonts w:cs="Arial"/>
          <w:sz w:val="20"/>
        </w:rPr>
        <w:t>irectors are informed. In addition to formal Board and/or committee meetings and</w:t>
      </w:r>
      <w:r w:rsidR="00FF1F25" w:rsidRPr="00B148F9">
        <w:rPr>
          <w:rFonts w:cs="Arial"/>
          <w:sz w:val="20"/>
        </w:rPr>
        <w:t>,</w:t>
      </w:r>
      <w:r w:rsidRPr="00B148F9">
        <w:rPr>
          <w:rFonts w:cs="Arial"/>
          <w:sz w:val="20"/>
        </w:rPr>
        <w:t xml:space="preserve"> to the extent practicable and appropriate, the Directors maintain close contact with each other</w:t>
      </w:r>
      <w:r w:rsidR="00167043" w:rsidRPr="00B148F9">
        <w:rPr>
          <w:rFonts w:cs="Arial"/>
          <w:sz w:val="20"/>
        </w:rPr>
        <w:t xml:space="preserve"> </w:t>
      </w:r>
      <w:r w:rsidRPr="00B148F9">
        <w:rPr>
          <w:rFonts w:cs="Arial"/>
          <w:sz w:val="20"/>
        </w:rPr>
        <w:t>and the Administrator, by email and conference calls</w:t>
      </w:r>
      <w:r w:rsidR="009D1A64" w:rsidRPr="00B148F9">
        <w:rPr>
          <w:rFonts w:cs="Arial"/>
          <w:sz w:val="20"/>
        </w:rPr>
        <w:t>,</w:t>
      </w:r>
      <w:r w:rsidRPr="00B148F9">
        <w:rPr>
          <w:rFonts w:cs="Arial"/>
          <w:sz w:val="20"/>
        </w:rPr>
        <w:t xml:space="preserve"> for the purpose of keeping themselves informed about </w:t>
      </w:r>
      <w:r w:rsidR="00D11F0C" w:rsidRPr="00B148F9">
        <w:rPr>
          <w:rFonts w:cs="Arial"/>
          <w:sz w:val="20"/>
        </w:rPr>
        <w:t>the Company’s</w:t>
      </w:r>
      <w:r w:rsidRPr="00B148F9">
        <w:rPr>
          <w:rFonts w:cs="Arial"/>
          <w:sz w:val="20"/>
        </w:rPr>
        <w:t xml:space="preserve"> activities. The Board requires information to be supplied in a timely manner by the Administrator and other advisors in a form and of a quality appropriate to enable it to discharge its duties.</w:t>
      </w:r>
    </w:p>
    <w:p w14:paraId="140E6C95" w14:textId="77777777" w:rsidR="00E1723A" w:rsidRPr="00B148F9" w:rsidRDefault="00E1723A" w:rsidP="00E1723A">
      <w:pPr>
        <w:pStyle w:val="ListBullet1"/>
        <w:numPr>
          <w:ilvl w:val="0"/>
          <w:numId w:val="0"/>
        </w:numPr>
        <w:spacing w:after="0"/>
        <w:rPr>
          <w:rFonts w:cs="Arial"/>
          <w:sz w:val="20"/>
        </w:rPr>
      </w:pPr>
    </w:p>
    <w:p w14:paraId="08684854" w14:textId="42DB3A82" w:rsidR="00E1723A" w:rsidRPr="00B148F9" w:rsidRDefault="00E1723A" w:rsidP="00E1723A">
      <w:pPr>
        <w:pStyle w:val="MarginText"/>
        <w:keepNext/>
        <w:spacing w:after="0"/>
        <w:rPr>
          <w:sz w:val="20"/>
        </w:rPr>
      </w:pPr>
      <w:r w:rsidRPr="00B148F9">
        <w:rPr>
          <w:sz w:val="20"/>
        </w:rPr>
        <w:t>The Company has adopted a share dealing code for the Board and will seek to ensure compliance by the Board with the terms of the share dealing code. The share dealing code is compliant with the</w:t>
      </w:r>
      <w:r w:rsidR="00364634" w:rsidRPr="00B148F9">
        <w:rPr>
          <w:sz w:val="20"/>
        </w:rPr>
        <w:t xml:space="preserve"> EU Market Abuse Regulation</w:t>
      </w:r>
      <w:r w:rsidRPr="00B148F9">
        <w:rPr>
          <w:sz w:val="20"/>
        </w:rPr>
        <w:t>.</w:t>
      </w:r>
    </w:p>
    <w:p w14:paraId="7F10E373" w14:textId="77777777" w:rsidR="000229F8" w:rsidRPr="00B148F9" w:rsidRDefault="000229F8" w:rsidP="00AA1E0D">
      <w:pPr>
        <w:pStyle w:val="Heading2"/>
      </w:pPr>
    </w:p>
    <w:p w14:paraId="04941FB0" w14:textId="4A5A2381" w:rsidR="00AA1E0D" w:rsidRPr="00B148F9" w:rsidRDefault="000A54D1" w:rsidP="00AA1E0D">
      <w:pPr>
        <w:pStyle w:val="Heading2"/>
      </w:pPr>
      <w:r w:rsidRPr="00B148F9">
        <w:t>Board t</w:t>
      </w:r>
      <w:r w:rsidR="00AA1E0D" w:rsidRPr="00B148F9">
        <w:t xml:space="preserve">enure and </w:t>
      </w:r>
      <w:r w:rsidRPr="00B148F9">
        <w:t>r</w:t>
      </w:r>
      <w:r w:rsidR="00AA1E0D" w:rsidRPr="00B148F9">
        <w:t>e-election</w:t>
      </w:r>
    </w:p>
    <w:p w14:paraId="5B1BDD7C" w14:textId="1B77BE5E" w:rsidR="00AE1F97" w:rsidRPr="00B148F9" w:rsidRDefault="007329C9" w:rsidP="00AE1F97">
      <w:r w:rsidRPr="00B148F9">
        <w:t>Each Director will retire at each Annual General Meeting subsequent to his or her election and be eligible for re-election by the Company at such Annual General Meeting.</w:t>
      </w:r>
    </w:p>
    <w:p w14:paraId="570CD69B" w14:textId="77777777" w:rsidR="00AE1F97" w:rsidRPr="00B148F9" w:rsidRDefault="00AE1F97" w:rsidP="00AE1F97"/>
    <w:p w14:paraId="75679E2A" w14:textId="77777777" w:rsidR="00AA1E0D" w:rsidRPr="00B148F9" w:rsidRDefault="00AA1E0D" w:rsidP="00875C16">
      <w:pPr>
        <w:pStyle w:val="Bodytext0"/>
        <w:jc w:val="both"/>
        <w:rPr>
          <w:rFonts w:ascii="Century Gothic" w:hAnsi="Century Gothic"/>
        </w:rPr>
      </w:pPr>
      <w:r w:rsidRPr="00B148F9">
        <w:rPr>
          <w:rFonts w:ascii="Century Gothic" w:hAnsi="Century Gothic"/>
        </w:rPr>
        <w:t>A Director who retires at an Annual General Meeting may, if willing to continue to act, be elected or re-elected at that meeting. If, at a general meeting at which a Director retires, the Company neither re-elects that Director nor appoints another person to the Board in the place of that Director, the retiring Director shall, if willing to act, be deemed to have been re-elected unless at the general meeting it is resolved not to fill the vacancy or unless a resolution for the re-election of the Director is put to the meeting and not passed.</w:t>
      </w:r>
    </w:p>
    <w:p w14:paraId="232BB150" w14:textId="77777777" w:rsidR="00AA1E0D" w:rsidRPr="00B148F9" w:rsidRDefault="00AA1E0D" w:rsidP="00875C16">
      <w:pPr>
        <w:pStyle w:val="Bodytext0"/>
        <w:jc w:val="both"/>
        <w:rPr>
          <w:rFonts w:ascii="Century Gothic" w:hAnsi="Century Gothic"/>
        </w:rPr>
      </w:pPr>
    </w:p>
    <w:p w14:paraId="5E3E0DDF" w14:textId="1A1DFC3D" w:rsidR="006B1865" w:rsidRPr="00B148F9" w:rsidRDefault="006011E7" w:rsidP="006B1865">
      <w:pPr>
        <w:pStyle w:val="ListBullet1"/>
        <w:numPr>
          <w:ilvl w:val="0"/>
          <w:numId w:val="0"/>
        </w:numPr>
        <w:spacing w:after="0"/>
        <w:rPr>
          <w:rFonts w:cs="Arial"/>
          <w:sz w:val="20"/>
        </w:rPr>
      </w:pPr>
      <w:r w:rsidRPr="00B148F9">
        <w:rPr>
          <w:rFonts w:cs="Arial"/>
          <w:sz w:val="20"/>
        </w:rPr>
        <w:t xml:space="preserve">The Chairman, Mr </w:t>
      </w:r>
      <w:r w:rsidR="00824B24" w:rsidRPr="00B148F9">
        <w:rPr>
          <w:rFonts w:cs="Arial"/>
          <w:sz w:val="20"/>
        </w:rPr>
        <w:t xml:space="preserve">Le Page </w:t>
      </w:r>
      <w:r w:rsidRPr="00B148F9">
        <w:rPr>
          <w:rFonts w:cs="Arial"/>
          <w:sz w:val="20"/>
        </w:rPr>
        <w:t>and M</w:t>
      </w:r>
      <w:r w:rsidR="003C78F1" w:rsidRPr="00B148F9">
        <w:rPr>
          <w:rFonts w:cs="Arial"/>
          <w:sz w:val="20"/>
        </w:rPr>
        <w:t>s</w:t>
      </w:r>
      <w:r w:rsidRPr="00B148F9">
        <w:rPr>
          <w:rFonts w:cs="Arial"/>
          <w:sz w:val="20"/>
        </w:rPr>
        <w:t xml:space="preserve"> </w:t>
      </w:r>
      <w:r w:rsidR="00824B24" w:rsidRPr="00B148F9">
        <w:rPr>
          <w:rFonts w:cs="Arial"/>
          <w:sz w:val="20"/>
        </w:rPr>
        <w:t xml:space="preserve">Sirota </w:t>
      </w:r>
      <w:r w:rsidRPr="00B148F9">
        <w:rPr>
          <w:rFonts w:cs="Arial"/>
          <w:sz w:val="20"/>
        </w:rPr>
        <w:t xml:space="preserve">have been members of the Board since </w:t>
      </w:r>
      <w:r w:rsidR="000B3AD0" w:rsidRPr="00B148F9">
        <w:rPr>
          <w:rFonts w:cs="Arial"/>
          <w:sz w:val="20"/>
        </w:rPr>
        <w:t xml:space="preserve">their appointment on </w:t>
      </w:r>
      <w:r w:rsidR="003C78F1" w:rsidRPr="00B148F9">
        <w:rPr>
          <w:rFonts w:cs="Arial"/>
          <w:sz w:val="20"/>
        </w:rPr>
        <w:t>2</w:t>
      </w:r>
      <w:r w:rsidR="000B3AD0" w:rsidRPr="00B148F9">
        <w:rPr>
          <w:rFonts w:cs="Arial"/>
          <w:sz w:val="20"/>
        </w:rPr>
        <w:t xml:space="preserve"> October 2019.</w:t>
      </w:r>
      <w:r w:rsidR="003C78F1" w:rsidRPr="00B148F9">
        <w:rPr>
          <w:rFonts w:cs="Arial"/>
          <w:sz w:val="20"/>
        </w:rPr>
        <w:t xml:space="preserve"> Mr Scott was appointed on 3 October 2019</w:t>
      </w:r>
      <w:r w:rsidR="00326813" w:rsidRPr="00B148F9">
        <w:rPr>
          <w:rFonts w:cs="Arial"/>
          <w:sz w:val="20"/>
        </w:rPr>
        <w:t>.</w:t>
      </w:r>
    </w:p>
    <w:p w14:paraId="683437A0" w14:textId="77777777" w:rsidR="003C78F1" w:rsidRPr="00B148F9" w:rsidRDefault="003C78F1" w:rsidP="006B1865">
      <w:pPr>
        <w:pStyle w:val="ListBullet1"/>
        <w:numPr>
          <w:ilvl w:val="0"/>
          <w:numId w:val="0"/>
        </w:numPr>
        <w:spacing w:after="0"/>
        <w:rPr>
          <w:rFonts w:cs="Arial"/>
          <w:sz w:val="20"/>
        </w:rPr>
      </w:pPr>
    </w:p>
    <w:p w14:paraId="5C9BAC63" w14:textId="77777777" w:rsidR="00AA1E0D" w:rsidRPr="00B148F9" w:rsidRDefault="00AA1E0D" w:rsidP="00875C16">
      <w:pPr>
        <w:pStyle w:val="Bodytext0"/>
        <w:jc w:val="both"/>
        <w:rPr>
          <w:rFonts w:ascii="Century Gothic" w:hAnsi="Century Gothic"/>
        </w:rPr>
      </w:pPr>
      <w:r w:rsidRPr="00B148F9">
        <w:rPr>
          <w:rFonts w:ascii="Century Gothic" w:hAnsi="Century Gothic"/>
        </w:rPr>
        <w:t>Directors do not have service contracts. Directors are appointed under letters of appointment, copies of which are available at the registered office of the Company. The Board considers its composition and succession planning on an on</w:t>
      </w:r>
      <w:r w:rsidR="009A7AD1" w:rsidRPr="00B148F9">
        <w:rPr>
          <w:rFonts w:ascii="Century Gothic" w:hAnsi="Century Gothic"/>
        </w:rPr>
        <w:t>-</w:t>
      </w:r>
      <w:r w:rsidRPr="00B148F9">
        <w:rPr>
          <w:rFonts w:ascii="Century Gothic" w:hAnsi="Century Gothic"/>
        </w:rPr>
        <w:t>going basis.</w:t>
      </w:r>
    </w:p>
    <w:p w14:paraId="3BE13CB3" w14:textId="77EA904E" w:rsidR="007329C9" w:rsidRPr="00B148F9" w:rsidRDefault="007329C9" w:rsidP="00AA1E0D">
      <w:pPr>
        <w:pStyle w:val="Bodytext0"/>
      </w:pPr>
    </w:p>
    <w:p w14:paraId="0D2A38CE" w14:textId="77777777" w:rsidR="00E1723A" w:rsidRPr="00B148F9" w:rsidRDefault="00E1723A" w:rsidP="00E1723A">
      <w:pPr>
        <w:pStyle w:val="ListBullet1"/>
        <w:numPr>
          <w:ilvl w:val="0"/>
          <w:numId w:val="0"/>
        </w:numPr>
        <w:spacing w:after="0"/>
        <w:rPr>
          <w:b/>
          <w:sz w:val="20"/>
        </w:rPr>
      </w:pPr>
      <w:r w:rsidRPr="00B148F9">
        <w:rPr>
          <w:b/>
          <w:sz w:val="20"/>
        </w:rPr>
        <w:t xml:space="preserve">Directors’ </w:t>
      </w:r>
      <w:r w:rsidR="000A54D1" w:rsidRPr="00B148F9">
        <w:rPr>
          <w:b/>
          <w:sz w:val="20"/>
        </w:rPr>
        <w:t>r</w:t>
      </w:r>
      <w:r w:rsidRPr="00B148F9">
        <w:rPr>
          <w:b/>
          <w:sz w:val="20"/>
        </w:rPr>
        <w:t>emuneration</w:t>
      </w:r>
    </w:p>
    <w:p w14:paraId="084871EB" w14:textId="33C135A7" w:rsidR="005F5415" w:rsidRPr="00B148F9" w:rsidRDefault="005F5415" w:rsidP="00E1723A">
      <w:pPr>
        <w:pStyle w:val="BodyText"/>
        <w:spacing w:after="0"/>
        <w:rPr>
          <w:rFonts w:cs="Arial"/>
        </w:rPr>
      </w:pPr>
      <w:r w:rsidRPr="00B148F9">
        <w:rPr>
          <w:rFonts w:cs="Arial"/>
        </w:rPr>
        <w:t>The Directors shall be remunerated at such a rate as the Directors shall determine provided that the aggregate amount of such fees shall not exceed US$300,000 per annum.</w:t>
      </w:r>
    </w:p>
    <w:p w14:paraId="3386103C" w14:textId="77777777" w:rsidR="005F5415" w:rsidRPr="00B148F9" w:rsidRDefault="005F5415" w:rsidP="00E1723A">
      <w:pPr>
        <w:pStyle w:val="BodyText"/>
        <w:spacing w:after="0"/>
        <w:rPr>
          <w:rFonts w:cs="Arial"/>
        </w:rPr>
      </w:pPr>
    </w:p>
    <w:p w14:paraId="559584DD" w14:textId="0FFB2925" w:rsidR="00A670DB" w:rsidRPr="00B148F9" w:rsidRDefault="00E1723A" w:rsidP="00E1723A">
      <w:pPr>
        <w:pStyle w:val="BodyText"/>
        <w:spacing w:after="0"/>
        <w:rPr>
          <w:rFonts w:cs="Arial"/>
        </w:rPr>
      </w:pPr>
      <w:r w:rsidRPr="00B148F9">
        <w:rPr>
          <w:rFonts w:cs="Arial"/>
        </w:rPr>
        <w:t xml:space="preserve">During the year to 31 </w:t>
      </w:r>
      <w:r w:rsidR="00BA4C4B" w:rsidRPr="00B148F9">
        <w:rPr>
          <w:rFonts w:cs="Arial"/>
        </w:rPr>
        <w:t>December</w:t>
      </w:r>
      <w:r w:rsidRPr="00B148F9">
        <w:rPr>
          <w:rFonts w:cs="Arial"/>
        </w:rPr>
        <w:t xml:space="preserve"> </w:t>
      </w:r>
      <w:r w:rsidR="009416FA" w:rsidRPr="00B148F9">
        <w:rPr>
          <w:rFonts w:cs="Arial"/>
        </w:rPr>
        <w:t>201</w:t>
      </w:r>
      <w:r w:rsidR="00C82127" w:rsidRPr="00B148F9">
        <w:rPr>
          <w:rFonts w:cs="Arial"/>
        </w:rPr>
        <w:t>9</w:t>
      </w:r>
      <w:r w:rsidR="009416FA" w:rsidRPr="00B148F9">
        <w:rPr>
          <w:rFonts w:cs="Arial"/>
        </w:rPr>
        <w:t xml:space="preserve"> </w:t>
      </w:r>
      <w:r w:rsidRPr="00B148F9">
        <w:rPr>
          <w:rFonts w:cs="Arial"/>
        </w:rPr>
        <w:t xml:space="preserve">the Directors’ remuneration was paid as follows (of which </w:t>
      </w:r>
      <w:r w:rsidR="00BE05D5" w:rsidRPr="00B148F9">
        <w:rPr>
          <w:rFonts w:cs="Arial"/>
        </w:rPr>
        <w:t>US$</w:t>
      </w:r>
      <w:r w:rsidR="001B2FD2" w:rsidRPr="00B148F9">
        <w:rPr>
          <w:rFonts w:cs="Arial"/>
        </w:rPr>
        <w:t>33,1</w:t>
      </w:r>
      <w:r w:rsidR="00E80D80" w:rsidRPr="00B148F9">
        <w:rPr>
          <w:rFonts w:cs="Arial"/>
        </w:rPr>
        <w:t>40</w:t>
      </w:r>
      <w:r w:rsidR="001B2FD2" w:rsidRPr="00B148F9" w:rsidDel="009806E4">
        <w:t xml:space="preserve"> </w:t>
      </w:r>
      <w:r w:rsidRPr="00B148F9">
        <w:rPr>
          <w:rFonts w:cs="Arial"/>
        </w:rPr>
        <w:t>(201</w:t>
      </w:r>
      <w:r w:rsidR="00C82127" w:rsidRPr="00B148F9">
        <w:rPr>
          <w:rFonts w:cs="Arial"/>
        </w:rPr>
        <w:t>8</w:t>
      </w:r>
      <w:r w:rsidRPr="00B148F9">
        <w:rPr>
          <w:rFonts w:cs="Arial"/>
        </w:rPr>
        <w:t xml:space="preserve">: </w:t>
      </w:r>
      <w:r w:rsidR="00C540D7" w:rsidRPr="00B148F9">
        <w:rPr>
          <w:rFonts w:cs="Arial"/>
        </w:rPr>
        <w:t>US$nil</w:t>
      </w:r>
      <w:r w:rsidRPr="00B148F9">
        <w:rPr>
          <w:rFonts w:cs="Arial"/>
        </w:rPr>
        <w:t>) was outstanding at the year end):</w:t>
      </w:r>
    </w:p>
    <w:p w14:paraId="61C040D0" w14:textId="77777777" w:rsidR="00A670DB" w:rsidRPr="00B148F9" w:rsidRDefault="00A670DB" w:rsidP="00E1723A">
      <w:pPr>
        <w:pStyle w:val="BodyText"/>
        <w:spacing w:after="0"/>
        <w:rPr>
          <w:rFonts w:cs="Arial"/>
        </w:rPr>
      </w:pPr>
    </w:p>
    <w:p w14:paraId="1B095825" w14:textId="04BB25FB" w:rsidR="00E1723A" w:rsidRPr="00B148F9" w:rsidRDefault="00E1723A" w:rsidP="00E1723A">
      <w:pPr>
        <w:pStyle w:val="BodyText"/>
        <w:spacing w:after="0"/>
        <w:rPr>
          <w:rFonts w:cs="Arial"/>
          <w:b/>
        </w:rPr>
      </w:pPr>
      <w:r w:rsidRPr="00B148F9">
        <w:rPr>
          <w:rFonts w:cs="Arial"/>
          <w:b/>
        </w:rPr>
        <w:t xml:space="preserve">31 </w:t>
      </w:r>
      <w:r w:rsidR="00BA4C4B" w:rsidRPr="00B148F9">
        <w:rPr>
          <w:rFonts w:cs="Arial"/>
          <w:b/>
        </w:rPr>
        <w:t>December</w:t>
      </w:r>
      <w:r w:rsidRPr="00B148F9">
        <w:rPr>
          <w:rFonts w:cs="Arial"/>
          <w:b/>
        </w:rPr>
        <w:t xml:space="preserve"> 201</w:t>
      </w:r>
      <w:r w:rsidR="00C82127" w:rsidRPr="00B148F9">
        <w:rPr>
          <w:rFonts w:cs="Arial"/>
          <w:b/>
        </w:rPr>
        <w:t>9</w:t>
      </w:r>
    </w:p>
    <w:tbl>
      <w:tblPr>
        <w:tblW w:w="8217" w:type="dxa"/>
        <w:tblLayout w:type="fixed"/>
        <w:tblLook w:val="01E0" w:firstRow="1" w:lastRow="1" w:firstColumn="1" w:lastColumn="1" w:noHBand="0" w:noVBand="0"/>
      </w:tblPr>
      <w:tblGrid>
        <w:gridCol w:w="3369"/>
        <w:gridCol w:w="1842"/>
        <w:gridCol w:w="3006"/>
      </w:tblGrid>
      <w:tr w:rsidR="00C223C2" w:rsidRPr="00B148F9" w14:paraId="1A1AA57D" w14:textId="77777777" w:rsidTr="00C223C2">
        <w:trPr>
          <w:trHeight w:val="404"/>
        </w:trPr>
        <w:tc>
          <w:tcPr>
            <w:tcW w:w="3369" w:type="dxa"/>
            <w:tcBorders>
              <w:top w:val="single" w:sz="4" w:space="0" w:color="auto"/>
              <w:left w:val="single" w:sz="4" w:space="0" w:color="auto"/>
              <w:bottom w:val="single" w:sz="4" w:space="0" w:color="auto"/>
              <w:right w:val="single" w:sz="4" w:space="0" w:color="auto"/>
            </w:tcBorders>
          </w:tcPr>
          <w:p w14:paraId="508730B3" w14:textId="77777777" w:rsidR="00C223C2" w:rsidRPr="00B148F9" w:rsidRDefault="00C223C2" w:rsidP="00186AF5">
            <w:pPr>
              <w:keepNext/>
              <w:ind w:left="-254" w:firstLine="254"/>
            </w:pPr>
          </w:p>
        </w:tc>
        <w:tc>
          <w:tcPr>
            <w:tcW w:w="1842" w:type="dxa"/>
            <w:tcBorders>
              <w:top w:val="single" w:sz="4" w:space="0" w:color="auto"/>
              <w:left w:val="single" w:sz="4" w:space="0" w:color="auto"/>
              <w:bottom w:val="single" w:sz="4" w:space="0" w:color="auto"/>
              <w:right w:val="single" w:sz="4" w:space="0" w:color="auto"/>
            </w:tcBorders>
          </w:tcPr>
          <w:p w14:paraId="6D641D47" w14:textId="77777777" w:rsidR="00C223C2" w:rsidRPr="00B148F9" w:rsidRDefault="00C223C2" w:rsidP="00186AF5">
            <w:pPr>
              <w:keepNext/>
              <w:jc w:val="center"/>
              <w:rPr>
                <w:b/>
              </w:rPr>
            </w:pPr>
            <w:r w:rsidRPr="00B148F9">
              <w:rPr>
                <w:b/>
              </w:rPr>
              <w:t>Annual</w:t>
            </w:r>
          </w:p>
          <w:p w14:paraId="60E5D3A9" w14:textId="4DB53DD9" w:rsidR="00C223C2" w:rsidRPr="00B148F9" w:rsidRDefault="00C223C2" w:rsidP="007329C9">
            <w:pPr>
              <w:keepNext/>
              <w:jc w:val="center"/>
              <w:rPr>
                <w:b/>
              </w:rPr>
            </w:pPr>
          </w:p>
        </w:tc>
        <w:tc>
          <w:tcPr>
            <w:tcW w:w="3006" w:type="dxa"/>
            <w:tcBorders>
              <w:top w:val="single" w:sz="4" w:space="0" w:color="auto"/>
              <w:left w:val="single" w:sz="4" w:space="0" w:color="auto"/>
              <w:bottom w:val="single" w:sz="4" w:space="0" w:color="auto"/>
              <w:right w:val="single" w:sz="4" w:space="0" w:color="auto"/>
            </w:tcBorders>
          </w:tcPr>
          <w:p w14:paraId="5414CE5A" w14:textId="0677F788" w:rsidR="00C223C2" w:rsidRPr="00B148F9" w:rsidRDefault="00C223C2" w:rsidP="00186AF5">
            <w:pPr>
              <w:keepNext/>
              <w:jc w:val="center"/>
              <w:rPr>
                <w:b/>
              </w:rPr>
            </w:pPr>
            <w:r w:rsidRPr="00B148F9">
              <w:rPr>
                <w:b/>
              </w:rPr>
              <w:t>Directors’ fees for the period</w:t>
            </w:r>
          </w:p>
          <w:p w14:paraId="6FCE0AD6" w14:textId="227EA69D" w:rsidR="00C223C2" w:rsidRPr="00B148F9" w:rsidRDefault="00C223C2" w:rsidP="007329C9">
            <w:pPr>
              <w:keepNext/>
              <w:jc w:val="center"/>
              <w:rPr>
                <w:b/>
              </w:rPr>
            </w:pPr>
            <w:r w:rsidRPr="00B148F9">
              <w:rPr>
                <w:b/>
              </w:rPr>
              <w:t>(US$)</w:t>
            </w:r>
          </w:p>
        </w:tc>
      </w:tr>
      <w:tr w:rsidR="00C223C2" w:rsidRPr="00B148F9" w14:paraId="03AB99A5" w14:textId="77777777" w:rsidTr="00C223C2">
        <w:tc>
          <w:tcPr>
            <w:tcW w:w="3369" w:type="dxa"/>
            <w:tcBorders>
              <w:top w:val="single" w:sz="4" w:space="0" w:color="auto"/>
              <w:left w:val="single" w:sz="4" w:space="0" w:color="auto"/>
              <w:bottom w:val="single" w:sz="4" w:space="0" w:color="auto"/>
              <w:right w:val="single" w:sz="4" w:space="0" w:color="auto"/>
            </w:tcBorders>
          </w:tcPr>
          <w:p w14:paraId="0B4B7309" w14:textId="1AACB766" w:rsidR="00C223C2" w:rsidRPr="00B148F9" w:rsidRDefault="00C223C2" w:rsidP="003C78F1">
            <w:pPr>
              <w:keepNext/>
            </w:pPr>
            <w:r w:rsidRPr="00B148F9">
              <w:t>William Simpson</w:t>
            </w:r>
          </w:p>
        </w:tc>
        <w:tc>
          <w:tcPr>
            <w:tcW w:w="1842" w:type="dxa"/>
            <w:tcBorders>
              <w:top w:val="single" w:sz="4" w:space="0" w:color="auto"/>
              <w:left w:val="single" w:sz="4" w:space="0" w:color="auto"/>
              <w:bottom w:val="single" w:sz="4" w:space="0" w:color="auto"/>
              <w:right w:val="single" w:sz="4" w:space="0" w:color="auto"/>
            </w:tcBorders>
          </w:tcPr>
          <w:p w14:paraId="6888C817" w14:textId="3D12850D" w:rsidR="00C223C2" w:rsidRPr="00B148F9" w:rsidRDefault="00C223C2">
            <w:pPr>
              <w:keepNext/>
              <w:jc w:val="right"/>
            </w:pPr>
            <w:r w:rsidRPr="00B148F9">
              <w:t>£50,000</w:t>
            </w:r>
          </w:p>
        </w:tc>
        <w:tc>
          <w:tcPr>
            <w:tcW w:w="3006" w:type="dxa"/>
            <w:tcBorders>
              <w:top w:val="single" w:sz="4" w:space="0" w:color="auto"/>
              <w:left w:val="single" w:sz="4" w:space="0" w:color="auto"/>
              <w:bottom w:val="single" w:sz="4" w:space="0" w:color="auto"/>
              <w:right w:val="single" w:sz="4" w:space="0" w:color="auto"/>
            </w:tcBorders>
          </w:tcPr>
          <w:p w14:paraId="28527EE1" w14:textId="0A8707B0" w:rsidR="00C223C2" w:rsidRPr="00B148F9" w:rsidRDefault="00C223C2">
            <w:pPr>
              <w:keepNext/>
              <w:jc w:val="right"/>
            </w:pPr>
            <w:r w:rsidRPr="00B148F9">
              <w:t>10,357</w:t>
            </w:r>
          </w:p>
        </w:tc>
      </w:tr>
      <w:tr w:rsidR="00C223C2" w:rsidRPr="00B148F9" w14:paraId="303701F9" w14:textId="77777777" w:rsidTr="00C223C2">
        <w:tc>
          <w:tcPr>
            <w:tcW w:w="3369" w:type="dxa"/>
            <w:tcBorders>
              <w:top w:val="single" w:sz="4" w:space="0" w:color="auto"/>
              <w:left w:val="single" w:sz="4" w:space="0" w:color="auto"/>
              <w:bottom w:val="single" w:sz="4" w:space="0" w:color="auto"/>
              <w:right w:val="single" w:sz="4" w:space="0" w:color="auto"/>
            </w:tcBorders>
          </w:tcPr>
          <w:p w14:paraId="6931F4DA" w14:textId="6F0473C8" w:rsidR="00C223C2" w:rsidRPr="00B148F9" w:rsidRDefault="00C223C2" w:rsidP="003C78F1">
            <w:pPr>
              <w:keepNext/>
            </w:pPr>
            <w:r w:rsidRPr="00B148F9">
              <w:t>Paul Le Page</w:t>
            </w:r>
          </w:p>
        </w:tc>
        <w:tc>
          <w:tcPr>
            <w:tcW w:w="1842" w:type="dxa"/>
            <w:tcBorders>
              <w:top w:val="single" w:sz="4" w:space="0" w:color="auto"/>
              <w:left w:val="single" w:sz="4" w:space="0" w:color="auto"/>
              <w:bottom w:val="single" w:sz="4" w:space="0" w:color="auto"/>
              <w:right w:val="single" w:sz="4" w:space="0" w:color="auto"/>
            </w:tcBorders>
          </w:tcPr>
          <w:p w14:paraId="3C8B4BF4" w14:textId="70DD4ADC" w:rsidR="00C223C2" w:rsidRPr="00B148F9" w:rsidRDefault="00C223C2">
            <w:pPr>
              <w:keepNext/>
              <w:jc w:val="right"/>
            </w:pPr>
            <w:r w:rsidRPr="00B148F9">
              <w:t>£40,000</w:t>
            </w:r>
          </w:p>
        </w:tc>
        <w:tc>
          <w:tcPr>
            <w:tcW w:w="3006" w:type="dxa"/>
            <w:tcBorders>
              <w:top w:val="single" w:sz="4" w:space="0" w:color="auto"/>
              <w:left w:val="single" w:sz="4" w:space="0" w:color="auto"/>
              <w:bottom w:val="single" w:sz="4" w:space="0" w:color="auto"/>
              <w:right w:val="single" w:sz="4" w:space="0" w:color="auto"/>
            </w:tcBorders>
          </w:tcPr>
          <w:p w14:paraId="23472AFE" w14:textId="622AFE0C" w:rsidR="00C223C2" w:rsidRPr="00B148F9" w:rsidRDefault="00C223C2" w:rsidP="003C78F1">
            <w:pPr>
              <w:keepNext/>
              <w:jc w:val="right"/>
            </w:pPr>
            <w:r w:rsidRPr="00B148F9">
              <w:t>8,285</w:t>
            </w:r>
          </w:p>
        </w:tc>
      </w:tr>
      <w:tr w:rsidR="00C223C2" w:rsidRPr="00B148F9" w14:paraId="0660CBDF" w14:textId="77777777" w:rsidTr="00C223C2">
        <w:tc>
          <w:tcPr>
            <w:tcW w:w="3369" w:type="dxa"/>
            <w:tcBorders>
              <w:top w:val="single" w:sz="4" w:space="0" w:color="auto"/>
              <w:left w:val="single" w:sz="4" w:space="0" w:color="auto"/>
              <w:bottom w:val="single" w:sz="4" w:space="0" w:color="auto"/>
              <w:right w:val="single" w:sz="4" w:space="0" w:color="auto"/>
            </w:tcBorders>
          </w:tcPr>
          <w:p w14:paraId="49538233" w14:textId="18DAB48C" w:rsidR="00C223C2" w:rsidRPr="00B148F9" w:rsidRDefault="00C223C2" w:rsidP="003C78F1">
            <w:pPr>
              <w:keepNext/>
            </w:pPr>
            <w:r w:rsidRPr="00B148F9">
              <w:t>William Scott</w:t>
            </w:r>
          </w:p>
        </w:tc>
        <w:tc>
          <w:tcPr>
            <w:tcW w:w="1842" w:type="dxa"/>
            <w:tcBorders>
              <w:top w:val="single" w:sz="4" w:space="0" w:color="auto"/>
              <w:left w:val="single" w:sz="4" w:space="0" w:color="auto"/>
              <w:bottom w:val="single" w:sz="4" w:space="0" w:color="auto"/>
              <w:right w:val="single" w:sz="4" w:space="0" w:color="auto"/>
            </w:tcBorders>
          </w:tcPr>
          <w:p w14:paraId="23B6C914" w14:textId="748DD447" w:rsidR="00C223C2" w:rsidRPr="00B148F9" w:rsidRDefault="00C223C2">
            <w:pPr>
              <w:keepNext/>
              <w:jc w:val="right"/>
            </w:pPr>
            <w:r w:rsidRPr="00B148F9">
              <w:t>£35,000</w:t>
            </w:r>
          </w:p>
        </w:tc>
        <w:tc>
          <w:tcPr>
            <w:tcW w:w="3006" w:type="dxa"/>
            <w:tcBorders>
              <w:top w:val="single" w:sz="4" w:space="0" w:color="auto"/>
              <w:left w:val="single" w:sz="4" w:space="0" w:color="auto"/>
              <w:bottom w:val="single" w:sz="4" w:space="0" w:color="auto"/>
              <w:right w:val="single" w:sz="4" w:space="0" w:color="auto"/>
            </w:tcBorders>
          </w:tcPr>
          <w:p w14:paraId="39E0F24C" w14:textId="46370D9D" w:rsidR="00C223C2" w:rsidRPr="00B148F9" w:rsidRDefault="00C223C2" w:rsidP="003C78F1">
            <w:pPr>
              <w:keepNext/>
              <w:jc w:val="right"/>
            </w:pPr>
            <w:r w:rsidRPr="00B148F9">
              <w:t>7,249</w:t>
            </w:r>
          </w:p>
        </w:tc>
      </w:tr>
      <w:tr w:rsidR="00C223C2" w:rsidRPr="00B148F9" w14:paraId="10B48BAB" w14:textId="77777777" w:rsidTr="00C223C2">
        <w:tc>
          <w:tcPr>
            <w:tcW w:w="3369" w:type="dxa"/>
            <w:tcBorders>
              <w:top w:val="single" w:sz="4" w:space="0" w:color="auto"/>
              <w:left w:val="single" w:sz="4" w:space="0" w:color="auto"/>
              <w:bottom w:val="single" w:sz="4" w:space="0" w:color="auto"/>
              <w:right w:val="single" w:sz="4" w:space="0" w:color="auto"/>
            </w:tcBorders>
          </w:tcPr>
          <w:p w14:paraId="4A79F0F8" w14:textId="194D2020" w:rsidR="00C223C2" w:rsidRPr="00B148F9" w:rsidRDefault="00C223C2" w:rsidP="003C78F1">
            <w:pPr>
              <w:keepNext/>
            </w:pPr>
            <w:r w:rsidRPr="00B148F9">
              <w:t>Stephanie Sirota</w:t>
            </w:r>
          </w:p>
        </w:tc>
        <w:tc>
          <w:tcPr>
            <w:tcW w:w="1842" w:type="dxa"/>
            <w:tcBorders>
              <w:top w:val="single" w:sz="4" w:space="0" w:color="auto"/>
              <w:left w:val="single" w:sz="4" w:space="0" w:color="auto"/>
              <w:bottom w:val="single" w:sz="4" w:space="0" w:color="auto"/>
              <w:right w:val="single" w:sz="4" w:space="0" w:color="auto"/>
            </w:tcBorders>
          </w:tcPr>
          <w:p w14:paraId="431E3475" w14:textId="6195F14C" w:rsidR="00C223C2" w:rsidRPr="00B148F9" w:rsidRDefault="00C223C2" w:rsidP="003C78F1">
            <w:pPr>
              <w:keepNext/>
              <w:jc w:val="right"/>
            </w:pPr>
            <w:r w:rsidRPr="00B148F9">
              <w:t>US$42,000</w:t>
            </w:r>
          </w:p>
        </w:tc>
        <w:tc>
          <w:tcPr>
            <w:tcW w:w="3006" w:type="dxa"/>
            <w:tcBorders>
              <w:top w:val="single" w:sz="4" w:space="0" w:color="auto"/>
              <w:left w:val="single" w:sz="4" w:space="0" w:color="auto"/>
              <w:bottom w:val="single" w:sz="4" w:space="0" w:color="auto"/>
              <w:right w:val="single" w:sz="4" w:space="0" w:color="auto"/>
            </w:tcBorders>
          </w:tcPr>
          <w:p w14:paraId="4320ABC3" w14:textId="0B12F05E" w:rsidR="00C223C2" w:rsidRPr="00B148F9" w:rsidRDefault="00C223C2" w:rsidP="003C78F1">
            <w:pPr>
              <w:keepNext/>
              <w:jc w:val="right"/>
            </w:pPr>
            <w:r w:rsidRPr="00B148F9">
              <w:t>7,249</w:t>
            </w:r>
          </w:p>
        </w:tc>
      </w:tr>
      <w:tr w:rsidR="00C223C2" w:rsidRPr="00B148F9" w14:paraId="4855733D" w14:textId="77777777" w:rsidTr="00C223C2">
        <w:tc>
          <w:tcPr>
            <w:tcW w:w="3369" w:type="dxa"/>
            <w:tcBorders>
              <w:top w:val="single" w:sz="4" w:space="0" w:color="auto"/>
              <w:left w:val="single" w:sz="4" w:space="0" w:color="auto"/>
              <w:bottom w:val="single" w:sz="4" w:space="0" w:color="auto"/>
              <w:right w:val="single" w:sz="4" w:space="0" w:color="auto"/>
            </w:tcBorders>
          </w:tcPr>
          <w:p w14:paraId="795EEB78" w14:textId="77777777" w:rsidR="00C223C2" w:rsidRPr="00B148F9" w:rsidRDefault="00C223C2" w:rsidP="003C78F1">
            <w:pPr>
              <w:keepNext/>
            </w:pPr>
            <w:r w:rsidRPr="00B148F9">
              <w:t>Total</w:t>
            </w:r>
          </w:p>
        </w:tc>
        <w:tc>
          <w:tcPr>
            <w:tcW w:w="1842" w:type="dxa"/>
            <w:tcBorders>
              <w:top w:val="single" w:sz="4" w:space="0" w:color="auto"/>
              <w:left w:val="single" w:sz="4" w:space="0" w:color="auto"/>
              <w:bottom w:val="single" w:sz="4" w:space="0" w:color="auto"/>
              <w:right w:val="single" w:sz="4" w:space="0" w:color="auto"/>
            </w:tcBorders>
          </w:tcPr>
          <w:p w14:paraId="497C5E51" w14:textId="00159977" w:rsidR="00C223C2" w:rsidRPr="00B148F9" w:rsidRDefault="00C223C2" w:rsidP="003C78F1">
            <w:pPr>
              <w:keepNext/>
              <w:jc w:val="right"/>
            </w:pPr>
          </w:p>
        </w:tc>
        <w:tc>
          <w:tcPr>
            <w:tcW w:w="3006" w:type="dxa"/>
            <w:tcBorders>
              <w:top w:val="single" w:sz="4" w:space="0" w:color="auto"/>
              <w:left w:val="single" w:sz="4" w:space="0" w:color="auto"/>
              <w:bottom w:val="single" w:sz="4" w:space="0" w:color="auto"/>
              <w:right w:val="single" w:sz="4" w:space="0" w:color="auto"/>
            </w:tcBorders>
          </w:tcPr>
          <w:p w14:paraId="50A7A3A6" w14:textId="57AD0C79" w:rsidR="00C223C2" w:rsidRPr="00B148F9" w:rsidRDefault="00C223C2">
            <w:pPr>
              <w:keepNext/>
              <w:jc w:val="right"/>
            </w:pPr>
            <w:r w:rsidRPr="00B148F9">
              <w:t>33,140</w:t>
            </w:r>
          </w:p>
        </w:tc>
      </w:tr>
    </w:tbl>
    <w:p w14:paraId="1132D3D7" w14:textId="77777777" w:rsidR="00E1723A" w:rsidRPr="00B148F9" w:rsidRDefault="00E1723A" w:rsidP="00E1723A">
      <w:pPr>
        <w:pStyle w:val="BodyText"/>
        <w:spacing w:after="0"/>
        <w:rPr>
          <w:rFonts w:cs="Arial"/>
        </w:rPr>
      </w:pPr>
    </w:p>
    <w:p w14:paraId="529AA292" w14:textId="54001475" w:rsidR="001156EF" w:rsidRPr="00B148F9" w:rsidRDefault="001156EF" w:rsidP="001156EF">
      <w:pPr>
        <w:pStyle w:val="ListBullet1"/>
        <w:numPr>
          <w:ilvl w:val="0"/>
          <w:numId w:val="0"/>
        </w:numPr>
        <w:spacing w:after="0"/>
        <w:rPr>
          <w:b/>
          <w:sz w:val="20"/>
        </w:rPr>
      </w:pPr>
      <w:r w:rsidRPr="00B148F9">
        <w:rPr>
          <w:b/>
          <w:sz w:val="20"/>
        </w:rPr>
        <w:t>Directors’ conflicts of interest</w:t>
      </w:r>
    </w:p>
    <w:p w14:paraId="66DA74EC" w14:textId="4749DCD8" w:rsidR="00E1723A" w:rsidRPr="00B148F9" w:rsidRDefault="00E1723A" w:rsidP="00E1723A">
      <w:pPr>
        <w:pStyle w:val="ListBullet1"/>
        <w:numPr>
          <w:ilvl w:val="0"/>
          <w:numId w:val="0"/>
        </w:numPr>
        <w:spacing w:after="0"/>
        <w:rPr>
          <w:rFonts w:cs="Arial"/>
          <w:sz w:val="20"/>
        </w:rPr>
      </w:pPr>
      <w:r w:rsidRPr="00B148F9">
        <w:rPr>
          <w:rFonts w:cs="Arial"/>
          <w:sz w:val="20"/>
        </w:rPr>
        <w:t>All of the Directors are non-executive.</w:t>
      </w:r>
      <w:r w:rsidR="001156EF" w:rsidRPr="00B148F9">
        <w:rPr>
          <w:rFonts w:cs="Arial"/>
          <w:sz w:val="20"/>
        </w:rPr>
        <w:t xml:space="preserve"> William Simpson and William Scott are directors of Absolute Fund PCC Limited, AHL Strategies PCC Limited and Man AHL Diversiﬁed PCC Limited, three Guernsey protected cell companies managed by members of the Man group of companies. Paul Le Page was employed by Man Group until 31 December 2019 and was a director of the investment managers of those three protected cell com</w:t>
      </w:r>
      <w:r w:rsidR="00BD5C1E" w:rsidRPr="00B148F9">
        <w:rPr>
          <w:rFonts w:cs="Arial"/>
          <w:sz w:val="20"/>
        </w:rPr>
        <w:t>panies. None of the Directors were</w:t>
      </w:r>
      <w:r w:rsidR="001156EF" w:rsidRPr="00B148F9">
        <w:rPr>
          <w:rFonts w:cs="Arial"/>
          <w:sz w:val="20"/>
        </w:rPr>
        <w:t xml:space="preserve"> responsible for the appointment of the others, the decision in respect of which was made by an independent party. Having considered the information disclosed above, the Board have concluded that William Simpson, Paul Le Page, and William Scott remain independent under provision 10 of the AIC Code. </w:t>
      </w:r>
      <w:r w:rsidRPr="00B148F9">
        <w:rPr>
          <w:rFonts w:cs="Arial"/>
          <w:sz w:val="20"/>
        </w:rPr>
        <w:t xml:space="preserve">The Board considers Messrs </w:t>
      </w:r>
      <w:r w:rsidR="003D764F" w:rsidRPr="00B148F9">
        <w:rPr>
          <w:rFonts w:cs="Arial"/>
          <w:sz w:val="20"/>
        </w:rPr>
        <w:t>Simpson</w:t>
      </w:r>
      <w:r w:rsidRPr="00B148F9">
        <w:rPr>
          <w:rFonts w:cs="Arial"/>
          <w:sz w:val="20"/>
        </w:rPr>
        <w:t xml:space="preserve">, </w:t>
      </w:r>
      <w:r w:rsidR="003D764F" w:rsidRPr="00B148F9">
        <w:rPr>
          <w:rFonts w:cs="Arial"/>
          <w:sz w:val="20"/>
        </w:rPr>
        <w:t xml:space="preserve">Le Page </w:t>
      </w:r>
      <w:r w:rsidRPr="00B148F9">
        <w:rPr>
          <w:rFonts w:cs="Arial"/>
          <w:sz w:val="20"/>
        </w:rPr>
        <w:t xml:space="preserve">and </w:t>
      </w:r>
      <w:r w:rsidR="003D764F" w:rsidRPr="00B148F9">
        <w:rPr>
          <w:rFonts w:cs="Arial"/>
          <w:sz w:val="20"/>
        </w:rPr>
        <w:t xml:space="preserve">Scott </w:t>
      </w:r>
      <w:r w:rsidRPr="00B148F9">
        <w:rPr>
          <w:rFonts w:cs="Arial"/>
          <w:sz w:val="20"/>
        </w:rPr>
        <w:t xml:space="preserve">as independent of </w:t>
      </w:r>
      <w:r w:rsidR="00C14C64" w:rsidRPr="00B148F9">
        <w:rPr>
          <w:rFonts w:cs="Arial"/>
          <w:sz w:val="20"/>
        </w:rPr>
        <w:t>each other</w:t>
      </w:r>
      <w:r w:rsidR="00326813" w:rsidRPr="00B148F9">
        <w:rPr>
          <w:rFonts w:cs="Arial"/>
          <w:sz w:val="20"/>
        </w:rPr>
        <w:t xml:space="preserve"> </w:t>
      </w:r>
      <w:r w:rsidRPr="00B148F9">
        <w:rPr>
          <w:rFonts w:cs="Arial"/>
          <w:sz w:val="20"/>
        </w:rPr>
        <w:t>and free from any business or other relationship that could materially interfere with the exercise of their independent judgment. The Board</w:t>
      </w:r>
      <w:r w:rsidR="003C78F1" w:rsidRPr="00B148F9">
        <w:rPr>
          <w:rFonts w:cs="Arial"/>
          <w:sz w:val="20"/>
        </w:rPr>
        <w:t xml:space="preserve"> when taken</w:t>
      </w:r>
      <w:r w:rsidRPr="00B148F9">
        <w:rPr>
          <w:rFonts w:cs="Arial"/>
          <w:sz w:val="20"/>
        </w:rPr>
        <w:t xml:space="preserve"> as a whole is independent of the </w:t>
      </w:r>
      <w:r w:rsidR="003D764F" w:rsidRPr="00B148F9">
        <w:rPr>
          <w:rFonts w:cs="Arial"/>
          <w:sz w:val="20"/>
        </w:rPr>
        <w:t>Investment Manager</w:t>
      </w:r>
      <w:r w:rsidRPr="00B148F9">
        <w:rPr>
          <w:rFonts w:cs="Arial"/>
          <w:sz w:val="20"/>
        </w:rPr>
        <w:t>. M</w:t>
      </w:r>
      <w:r w:rsidR="003D764F" w:rsidRPr="00B148F9">
        <w:rPr>
          <w:rFonts w:cs="Arial"/>
          <w:sz w:val="20"/>
        </w:rPr>
        <w:t>s</w:t>
      </w:r>
      <w:r w:rsidRPr="00B148F9">
        <w:rPr>
          <w:rFonts w:cs="Arial"/>
          <w:sz w:val="20"/>
        </w:rPr>
        <w:t xml:space="preserve"> </w:t>
      </w:r>
      <w:r w:rsidR="003D764F" w:rsidRPr="00B148F9">
        <w:rPr>
          <w:rFonts w:cs="Arial"/>
          <w:sz w:val="20"/>
        </w:rPr>
        <w:t xml:space="preserve">Sirota </w:t>
      </w:r>
      <w:r w:rsidRPr="00B148F9">
        <w:rPr>
          <w:rFonts w:cs="Arial"/>
          <w:sz w:val="20"/>
        </w:rPr>
        <w:t xml:space="preserve">is a </w:t>
      </w:r>
      <w:r w:rsidR="003D764F" w:rsidRPr="00B148F9">
        <w:rPr>
          <w:rFonts w:cs="Arial"/>
          <w:sz w:val="20"/>
        </w:rPr>
        <w:t xml:space="preserve">Board representative </w:t>
      </w:r>
      <w:r w:rsidRPr="00B148F9">
        <w:rPr>
          <w:rFonts w:cs="Arial"/>
          <w:sz w:val="20"/>
        </w:rPr>
        <w:t xml:space="preserve">of the </w:t>
      </w:r>
      <w:r w:rsidR="003D764F" w:rsidRPr="00B148F9">
        <w:rPr>
          <w:rFonts w:cs="Arial"/>
          <w:sz w:val="20"/>
        </w:rPr>
        <w:t>Investment</w:t>
      </w:r>
      <w:r w:rsidRPr="00B148F9">
        <w:rPr>
          <w:rFonts w:cs="Arial"/>
          <w:sz w:val="20"/>
        </w:rPr>
        <w:t xml:space="preserve"> </w:t>
      </w:r>
      <w:r w:rsidR="003D764F" w:rsidRPr="00B148F9">
        <w:rPr>
          <w:rFonts w:cs="Arial"/>
          <w:sz w:val="20"/>
        </w:rPr>
        <w:t xml:space="preserve">Manager </w:t>
      </w:r>
      <w:r w:rsidRPr="00B148F9">
        <w:rPr>
          <w:rFonts w:cs="Arial"/>
          <w:sz w:val="20"/>
        </w:rPr>
        <w:t xml:space="preserve">and is therefore not considered </w:t>
      </w:r>
      <w:r w:rsidR="00C930FF" w:rsidRPr="00B148F9">
        <w:rPr>
          <w:rFonts w:cs="Arial"/>
          <w:sz w:val="20"/>
        </w:rPr>
        <w:t>independent</w:t>
      </w:r>
      <w:r w:rsidRPr="00B148F9">
        <w:rPr>
          <w:rFonts w:cs="Arial"/>
          <w:sz w:val="20"/>
        </w:rPr>
        <w:t xml:space="preserve">. </w:t>
      </w:r>
    </w:p>
    <w:p w14:paraId="65C45E1E" w14:textId="77777777" w:rsidR="00E1723A" w:rsidRPr="00B148F9" w:rsidRDefault="00E1723A" w:rsidP="00E1723A">
      <w:pPr>
        <w:pStyle w:val="ListBullet1"/>
        <w:numPr>
          <w:ilvl w:val="0"/>
          <w:numId w:val="0"/>
        </w:numPr>
        <w:spacing w:after="0"/>
        <w:rPr>
          <w:rFonts w:cs="Arial"/>
          <w:sz w:val="20"/>
        </w:rPr>
      </w:pPr>
    </w:p>
    <w:p w14:paraId="395BA3AE" w14:textId="15D771D6" w:rsidR="00E1723A" w:rsidRPr="00B148F9" w:rsidRDefault="00E1723A" w:rsidP="00E1723A">
      <w:pPr>
        <w:pStyle w:val="ListBullet1"/>
        <w:numPr>
          <w:ilvl w:val="0"/>
          <w:numId w:val="0"/>
        </w:numPr>
        <w:spacing w:after="0"/>
        <w:rPr>
          <w:rFonts w:cs="Arial"/>
          <w:sz w:val="20"/>
        </w:rPr>
      </w:pPr>
      <w:r w:rsidRPr="00B148F9">
        <w:rPr>
          <w:sz w:val="20"/>
        </w:rPr>
        <w:t xml:space="preserve">The Chairman of the Board must be independent and is appointed in accordance with the Company's articles of incorporation. </w:t>
      </w:r>
      <w:r w:rsidRPr="00B148F9">
        <w:rPr>
          <w:rFonts w:cs="Arial"/>
          <w:sz w:val="20"/>
        </w:rPr>
        <w:t xml:space="preserve">Mr </w:t>
      </w:r>
      <w:r w:rsidR="00A6554D" w:rsidRPr="00B148F9">
        <w:rPr>
          <w:rFonts w:cs="Arial"/>
          <w:sz w:val="20"/>
        </w:rPr>
        <w:t>Simpson</w:t>
      </w:r>
      <w:r w:rsidR="00C540D7" w:rsidRPr="00B148F9">
        <w:rPr>
          <w:rFonts w:cs="Arial"/>
          <w:sz w:val="20"/>
        </w:rPr>
        <w:t>’s independence is evaluated annually and he</w:t>
      </w:r>
      <w:r w:rsidR="00A6554D" w:rsidRPr="00B148F9">
        <w:rPr>
          <w:rFonts w:cs="Arial"/>
          <w:sz w:val="20"/>
        </w:rPr>
        <w:t xml:space="preserve"> </w:t>
      </w:r>
      <w:r w:rsidRPr="00B148F9">
        <w:rPr>
          <w:rFonts w:cs="Arial"/>
          <w:sz w:val="20"/>
        </w:rPr>
        <w:t>is considered to be independent because he:</w:t>
      </w:r>
    </w:p>
    <w:p w14:paraId="0BA30A94" w14:textId="77777777" w:rsidR="00E1723A" w:rsidRPr="00B148F9" w:rsidRDefault="00E1723A" w:rsidP="00E1723A">
      <w:pPr>
        <w:pStyle w:val="ListBullet1"/>
        <w:numPr>
          <w:ilvl w:val="0"/>
          <w:numId w:val="0"/>
        </w:numPr>
        <w:spacing w:after="0"/>
        <w:rPr>
          <w:rFonts w:cs="Arial"/>
          <w:sz w:val="20"/>
        </w:rPr>
      </w:pPr>
    </w:p>
    <w:p w14:paraId="08D9845E" w14:textId="1B776BC6" w:rsidR="00E1723A" w:rsidRPr="00B148F9" w:rsidRDefault="00E1723A" w:rsidP="00E1723A">
      <w:pPr>
        <w:pStyle w:val="ListBullet1"/>
        <w:tabs>
          <w:tab w:val="clear" w:pos="1440"/>
          <w:tab w:val="num" w:pos="567"/>
        </w:tabs>
        <w:spacing w:after="0"/>
        <w:ind w:left="567" w:hanging="567"/>
        <w:rPr>
          <w:rFonts w:cs="Arial"/>
          <w:sz w:val="20"/>
        </w:rPr>
      </w:pPr>
      <w:r w:rsidRPr="00B148F9">
        <w:rPr>
          <w:rFonts w:cs="Arial"/>
          <w:sz w:val="20"/>
        </w:rPr>
        <w:t xml:space="preserve">has no </w:t>
      </w:r>
      <w:r w:rsidR="00B9634C" w:rsidRPr="00B148F9">
        <w:rPr>
          <w:rFonts w:cs="Arial"/>
          <w:sz w:val="20"/>
        </w:rPr>
        <w:t xml:space="preserve">direct or indirect </w:t>
      </w:r>
      <w:r w:rsidRPr="00B148F9">
        <w:rPr>
          <w:rFonts w:cs="Arial"/>
          <w:sz w:val="20"/>
        </w:rPr>
        <w:t xml:space="preserve">current </w:t>
      </w:r>
      <w:r w:rsidR="00511E59" w:rsidRPr="00B148F9">
        <w:rPr>
          <w:rFonts w:cs="Arial"/>
          <w:sz w:val="20"/>
        </w:rPr>
        <w:t xml:space="preserve">or </w:t>
      </w:r>
      <w:r w:rsidRPr="00B148F9">
        <w:rPr>
          <w:rFonts w:cs="Arial"/>
          <w:sz w:val="20"/>
        </w:rPr>
        <w:t xml:space="preserve">historical employment with </w:t>
      </w:r>
      <w:r w:rsidR="009416FA" w:rsidRPr="00B148F9">
        <w:rPr>
          <w:rFonts w:cs="Arial"/>
          <w:sz w:val="20"/>
        </w:rPr>
        <w:t xml:space="preserve">the </w:t>
      </w:r>
      <w:r w:rsidR="00A6554D" w:rsidRPr="00B148F9">
        <w:rPr>
          <w:rFonts w:cs="Arial"/>
          <w:sz w:val="20"/>
        </w:rPr>
        <w:t>Investment Manager</w:t>
      </w:r>
      <w:r w:rsidR="00FA5BAE" w:rsidRPr="00B148F9">
        <w:rPr>
          <w:rFonts w:cs="Arial"/>
          <w:sz w:val="20"/>
        </w:rPr>
        <w:t>; and</w:t>
      </w:r>
    </w:p>
    <w:p w14:paraId="6BAC3E37" w14:textId="1FA86822" w:rsidR="00B9634C" w:rsidRPr="00B148F9" w:rsidRDefault="00E1723A" w:rsidP="00F874E8">
      <w:pPr>
        <w:pStyle w:val="ListBullet1"/>
        <w:tabs>
          <w:tab w:val="clear" w:pos="1440"/>
          <w:tab w:val="num" w:pos="567"/>
        </w:tabs>
        <w:spacing w:after="0"/>
        <w:ind w:left="567" w:hanging="567"/>
        <w:rPr>
          <w:rFonts w:cs="Arial"/>
          <w:sz w:val="20"/>
        </w:rPr>
      </w:pPr>
      <w:r w:rsidRPr="00B148F9">
        <w:rPr>
          <w:rFonts w:cs="Arial"/>
          <w:sz w:val="20"/>
        </w:rPr>
        <w:t xml:space="preserve">has no current directorships in any other </w:t>
      </w:r>
      <w:r w:rsidR="004A4BA5" w:rsidRPr="00B148F9">
        <w:rPr>
          <w:rFonts w:cs="Arial"/>
          <w:sz w:val="20"/>
        </w:rPr>
        <w:t>entities</w:t>
      </w:r>
      <w:r w:rsidRPr="00B148F9">
        <w:rPr>
          <w:rFonts w:cs="Arial"/>
          <w:sz w:val="20"/>
        </w:rPr>
        <w:t xml:space="preserve"> </w:t>
      </w:r>
      <w:r w:rsidR="00511E59" w:rsidRPr="00B148F9">
        <w:rPr>
          <w:rFonts w:cs="Arial"/>
          <w:sz w:val="20"/>
        </w:rPr>
        <w:t xml:space="preserve">for which </w:t>
      </w:r>
      <w:r w:rsidR="009416FA" w:rsidRPr="00B148F9">
        <w:rPr>
          <w:rFonts w:cs="Arial"/>
          <w:sz w:val="20"/>
        </w:rPr>
        <w:t xml:space="preserve">the </w:t>
      </w:r>
      <w:r w:rsidR="00A6554D" w:rsidRPr="00B148F9">
        <w:rPr>
          <w:rFonts w:cs="Arial"/>
          <w:sz w:val="20"/>
        </w:rPr>
        <w:t>Investment Manager</w:t>
      </w:r>
      <w:r w:rsidR="009416FA" w:rsidRPr="00B148F9">
        <w:rPr>
          <w:rFonts w:cs="Arial"/>
          <w:sz w:val="20"/>
        </w:rPr>
        <w:t xml:space="preserve"> </w:t>
      </w:r>
      <w:r w:rsidR="00511E59" w:rsidRPr="00B148F9">
        <w:rPr>
          <w:rFonts w:cs="Arial"/>
          <w:sz w:val="20"/>
        </w:rPr>
        <w:t>provide services</w:t>
      </w:r>
      <w:r w:rsidR="00B9634C" w:rsidRPr="00B148F9">
        <w:rPr>
          <w:rFonts w:cs="Arial"/>
          <w:sz w:val="20"/>
        </w:rPr>
        <w:t>.</w:t>
      </w:r>
    </w:p>
    <w:p w14:paraId="3687EEDA" w14:textId="6C36E412" w:rsidR="00FF41BF" w:rsidRPr="00B148F9" w:rsidRDefault="00B9634C">
      <w:pPr>
        <w:pStyle w:val="ListBullet1"/>
        <w:numPr>
          <w:ilvl w:val="0"/>
          <w:numId w:val="0"/>
        </w:numPr>
        <w:spacing w:after="0"/>
        <w:rPr>
          <w:rFonts w:cs="Arial"/>
          <w:sz w:val="20"/>
        </w:rPr>
      </w:pPr>
      <w:r w:rsidRPr="00B148F9" w:rsidDel="00B9634C">
        <w:rPr>
          <w:rFonts w:cs="Arial"/>
          <w:sz w:val="20"/>
        </w:rPr>
        <w:t xml:space="preserve"> </w:t>
      </w:r>
    </w:p>
    <w:p w14:paraId="17E304ED" w14:textId="77777777" w:rsidR="00E1723A" w:rsidRPr="00B148F9" w:rsidRDefault="000A54D1" w:rsidP="00E1723A">
      <w:pPr>
        <w:pStyle w:val="MarginText"/>
        <w:keepNext/>
        <w:spacing w:after="0"/>
        <w:rPr>
          <w:b/>
          <w:sz w:val="20"/>
        </w:rPr>
      </w:pPr>
      <w:r w:rsidRPr="00B148F9">
        <w:rPr>
          <w:b/>
          <w:sz w:val="20"/>
        </w:rPr>
        <w:t>Duties and r</w:t>
      </w:r>
      <w:r w:rsidR="00E1723A" w:rsidRPr="00B148F9">
        <w:rPr>
          <w:b/>
          <w:sz w:val="20"/>
        </w:rPr>
        <w:t>esponsibilities</w:t>
      </w:r>
    </w:p>
    <w:p w14:paraId="7B40C8DE" w14:textId="77777777" w:rsidR="00E1723A" w:rsidRPr="00B148F9" w:rsidRDefault="00E1723A" w:rsidP="00E1723A">
      <w:pPr>
        <w:pStyle w:val="MarginText"/>
        <w:keepNext/>
        <w:spacing w:after="0"/>
        <w:rPr>
          <w:rFonts w:cs="Arial"/>
          <w:sz w:val="20"/>
        </w:rPr>
      </w:pPr>
    </w:p>
    <w:p w14:paraId="7F66E581" w14:textId="77777777" w:rsidR="00E1723A" w:rsidRPr="00B148F9" w:rsidRDefault="00E1723A" w:rsidP="00E1723A">
      <w:pPr>
        <w:pStyle w:val="MarginText"/>
        <w:keepNext/>
        <w:spacing w:after="0"/>
        <w:rPr>
          <w:rFonts w:cs="Arial"/>
          <w:sz w:val="20"/>
        </w:rPr>
      </w:pPr>
      <w:r w:rsidRPr="00B148F9">
        <w:rPr>
          <w:rFonts w:cs="Arial"/>
          <w:sz w:val="20"/>
        </w:rPr>
        <w:t>The Board has overall responsibility for maximising the Company's success by directing and supervising the affairs of the business and meeting the appropriate interests of shareholders and relevant stakeholders, while enhancing the value of the Company and also ensuring the protection of investors. A summary of the Board's responsibilities is as follows:</w:t>
      </w:r>
    </w:p>
    <w:p w14:paraId="297F859E" w14:textId="77777777" w:rsidR="00E1723A" w:rsidRPr="00B148F9" w:rsidRDefault="00E1723A" w:rsidP="00E1723A">
      <w:pPr>
        <w:pStyle w:val="MarginText"/>
        <w:keepNext/>
        <w:spacing w:after="0"/>
        <w:rPr>
          <w:rFonts w:cs="Arial"/>
          <w:sz w:val="20"/>
        </w:rPr>
      </w:pPr>
    </w:p>
    <w:p w14:paraId="1C35CCB3" w14:textId="77777777" w:rsidR="00E1723A" w:rsidRPr="00B148F9" w:rsidRDefault="00E1723A" w:rsidP="00E1723A">
      <w:pPr>
        <w:pStyle w:val="ListBullet1"/>
        <w:tabs>
          <w:tab w:val="clear" w:pos="1440"/>
          <w:tab w:val="num" w:pos="567"/>
        </w:tabs>
        <w:spacing w:after="0"/>
        <w:ind w:left="567" w:hanging="567"/>
        <w:rPr>
          <w:rFonts w:cs="Arial"/>
          <w:sz w:val="20"/>
        </w:rPr>
      </w:pPr>
      <w:r w:rsidRPr="00B148F9">
        <w:rPr>
          <w:rFonts w:cs="Arial"/>
          <w:sz w:val="20"/>
        </w:rPr>
        <w:t>statutory obligations and public disclosure;</w:t>
      </w:r>
    </w:p>
    <w:p w14:paraId="56FAC1BF" w14:textId="77777777" w:rsidR="00E1723A" w:rsidRPr="00B148F9" w:rsidRDefault="00E1723A" w:rsidP="00E1723A">
      <w:pPr>
        <w:pStyle w:val="ListBullet1"/>
        <w:tabs>
          <w:tab w:val="clear" w:pos="1440"/>
          <w:tab w:val="num" w:pos="567"/>
        </w:tabs>
        <w:spacing w:after="0"/>
        <w:ind w:left="567" w:hanging="567"/>
        <w:rPr>
          <w:rFonts w:cs="Arial"/>
          <w:sz w:val="20"/>
        </w:rPr>
      </w:pPr>
      <w:r w:rsidRPr="00B148F9">
        <w:rPr>
          <w:rFonts w:cs="Arial"/>
          <w:sz w:val="20"/>
        </w:rPr>
        <w:t>strategic matters and financial reporting;</w:t>
      </w:r>
    </w:p>
    <w:p w14:paraId="6CE7AA9B" w14:textId="43BE6BA7" w:rsidR="00E1723A" w:rsidRPr="00B148F9" w:rsidRDefault="00E1723A" w:rsidP="00E1723A">
      <w:pPr>
        <w:pStyle w:val="ListBullet1"/>
        <w:tabs>
          <w:tab w:val="clear" w:pos="1440"/>
          <w:tab w:val="num" w:pos="567"/>
        </w:tabs>
        <w:spacing w:after="0"/>
        <w:ind w:left="567" w:hanging="567"/>
        <w:rPr>
          <w:rFonts w:cs="Arial"/>
          <w:sz w:val="20"/>
        </w:rPr>
      </w:pPr>
      <w:r w:rsidRPr="00B148F9">
        <w:rPr>
          <w:rFonts w:cs="Arial"/>
          <w:sz w:val="20"/>
        </w:rPr>
        <w:t>risk</w:t>
      </w:r>
      <w:r w:rsidR="001B2FD2" w:rsidRPr="00B148F9">
        <w:rPr>
          <w:rFonts w:cs="Arial"/>
          <w:sz w:val="20"/>
        </w:rPr>
        <w:t xml:space="preserve"> </w:t>
      </w:r>
      <w:r w:rsidRPr="00B148F9">
        <w:rPr>
          <w:rFonts w:cs="Arial"/>
          <w:sz w:val="20"/>
        </w:rPr>
        <w:t>assessment and management including reporting, compliance, governance, monitoring and control; and</w:t>
      </w:r>
    </w:p>
    <w:p w14:paraId="0E88DD92" w14:textId="77777777" w:rsidR="00E1723A" w:rsidRPr="00B148F9" w:rsidRDefault="00E1723A" w:rsidP="00E1723A">
      <w:pPr>
        <w:pStyle w:val="ListBullet1"/>
        <w:tabs>
          <w:tab w:val="clear" w:pos="1440"/>
          <w:tab w:val="num" w:pos="567"/>
        </w:tabs>
        <w:spacing w:after="0"/>
        <w:ind w:left="567" w:hanging="567"/>
        <w:rPr>
          <w:rFonts w:cs="Arial"/>
          <w:sz w:val="20"/>
        </w:rPr>
      </w:pPr>
      <w:r w:rsidRPr="00B148F9">
        <w:rPr>
          <w:rFonts w:cs="Arial"/>
          <w:sz w:val="20"/>
        </w:rPr>
        <w:t>other matters having a material effect on the Company.</w:t>
      </w:r>
    </w:p>
    <w:p w14:paraId="33A8D4D3" w14:textId="77777777" w:rsidR="00E1723A" w:rsidRPr="00B148F9" w:rsidRDefault="00E1723A" w:rsidP="00E1723A">
      <w:pPr>
        <w:pStyle w:val="ListBullet1"/>
        <w:numPr>
          <w:ilvl w:val="0"/>
          <w:numId w:val="0"/>
        </w:numPr>
        <w:spacing w:after="0"/>
        <w:ind w:left="567"/>
        <w:rPr>
          <w:rFonts w:cs="Arial"/>
          <w:sz w:val="20"/>
        </w:rPr>
      </w:pPr>
    </w:p>
    <w:p w14:paraId="6EF971A0" w14:textId="77777777" w:rsidR="00E1723A" w:rsidRPr="00B148F9" w:rsidRDefault="00E1723A" w:rsidP="00E1723A">
      <w:r w:rsidRPr="00B148F9">
        <w:t>The Board is responsible to shareholders for the overall management of the Company. The Board has adopted a Schedule of Matters Reserved for the Board which set</w:t>
      </w:r>
      <w:r w:rsidR="00E14BC6" w:rsidRPr="00B148F9">
        <w:t>s</w:t>
      </w:r>
      <w:r w:rsidRPr="00B148F9">
        <w:t xml:space="preserve"> out the particular duties of the Board</w:t>
      </w:r>
      <w:r w:rsidR="00903161" w:rsidRPr="00B148F9">
        <w:t>, which demonstrates the seriousness with which it takes its fiduciary responsibilities</w:t>
      </w:r>
      <w:r w:rsidRPr="00B148F9">
        <w:t>. Such reserved powers include decisions relating to the determination of investment policy and approval of changes in strategy, capital structure, statutory obligations and public disclosure, and entering into any material contracts by the Company.</w:t>
      </w:r>
    </w:p>
    <w:p w14:paraId="7288F232" w14:textId="77777777" w:rsidR="00E1723A" w:rsidRPr="00B148F9" w:rsidRDefault="00E1723A" w:rsidP="00E1723A"/>
    <w:p w14:paraId="0AC057BC" w14:textId="2BAF1B0C" w:rsidR="008748A3" w:rsidRPr="00B148F9" w:rsidRDefault="00E1723A" w:rsidP="008748A3">
      <w:pPr>
        <w:pStyle w:val="ListBullet1"/>
        <w:numPr>
          <w:ilvl w:val="0"/>
          <w:numId w:val="0"/>
        </w:numPr>
        <w:spacing w:after="0"/>
        <w:rPr>
          <w:rFonts w:cs="Arial"/>
          <w:sz w:val="20"/>
        </w:rPr>
      </w:pPr>
      <w:r w:rsidRPr="00B148F9">
        <w:rPr>
          <w:sz w:val="20"/>
        </w:rPr>
        <w:t>The Directors have access to the advice and services of the Administrator, wh</w:t>
      </w:r>
      <w:r w:rsidR="00503BFE" w:rsidRPr="00B148F9">
        <w:rPr>
          <w:sz w:val="20"/>
        </w:rPr>
        <w:t>ich</w:t>
      </w:r>
      <w:r w:rsidRPr="00B148F9">
        <w:rPr>
          <w:sz w:val="20"/>
        </w:rPr>
        <w:t xml:space="preserve"> is responsible to the Board for ensuring that Board procedures are followed and that it complies with </w:t>
      </w:r>
      <w:r w:rsidR="003D0C18" w:rsidRPr="00B148F9">
        <w:rPr>
          <w:sz w:val="20"/>
        </w:rPr>
        <w:t>Companies</w:t>
      </w:r>
      <w:r w:rsidRPr="00B148F9">
        <w:rPr>
          <w:sz w:val="20"/>
        </w:rPr>
        <w:t xml:space="preserve"> Law and applicable rules and regulations of the </w:t>
      </w:r>
      <w:r w:rsidR="00B10185" w:rsidRPr="00B148F9">
        <w:rPr>
          <w:sz w:val="20"/>
        </w:rPr>
        <w:t>GFSC</w:t>
      </w:r>
      <w:r w:rsidRPr="00B148F9">
        <w:rPr>
          <w:sz w:val="20"/>
        </w:rPr>
        <w:t xml:space="preserve"> and the </w:t>
      </w:r>
      <w:r w:rsidR="00B10185" w:rsidRPr="00B148F9">
        <w:rPr>
          <w:sz w:val="20"/>
        </w:rPr>
        <w:t>LSE</w:t>
      </w:r>
      <w:r w:rsidRPr="00B148F9">
        <w:rPr>
          <w:sz w:val="20"/>
        </w:rPr>
        <w:t>. Where necessary, in carrying out their duties, the Directors may seek independent</w:t>
      </w:r>
      <w:r w:rsidR="008748A3" w:rsidRPr="00B148F9">
        <w:rPr>
          <w:sz w:val="20"/>
        </w:rPr>
        <w:t xml:space="preserve"> legal or other</w:t>
      </w:r>
      <w:r w:rsidRPr="00B148F9">
        <w:rPr>
          <w:sz w:val="20"/>
        </w:rPr>
        <w:t xml:space="preserve"> professional advice and services at the expense of the Company.</w:t>
      </w:r>
      <w:r w:rsidR="008748A3" w:rsidRPr="00B148F9">
        <w:rPr>
          <w:sz w:val="20"/>
        </w:rPr>
        <w:t xml:space="preserve"> </w:t>
      </w:r>
      <w:r w:rsidR="008748A3" w:rsidRPr="00B148F9">
        <w:rPr>
          <w:rFonts w:cs="Arial"/>
          <w:sz w:val="20"/>
        </w:rPr>
        <w:t xml:space="preserve">As a result of the use of professional service providers and the nature of the Company’s operations, the Company does not have any employees.  </w:t>
      </w:r>
    </w:p>
    <w:p w14:paraId="0FF28C9C" w14:textId="77777777" w:rsidR="008748A3" w:rsidRPr="00B148F9" w:rsidRDefault="008748A3" w:rsidP="000A28B2"/>
    <w:p w14:paraId="6708F0D2" w14:textId="540BBE1F" w:rsidR="00E1723A" w:rsidRPr="00B148F9" w:rsidRDefault="00E1723A" w:rsidP="00E1723A">
      <w:r w:rsidRPr="00B148F9">
        <w:lastRenderedPageBreak/>
        <w:t xml:space="preserve">The Company maintains appropriate Directors’ and Officers’ liability insurance in respect of legal action against its Directors. </w:t>
      </w:r>
    </w:p>
    <w:p w14:paraId="5D0B9250" w14:textId="77777777" w:rsidR="00E1723A" w:rsidRPr="00B148F9" w:rsidRDefault="00E1723A" w:rsidP="00E1723A"/>
    <w:p w14:paraId="1FF8E1BA" w14:textId="3043B04C" w:rsidR="00E1723A" w:rsidRPr="00B148F9" w:rsidRDefault="00E1723A" w:rsidP="00E1723A">
      <w:r w:rsidRPr="00B148F9">
        <w:t xml:space="preserve">The Board’s responsibilities for the Annual Report are set out in the Directors’ Responsibilities Statement </w:t>
      </w:r>
      <w:r w:rsidR="00D502F5">
        <w:t>below</w:t>
      </w:r>
      <w:r w:rsidRPr="00B148F9">
        <w:t>. The Board is also responsible for issuing appropriate half-yearly financial reports</w:t>
      </w:r>
      <w:r w:rsidR="00BC72FB" w:rsidRPr="00B148F9">
        <w:t xml:space="preserve"> </w:t>
      </w:r>
      <w:r w:rsidRPr="00B148F9">
        <w:t>and other price-sensitive public reports.</w:t>
      </w:r>
    </w:p>
    <w:p w14:paraId="29F86E2B" w14:textId="77777777" w:rsidR="007F5BE2" w:rsidRPr="00B148F9" w:rsidRDefault="007F5BE2" w:rsidP="00E1723A"/>
    <w:p w14:paraId="3AA73A0B" w14:textId="5114404E" w:rsidR="00E1723A" w:rsidRPr="00B148F9" w:rsidRDefault="00E1723A" w:rsidP="00E1723A">
      <w:pPr>
        <w:pStyle w:val="ListBullet1"/>
        <w:numPr>
          <w:ilvl w:val="0"/>
          <w:numId w:val="0"/>
        </w:numPr>
        <w:spacing w:after="0"/>
        <w:rPr>
          <w:rFonts w:cs="Arial"/>
          <w:sz w:val="20"/>
        </w:rPr>
      </w:pPr>
      <w:r w:rsidRPr="00B148F9">
        <w:rPr>
          <w:rFonts w:cs="Arial"/>
          <w:sz w:val="20"/>
        </w:rPr>
        <w:t xml:space="preserve">The primary focus at </w:t>
      </w:r>
      <w:r w:rsidR="009B6487" w:rsidRPr="00B148F9">
        <w:rPr>
          <w:rFonts w:cs="Arial"/>
          <w:sz w:val="20"/>
        </w:rPr>
        <w:t>B</w:t>
      </w:r>
      <w:r w:rsidRPr="00B148F9">
        <w:rPr>
          <w:rFonts w:cs="Arial"/>
          <w:sz w:val="20"/>
        </w:rPr>
        <w:t xml:space="preserve">oard meetings is </w:t>
      </w:r>
      <w:r w:rsidR="00D547BC" w:rsidRPr="00B148F9">
        <w:rPr>
          <w:rFonts w:cs="Arial"/>
          <w:sz w:val="20"/>
        </w:rPr>
        <w:t xml:space="preserve">to </w:t>
      </w:r>
      <w:r w:rsidRPr="00B148F9">
        <w:rPr>
          <w:rFonts w:cs="Arial"/>
          <w:sz w:val="20"/>
        </w:rPr>
        <w:t>review investment performance and associated matters such as share price discount/premium management, investor relations, peer group information, gearing and industry issues.</w:t>
      </w:r>
    </w:p>
    <w:p w14:paraId="3C6A8A58" w14:textId="77777777" w:rsidR="00E1723A" w:rsidRPr="00B148F9" w:rsidRDefault="00E1723A" w:rsidP="00E1723A">
      <w:pPr>
        <w:pStyle w:val="ListBullet1"/>
        <w:numPr>
          <w:ilvl w:val="0"/>
          <w:numId w:val="0"/>
        </w:numPr>
        <w:spacing w:after="0"/>
        <w:rPr>
          <w:rFonts w:cs="Arial"/>
          <w:sz w:val="20"/>
        </w:rPr>
      </w:pPr>
    </w:p>
    <w:p w14:paraId="5E4A1D58" w14:textId="77AD72CC" w:rsidR="00E1723A" w:rsidRPr="00B148F9" w:rsidRDefault="00E1723A" w:rsidP="00E1723A">
      <w:pPr>
        <w:pStyle w:val="ListBullet1"/>
        <w:numPr>
          <w:ilvl w:val="0"/>
          <w:numId w:val="0"/>
        </w:numPr>
        <w:spacing w:after="0"/>
        <w:rPr>
          <w:rFonts w:cs="Arial"/>
          <w:sz w:val="20"/>
        </w:rPr>
      </w:pPr>
      <w:r w:rsidRPr="00B148F9">
        <w:rPr>
          <w:rFonts w:cs="Arial"/>
          <w:sz w:val="20"/>
        </w:rPr>
        <w:t xml:space="preserve">The attendance record of the Directors for the </w:t>
      </w:r>
      <w:r w:rsidR="00503BFE" w:rsidRPr="00B148F9">
        <w:rPr>
          <w:rFonts w:cs="Arial"/>
          <w:sz w:val="20"/>
        </w:rPr>
        <w:t xml:space="preserve">period since re-domiciliation </w:t>
      </w:r>
      <w:r w:rsidRPr="00B148F9">
        <w:rPr>
          <w:rFonts w:cs="Arial"/>
          <w:sz w:val="20"/>
        </w:rPr>
        <w:t>is set out below:</w:t>
      </w:r>
    </w:p>
    <w:p w14:paraId="5C54AED4" w14:textId="77777777" w:rsidR="00E1723A" w:rsidRPr="00B148F9" w:rsidRDefault="00E1723A" w:rsidP="00E1723A">
      <w:pPr>
        <w:pStyle w:val="ListBullet1"/>
        <w:numPr>
          <w:ilvl w:val="0"/>
          <w:numId w:val="0"/>
        </w:numPr>
        <w:spacing w:after="0"/>
        <w:rPr>
          <w:sz w:val="20"/>
        </w:rPr>
      </w:pPr>
    </w:p>
    <w:tbl>
      <w:tblPr>
        <w:tblW w:w="8930" w:type="dxa"/>
        <w:tblLayout w:type="fixed"/>
        <w:tblLook w:val="04A0" w:firstRow="1" w:lastRow="0" w:firstColumn="1" w:lastColumn="0" w:noHBand="0" w:noVBand="1"/>
      </w:tblPr>
      <w:tblGrid>
        <w:gridCol w:w="2127"/>
        <w:gridCol w:w="1417"/>
        <w:gridCol w:w="1418"/>
        <w:gridCol w:w="1984"/>
        <w:gridCol w:w="1984"/>
      </w:tblGrid>
      <w:tr w:rsidR="00FF2D3D" w:rsidRPr="00B148F9" w14:paraId="4DC61C02" w14:textId="0E4D3C98" w:rsidTr="00B746FC">
        <w:trPr>
          <w:trHeight w:val="1050"/>
        </w:trPr>
        <w:tc>
          <w:tcPr>
            <w:tcW w:w="2127" w:type="dxa"/>
            <w:hideMark/>
          </w:tcPr>
          <w:p w14:paraId="37C3F081" w14:textId="77777777" w:rsidR="00FF2D3D" w:rsidRPr="00B148F9" w:rsidRDefault="00FF2D3D" w:rsidP="00186AF5">
            <w:pPr>
              <w:rPr>
                <w:rFonts w:cs="Arial"/>
                <w:b/>
                <w:bCs/>
                <w:lang w:eastAsia="en-GB"/>
              </w:rPr>
            </w:pPr>
            <w:r w:rsidRPr="00B148F9">
              <w:rPr>
                <w:rFonts w:cs="Arial"/>
                <w:b/>
                <w:bCs/>
                <w:lang w:eastAsia="en-GB"/>
              </w:rPr>
              <w:t>Director</w:t>
            </w:r>
          </w:p>
        </w:tc>
        <w:tc>
          <w:tcPr>
            <w:tcW w:w="1417" w:type="dxa"/>
            <w:hideMark/>
          </w:tcPr>
          <w:p w14:paraId="72EE5782" w14:textId="5363B590" w:rsidR="00FF2D3D" w:rsidRPr="00B148F9" w:rsidRDefault="00FF2D3D" w:rsidP="00EA6D11">
            <w:pPr>
              <w:jc w:val="right"/>
              <w:rPr>
                <w:rFonts w:cs="Arial"/>
                <w:b/>
                <w:bCs/>
                <w:lang w:eastAsia="en-GB"/>
              </w:rPr>
            </w:pPr>
            <w:r w:rsidRPr="00B148F9">
              <w:rPr>
                <w:rFonts w:cs="Arial"/>
                <w:b/>
                <w:bCs/>
                <w:lang w:eastAsia="en-GB"/>
              </w:rPr>
              <w:t xml:space="preserve">Scheduled Board Meetings (max </w:t>
            </w:r>
            <w:r w:rsidR="00EA6D11" w:rsidRPr="00B148F9">
              <w:rPr>
                <w:rFonts w:cs="Arial"/>
                <w:b/>
                <w:bCs/>
                <w:lang w:eastAsia="en-GB"/>
              </w:rPr>
              <w:t>4</w:t>
            </w:r>
            <w:r w:rsidRPr="00B148F9">
              <w:rPr>
                <w:rFonts w:cs="Arial"/>
                <w:b/>
                <w:bCs/>
                <w:lang w:eastAsia="en-GB"/>
              </w:rPr>
              <w:t>)</w:t>
            </w:r>
          </w:p>
        </w:tc>
        <w:tc>
          <w:tcPr>
            <w:tcW w:w="1418" w:type="dxa"/>
          </w:tcPr>
          <w:p w14:paraId="3C9FFD7A" w14:textId="2F05EE08" w:rsidR="00FF2D3D" w:rsidRPr="00B148F9" w:rsidRDefault="00FF2D3D" w:rsidP="00186D9C">
            <w:pPr>
              <w:jc w:val="right"/>
              <w:rPr>
                <w:rFonts w:cs="Arial"/>
                <w:b/>
                <w:bCs/>
                <w:lang w:eastAsia="en-GB"/>
              </w:rPr>
            </w:pPr>
            <w:r w:rsidRPr="00B148F9">
              <w:rPr>
                <w:rFonts w:cs="Arial"/>
                <w:b/>
                <w:bCs/>
                <w:lang w:eastAsia="en-GB"/>
              </w:rPr>
              <w:t>Audit Committee Meetings (max 1)</w:t>
            </w:r>
          </w:p>
        </w:tc>
        <w:tc>
          <w:tcPr>
            <w:tcW w:w="1984" w:type="dxa"/>
          </w:tcPr>
          <w:p w14:paraId="10956165" w14:textId="554D3676" w:rsidR="00FF2D3D" w:rsidRPr="00B148F9" w:rsidRDefault="00FF2D3D" w:rsidP="00186AF5">
            <w:pPr>
              <w:jc w:val="right"/>
              <w:rPr>
                <w:rFonts w:cs="Arial"/>
                <w:b/>
                <w:bCs/>
                <w:lang w:eastAsia="en-GB"/>
              </w:rPr>
            </w:pPr>
            <w:r w:rsidRPr="00B148F9">
              <w:rPr>
                <w:rFonts w:cs="Arial"/>
                <w:b/>
                <w:bCs/>
                <w:lang w:eastAsia="en-GB"/>
              </w:rPr>
              <w:t>Management Engagement Committee Meetings (max 0)</w:t>
            </w:r>
          </w:p>
        </w:tc>
        <w:tc>
          <w:tcPr>
            <w:tcW w:w="1984" w:type="dxa"/>
          </w:tcPr>
          <w:p w14:paraId="441A4CEA" w14:textId="05A5CCCA" w:rsidR="00FF2D3D" w:rsidRPr="00B148F9" w:rsidRDefault="00FF2D3D" w:rsidP="00186AF5">
            <w:pPr>
              <w:jc w:val="right"/>
              <w:rPr>
                <w:rFonts w:cs="Arial"/>
                <w:b/>
                <w:bCs/>
                <w:lang w:eastAsia="en-GB"/>
              </w:rPr>
            </w:pPr>
            <w:r w:rsidRPr="00B148F9">
              <w:rPr>
                <w:rFonts w:cs="Arial"/>
                <w:b/>
                <w:bCs/>
                <w:lang w:eastAsia="en-GB"/>
              </w:rPr>
              <w:t>Nomination and Remuneration Committee Meetings (max 0)</w:t>
            </w:r>
          </w:p>
        </w:tc>
      </w:tr>
      <w:tr w:rsidR="00FF2D3D" w:rsidRPr="00B148F9" w14:paraId="3FAC421B" w14:textId="4005819A" w:rsidTr="00B746FC">
        <w:trPr>
          <w:trHeight w:val="270"/>
        </w:trPr>
        <w:tc>
          <w:tcPr>
            <w:tcW w:w="2127" w:type="dxa"/>
            <w:hideMark/>
          </w:tcPr>
          <w:p w14:paraId="28A8498B" w14:textId="1AAF9ED8" w:rsidR="00FF2D3D" w:rsidRPr="00B148F9" w:rsidRDefault="00FF2D3D" w:rsidP="00B0408E">
            <w:pPr>
              <w:rPr>
                <w:rFonts w:cs="Arial"/>
                <w:lang w:eastAsia="en-GB"/>
              </w:rPr>
            </w:pPr>
            <w:r w:rsidRPr="00B148F9">
              <w:t>William Simpson</w:t>
            </w:r>
          </w:p>
        </w:tc>
        <w:tc>
          <w:tcPr>
            <w:tcW w:w="1417" w:type="dxa"/>
          </w:tcPr>
          <w:p w14:paraId="5B1A23C0" w14:textId="3992107B" w:rsidR="00FF2D3D" w:rsidRPr="00B148F9" w:rsidRDefault="00EA6D11" w:rsidP="00B0408E">
            <w:pPr>
              <w:jc w:val="right"/>
              <w:rPr>
                <w:rFonts w:cs="Arial"/>
                <w:lang w:eastAsia="en-GB"/>
              </w:rPr>
            </w:pPr>
            <w:r w:rsidRPr="00B148F9">
              <w:rPr>
                <w:rFonts w:cs="Arial"/>
                <w:lang w:eastAsia="en-GB"/>
              </w:rPr>
              <w:t>4</w:t>
            </w:r>
          </w:p>
        </w:tc>
        <w:tc>
          <w:tcPr>
            <w:tcW w:w="1418" w:type="dxa"/>
          </w:tcPr>
          <w:p w14:paraId="14DA56D1" w14:textId="1189837F" w:rsidR="00FF2D3D" w:rsidRPr="00B148F9" w:rsidRDefault="00FF2D3D" w:rsidP="00B0408E">
            <w:pPr>
              <w:jc w:val="right"/>
              <w:rPr>
                <w:rFonts w:cs="Arial"/>
                <w:lang w:eastAsia="en-GB"/>
              </w:rPr>
            </w:pPr>
            <w:r w:rsidRPr="00B148F9">
              <w:rPr>
                <w:rFonts w:cs="Arial"/>
                <w:lang w:eastAsia="en-GB"/>
              </w:rPr>
              <w:t>1</w:t>
            </w:r>
          </w:p>
        </w:tc>
        <w:tc>
          <w:tcPr>
            <w:tcW w:w="1984" w:type="dxa"/>
          </w:tcPr>
          <w:p w14:paraId="17415024" w14:textId="709DE31B" w:rsidR="00FF2D3D" w:rsidRPr="00B148F9" w:rsidRDefault="00FF2D3D" w:rsidP="00B0408E">
            <w:pPr>
              <w:jc w:val="right"/>
              <w:rPr>
                <w:rFonts w:cs="Arial"/>
                <w:lang w:eastAsia="en-GB"/>
              </w:rPr>
            </w:pPr>
            <w:r w:rsidRPr="00B148F9">
              <w:rPr>
                <w:rFonts w:cs="Arial"/>
                <w:lang w:eastAsia="en-GB"/>
              </w:rPr>
              <w:t>-</w:t>
            </w:r>
          </w:p>
        </w:tc>
        <w:tc>
          <w:tcPr>
            <w:tcW w:w="1984" w:type="dxa"/>
          </w:tcPr>
          <w:p w14:paraId="2E49CD8F" w14:textId="5162D259" w:rsidR="00FF2D3D" w:rsidRPr="00B148F9" w:rsidRDefault="00FF2D3D" w:rsidP="00B0408E">
            <w:pPr>
              <w:jc w:val="right"/>
              <w:rPr>
                <w:rFonts w:cs="Arial"/>
                <w:lang w:eastAsia="en-GB"/>
              </w:rPr>
            </w:pPr>
            <w:r w:rsidRPr="00B148F9">
              <w:rPr>
                <w:rFonts w:cs="Arial"/>
                <w:lang w:eastAsia="en-GB"/>
              </w:rPr>
              <w:t>-</w:t>
            </w:r>
          </w:p>
        </w:tc>
      </w:tr>
      <w:tr w:rsidR="00FF2D3D" w:rsidRPr="00B148F9" w14:paraId="4C40E790" w14:textId="605FADE8" w:rsidTr="00B746FC">
        <w:trPr>
          <w:trHeight w:val="237"/>
        </w:trPr>
        <w:tc>
          <w:tcPr>
            <w:tcW w:w="2127" w:type="dxa"/>
            <w:hideMark/>
          </w:tcPr>
          <w:p w14:paraId="4E70D528" w14:textId="5E6D8AAD" w:rsidR="00FF2D3D" w:rsidRPr="00B148F9" w:rsidRDefault="00FF2D3D" w:rsidP="00B0408E">
            <w:pPr>
              <w:rPr>
                <w:rFonts w:cs="Arial"/>
                <w:lang w:eastAsia="en-GB"/>
              </w:rPr>
            </w:pPr>
            <w:r w:rsidRPr="00B148F9">
              <w:t>Paul Le Page</w:t>
            </w:r>
          </w:p>
        </w:tc>
        <w:tc>
          <w:tcPr>
            <w:tcW w:w="1417" w:type="dxa"/>
          </w:tcPr>
          <w:p w14:paraId="59AE4715" w14:textId="242B74A7" w:rsidR="00FF2D3D" w:rsidRPr="00B148F9" w:rsidRDefault="00EA6D11" w:rsidP="00B0408E">
            <w:pPr>
              <w:jc w:val="right"/>
              <w:rPr>
                <w:rFonts w:cs="Arial"/>
                <w:lang w:eastAsia="en-GB"/>
              </w:rPr>
            </w:pPr>
            <w:r w:rsidRPr="00B148F9">
              <w:rPr>
                <w:rFonts w:cs="Arial"/>
                <w:lang w:eastAsia="en-GB"/>
              </w:rPr>
              <w:t>4</w:t>
            </w:r>
          </w:p>
        </w:tc>
        <w:tc>
          <w:tcPr>
            <w:tcW w:w="1418" w:type="dxa"/>
          </w:tcPr>
          <w:p w14:paraId="0DE9CB85" w14:textId="638669C3" w:rsidR="00FF2D3D" w:rsidRPr="00B148F9" w:rsidRDefault="00FF2D3D" w:rsidP="00B0408E">
            <w:pPr>
              <w:jc w:val="right"/>
              <w:rPr>
                <w:rFonts w:cs="Arial"/>
                <w:lang w:eastAsia="en-GB"/>
              </w:rPr>
            </w:pPr>
            <w:r w:rsidRPr="00B148F9">
              <w:rPr>
                <w:rFonts w:cs="Arial"/>
                <w:lang w:eastAsia="en-GB"/>
              </w:rPr>
              <w:t>1</w:t>
            </w:r>
          </w:p>
        </w:tc>
        <w:tc>
          <w:tcPr>
            <w:tcW w:w="1984" w:type="dxa"/>
          </w:tcPr>
          <w:p w14:paraId="5D316D74" w14:textId="0005CB33" w:rsidR="00FF2D3D" w:rsidRPr="00B148F9" w:rsidRDefault="00FF2D3D" w:rsidP="00B0408E">
            <w:pPr>
              <w:jc w:val="right"/>
              <w:rPr>
                <w:rFonts w:cs="Arial"/>
                <w:lang w:eastAsia="en-GB"/>
              </w:rPr>
            </w:pPr>
            <w:r w:rsidRPr="00B148F9">
              <w:rPr>
                <w:rFonts w:cs="Arial"/>
                <w:lang w:eastAsia="en-GB"/>
              </w:rPr>
              <w:t>-</w:t>
            </w:r>
          </w:p>
        </w:tc>
        <w:tc>
          <w:tcPr>
            <w:tcW w:w="1984" w:type="dxa"/>
          </w:tcPr>
          <w:p w14:paraId="519F77A5" w14:textId="4D8CBE6A" w:rsidR="00FF2D3D" w:rsidRPr="00B148F9" w:rsidRDefault="00FF2D3D" w:rsidP="00B0408E">
            <w:pPr>
              <w:jc w:val="right"/>
              <w:rPr>
                <w:rFonts w:cs="Arial"/>
                <w:lang w:eastAsia="en-GB"/>
              </w:rPr>
            </w:pPr>
            <w:r w:rsidRPr="00B148F9">
              <w:rPr>
                <w:rFonts w:cs="Arial"/>
                <w:lang w:eastAsia="en-GB"/>
              </w:rPr>
              <w:t>-</w:t>
            </w:r>
          </w:p>
        </w:tc>
      </w:tr>
      <w:tr w:rsidR="00FF2D3D" w:rsidRPr="00B148F9" w14:paraId="20BAB011" w14:textId="6DBDD107" w:rsidTr="00B746FC">
        <w:trPr>
          <w:trHeight w:val="270"/>
        </w:trPr>
        <w:tc>
          <w:tcPr>
            <w:tcW w:w="2127" w:type="dxa"/>
            <w:hideMark/>
          </w:tcPr>
          <w:p w14:paraId="710052C8" w14:textId="2B6DF042" w:rsidR="00FF2D3D" w:rsidRPr="00B148F9" w:rsidRDefault="00FF2D3D" w:rsidP="00B0408E">
            <w:pPr>
              <w:rPr>
                <w:rFonts w:cs="Arial"/>
                <w:lang w:eastAsia="en-GB"/>
              </w:rPr>
            </w:pPr>
            <w:r w:rsidRPr="00B148F9">
              <w:t>William Scott</w:t>
            </w:r>
          </w:p>
        </w:tc>
        <w:tc>
          <w:tcPr>
            <w:tcW w:w="1417" w:type="dxa"/>
          </w:tcPr>
          <w:p w14:paraId="3474A9D5" w14:textId="4D5DE161" w:rsidR="00FF2D3D" w:rsidRPr="00B148F9" w:rsidRDefault="00EA6D11" w:rsidP="00B0408E">
            <w:pPr>
              <w:jc w:val="right"/>
              <w:rPr>
                <w:rFonts w:cs="Arial"/>
                <w:lang w:eastAsia="en-GB"/>
              </w:rPr>
            </w:pPr>
            <w:r w:rsidRPr="00B148F9">
              <w:rPr>
                <w:rFonts w:cs="Arial"/>
                <w:lang w:eastAsia="en-GB"/>
              </w:rPr>
              <w:t>4</w:t>
            </w:r>
          </w:p>
        </w:tc>
        <w:tc>
          <w:tcPr>
            <w:tcW w:w="1418" w:type="dxa"/>
          </w:tcPr>
          <w:p w14:paraId="7AA42EDC" w14:textId="36945ABF" w:rsidR="00FF2D3D" w:rsidRPr="00B148F9" w:rsidRDefault="00FF2D3D" w:rsidP="00B0408E">
            <w:pPr>
              <w:jc w:val="right"/>
              <w:rPr>
                <w:rFonts w:cs="Arial"/>
                <w:lang w:eastAsia="en-GB"/>
              </w:rPr>
            </w:pPr>
            <w:r w:rsidRPr="00B148F9">
              <w:rPr>
                <w:rFonts w:cs="Arial"/>
                <w:lang w:eastAsia="en-GB"/>
              </w:rPr>
              <w:t>1</w:t>
            </w:r>
          </w:p>
        </w:tc>
        <w:tc>
          <w:tcPr>
            <w:tcW w:w="1984" w:type="dxa"/>
          </w:tcPr>
          <w:p w14:paraId="07A6B000" w14:textId="5436DBF6" w:rsidR="00FF2D3D" w:rsidRPr="00B148F9" w:rsidRDefault="00FF2D3D" w:rsidP="00B0408E">
            <w:pPr>
              <w:jc w:val="right"/>
              <w:rPr>
                <w:rFonts w:cs="Arial"/>
                <w:lang w:eastAsia="en-GB"/>
              </w:rPr>
            </w:pPr>
            <w:r w:rsidRPr="00B148F9">
              <w:rPr>
                <w:rFonts w:cs="Arial"/>
                <w:lang w:eastAsia="en-GB"/>
              </w:rPr>
              <w:t>-</w:t>
            </w:r>
          </w:p>
        </w:tc>
        <w:tc>
          <w:tcPr>
            <w:tcW w:w="1984" w:type="dxa"/>
          </w:tcPr>
          <w:p w14:paraId="2608DC73" w14:textId="1B15C6EF" w:rsidR="00FF2D3D" w:rsidRPr="00B148F9" w:rsidRDefault="00FF2D3D" w:rsidP="00B0408E">
            <w:pPr>
              <w:jc w:val="right"/>
              <w:rPr>
                <w:rFonts w:cs="Arial"/>
                <w:lang w:eastAsia="en-GB"/>
              </w:rPr>
            </w:pPr>
            <w:r w:rsidRPr="00B148F9">
              <w:rPr>
                <w:rFonts w:cs="Arial"/>
                <w:lang w:eastAsia="en-GB"/>
              </w:rPr>
              <w:t>-</w:t>
            </w:r>
          </w:p>
        </w:tc>
      </w:tr>
      <w:tr w:rsidR="00FF2D3D" w:rsidRPr="00B148F9" w14:paraId="543ACD3B" w14:textId="3CFDF8A0" w:rsidTr="00B746FC">
        <w:trPr>
          <w:trHeight w:val="270"/>
        </w:trPr>
        <w:tc>
          <w:tcPr>
            <w:tcW w:w="2127" w:type="dxa"/>
          </w:tcPr>
          <w:p w14:paraId="35013B44" w14:textId="33A6CC8C" w:rsidR="00FF2D3D" w:rsidRPr="00B148F9" w:rsidRDefault="00FF2D3D" w:rsidP="00B0408E">
            <w:pPr>
              <w:rPr>
                <w:rFonts w:cs="Arial"/>
                <w:lang w:eastAsia="en-GB"/>
              </w:rPr>
            </w:pPr>
            <w:r w:rsidRPr="00B148F9">
              <w:t>Stephanie Sirota*</w:t>
            </w:r>
          </w:p>
        </w:tc>
        <w:tc>
          <w:tcPr>
            <w:tcW w:w="1417" w:type="dxa"/>
          </w:tcPr>
          <w:p w14:paraId="0B4B774C" w14:textId="36B6D628" w:rsidR="00FF2D3D" w:rsidRPr="00B148F9" w:rsidRDefault="00EA6D11" w:rsidP="00B0408E">
            <w:pPr>
              <w:jc w:val="right"/>
              <w:rPr>
                <w:rFonts w:cs="Arial"/>
                <w:lang w:eastAsia="en-GB"/>
              </w:rPr>
            </w:pPr>
            <w:r w:rsidRPr="00B148F9">
              <w:rPr>
                <w:rFonts w:cs="Arial"/>
                <w:lang w:eastAsia="en-GB"/>
              </w:rPr>
              <w:t>4</w:t>
            </w:r>
          </w:p>
        </w:tc>
        <w:tc>
          <w:tcPr>
            <w:tcW w:w="1418" w:type="dxa"/>
          </w:tcPr>
          <w:p w14:paraId="692C5F0C" w14:textId="77777777" w:rsidR="00FF2D3D" w:rsidRPr="00B148F9" w:rsidRDefault="00FF2D3D" w:rsidP="00B0408E">
            <w:pPr>
              <w:jc w:val="right"/>
              <w:rPr>
                <w:rFonts w:cs="Arial"/>
                <w:lang w:eastAsia="en-GB"/>
              </w:rPr>
            </w:pPr>
            <w:r w:rsidRPr="00B148F9">
              <w:rPr>
                <w:rFonts w:cs="Arial"/>
                <w:lang w:eastAsia="en-GB"/>
              </w:rPr>
              <w:t>n/a</w:t>
            </w:r>
          </w:p>
        </w:tc>
        <w:tc>
          <w:tcPr>
            <w:tcW w:w="1984" w:type="dxa"/>
          </w:tcPr>
          <w:p w14:paraId="6647314A" w14:textId="2D9834E7" w:rsidR="00FF2D3D" w:rsidRPr="00B148F9" w:rsidRDefault="00FF2D3D" w:rsidP="00B0408E">
            <w:pPr>
              <w:jc w:val="right"/>
              <w:rPr>
                <w:rFonts w:cs="Arial"/>
                <w:lang w:eastAsia="en-GB"/>
              </w:rPr>
            </w:pPr>
            <w:r w:rsidRPr="00B148F9">
              <w:rPr>
                <w:rFonts w:cs="Arial"/>
                <w:lang w:eastAsia="en-GB"/>
              </w:rPr>
              <w:t>n/a</w:t>
            </w:r>
          </w:p>
        </w:tc>
        <w:tc>
          <w:tcPr>
            <w:tcW w:w="1984" w:type="dxa"/>
          </w:tcPr>
          <w:p w14:paraId="7637EB96" w14:textId="10340958" w:rsidR="00FF2D3D" w:rsidRPr="00B148F9" w:rsidRDefault="00FF2D3D" w:rsidP="00B0408E">
            <w:pPr>
              <w:jc w:val="right"/>
              <w:rPr>
                <w:rFonts w:cs="Arial"/>
                <w:lang w:eastAsia="en-GB"/>
              </w:rPr>
            </w:pPr>
            <w:r w:rsidRPr="00B148F9">
              <w:rPr>
                <w:rFonts w:cs="Arial"/>
                <w:lang w:eastAsia="en-GB"/>
              </w:rPr>
              <w:t>n/a</w:t>
            </w:r>
          </w:p>
        </w:tc>
      </w:tr>
    </w:tbl>
    <w:p w14:paraId="229A3F49" w14:textId="77777777" w:rsidR="008B3050" w:rsidRPr="00B148F9" w:rsidRDefault="008B3050" w:rsidP="00964587"/>
    <w:p w14:paraId="127AA7AB" w14:textId="28B379EA" w:rsidR="00E54528" w:rsidRPr="00B148F9" w:rsidRDefault="00E54528" w:rsidP="008B3050">
      <w:pPr>
        <w:rPr>
          <w:rFonts w:cs="Arial"/>
        </w:rPr>
      </w:pPr>
      <w:r w:rsidRPr="00B148F9">
        <w:rPr>
          <w:rFonts w:cs="Arial"/>
        </w:rPr>
        <w:t xml:space="preserve">The Board </w:t>
      </w:r>
      <w:r w:rsidR="004D33E1" w:rsidRPr="00B148F9">
        <w:rPr>
          <w:rFonts w:cs="Arial"/>
        </w:rPr>
        <w:t xml:space="preserve">will </w:t>
      </w:r>
      <w:r w:rsidRPr="00B148F9">
        <w:rPr>
          <w:rFonts w:cs="Arial"/>
        </w:rPr>
        <w:t xml:space="preserve">meet at least four times a year </w:t>
      </w:r>
      <w:r w:rsidR="004D33E1" w:rsidRPr="00B148F9">
        <w:rPr>
          <w:rFonts w:cs="Arial"/>
        </w:rPr>
        <w:t>with</w:t>
      </w:r>
      <w:r w:rsidRPr="00B148F9">
        <w:rPr>
          <w:rFonts w:cs="Arial"/>
        </w:rPr>
        <w:t xml:space="preserve"> further ad hoc Board</w:t>
      </w:r>
      <w:r w:rsidR="00364634" w:rsidRPr="00B148F9">
        <w:rPr>
          <w:rFonts w:cs="Arial"/>
        </w:rPr>
        <w:t xml:space="preserve"> and Board </w:t>
      </w:r>
      <w:r w:rsidRPr="00B148F9">
        <w:rPr>
          <w:rFonts w:cs="Arial"/>
        </w:rPr>
        <w:t xml:space="preserve">Committee meetings </w:t>
      </w:r>
      <w:r w:rsidR="004D33E1" w:rsidRPr="00B148F9">
        <w:rPr>
          <w:rFonts w:cs="Arial"/>
        </w:rPr>
        <w:t>as required</w:t>
      </w:r>
      <w:r w:rsidRPr="00B148F9">
        <w:rPr>
          <w:rFonts w:cs="Arial"/>
        </w:rPr>
        <w:t>. Between meetings</w:t>
      </w:r>
      <w:r w:rsidR="00364634" w:rsidRPr="00B148F9">
        <w:rPr>
          <w:rFonts w:cs="Arial"/>
        </w:rPr>
        <w:t>,</w:t>
      </w:r>
      <w:r w:rsidRPr="00B148F9">
        <w:rPr>
          <w:rFonts w:cs="Arial"/>
        </w:rPr>
        <w:t xml:space="preserve"> there is regular contact with</w:t>
      </w:r>
      <w:r w:rsidR="00B0408E" w:rsidRPr="00B148F9">
        <w:rPr>
          <w:rFonts w:cs="Arial"/>
        </w:rPr>
        <w:t xml:space="preserve"> </w:t>
      </w:r>
      <w:r w:rsidRPr="00B148F9">
        <w:rPr>
          <w:rFonts w:cs="Arial"/>
        </w:rPr>
        <w:t>the Secretary and the Company’s Broker, as necessary.</w:t>
      </w:r>
    </w:p>
    <w:p w14:paraId="0858CE64" w14:textId="192930F0" w:rsidR="00FF33D0" w:rsidRPr="00B148F9" w:rsidRDefault="00FF33D0" w:rsidP="008B3050">
      <w:pPr>
        <w:rPr>
          <w:rFonts w:cs="Arial"/>
        </w:rPr>
      </w:pPr>
    </w:p>
    <w:p w14:paraId="5C47199D" w14:textId="661580E4" w:rsidR="00FF33D0" w:rsidRPr="00B148F9" w:rsidRDefault="00FF33D0" w:rsidP="008B3050">
      <w:pPr>
        <w:rPr>
          <w:rFonts w:cs="Arial"/>
        </w:rPr>
      </w:pPr>
      <w:r w:rsidRPr="00B148F9">
        <w:rPr>
          <w:rFonts w:cs="Arial"/>
        </w:rPr>
        <w:t>The Management Engagement and Nomination and Remuneration Committees did not meet during the period since re-domiciliation but will meet at least once a year going forwards.</w:t>
      </w:r>
    </w:p>
    <w:p w14:paraId="067EFDED" w14:textId="77777777" w:rsidR="00E54528" w:rsidRPr="00B148F9" w:rsidRDefault="00E54528" w:rsidP="008B3050">
      <w:pPr>
        <w:rPr>
          <w:rFonts w:cs="Arial"/>
          <w:vertAlign w:val="superscript"/>
        </w:rPr>
      </w:pPr>
    </w:p>
    <w:p w14:paraId="50E0266B" w14:textId="6275C6B9" w:rsidR="008B3050" w:rsidRPr="00B148F9" w:rsidRDefault="008B3050" w:rsidP="008B3050">
      <w:pPr>
        <w:rPr>
          <w:rFonts w:cs="Arial"/>
        </w:rPr>
      </w:pPr>
      <w:r w:rsidRPr="00B148F9">
        <w:rPr>
          <w:rFonts w:cs="Arial"/>
          <w:vertAlign w:val="superscript"/>
        </w:rPr>
        <w:t xml:space="preserve">* </w:t>
      </w:r>
      <w:r w:rsidRPr="00B148F9">
        <w:rPr>
          <w:rFonts w:cs="Arial"/>
        </w:rPr>
        <w:t>M</w:t>
      </w:r>
      <w:r w:rsidR="00B94439" w:rsidRPr="00B148F9">
        <w:rPr>
          <w:rFonts w:cs="Arial"/>
        </w:rPr>
        <w:t>s</w:t>
      </w:r>
      <w:r w:rsidRPr="00B148F9">
        <w:rPr>
          <w:rFonts w:cs="Arial"/>
        </w:rPr>
        <w:t xml:space="preserve"> </w:t>
      </w:r>
      <w:r w:rsidR="00B94439" w:rsidRPr="00B148F9">
        <w:rPr>
          <w:rFonts w:cs="Arial"/>
        </w:rPr>
        <w:t xml:space="preserve">Sirota </w:t>
      </w:r>
      <w:r w:rsidRPr="00B148F9">
        <w:rPr>
          <w:rFonts w:cs="Arial"/>
        </w:rPr>
        <w:t xml:space="preserve">is not a member of </w:t>
      </w:r>
      <w:r w:rsidR="00BC62F5" w:rsidRPr="00B148F9">
        <w:rPr>
          <w:rFonts w:cs="Arial"/>
        </w:rPr>
        <w:t>the</w:t>
      </w:r>
      <w:r w:rsidRPr="00B148F9">
        <w:rPr>
          <w:rFonts w:cs="Arial"/>
        </w:rPr>
        <w:t xml:space="preserve"> Audit Committee</w:t>
      </w:r>
      <w:r w:rsidR="00BC62F5" w:rsidRPr="00B148F9">
        <w:rPr>
          <w:rFonts w:cs="Arial"/>
        </w:rPr>
        <w:t xml:space="preserve">, however from time to time </w:t>
      </w:r>
      <w:r w:rsidR="00B94439" w:rsidRPr="00B148F9">
        <w:rPr>
          <w:rFonts w:cs="Arial"/>
        </w:rPr>
        <w:t>s</w:t>
      </w:r>
      <w:r w:rsidR="00BC62F5" w:rsidRPr="00B148F9">
        <w:rPr>
          <w:rFonts w:cs="Arial"/>
        </w:rPr>
        <w:t>he is invited to att</w:t>
      </w:r>
      <w:r w:rsidR="00B460E6" w:rsidRPr="00B148F9">
        <w:rPr>
          <w:rFonts w:cs="Arial"/>
        </w:rPr>
        <w:t>end</w:t>
      </w:r>
      <w:r w:rsidR="00BC62F5" w:rsidRPr="00B148F9">
        <w:rPr>
          <w:rFonts w:cs="Arial"/>
        </w:rPr>
        <w:t xml:space="preserve"> and did so during the year.</w:t>
      </w:r>
      <w:r w:rsidR="00E54528" w:rsidRPr="00B148F9">
        <w:rPr>
          <w:rFonts w:cs="Arial"/>
        </w:rPr>
        <w:t xml:space="preserve"> </w:t>
      </w:r>
    </w:p>
    <w:p w14:paraId="5A82681F" w14:textId="6808C067" w:rsidR="005E2120" w:rsidRPr="00B148F9" w:rsidRDefault="005E2120" w:rsidP="00E1723A">
      <w:pPr>
        <w:rPr>
          <w:b/>
        </w:rPr>
      </w:pPr>
    </w:p>
    <w:p w14:paraId="13FBEAC4" w14:textId="7A2B36FB" w:rsidR="00E1723A" w:rsidRPr="00B148F9" w:rsidRDefault="008439D6" w:rsidP="00E1723A">
      <w:pPr>
        <w:rPr>
          <w:b/>
        </w:rPr>
      </w:pPr>
      <w:r w:rsidRPr="00B148F9">
        <w:rPr>
          <w:b/>
        </w:rPr>
        <w:t xml:space="preserve">Board of </w:t>
      </w:r>
      <w:r w:rsidR="00E1723A" w:rsidRPr="00B148F9">
        <w:rPr>
          <w:b/>
        </w:rPr>
        <w:t>Directors</w:t>
      </w:r>
    </w:p>
    <w:p w14:paraId="426A264A" w14:textId="77777777" w:rsidR="00E1723A" w:rsidRPr="00B148F9" w:rsidRDefault="00E1723A" w:rsidP="00E1723A">
      <w:pPr>
        <w:rPr>
          <w:rFonts w:cs="Arial"/>
        </w:rPr>
      </w:pPr>
    </w:p>
    <w:p w14:paraId="7D4BAA7D" w14:textId="1DE1D9FC" w:rsidR="00E1723A" w:rsidRPr="00B148F9" w:rsidRDefault="00831E4D" w:rsidP="00E1723A">
      <w:pPr>
        <w:autoSpaceDE w:val="0"/>
        <w:autoSpaceDN w:val="0"/>
        <w:rPr>
          <w:rFonts w:cs="Arial"/>
          <w:i/>
          <w:iCs/>
        </w:rPr>
      </w:pPr>
      <w:r w:rsidRPr="00B148F9">
        <w:rPr>
          <w:rFonts w:cs="Arial"/>
          <w:b/>
          <w:bCs/>
          <w:i/>
          <w:iCs/>
        </w:rPr>
        <w:t>William Simpson</w:t>
      </w:r>
      <w:r w:rsidR="00E1723A" w:rsidRPr="00B148F9">
        <w:rPr>
          <w:rFonts w:cs="Arial"/>
          <w:b/>
          <w:bCs/>
          <w:i/>
          <w:iCs/>
        </w:rPr>
        <w:t xml:space="preserve"> </w:t>
      </w:r>
      <w:r w:rsidR="00E1723A" w:rsidRPr="00B148F9">
        <w:rPr>
          <w:i/>
          <w:iCs/>
        </w:rPr>
        <w:t xml:space="preserve">– </w:t>
      </w:r>
      <w:r w:rsidR="00E1723A" w:rsidRPr="00B148F9">
        <w:rPr>
          <w:rFonts w:cs="Arial"/>
          <w:i/>
          <w:iCs/>
        </w:rPr>
        <w:t xml:space="preserve">Chairman </w:t>
      </w:r>
      <w:r w:rsidR="00E1723A" w:rsidRPr="00B148F9">
        <w:rPr>
          <w:i/>
          <w:iCs/>
        </w:rPr>
        <w:t>–</w:t>
      </w:r>
      <w:r w:rsidR="00E1723A" w:rsidRPr="00B148F9">
        <w:rPr>
          <w:rFonts w:cs="Arial"/>
          <w:i/>
          <w:iCs/>
        </w:rPr>
        <w:t xml:space="preserve"> Guernsey resident </w:t>
      </w:r>
    </w:p>
    <w:p w14:paraId="6F6D0C63" w14:textId="618984A6" w:rsidR="00831E4D" w:rsidRPr="00B148F9" w:rsidRDefault="00831E4D" w:rsidP="00E1723A">
      <w:pPr>
        <w:rPr>
          <w:bCs/>
        </w:rPr>
      </w:pPr>
      <w:r w:rsidRPr="00B148F9">
        <w:rPr>
          <w:bCs/>
        </w:rPr>
        <w:t>William Simpson is the Chairman and an independent director based in Guernsey providing services to investment and other financial services companies. William has over 30 years’ experience within the financial services industry. He previously practiced law in the course of which he advised on the establishment of a wide range of investment funds and related matters. William graduated in law from Leeds University and first qualified as an English barrister. William is a member of the Guernsey Bar. William also holds directorships at Investec Premier Funds PCC Limited, Heartwood Alternatives Fund Limited, Absolute Alpha Fund PCC Limited, AHL Strategies PCC Limited, Man AHL Diversified PCC Limited and Alpha Real Trust Limited</w:t>
      </w:r>
      <w:r w:rsidR="006401EE" w:rsidRPr="00B148F9">
        <w:rPr>
          <w:bCs/>
        </w:rPr>
        <w:t>.</w:t>
      </w:r>
    </w:p>
    <w:p w14:paraId="3CDF32A6" w14:textId="77777777" w:rsidR="00E1723A" w:rsidRPr="00B148F9" w:rsidRDefault="00E1723A" w:rsidP="00E1723A">
      <w:pPr>
        <w:rPr>
          <w:rFonts w:cs="Arial"/>
        </w:rPr>
      </w:pPr>
    </w:p>
    <w:p w14:paraId="59A6E677" w14:textId="5EE2FA35" w:rsidR="005F6E3D" w:rsidRPr="00B148F9" w:rsidRDefault="00831E4D" w:rsidP="005F6E3D">
      <w:pPr>
        <w:autoSpaceDE w:val="0"/>
        <w:autoSpaceDN w:val="0"/>
        <w:rPr>
          <w:rFonts w:cs="Arial"/>
          <w:i/>
          <w:iCs/>
        </w:rPr>
      </w:pPr>
      <w:r w:rsidRPr="00B148F9">
        <w:rPr>
          <w:rFonts w:cs="Arial"/>
          <w:b/>
          <w:bCs/>
          <w:i/>
          <w:iCs/>
        </w:rPr>
        <w:t>Paul Le Page</w:t>
      </w:r>
      <w:r w:rsidR="005F6E3D" w:rsidRPr="00B148F9">
        <w:rPr>
          <w:rFonts w:cs="Arial"/>
          <w:b/>
          <w:bCs/>
          <w:i/>
          <w:iCs/>
        </w:rPr>
        <w:t xml:space="preserve"> </w:t>
      </w:r>
      <w:r w:rsidR="005F6E3D" w:rsidRPr="00B148F9">
        <w:rPr>
          <w:i/>
          <w:iCs/>
        </w:rPr>
        <w:t xml:space="preserve">– </w:t>
      </w:r>
      <w:r w:rsidRPr="00B148F9">
        <w:rPr>
          <w:i/>
          <w:iCs/>
        </w:rPr>
        <w:t>Chairman of the Audit Committee</w:t>
      </w:r>
      <w:r w:rsidR="005F6E3D" w:rsidRPr="00B148F9">
        <w:rPr>
          <w:i/>
          <w:iCs/>
        </w:rPr>
        <w:t xml:space="preserve"> – </w:t>
      </w:r>
      <w:r w:rsidR="005F6E3D" w:rsidRPr="00B148F9">
        <w:rPr>
          <w:rFonts w:cs="Arial"/>
          <w:i/>
          <w:iCs/>
        </w:rPr>
        <w:t xml:space="preserve">Guernsey resident </w:t>
      </w:r>
    </w:p>
    <w:p w14:paraId="5C58F1FF" w14:textId="7BFE43F5" w:rsidR="00831E4D" w:rsidRPr="00B148F9" w:rsidRDefault="00831E4D" w:rsidP="00E1723A">
      <w:pPr>
        <w:rPr>
          <w:rFonts w:cs="Arial"/>
        </w:rPr>
      </w:pPr>
      <w:r w:rsidRPr="00B148F9">
        <w:rPr>
          <w:rFonts w:cs="Arial"/>
        </w:rPr>
        <w:t xml:space="preserve">Paul Le Page is a </w:t>
      </w:r>
      <w:r w:rsidR="001156EF" w:rsidRPr="00B148F9">
        <w:rPr>
          <w:rFonts w:cs="Arial"/>
        </w:rPr>
        <w:t xml:space="preserve">former executive </w:t>
      </w:r>
      <w:r w:rsidRPr="00B148F9">
        <w:rPr>
          <w:rFonts w:cs="Arial"/>
        </w:rPr>
        <w:t>Director and Senior Portfolio Manager of FRM Investment Management Limited</w:t>
      </w:r>
      <w:r w:rsidR="001156EF" w:rsidRPr="00B148F9">
        <w:rPr>
          <w:rFonts w:cs="Arial"/>
        </w:rPr>
        <w:t>, a subsidiary of Man Group,</w:t>
      </w:r>
      <w:r w:rsidRPr="00B148F9">
        <w:rPr>
          <w:rFonts w:cs="Arial"/>
        </w:rPr>
        <w:t xml:space="preserve"> and holds non-executive directorships at a number of London Stock Exchange</w:t>
      </w:r>
      <w:r w:rsidR="009C7EAC" w:rsidRPr="00B148F9">
        <w:rPr>
          <w:rFonts w:cs="Arial"/>
        </w:rPr>
        <w:t xml:space="preserve"> </w:t>
      </w:r>
      <w:r w:rsidRPr="00B148F9">
        <w:rPr>
          <w:rFonts w:cs="Arial"/>
        </w:rPr>
        <w:t>listed investment funds. Mr. Le Page is Audit Committee Chair of UK Mortgages Limited and Bluefield Solar Income Fund Limited and was previously Audit Committee Chair of Thames River Multi Hedge PCC Limited and Cazenove Absolute Equity Limited. Mr. Le Page has 1</w:t>
      </w:r>
      <w:r w:rsidR="002E1C10" w:rsidRPr="00B148F9">
        <w:rPr>
          <w:rFonts w:cs="Arial"/>
        </w:rPr>
        <w:t>6</w:t>
      </w:r>
      <w:r w:rsidRPr="00B148F9">
        <w:rPr>
          <w:rFonts w:cs="Arial"/>
        </w:rPr>
        <w:t xml:space="preserve"> years’ </w:t>
      </w:r>
      <w:r w:rsidR="002E1C10" w:rsidRPr="00B148F9">
        <w:rPr>
          <w:rFonts w:cs="Arial"/>
        </w:rPr>
        <w:t xml:space="preserve">Audit Committee </w:t>
      </w:r>
      <w:r w:rsidRPr="00B148F9">
        <w:rPr>
          <w:rFonts w:cs="Arial"/>
        </w:rPr>
        <w:t xml:space="preserve">experience within the </w:t>
      </w:r>
      <w:r w:rsidR="002E1C10" w:rsidRPr="00B148F9">
        <w:rPr>
          <w:rFonts w:cs="Arial"/>
        </w:rPr>
        <w:t>closed end investment fund</w:t>
      </w:r>
      <w:r w:rsidRPr="00B148F9">
        <w:rPr>
          <w:rFonts w:cs="Arial"/>
        </w:rPr>
        <w:t xml:space="preserve"> sector and has a broad-based knowledge of the global investment industry and product structures. Mr Le Page graduated from </w:t>
      </w:r>
      <w:r w:rsidR="009C7EAC" w:rsidRPr="00B148F9">
        <w:rPr>
          <w:rFonts w:cs="Arial"/>
        </w:rPr>
        <w:t xml:space="preserve">University College London </w:t>
      </w:r>
      <w:r w:rsidRPr="00B148F9">
        <w:rPr>
          <w:rFonts w:cs="Arial"/>
        </w:rPr>
        <w:t>and later received an MBA from Heriot Watt</w:t>
      </w:r>
      <w:r w:rsidR="002E1C10" w:rsidRPr="00B148F9">
        <w:rPr>
          <w:rFonts w:cs="Arial"/>
        </w:rPr>
        <w:t xml:space="preserve"> University</w:t>
      </w:r>
      <w:r w:rsidRPr="00B148F9">
        <w:rPr>
          <w:rFonts w:cs="Arial"/>
        </w:rPr>
        <w:t>.</w:t>
      </w:r>
    </w:p>
    <w:p w14:paraId="3B6ED189" w14:textId="77777777" w:rsidR="00E1723A" w:rsidRPr="00B148F9" w:rsidRDefault="00E1723A" w:rsidP="00E1723A">
      <w:pPr>
        <w:rPr>
          <w:rFonts w:cs="Arial"/>
        </w:rPr>
      </w:pPr>
    </w:p>
    <w:p w14:paraId="25694E9C" w14:textId="79C9FA80" w:rsidR="00244BBF" w:rsidRPr="00B148F9" w:rsidRDefault="00A73135" w:rsidP="00244BBF">
      <w:pPr>
        <w:autoSpaceDE w:val="0"/>
        <w:autoSpaceDN w:val="0"/>
        <w:rPr>
          <w:rFonts w:cs="Arial"/>
          <w:i/>
          <w:iCs/>
        </w:rPr>
      </w:pPr>
      <w:r w:rsidRPr="00B148F9">
        <w:rPr>
          <w:rFonts w:cs="Arial"/>
          <w:b/>
          <w:bCs/>
          <w:i/>
          <w:iCs/>
        </w:rPr>
        <w:t>William Scott</w:t>
      </w:r>
      <w:r w:rsidR="00244BBF" w:rsidRPr="00B148F9">
        <w:rPr>
          <w:rFonts w:cs="Arial"/>
          <w:b/>
          <w:bCs/>
          <w:i/>
          <w:iCs/>
        </w:rPr>
        <w:t xml:space="preserve"> </w:t>
      </w:r>
      <w:r w:rsidR="00244BBF" w:rsidRPr="00B148F9">
        <w:rPr>
          <w:i/>
          <w:iCs/>
        </w:rPr>
        <w:t xml:space="preserve">– </w:t>
      </w:r>
      <w:r w:rsidR="00096796" w:rsidRPr="00B148F9">
        <w:rPr>
          <w:i/>
          <w:iCs/>
        </w:rPr>
        <w:t>Chairman of the Nomination and Remuneration Committee</w:t>
      </w:r>
      <w:r w:rsidR="00244BBF" w:rsidRPr="00B148F9">
        <w:rPr>
          <w:i/>
          <w:iCs/>
        </w:rPr>
        <w:t xml:space="preserve"> – </w:t>
      </w:r>
      <w:r w:rsidR="002D698F" w:rsidRPr="00B148F9">
        <w:rPr>
          <w:i/>
          <w:iCs/>
        </w:rPr>
        <w:t>Guernsey</w:t>
      </w:r>
      <w:r w:rsidR="00244BBF" w:rsidRPr="00B148F9">
        <w:rPr>
          <w:rFonts w:cs="Arial"/>
          <w:i/>
          <w:iCs/>
        </w:rPr>
        <w:t xml:space="preserve"> resident</w:t>
      </w:r>
    </w:p>
    <w:p w14:paraId="0AA431BE" w14:textId="0EA54296" w:rsidR="00A73135" w:rsidRPr="00B148F9" w:rsidRDefault="00A73135" w:rsidP="00E1723A">
      <w:pPr>
        <w:autoSpaceDE w:val="0"/>
        <w:autoSpaceDN w:val="0"/>
        <w:rPr>
          <w:rFonts w:cs="Arial"/>
        </w:rPr>
      </w:pPr>
      <w:r w:rsidRPr="00B148F9">
        <w:rPr>
          <w:rFonts w:cs="Arial"/>
        </w:rPr>
        <w:t xml:space="preserve">William Scott serves as an independent non-executive director of a number of investment companies and funds. From 2003 to 2004, Mr. Scott worked as Senior Vice President with FRM Investment Management Limited, now part of Man Group. Previously (from 1989¬2002), Mr. Scott was a portfolio manager and latterly a director at Rea Brothers (which became part of the Close Brothers group in 1999 and where he was a director of Close Bank Guernsey Limited) and before that Assistant Investment Manager with the London Residuary Body </w:t>
      </w:r>
      <w:r w:rsidRPr="00B148F9">
        <w:rPr>
          <w:rFonts w:cs="Arial"/>
        </w:rPr>
        <w:lastRenderedPageBreak/>
        <w:t>Superannuation Scheme (1987-1989). Mr. Scott graduated from the University of Edinburgh in 1982 and is a Chartered Accountant having qualified with Arthur Young (now EY) in 1987. Mr. Scott also holds the Securities Institute Diploma and is a Chartered Fellow of the Chartered Institute for Securities &amp; Investment. He is also a Chartered Wealth Manager. His other directorships include Axiom European Financial Debt Fund Limited</w:t>
      </w:r>
      <w:r w:rsidR="00326813" w:rsidRPr="00B148F9">
        <w:rPr>
          <w:rFonts w:cs="Arial"/>
        </w:rPr>
        <w:t>,</w:t>
      </w:r>
      <w:r w:rsidRPr="00B148F9">
        <w:rPr>
          <w:rFonts w:cs="Arial"/>
        </w:rPr>
        <w:t xml:space="preserve"> Pershing Square Holdings Limited</w:t>
      </w:r>
      <w:r w:rsidR="00326813" w:rsidRPr="00B148F9">
        <w:rPr>
          <w:rFonts w:cs="Arial"/>
        </w:rPr>
        <w:t xml:space="preserve"> and Worsley Investors Limited</w:t>
      </w:r>
      <w:r w:rsidRPr="00B148F9">
        <w:rPr>
          <w:rFonts w:cs="Arial"/>
        </w:rPr>
        <w:t>, all of which are listed on the Premium Segment of the London Stock Exchange.</w:t>
      </w:r>
    </w:p>
    <w:p w14:paraId="26F0715C" w14:textId="77777777" w:rsidR="00E1723A" w:rsidRPr="00B148F9" w:rsidRDefault="00E1723A" w:rsidP="00E1723A">
      <w:pPr>
        <w:autoSpaceDE w:val="0"/>
        <w:autoSpaceDN w:val="0"/>
        <w:rPr>
          <w:rFonts w:cs="Arial"/>
        </w:rPr>
      </w:pPr>
    </w:p>
    <w:p w14:paraId="7139A4A5" w14:textId="74F81E86" w:rsidR="00E1723A" w:rsidRPr="00B148F9" w:rsidRDefault="00D47647" w:rsidP="00E1723A">
      <w:pPr>
        <w:autoSpaceDE w:val="0"/>
        <w:autoSpaceDN w:val="0"/>
        <w:rPr>
          <w:rFonts w:cs="Arial"/>
          <w:i/>
          <w:iCs/>
        </w:rPr>
      </w:pPr>
      <w:r w:rsidRPr="00B148F9">
        <w:rPr>
          <w:rFonts w:cs="Arial"/>
          <w:b/>
          <w:bCs/>
          <w:i/>
          <w:iCs/>
        </w:rPr>
        <w:t>Stephanie Sirota</w:t>
      </w:r>
      <w:r w:rsidR="00E1723A" w:rsidRPr="00B148F9">
        <w:rPr>
          <w:rFonts w:cs="Arial"/>
          <w:b/>
          <w:bCs/>
          <w:i/>
          <w:iCs/>
        </w:rPr>
        <w:t xml:space="preserve"> </w:t>
      </w:r>
      <w:r w:rsidR="00E1723A" w:rsidRPr="00B148F9">
        <w:rPr>
          <w:i/>
          <w:iCs/>
        </w:rPr>
        <w:t xml:space="preserve">– Non-executive Director – </w:t>
      </w:r>
      <w:r w:rsidR="00F2498F" w:rsidRPr="00B148F9">
        <w:rPr>
          <w:rFonts w:cs="Arial"/>
          <w:i/>
          <w:iCs/>
        </w:rPr>
        <w:t>n</w:t>
      </w:r>
      <w:r w:rsidRPr="00B148F9">
        <w:rPr>
          <w:rFonts w:cs="Arial"/>
          <w:i/>
          <w:iCs/>
        </w:rPr>
        <w:t>on-</w:t>
      </w:r>
      <w:r w:rsidR="00CF7815" w:rsidRPr="00B148F9">
        <w:rPr>
          <w:rFonts w:cs="Arial"/>
          <w:i/>
          <w:iCs/>
        </w:rPr>
        <w:t>UK resident</w:t>
      </w:r>
    </w:p>
    <w:p w14:paraId="085DB291" w14:textId="3E8D4555" w:rsidR="001B2FD2" w:rsidRPr="00B148F9" w:rsidRDefault="00D47647" w:rsidP="00A670DB">
      <w:pPr>
        <w:autoSpaceDE w:val="0"/>
        <w:autoSpaceDN w:val="0"/>
        <w:rPr>
          <w:rFonts w:cs="Arial"/>
        </w:rPr>
      </w:pPr>
      <w:r w:rsidRPr="00B148F9">
        <w:rPr>
          <w:rFonts w:cs="Arial"/>
        </w:rPr>
        <w:t>Stephanie A. Sirota, serves as a Partner and Chief Business Officer at RTW Investments</w:t>
      </w:r>
      <w:r w:rsidR="009C7EAC" w:rsidRPr="00B148F9">
        <w:rPr>
          <w:rFonts w:cs="Arial"/>
        </w:rPr>
        <w:t>,</w:t>
      </w:r>
      <w:r w:rsidRPr="00B148F9">
        <w:rPr>
          <w:rFonts w:cs="Arial"/>
        </w:rPr>
        <w:t xml:space="preserve"> LP. </w:t>
      </w:r>
      <w:r w:rsidR="001B2FD2" w:rsidRPr="00B148F9">
        <w:rPr>
          <w:rFonts w:cs="Arial"/>
        </w:rPr>
        <w:t xml:space="preserve">Ms. Sirota </w:t>
      </w:r>
      <w:r w:rsidRPr="00B148F9">
        <w:rPr>
          <w:rFonts w:cs="Arial"/>
        </w:rPr>
        <w:t xml:space="preserve">is responsible for strategy and oversight of the firm’s business development and strategic partnerships with counterparties including </w:t>
      </w:r>
      <w:r w:rsidR="00F2498F" w:rsidRPr="00B148F9">
        <w:rPr>
          <w:rFonts w:cs="Arial"/>
        </w:rPr>
        <w:t xml:space="preserve">limited partners, </w:t>
      </w:r>
      <w:r w:rsidRPr="00B148F9">
        <w:rPr>
          <w:rFonts w:cs="Arial"/>
        </w:rPr>
        <w:t>banks and academic institutions. She is also responsible for shaping the firm’s governance policies underscoring impact and sustainability. Ms. Sirota has a decade of deal experience in financial services. Prior to joining the Investment Manager, from 2006 to 2010, she served as a director at Valhalla Capital Advisors, a macro and commodity investment manager. From 2000 to 2003, Ms. Sirota worked in the New York and London offices of Lehman Brothers, where she advised on various mergers &amp; acquisitions, IPOs, and capital market financing transactions with a focus on cross-border transactions for the firm’s global corporate clients. She began her career on the Fixed Income trading desk at Lehman Brothers, structuring derivatives for municipal and issuers from 1997 to 1999. Ms. Sirota graduated with honours from Columbia University and also received a Master’s Degree from the Columbia Graduate School of Journalism. She has contributed to Fortune Magazine and ABCNews.com and is a supporter of the arts, science, and children’s initiatives. She serves as Co-Chairman of the Council of the Phil at the New York Philharmonic and as President of RTW Charitable Foundation. Ms. Sirota serve</w:t>
      </w:r>
      <w:r w:rsidR="001B2FD2" w:rsidRPr="00B148F9">
        <w:rPr>
          <w:rFonts w:cs="Arial"/>
        </w:rPr>
        <w:t>d</w:t>
      </w:r>
      <w:r w:rsidRPr="00B148F9">
        <w:rPr>
          <w:rFonts w:cs="Arial"/>
        </w:rPr>
        <w:t xml:space="preserve"> as Vice President of Corporate Strategy and Corporate Communications of </w:t>
      </w:r>
      <w:r w:rsidR="009C7EAC" w:rsidRPr="00B148F9">
        <w:rPr>
          <w:rFonts w:cs="Arial"/>
        </w:rPr>
        <w:t xml:space="preserve">Health Sciences Acquisitions Corporation </w:t>
      </w:r>
      <w:r w:rsidR="001B2FD2" w:rsidRPr="00B148F9">
        <w:rPr>
          <w:rFonts w:cs="Arial"/>
        </w:rPr>
        <w:t>until December 2019</w:t>
      </w:r>
      <w:r w:rsidRPr="00B148F9">
        <w:rPr>
          <w:rFonts w:cs="Arial"/>
        </w:rPr>
        <w:t xml:space="preserve">. </w:t>
      </w:r>
    </w:p>
    <w:p w14:paraId="2B0CAD41" w14:textId="77777777" w:rsidR="001B2FD2" w:rsidRPr="00B148F9" w:rsidRDefault="001B2FD2" w:rsidP="00A670DB">
      <w:pPr>
        <w:autoSpaceDE w:val="0"/>
        <w:autoSpaceDN w:val="0"/>
        <w:rPr>
          <w:rFonts w:cs="Arial"/>
        </w:rPr>
      </w:pPr>
    </w:p>
    <w:p w14:paraId="26A6F518" w14:textId="6DECA897" w:rsidR="00EA2C65" w:rsidRPr="00B148F9" w:rsidRDefault="00D47647" w:rsidP="00A670DB">
      <w:pPr>
        <w:autoSpaceDE w:val="0"/>
        <w:autoSpaceDN w:val="0"/>
      </w:pPr>
      <w:r w:rsidRPr="00B148F9">
        <w:rPr>
          <w:rFonts w:cs="Arial"/>
        </w:rPr>
        <w:t>The performance and effectiveness of the Directors will be assessed annually having regard to the specific responsibilities of each Director as described in their service agreements.</w:t>
      </w:r>
    </w:p>
    <w:p w14:paraId="6EA4A409" w14:textId="77777777" w:rsidR="00A670DB" w:rsidRPr="00B148F9" w:rsidRDefault="00A670DB" w:rsidP="00E1723A">
      <w:pPr>
        <w:pStyle w:val="BodyText"/>
        <w:spacing w:after="0"/>
        <w:rPr>
          <w:rFonts w:cs="Arial"/>
          <w:b/>
          <w:bCs/>
        </w:rPr>
      </w:pPr>
    </w:p>
    <w:p w14:paraId="0A09555B" w14:textId="216123CB" w:rsidR="00E1723A" w:rsidRPr="00B148F9" w:rsidRDefault="00E1723A" w:rsidP="00E1723A">
      <w:pPr>
        <w:pStyle w:val="BodyText"/>
        <w:spacing w:after="0"/>
        <w:rPr>
          <w:rFonts w:cs="Arial"/>
          <w:b/>
          <w:bCs/>
        </w:rPr>
      </w:pPr>
      <w:r w:rsidRPr="00B148F9">
        <w:rPr>
          <w:rFonts w:cs="Arial"/>
          <w:b/>
          <w:bCs/>
        </w:rPr>
        <w:t>Shareholdings of the Directors</w:t>
      </w:r>
    </w:p>
    <w:p w14:paraId="231C2E18" w14:textId="57DE1A08" w:rsidR="00E1723A" w:rsidRPr="00B148F9" w:rsidRDefault="00E1723A" w:rsidP="00E1723A">
      <w:pPr>
        <w:pStyle w:val="BodyText"/>
        <w:spacing w:after="0"/>
        <w:rPr>
          <w:rFonts w:cs="Arial"/>
          <w:bCs/>
        </w:rPr>
      </w:pPr>
      <w:r w:rsidRPr="00B148F9">
        <w:rPr>
          <w:rFonts w:cs="Arial"/>
          <w:bCs/>
        </w:rPr>
        <w:t xml:space="preserve">Directors of the Company and their beneficial interests in the </w:t>
      </w:r>
      <w:r w:rsidR="00EA2C65" w:rsidRPr="00B148F9">
        <w:rPr>
          <w:rFonts w:cs="Arial"/>
          <w:bCs/>
        </w:rPr>
        <w:t xml:space="preserve">Company </w:t>
      </w:r>
      <w:r w:rsidRPr="00B148F9">
        <w:rPr>
          <w:rFonts w:cs="Arial"/>
          <w:bCs/>
        </w:rPr>
        <w:t xml:space="preserve">as at 31 </w:t>
      </w:r>
      <w:r w:rsidR="00BA4C4B" w:rsidRPr="00B148F9">
        <w:rPr>
          <w:rFonts w:cs="Arial"/>
          <w:bCs/>
        </w:rPr>
        <w:t>December</w:t>
      </w:r>
      <w:r w:rsidRPr="00B148F9">
        <w:rPr>
          <w:rFonts w:cs="Arial"/>
          <w:bCs/>
        </w:rPr>
        <w:t xml:space="preserve"> 201</w:t>
      </w:r>
      <w:r w:rsidR="0093058E" w:rsidRPr="00B148F9">
        <w:rPr>
          <w:rFonts w:cs="Arial"/>
          <w:bCs/>
        </w:rPr>
        <w:t>9</w:t>
      </w:r>
      <w:r w:rsidRPr="00B148F9">
        <w:rPr>
          <w:rFonts w:cs="Arial"/>
          <w:bCs/>
        </w:rPr>
        <w:t xml:space="preserve"> are detailed below:</w:t>
      </w:r>
    </w:p>
    <w:p w14:paraId="6A1AEDB6" w14:textId="77777777" w:rsidR="00A670DB" w:rsidRPr="00B148F9" w:rsidRDefault="00A670DB" w:rsidP="00E1723A">
      <w:pPr>
        <w:pStyle w:val="BodyText"/>
        <w:spacing w:after="0"/>
        <w:rPr>
          <w:rFonts w:cs="Arial"/>
          <w:bCs/>
        </w:rPr>
      </w:pPr>
    </w:p>
    <w:p w14:paraId="118B2E38" w14:textId="7E999A04" w:rsidR="00E1723A" w:rsidRPr="00B148F9" w:rsidRDefault="00E1723A" w:rsidP="00E1723A">
      <w:pPr>
        <w:pStyle w:val="BodyText"/>
        <w:spacing w:after="0"/>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985"/>
        <w:gridCol w:w="1559"/>
        <w:gridCol w:w="1554"/>
      </w:tblGrid>
      <w:tr w:rsidR="006F5B65" w:rsidRPr="00B148F9" w14:paraId="669C706E" w14:textId="77777777" w:rsidTr="001251FE">
        <w:trPr>
          <w:trHeight w:val="279"/>
          <w:jc w:val="center"/>
        </w:trPr>
        <w:tc>
          <w:tcPr>
            <w:tcW w:w="1980" w:type="dxa"/>
            <w:vMerge w:val="restart"/>
            <w:vAlign w:val="center"/>
          </w:tcPr>
          <w:p w14:paraId="2378DFBB" w14:textId="77777777" w:rsidR="006F5B65" w:rsidRPr="00B148F9" w:rsidRDefault="006F5B65" w:rsidP="00943B18">
            <w:pPr>
              <w:pStyle w:val="BodyText"/>
              <w:spacing w:after="0"/>
              <w:rPr>
                <w:rFonts w:cs="Arial"/>
                <w:b/>
                <w:bCs/>
                <w:lang w:eastAsia="en-GB"/>
              </w:rPr>
            </w:pPr>
            <w:r w:rsidRPr="00B148F9">
              <w:rPr>
                <w:rFonts w:cs="Arial"/>
                <w:b/>
                <w:bCs/>
                <w:lang w:eastAsia="en-GB"/>
              </w:rPr>
              <w:t>Director</w:t>
            </w:r>
          </w:p>
        </w:tc>
        <w:tc>
          <w:tcPr>
            <w:tcW w:w="3969" w:type="dxa"/>
            <w:gridSpan w:val="2"/>
            <w:vAlign w:val="center"/>
          </w:tcPr>
          <w:p w14:paraId="6F2BC40D" w14:textId="65B687FB" w:rsidR="006F5B65" w:rsidRPr="00B148F9" w:rsidRDefault="00EA2C65" w:rsidP="00943B18">
            <w:pPr>
              <w:pStyle w:val="BodyText"/>
              <w:spacing w:after="0"/>
              <w:jc w:val="center"/>
              <w:rPr>
                <w:rFonts w:cs="Arial"/>
                <w:b/>
                <w:bCs/>
                <w:lang w:eastAsia="en-GB"/>
              </w:rPr>
            </w:pPr>
            <w:r w:rsidRPr="00B148F9">
              <w:rPr>
                <w:rFonts w:cs="Arial"/>
                <w:b/>
                <w:bCs/>
                <w:lang w:eastAsia="en-GB"/>
              </w:rPr>
              <w:t xml:space="preserve">Number of </w:t>
            </w:r>
            <w:r w:rsidR="006F5B65" w:rsidRPr="00B148F9">
              <w:rPr>
                <w:rFonts w:cs="Arial"/>
                <w:b/>
                <w:bCs/>
                <w:lang w:eastAsia="en-GB"/>
              </w:rPr>
              <w:t>Shares</w:t>
            </w:r>
          </w:p>
        </w:tc>
        <w:tc>
          <w:tcPr>
            <w:tcW w:w="1559" w:type="dxa"/>
            <w:vMerge w:val="restart"/>
          </w:tcPr>
          <w:p w14:paraId="7D0D0C9F" w14:textId="082B70BB" w:rsidR="006F5B65" w:rsidRPr="00B148F9" w:rsidRDefault="006F5B65" w:rsidP="00943B18">
            <w:pPr>
              <w:pStyle w:val="BodyText"/>
              <w:spacing w:after="0"/>
              <w:jc w:val="center"/>
              <w:rPr>
                <w:rFonts w:cs="Arial"/>
                <w:b/>
                <w:bCs/>
                <w:lang w:eastAsia="en-GB"/>
              </w:rPr>
            </w:pPr>
            <w:r w:rsidRPr="00B148F9">
              <w:rPr>
                <w:rFonts w:cs="Arial"/>
                <w:b/>
                <w:bCs/>
                <w:lang w:eastAsia="en-GB"/>
              </w:rPr>
              <w:t>Per cent. Holding</w:t>
            </w:r>
          </w:p>
          <w:p w14:paraId="78AA3129" w14:textId="268BA431" w:rsidR="006F5B65" w:rsidRPr="00B148F9" w:rsidRDefault="006F5B65" w:rsidP="003B6616">
            <w:pPr>
              <w:pStyle w:val="BodyText"/>
              <w:spacing w:after="0"/>
              <w:jc w:val="center"/>
              <w:rPr>
                <w:rFonts w:cs="Arial"/>
                <w:b/>
                <w:bCs/>
                <w:lang w:eastAsia="en-GB"/>
              </w:rPr>
            </w:pPr>
            <w:r w:rsidRPr="00B148F9">
              <w:rPr>
                <w:rFonts w:cs="Arial"/>
                <w:b/>
                <w:bCs/>
                <w:lang w:eastAsia="en-GB"/>
              </w:rPr>
              <w:t xml:space="preserve">31 </w:t>
            </w:r>
            <w:r w:rsidR="00BA4C4B" w:rsidRPr="00B148F9">
              <w:rPr>
                <w:rFonts w:cs="Arial"/>
                <w:b/>
                <w:bCs/>
                <w:lang w:eastAsia="en-GB"/>
              </w:rPr>
              <w:t>December</w:t>
            </w:r>
            <w:r w:rsidRPr="00B148F9">
              <w:rPr>
                <w:rFonts w:cs="Arial"/>
                <w:b/>
                <w:bCs/>
                <w:lang w:eastAsia="en-GB"/>
              </w:rPr>
              <w:t xml:space="preserve"> </w:t>
            </w:r>
            <w:r w:rsidR="003B6616" w:rsidRPr="00B148F9">
              <w:rPr>
                <w:rFonts w:cs="Arial"/>
                <w:b/>
                <w:bCs/>
                <w:lang w:eastAsia="en-GB"/>
              </w:rPr>
              <w:t>201</w:t>
            </w:r>
            <w:r w:rsidR="0093058E" w:rsidRPr="00B148F9">
              <w:rPr>
                <w:rFonts w:cs="Arial"/>
                <w:b/>
                <w:bCs/>
                <w:lang w:eastAsia="en-GB"/>
              </w:rPr>
              <w:t>9</w:t>
            </w:r>
          </w:p>
        </w:tc>
        <w:tc>
          <w:tcPr>
            <w:tcW w:w="1554" w:type="dxa"/>
            <w:vMerge w:val="restart"/>
          </w:tcPr>
          <w:p w14:paraId="342CE669" w14:textId="05906811" w:rsidR="006F5B65" w:rsidRPr="00B148F9" w:rsidRDefault="006F5B65" w:rsidP="00943B18">
            <w:pPr>
              <w:pStyle w:val="BodyText"/>
              <w:spacing w:after="0"/>
              <w:jc w:val="center"/>
              <w:rPr>
                <w:rFonts w:cs="Arial"/>
                <w:b/>
                <w:bCs/>
                <w:lang w:eastAsia="en-GB"/>
              </w:rPr>
            </w:pPr>
            <w:r w:rsidRPr="00B148F9">
              <w:rPr>
                <w:rFonts w:cs="Arial"/>
                <w:b/>
                <w:bCs/>
                <w:lang w:eastAsia="en-GB"/>
              </w:rPr>
              <w:t>Per cent. Holding</w:t>
            </w:r>
          </w:p>
          <w:p w14:paraId="39900F01" w14:textId="5626B6E1" w:rsidR="006F5B65" w:rsidRPr="00B148F9" w:rsidRDefault="006F5B65" w:rsidP="0093058E">
            <w:pPr>
              <w:pStyle w:val="BodyText"/>
              <w:spacing w:after="0"/>
              <w:jc w:val="center"/>
              <w:rPr>
                <w:rFonts w:cs="Arial"/>
                <w:b/>
                <w:bCs/>
                <w:lang w:eastAsia="en-GB"/>
              </w:rPr>
            </w:pPr>
            <w:r w:rsidRPr="00B148F9">
              <w:rPr>
                <w:rFonts w:cs="Arial"/>
                <w:b/>
                <w:bCs/>
                <w:lang w:eastAsia="en-GB"/>
              </w:rPr>
              <w:t xml:space="preserve">31 </w:t>
            </w:r>
            <w:r w:rsidR="00BA4C4B" w:rsidRPr="00B148F9">
              <w:rPr>
                <w:rFonts w:cs="Arial"/>
                <w:b/>
                <w:bCs/>
                <w:lang w:eastAsia="en-GB"/>
              </w:rPr>
              <w:t>December</w:t>
            </w:r>
            <w:r w:rsidRPr="00B148F9">
              <w:rPr>
                <w:rFonts w:cs="Arial"/>
                <w:b/>
                <w:bCs/>
                <w:lang w:eastAsia="en-GB"/>
              </w:rPr>
              <w:t xml:space="preserve"> 201</w:t>
            </w:r>
            <w:r w:rsidR="0093058E" w:rsidRPr="00B148F9">
              <w:rPr>
                <w:rFonts w:cs="Arial"/>
                <w:b/>
                <w:bCs/>
                <w:lang w:eastAsia="en-GB"/>
              </w:rPr>
              <w:t>8</w:t>
            </w:r>
          </w:p>
        </w:tc>
      </w:tr>
      <w:tr w:rsidR="00313C41" w:rsidRPr="00B148F9" w14:paraId="3D020C5F" w14:textId="77777777" w:rsidTr="001251FE">
        <w:trPr>
          <w:trHeight w:val="278"/>
          <w:jc w:val="center"/>
        </w:trPr>
        <w:tc>
          <w:tcPr>
            <w:tcW w:w="1980" w:type="dxa"/>
            <w:vMerge/>
            <w:vAlign w:val="center"/>
          </w:tcPr>
          <w:p w14:paraId="1A92085A" w14:textId="77777777" w:rsidR="00313C41" w:rsidRPr="00B148F9" w:rsidRDefault="00313C41" w:rsidP="00943B18">
            <w:pPr>
              <w:pStyle w:val="BodyText"/>
              <w:spacing w:after="0"/>
              <w:rPr>
                <w:rFonts w:cs="Arial"/>
                <w:b/>
                <w:bCs/>
                <w:lang w:eastAsia="en-GB"/>
              </w:rPr>
            </w:pPr>
          </w:p>
        </w:tc>
        <w:tc>
          <w:tcPr>
            <w:tcW w:w="1984" w:type="dxa"/>
            <w:vAlign w:val="center"/>
          </w:tcPr>
          <w:p w14:paraId="6F5716BF" w14:textId="2642AFBB" w:rsidR="00313C41" w:rsidRPr="00B148F9" w:rsidRDefault="00313C41">
            <w:pPr>
              <w:pStyle w:val="BodyText"/>
              <w:spacing w:after="0"/>
              <w:jc w:val="center"/>
              <w:rPr>
                <w:rFonts w:cs="Arial"/>
                <w:b/>
                <w:bCs/>
                <w:lang w:eastAsia="en-GB"/>
              </w:rPr>
            </w:pPr>
            <w:r w:rsidRPr="00B148F9">
              <w:rPr>
                <w:rFonts w:cs="Arial"/>
                <w:b/>
                <w:bCs/>
                <w:lang w:eastAsia="en-GB"/>
              </w:rPr>
              <w:t xml:space="preserve">31 </w:t>
            </w:r>
            <w:r w:rsidR="00BA4C4B" w:rsidRPr="00B148F9">
              <w:rPr>
                <w:rFonts w:cs="Arial"/>
                <w:b/>
                <w:bCs/>
                <w:lang w:eastAsia="en-GB"/>
              </w:rPr>
              <w:t>December</w:t>
            </w:r>
            <w:r w:rsidRPr="00B148F9">
              <w:rPr>
                <w:rFonts w:cs="Arial"/>
                <w:b/>
                <w:bCs/>
                <w:lang w:eastAsia="en-GB"/>
              </w:rPr>
              <w:t xml:space="preserve"> 201</w:t>
            </w:r>
            <w:r w:rsidR="0093058E" w:rsidRPr="00B148F9">
              <w:rPr>
                <w:rFonts w:cs="Arial"/>
                <w:b/>
                <w:bCs/>
                <w:lang w:eastAsia="en-GB"/>
              </w:rPr>
              <w:t>9</w:t>
            </w:r>
          </w:p>
        </w:tc>
        <w:tc>
          <w:tcPr>
            <w:tcW w:w="1985" w:type="dxa"/>
            <w:vAlign w:val="center"/>
          </w:tcPr>
          <w:p w14:paraId="7B10841C" w14:textId="675C522D" w:rsidR="00313C41" w:rsidRPr="00B148F9" w:rsidRDefault="00313C41" w:rsidP="00313C41">
            <w:pPr>
              <w:pStyle w:val="BodyText"/>
              <w:spacing w:after="0"/>
              <w:jc w:val="center"/>
              <w:rPr>
                <w:rFonts w:cs="Arial"/>
                <w:b/>
                <w:bCs/>
                <w:lang w:eastAsia="en-GB"/>
              </w:rPr>
            </w:pPr>
            <w:r w:rsidRPr="00B148F9">
              <w:rPr>
                <w:rFonts w:cs="Arial"/>
                <w:b/>
                <w:bCs/>
                <w:lang w:eastAsia="en-GB"/>
              </w:rPr>
              <w:t xml:space="preserve">31 </w:t>
            </w:r>
            <w:r w:rsidR="00BA4C4B" w:rsidRPr="00B148F9">
              <w:rPr>
                <w:rFonts w:cs="Arial"/>
                <w:b/>
                <w:bCs/>
                <w:lang w:eastAsia="en-GB"/>
              </w:rPr>
              <w:t>December</w:t>
            </w:r>
            <w:r w:rsidRPr="00B148F9">
              <w:rPr>
                <w:rFonts w:cs="Arial"/>
                <w:b/>
                <w:bCs/>
                <w:lang w:eastAsia="en-GB"/>
              </w:rPr>
              <w:t xml:space="preserve"> 201</w:t>
            </w:r>
            <w:r w:rsidR="0093058E" w:rsidRPr="00B148F9">
              <w:rPr>
                <w:rFonts w:cs="Arial"/>
                <w:b/>
                <w:bCs/>
                <w:lang w:eastAsia="en-GB"/>
              </w:rPr>
              <w:t>8</w:t>
            </w:r>
          </w:p>
        </w:tc>
        <w:tc>
          <w:tcPr>
            <w:tcW w:w="1559" w:type="dxa"/>
            <w:vMerge/>
          </w:tcPr>
          <w:p w14:paraId="43A92793" w14:textId="77777777" w:rsidR="00313C41" w:rsidRPr="00B148F9" w:rsidRDefault="00313C41" w:rsidP="00943B18">
            <w:pPr>
              <w:pStyle w:val="BodyText"/>
              <w:spacing w:after="0"/>
              <w:jc w:val="center"/>
              <w:rPr>
                <w:rFonts w:cs="Arial"/>
                <w:b/>
                <w:bCs/>
                <w:lang w:eastAsia="en-GB"/>
              </w:rPr>
            </w:pPr>
          </w:p>
        </w:tc>
        <w:tc>
          <w:tcPr>
            <w:tcW w:w="1554" w:type="dxa"/>
            <w:vMerge/>
          </w:tcPr>
          <w:p w14:paraId="4B60008D" w14:textId="77777777" w:rsidR="00313C41" w:rsidRPr="00B148F9" w:rsidRDefault="00313C41" w:rsidP="00943B18">
            <w:pPr>
              <w:pStyle w:val="BodyText"/>
              <w:spacing w:after="0"/>
              <w:jc w:val="center"/>
              <w:rPr>
                <w:rFonts w:cs="Arial"/>
                <w:b/>
                <w:bCs/>
                <w:lang w:eastAsia="en-GB"/>
              </w:rPr>
            </w:pPr>
          </w:p>
        </w:tc>
      </w:tr>
      <w:tr w:rsidR="00EA2C65" w:rsidRPr="00B148F9" w14:paraId="7C0AF07C" w14:textId="77777777" w:rsidTr="001251FE">
        <w:trPr>
          <w:jc w:val="center"/>
        </w:trPr>
        <w:tc>
          <w:tcPr>
            <w:tcW w:w="1980" w:type="dxa"/>
          </w:tcPr>
          <w:p w14:paraId="12A1689D" w14:textId="5BC97FDB" w:rsidR="00EA2C65" w:rsidRPr="00B148F9" w:rsidRDefault="00EA2C65" w:rsidP="00EA2C65">
            <w:pPr>
              <w:pStyle w:val="BodyText"/>
              <w:spacing w:after="0"/>
              <w:rPr>
                <w:rFonts w:cs="Arial"/>
                <w:bCs/>
                <w:lang w:eastAsia="en-GB"/>
              </w:rPr>
            </w:pPr>
            <w:r w:rsidRPr="00B148F9">
              <w:t>William Simpson</w:t>
            </w:r>
          </w:p>
        </w:tc>
        <w:tc>
          <w:tcPr>
            <w:tcW w:w="1984" w:type="dxa"/>
            <w:vAlign w:val="center"/>
          </w:tcPr>
          <w:p w14:paraId="5537092E" w14:textId="44BE2185" w:rsidR="00EA2C65" w:rsidRPr="00B148F9" w:rsidRDefault="00E83D57" w:rsidP="00EA2C65">
            <w:pPr>
              <w:pStyle w:val="BodyText"/>
              <w:spacing w:after="0"/>
              <w:jc w:val="right"/>
              <w:rPr>
                <w:rFonts w:cs="Arial"/>
                <w:bCs/>
                <w:lang w:eastAsia="en-GB"/>
              </w:rPr>
            </w:pPr>
            <w:r w:rsidRPr="00B148F9">
              <w:rPr>
                <w:rFonts w:cs="Arial"/>
                <w:bCs/>
                <w:lang w:eastAsia="en-GB"/>
              </w:rPr>
              <w:t>-</w:t>
            </w:r>
          </w:p>
        </w:tc>
        <w:tc>
          <w:tcPr>
            <w:tcW w:w="1985" w:type="dxa"/>
            <w:vAlign w:val="center"/>
          </w:tcPr>
          <w:p w14:paraId="3B6801C1" w14:textId="598F8C73" w:rsidR="00EA2C65" w:rsidRPr="00B148F9" w:rsidRDefault="004D33E1" w:rsidP="00EA2C65">
            <w:pPr>
              <w:pStyle w:val="BodyText"/>
              <w:spacing w:after="0"/>
              <w:jc w:val="right"/>
              <w:rPr>
                <w:rFonts w:cs="Arial"/>
                <w:bCs/>
                <w:lang w:eastAsia="en-GB"/>
              </w:rPr>
            </w:pPr>
            <w:r w:rsidRPr="00B148F9">
              <w:rPr>
                <w:rFonts w:cs="Arial"/>
                <w:bCs/>
                <w:lang w:eastAsia="en-GB"/>
              </w:rPr>
              <w:t>n/a</w:t>
            </w:r>
          </w:p>
        </w:tc>
        <w:tc>
          <w:tcPr>
            <w:tcW w:w="1559" w:type="dxa"/>
            <w:vAlign w:val="center"/>
          </w:tcPr>
          <w:p w14:paraId="20180D00" w14:textId="16F0BF17" w:rsidR="00EA2C65" w:rsidRPr="00B148F9" w:rsidRDefault="00E83D57" w:rsidP="00EA2C65">
            <w:pPr>
              <w:pStyle w:val="BodyText"/>
              <w:spacing w:after="0"/>
              <w:jc w:val="right"/>
              <w:rPr>
                <w:rFonts w:cs="Arial"/>
                <w:bCs/>
                <w:lang w:eastAsia="en-GB"/>
              </w:rPr>
            </w:pPr>
            <w:r w:rsidRPr="00B148F9">
              <w:rPr>
                <w:rFonts w:cs="Arial"/>
                <w:bCs/>
                <w:lang w:eastAsia="en-GB"/>
              </w:rPr>
              <w:t>-</w:t>
            </w:r>
          </w:p>
        </w:tc>
        <w:tc>
          <w:tcPr>
            <w:tcW w:w="1554" w:type="dxa"/>
          </w:tcPr>
          <w:p w14:paraId="55B78234" w14:textId="6BF93D28" w:rsidR="00EA2C65" w:rsidRPr="00B148F9" w:rsidRDefault="004D33E1" w:rsidP="00EA2C65">
            <w:pPr>
              <w:pStyle w:val="BodyText"/>
              <w:spacing w:after="0"/>
              <w:jc w:val="right"/>
              <w:rPr>
                <w:rFonts w:cs="Arial"/>
                <w:bCs/>
                <w:lang w:eastAsia="en-GB"/>
              </w:rPr>
            </w:pPr>
            <w:r w:rsidRPr="00B148F9">
              <w:rPr>
                <w:rFonts w:cs="Arial"/>
                <w:bCs/>
                <w:lang w:eastAsia="en-GB"/>
              </w:rPr>
              <w:t>n/a</w:t>
            </w:r>
          </w:p>
        </w:tc>
      </w:tr>
      <w:tr w:rsidR="00EA2C65" w:rsidRPr="00B148F9" w14:paraId="51D8747B" w14:textId="77777777" w:rsidTr="001251FE">
        <w:trPr>
          <w:jc w:val="center"/>
        </w:trPr>
        <w:tc>
          <w:tcPr>
            <w:tcW w:w="1980" w:type="dxa"/>
          </w:tcPr>
          <w:p w14:paraId="4AB8BEF4" w14:textId="5C3AE9E5" w:rsidR="00EA2C65" w:rsidRPr="00B148F9" w:rsidRDefault="00EA2C65" w:rsidP="00EA2C65">
            <w:pPr>
              <w:pStyle w:val="BodyText"/>
              <w:spacing w:after="0"/>
              <w:rPr>
                <w:rFonts w:cs="Arial"/>
                <w:bCs/>
                <w:lang w:eastAsia="en-GB"/>
              </w:rPr>
            </w:pPr>
            <w:r w:rsidRPr="00B148F9">
              <w:t>Paul Le Page</w:t>
            </w:r>
          </w:p>
        </w:tc>
        <w:tc>
          <w:tcPr>
            <w:tcW w:w="1984" w:type="dxa"/>
          </w:tcPr>
          <w:p w14:paraId="2C8284DD" w14:textId="21D4856F" w:rsidR="00EA2C65" w:rsidRPr="00B148F9" w:rsidRDefault="00E83D57" w:rsidP="00EA2C65">
            <w:pPr>
              <w:pStyle w:val="BodyText"/>
              <w:spacing w:after="0"/>
              <w:jc w:val="right"/>
              <w:rPr>
                <w:rFonts w:cs="Arial"/>
                <w:bCs/>
                <w:lang w:eastAsia="en-GB"/>
              </w:rPr>
            </w:pPr>
            <w:r w:rsidRPr="00B148F9">
              <w:rPr>
                <w:rFonts w:cs="Arial"/>
                <w:bCs/>
                <w:lang w:eastAsia="en-GB"/>
              </w:rPr>
              <w:t>-</w:t>
            </w:r>
          </w:p>
        </w:tc>
        <w:tc>
          <w:tcPr>
            <w:tcW w:w="1985" w:type="dxa"/>
          </w:tcPr>
          <w:p w14:paraId="262FCD2E" w14:textId="5E3DF89E" w:rsidR="00EA2C65" w:rsidRPr="00B148F9" w:rsidRDefault="004D33E1" w:rsidP="00EA2C65">
            <w:pPr>
              <w:pStyle w:val="BodyText"/>
              <w:spacing w:after="0"/>
              <w:jc w:val="right"/>
              <w:rPr>
                <w:rFonts w:cs="Arial"/>
                <w:bCs/>
                <w:lang w:eastAsia="en-GB"/>
              </w:rPr>
            </w:pPr>
            <w:r w:rsidRPr="00B148F9">
              <w:rPr>
                <w:rFonts w:cs="Arial"/>
                <w:bCs/>
                <w:lang w:eastAsia="en-GB"/>
              </w:rPr>
              <w:t>n/a</w:t>
            </w:r>
          </w:p>
        </w:tc>
        <w:tc>
          <w:tcPr>
            <w:tcW w:w="1559" w:type="dxa"/>
          </w:tcPr>
          <w:p w14:paraId="12DF2EB6" w14:textId="7D22D5B5" w:rsidR="00EA2C65" w:rsidRPr="00B148F9" w:rsidRDefault="00E83D57" w:rsidP="00EA2C65">
            <w:pPr>
              <w:pStyle w:val="BodyText"/>
              <w:spacing w:after="0"/>
              <w:jc w:val="right"/>
              <w:rPr>
                <w:rFonts w:cs="Arial"/>
                <w:bCs/>
                <w:lang w:eastAsia="en-GB"/>
              </w:rPr>
            </w:pPr>
            <w:r w:rsidRPr="00B148F9">
              <w:rPr>
                <w:rFonts w:cs="Arial"/>
                <w:bCs/>
                <w:lang w:eastAsia="en-GB"/>
              </w:rPr>
              <w:t>-</w:t>
            </w:r>
          </w:p>
        </w:tc>
        <w:tc>
          <w:tcPr>
            <w:tcW w:w="1554" w:type="dxa"/>
          </w:tcPr>
          <w:p w14:paraId="170FBD28" w14:textId="5470E808" w:rsidR="00EA2C65" w:rsidRPr="00B148F9" w:rsidRDefault="004D33E1" w:rsidP="00EA2C65">
            <w:pPr>
              <w:pStyle w:val="BodyText"/>
              <w:spacing w:after="0"/>
              <w:jc w:val="right"/>
              <w:rPr>
                <w:rFonts w:cs="Arial"/>
                <w:bCs/>
                <w:lang w:eastAsia="en-GB"/>
              </w:rPr>
            </w:pPr>
            <w:r w:rsidRPr="00B148F9">
              <w:rPr>
                <w:rFonts w:cs="Arial"/>
                <w:bCs/>
                <w:lang w:eastAsia="en-GB"/>
              </w:rPr>
              <w:t>n/a</w:t>
            </w:r>
          </w:p>
        </w:tc>
      </w:tr>
      <w:tr w:rsidR="00EA2C65" w:rsidRPr="00B148F9" w14:paraId="4ECB1029" w14:textId="77777777" w:rsidTr="001251FE">
        <w:trPr>
          <w:jc w:val="center"/>
        </w:trPr>
        <w:tc>
          <w:tcPr>
            <w:tcW w:w="1980" w:type="dxa"/>
          </w:tcPr>
          <w:p w14:paraId="77F9816D" w14:textId="5B2BE143" w:rsidR="00EA2C65" w:rsidRPr="00B148F9" w:rsidRDefault="00EA2C65" w:rsidP="00EA2C65">
            <w:pPr>
              <w:pStyle w:val="BodyText"/>
              <w:spacing w:after="0"/>
              <w:rPr>
                <w:rFonts w:cs="Arial"/>
                <w:bCs/>
                <w:lang w:eastAsia="en-GB"/>
              </w:rPr>
            </w:pPr>
            <w:r w:rsidRPr="00B148F9">
              <w:t>William Scott</w:t>
            </w:r>
          </w:p>
        </w:tc>
        <w:tc>
          <w:tcPr>
            <w:tcW w:w="1984" w:type="dxa"/>
          </w:tcPr>
          <w:p w14:paraId="39E71E45" w14:textId="1CDF662C" w:rsidR="00EA2C65" w:rsidRPr="00B148F9" w:rsidRDefault="00E83D57" w:rsidP="00EA2C65">
            <w:pPr>
              <w:pStyle w:val="BodyText"/>
              <w:spacing w:after="0"/>
              <w:jc w:val="right"/>
              <w:rPr>
                <w:rFonts w:cs="Arial"/>
                <w:bCs/>
                <w:lang w:eastAsia="en-GB"/>
              </w:rPr>
            </w:pPr>
            <w:r w:rsidRPr="00B148F9">
              <w:rPr>
                <w:rFonts w:cs="Arial"/>
                <w:bCs/>
                <w:lang w:eastAsia="en-GB"/>
              </w:rPr>
              <w:t>50,000</w:t>
            </w:r>
          </w:p>
        </w:tc>
        <w:tc>
          <w:tcPr>
            <w:tcW w:w="1985" w:type="dxa"/>
          </w:tcPr>
          <w:p w14:paraId="728117A7" w14:textId="4D663E7C" w:rsidR="00EA2C65" w:rsidRPr="00B148F9" w:rsidRDefault="004D33E1" w:rsidP="00EA2C65">
            <w:pPr>
              <w:pStyle w:val="BodyText"/>
              <w:spacing w:after="0"/>
              <w:jc w:val="right"/>
              <w:rPr>
                <w:rFonts w:cs="Arial"/>
                <w:bCs/>
                <w:lang w:eastAsia="en-GB"/>
              </w:rPr>
            </w:pPr>
            <w:r w:rsidRPr="00B148F9">
              <w:rPr>
                <w:rFonts w:cs="Arial"/>
                <w:bCs/>
                <w:lang w:eastAsia="en-GB"/>
              </w:rPr>
              <w:t>n/a</w:t>
            </w:r>
          </w:p>
        </w:tc>
        <w:tc>
          <w:tcPr>
            <w:tcW w:w="1559" w:type="dxa"/>
          </w:tcPr>
          <w:p w14:paraId="5D7552A9" w14:textId="7D3044B3" w:rsidR="00EA2C65" w:rsidRPr="00B148F9" w:rsidRDefault="00E83D57" w:rsidP="00EA2C65">
            <w:pPr>
              <w:pStyle w:val="BodyText"/>
              <w:spacing w:after="0"/>
              <w:jc w:val="right"/>
              <w:rPr>
                <w:rFonts w:cs="Arial"/>
                <w:bCs/>
                <w:lang w:eastAsia="en-GB"/>
              </w:rPr>
            </w:pPr>
            <w:r w:rsidRPr="00B148F9">
              <w:rPr>
                <w:rFonts w:cs="Arial"/>
                <w:bCs/>
                <w:lang w:eastAsia="en-GB"/>
              </w:rPr>
              <w:t>0.03</w:t>
            </w:r>
          </w:p>
        </w:tc>
        <w:tc>
          <w:tcPr>
            <w:tcW w:w="1554" w:type="dxa"/>
          </w:tcPr>
          <w:p w14:paraId="78F0F3EF" w14:textId="186F2092" w:rsidR="00EA2C65" w:rsidRPr="00B148F9" w:rsidRDefault="004D33E1" w:rsidP="00EA2C65">
            <w:pPr>
              <w:pStyle w:val="BodyText"/>
              <w:spacing w:after="0"/>
              <w:jc w:val="right"/>
              <w:rPr>
                <w:rFonts w:cs="Arial"/>
                <w:bCs/>
                <w:lang w:eastAsia="en-GB"/>
              </w:rPr>
            </w:pPr>
            <w:r w:rsidRPr="00B148F9">
              <w:rPr>
                <w:rFonts w:cs="Arial"/>
                <w:bCs/>
                <w:lang w:eastAsia="en-GB"/>
              </w:rPr>
              <w:t>n/a</w:t>
            </w:r>
          </w:p>
        </w:tc>
      </w:tr>
      <w:tr w:rsidR="00EA2C65" w:rsidRPr="00B148F9" w14:paraId="74613069" w14:textId="77777777" w:rsidTr="001251FE">
        <w:trPr>
          <w:jc w:val="center"/>
        </w:trPr>
        <w:tc>
          <w:tcPr>
            <w:tcW w:w="1980" w:type="dxa"/>
          </w:tcPr>
          <w:p w14:paraId="5F37C3F1" w14:textId="3D6DB6D5" w:rsidR="00EA2C65" w:rsidRPr="00B148F9" w:rsidRDefault="00EA2C65" w:rsidP="00EA2C65">
            <w:pPr>
              <w:pStyle w:val="BodyText"/>
              <w:spacing w:after="0"/>
              <w:rPr>
                <w:rFonts w:cs="Arial"/>
                <w:bCs/>
                <w:lang w:eastAsia="en-GB"/>
              </w:rPr>
            </w:pPr>
            <w:r w:rsidRPr="00B148F9">
              <w:t>Stephanie Sirota</w:t>
            </w:r>
          </w:p>
        </w:tc>
        <w:tc>
          <w:tcPr>
            <w:tcW w:w="1984" w:type="dxa"/>
          </w:tcPr>
          <w:p w14:paraId="7964E697" w14:textId="46BEDD6C" w:rsidR="00EA2C65" w:rsidRPr="00B148F9" w:rsidRDefault="00E83D57" w:rsidP="00EA2C65">
            <w:pPr>
              <w:pStyle w:val="BodyText"/>
              <w:spacing w:after="0"/>
              <w:jc w:val="right"/>
              <w:rPr>
                <w:rFonts w:cs="Arial"/>
                <w:bCs/>
                <w:lang w:eastAsia="en-GB"/>
              </w:rPr>
            </w:pPr>
            <w:r w:rsidRPr="00B148F9">
              <w:rPr>
                <w:rFonts w:cs="Arial"/>
                <w:bCs/>
                <w:lang w:eastAsia="en-GB"/>
              </w:rPr>
              <w:t>494,004</w:t>
            </w:r>
          </w:p>
        </w:tc>
        <w:tc>
          <w:tcPr>
            <w:tcW w:w="1985" w:type="dxa"/>
          </w:tcPr>
          <w:p w14:paraId="2EEF1A3B" w14:textId="5718FCA5" w:rsidR="00EA2C65" w:rsidRPr="00B148F9" w:rsidRDefault="004D33E1" w:rsidP="00EA2C65">
            <w:pPr>
              <w:pStyle w:val="BodyText"/>
              <w:spacing w:after="0"/>
              <w:jc w:val="right"/>
              <w:rPr>
                <w:rFonts w:cs="Arial"/>
                <w:bCs/>
                <w:lang w:eastAsia="en-GB"/>
              </w:rPr>
            </w:pPr>
            <w:r w:rsidRPr="00B148F9">
              <w:rPr>
                <w:rFonts w:cs="Arial"/>
                <w:bCs/>
                <w:lang w:eastAsia="en-GB"/>
              </w:rPr>
              <w:t>n/a</w:t>
            </w:r>
          </w:p>
        </w:tc>
        <w:tc>
          <w:tcPr>
            <w:tcW w:w="1559" w:type="dxa"/>
          </w:tcPr>
          <w:p w14:paraId="25CE0827" w14:textId="2CA9FACE" w:rsidR="00EA2C65" w:rsidRPr="00B148F9" w:rsidRDefault="00E83D57" w:rsidP="00EA2C65">
            <w:pPr>
              <w:pStyle w:val="BodyText"/>
              <w:spacing w:after="0"/>
              <w:jc w:val="right"/>
              <w:rPr>
                <w:rFonts w:cs="Arial"/>
                <w:bCs/>
                <w:lang w:eastAsia="en-GB"/>
              </w:rPr>
            </w:pPr>
            <w:r w:rsidRPr="00B148F9">
              <w:rPr>
                <w:rFonts w:cs="Arial"/>
                <w:bCs/>
                <w:lang w:eastAsia="en-GB"/>
              </w:rPr>
              <w:t>0.31</w:t>
            </w:r>
          </w:p>
        </w:tc>
        <w:tc>
          <w:tcPr>
            <w:tcW w:w="1554" w:type="dxa"/>
          </w:tcPr>
          <w:p w14:paraId="6C1B74EA" w14:textId="7E499EDB" w:rsidR="00EA2C65" w:rsidRPr="00B148F9" w:rsidRDefault="004D33E1" w:rsidP="00EA2C65">
            <w:pPr>
              <w:pStyle w:val="BodyText"/>
              <w:spacing w:after="0"/>
              <w:jc w:val="right"/>
              <w:rPr>
                <w:rFonts w:cs="Arial"/>
                <w:bCs/>
                <w:lang w:eastAsia="en-GB"/>
              </w:rPr>
            </w:pPr>
            <w:r w:rsidRPr="00B148F9">
              <w:rPr>
                <w:rFonts w:cs="Arial"/>
                <w:bCs/>
                <w:lang w:eastAsia="en-GB"/>
              </w:rPr>
              <w:t>n/a</w:t>
            </w:r>
          </w:p>
        </w:tc>
      </w:tr>
    </w:tbl>
    <w:p w14:paraId="0D3A57FF" w14:textId="44CBCE18" w:rsidR="00AE1437" w:rsidRPr="00B148F9" w:rsidRDefault="00AE1437" w:rsidP="00E1723A">
      <w:pPr>
        <w:rPr>
          <w:b/>
        </w:rPr>
      </w:pPr>
    </w:p>
    <w:p w14:paraId="540D90CF" w14:textId="3407ABF9" w:rsidR="00E1723A" w:rsidRPr="00B148F9" w:rsidRDefault="00E1723A" w:rsidP="00E1723A">
      <w:pPr>
        <w:rPr>
          <w:b/>
          <w:i/>
        </w:rPr>
      </w:pPr>
      <w:r w:rsidRPr="00B148F9">
        <w:rPr>
          <w:b/>
        </w:rPr>
        <w:t>Committees of the Board</w:t>
      </w:r>
    </w:p>
    <w:p w14:paraId="27794285" w14:textId="77777777" w:rsidR="00E1723A" w:rsidRPr="00B148F9" w:rsidRDefault="00E1723A" w:rsidP="00E1723A"/>
    <w:p w14:paraId="71F9C2AD" w14:textId="77777777" w:rsidR="00E1723A" w:rsidRPr="00B148F9" w:rsidRDefault="003D0C18" w:rsidP="00E1723A">
      <w:r w:rsidRPr="00B148F9">
        <w:rPr>
          <w:b/>
        </w:rPr>
        <w:t>Audit C</w:t>
      </w:r>
      <w:r w:rsidR="00E1723A" w:rsidRPr="00B148F9">
        <w:rPr>
          <w:b/>
        </w:rPr>
        <w:t>ommittee</w:t>
      </w:r>
    </w:p>
    <w:p w14:paraId="15AE694D" w14:textId="7FC5AFA1" w:rsidR="00E1723A" w:rsidRPr="00B148F9" w:rsidRDefault="00E1723A" w:rsidP="00E1723A">
      <w:pPr>
        <w:autoSpaceDE w:val="0"/>
        <w:autoSpaceDN w:val="0"/>
        <w:adjustRightInd w:val="0"/>
      </w:pPr>
      <w:r w:rsidRPr="00B148F9">
        <w:t xml:space="preserve">The Company has an Audit Committee with formally delegated duties and responsibilities within written terms of reference. Further information on the Audit Committee is included in the Report of the Audit Committee </w:t>
      </w:r>
      <w:r w:rsidR="00D502F5">
        <w:t>below.</w:t>
      </w:r>
    </w:p>
    <w:p w14:paraId="5952B734" w14:textId="77777777" w:rsidR="004D33E1" w:rsidRPr="00B148F9" w:rsidRDefault="004D33E1" w:rsidP="00E1723A">
      <w:pPr>
        <w:autoSpaceDE w:val="0"/>
        <w:autoSpaceDN w:val="0"/>
        <w:adjustRightInd w:val="0"/>
      </w:pPr>
    </w:p>
    <w:p w14:paraId="6899F8AF" w14:textId="4C8693AF" w:rsidR="008D7DE5" w:rsidRPr="00B148F9" w:rsidRDefault="00E1723A" w:rsidP="00E1723A">
      <w:pPr>
        <w:rPr>
          <w:rFonts w:cs="Arial"/>
          <w:b/>
          <w:bCs/>
        </w:rPr>
      </w:pPr>
      <w:bookmarkStart w:id="1" w:name="OLE_LINK7"/>
      <w:bookmarkStart w:id="2" w:name="OLE_LINK8"/>
      <w:r w:rsidRPr="00B148F9">
        <w:rPr>
          <w:rFonts w:cs="Arial"/>
          <w:b/>
          <w:bCs/>
        </w:rPr>
        <w:t xml:space="preserve">Management Engagement </w:t>
      </w:r>
      <w:r w:rsidR="008D7DE5" w:rsidRPr="00B148F9">
        <w:rPr>
          <w:rFonts w:cs="Arial"/>
          <w:b/>
          <w:bCs/>
        </w:rPr>
        <w:t xml:space="preserve">Committee </w:t>
      </w:r>
    </w:p>
    <w:p w14:paraId="1FFD7751" w14:textId="458DE85E" w:rsidR="008D7DE5" w:rsidRPr="00B148F9" w:rsidRDefault="008D7DE5" w:rsidP="008D7DE5">
      <w:pPr>
        <w:rPr>
          <w:rFonts w:cs="Arial"/>
        </w:rPr>
      </w:pPr>
      <w:r w:rsidRPr="00B148F9">
        <w:rPr>
          <w:rFonts w:cs="Arial"/>
        </w:rPr>
        <w:t xml:space="preserve">The Management Engagement Committee is chaired by William Simpson. The committee currently consists of William Simpson, </w:t>
      </w:r>
      <w:r w:rsidR="00096796" w:rsidRPr="00B148F9">
        <w:rPr>
          <w:rFonts w:cs="Arial"/>
        </w:rPr>
        <w:t>William</w:t>
      </w:r>
      <w:r w:rsidRPr="00B148F9">
        <w:rPr>
          <w:rFonts w:cs="Arial"/>
        </w:rPr>
        <w:t xml:space="preserve"> Scott and Paul Le Page. The Management Engagement Committee meets at least once a year pursuant to its terms of reference which </w:t>
      </w:r>
      <w:r w:rsidR="00434863" w:rsidRPr="00B148F9">
        <w:rPr>
          <w:rFonts w:cs="Arial"/>
        </w:rPr>
        <w:t xml:space="preserve">will be made </w:t>
      </w:r>
      <w:r w:rsidRPr="00B148F9">
        <w:rPr>
          <w:rFonts w:cs="Arial"/>
        </w:rPr>
        <w:t xml:space="preserve">available on the Company’s website </w:t>
      </w:r>
      <w:hyperlink r:id="rId345" w:history="1">
        <w:r w:rsidRPr="00B148F9">
          <w:rPr>
            <w:rStyle w:val="Hyperlink"/>
          </w:rPr>
          <w:t>www.rtwfunds.com/venture-fund</w:t>
        </w:r>
      </w:hyperlink>
      <w:r w:rsidRPr="00251CF4">
        <w:t xml:space="preserve">. </w:t>
      </w:r>
    </w:p>
    <w:p w14:paraId="05AB7A9D" w14:textId="6137C106" w:rsidR="008D7DE5" w:rsidRPr="00B148F9" w:rsidRDefault="008D7DE5" w:rsidP="00E1723A">
      <w:pPr>
        <w:rPr>
          <w:rFonts w:cs="Arial"/>
          <w:bCs/>
        </w:rPr>
      </w:pPr>
    </w:p>
    <w:p w14:paraId="32F4DA9F" w14:textId="201EF71A" w:rsidR="00F602EA" w:rsidRPr="00B148F9" w:rsidRDefault="00F602EA" w:rsidP="00F602EA">
      <w:pPr>
        <w:rPr>
          <w:rFonts w:cs="Arial"/>
          <w:bCs/>
        </w:rPr>
      </w:pPr>
      <w:r w:rsidRPr="00B148F9">
        <w:rPr>
          <w:rFonts w:cs="Arial"/>
        </w:rPr>
        <w:t xml:space="preserve">The Management Engagement Committee provides a formal mechanism for the review of the performance of the Company’s advisors, including the Investment Manager. It carries out this review through consideration of a number of objective and subjective criteria and through a review of the terms and conditions of the advisors’ appointments with the aim of evaluating </w:t>
      </w:r>
      <w:r w:rsidRPr="00B148F9">
        <w:rPr>
          <w:rFonts w:cs="Arial"/>
        </w:rPr>
        <w:lastRenderedPageBreak/>
        <w:t>performance, identifying any weaknesses and ensuring value for money for the Company’s shareholders.</w:t>
      </w:r>
    </w:p>
    <w:p w14:paraId="10BC4AC0" w14:textId="77777777" w:rsidR="008D7DE5" w:rsidRPr="00B148F9" w:rsidRDefault="008D7DE5" w:rsidP="00E1723A">
      <w:pPr>
        <w:rPr>
          <w:rFonts w:cs="Arial"/>
          <w:b/>
          <w:bCs/>
        </w:rPr>
      </w:pPr>
    </w:p>
    <w:p w14:paraId="2DCE57AC" w14:textId="6CA46023" w:rsidR="00E1723A" w:rsidRPr="00B148F9" w:rsidRDefault="00E1723A" w:rsidP="00E1723A">
      <w:pPr>
        <w:rPr>
          <w:rFonts w:cs="Arial"/>
          <w:b/>
          <w:bCs/>
        </w:rPr>
      </w:pPr>
      <w:r w:rsidRPr="00B148F9">
        <w:rPr>
          <w:rFonts w:cs="Arial"/>
          <w:b/>
          <w:bCs/>
        </w:rPr>
        <w:t>Nomination and Remuneration</w:t>
      </w:r>
      <w:r w:rsidR="008D7DE5" w:rsidRPr="00B148F9">
        <w:rPr>
          <w:rFonts w:cs="Arial"/>
          <w:b/>
          <w:bCs/>
        </w:rPr>
        <w:t xml:space="preserve"> Committee</w:t>
      </w:r>
    </w:p>
    <w:bookmarkEnd w:id="1"/>
    <w:bookmarkEnd w:id="2"/>
    <w:p w14:paraId="1EC29307" w14:textId="7ED352E2" w:rsidR="00F602EA" w:rsidRPr="00251CF4" w:rsidRDefault="00F602EA" w:rsidP="00E1723A">
      <w:r w:rsidRPr="00B148F9">
        <w:rPr>
          <w:rFonts w:cs="Arial"/>
        </w:rPr>
        <w:t xml:space="preserve">The Nomination and Remuneration Committee is chaired by </w:t>
      </w:r>
      <w:r w:rsidR="00096796" w:rsidRPr="00B148F9">
        <w:rPr>
          <w:rFonts w:cs="Arial"/>
        </w:rPr>
        <w:t>William</w:t>
      </w:r>
      <w:r w:rsidRPr="00B148F9">
        <w:rPr>
          <w:rFonts w:cs="Arial"/>
        </w:rPr>
        <w:t xml:space="preserve"> Scott. The committee currently consists of </w:t>
      </w:r>
      <w:r w:rsidR="00096796" w:rsidRPr="00B148F9">
        <w:rPr>
          <w:rFonts w:cs="Arial"/>
        </w:rPr>
        <w:t>William</w:t>
      </w:r>
      <w:r w:rsidRPr="00B148F9">
        <w:rPr>
          <w:rFonts w:cs="Arial"/>
        </w:rPr>
        <w:t xml:space="preserve"> Scott, William Simpson and Paul Le Page. The Nomination and Remuneration Committee meets at least once a year pursuant to its terms of reference which </w:t>
      </w:r>
      <w:r w:rsidR="00434863" w:rsidRPr="00B148F9">
        <w:rPr>
          <w:rFonts w:cs="Arial"/>
        </w:rPr>
        <w:t xml:space="preserve">will be made </w:t>
      </w:r>
      <w:r w:rsidRPr="00B148F9">
        <w:rPr>
          <w:rFonts w:cs="Arial"/>
        </w:rPr>
        <w:t xml:space="preserve">available on the Company’s website </w:t>
      </w:r>
      <w:hyperlink r:id="rId346" w:history="1">
        <w:r w:rsidRPr="00B148F9">
          <w:rPr>
            <w:rStyle w:val="Hyperlink"/>
          </w:rPr>
          <w:t>www.rtwfunds.com/venture-fund</w:t>
        </w:r>
      </w:hyperlink>
      <w:r w:rsidRPr="00251CF4">
        <w:t xml:space="preserve">. </w:t>
      </w:r>
    </w:p>
    <w:p w14:paraId="182B700F" w14:textId="77777777" w:rsidR="00E1723A" w:rsidRPr="00B148F9" w:rsidRDefault="00E1723A" w:rsidP="00E1723A">
      <w:pPr>
        <w:rPr>
          <w:rFonts w:cs="Arial"/>
        </w:rPr>
      </w:pPr>
    </w:p>
    <w:p w14:paraId="3EDDA524" w14:textId="1620BF18" w:rsidR="00F602EA" w:rsidRPr="00B148F9" w:rsidRDefault="00F602EA" w:rsidP="00DE3E70">
      <w:pPr>
        <w:rPr>
          <w:rFonts w:cs="Arial"/>
        </w:rPr>
      </w:pPr>
      <w:r w:rsidRPr="00B148F9">
        <w:rPr>
          <w:rFonts w:cs="Arial"/>
        </w:rPr>
        <w:t>Regarding nomination, the Nomination and Remuneration Committee’s remit is to review regularly the structure, size and composition of the Board, to give full consideration to succession planning for Directors, to keep under review the leadership needs of the Company and be responsible for identifying and nominating for the approval of the Board, candidates to fill Board vacancies as and when they arise. The Board believes that, as a whole, it comprises an appropriate balance of skills, experience and knowledge. The Board also believes that diversity of experience and approach, including gender diversity, amongst Board members is of great importance and it is the Company’s policy to give careful consideration to issues of Board balance and diversity when making new appointments.</w:t>
      </w:r>
      <w:r w:rsidRPr="00B148F9" w:rsidDel="00F602EA">
        <w:rPr>
          <w:rFonts w:cs="Arial"/>
        </w:rPr>
        <w:t xml:space="preserve"> </w:t>
      </w:r>
    </w:p>
    <w:p w14:paraId="014FAC9B" w14:textId="7BD46315" w:rsidR="00F602EA" w:rsidRPr="00B148F9" w:rsidRDefault="00F602EA" w:rsidP="00DE3E70">
      <w:pPr>
        <w:rPr>
          <w:rFonts w:cs="Arial"/>
        </w:rPr>
      </w:pPr>
    </w:p>
    <w:p w14:paraId="1DEA04B5" w14:textId="6DF94FA1" w:rsidR="00F602EA" w:rsidRPr="00B148F9" w:rsidRDefault="00F602EA" w:rsidP="00DE3E70">
      <w:pPr>
        <w:rPr>
          <w:rFonts w:cs="Arial"/>
        </w:rPr>
      </w:pPr>
      <w:r w:rsidRPr="00B148F9">
        <w:rPr>
          <w:rFonts w:cs="Arial"/>
        </w:rPr>
        <w:t>Regarding remuneration, the Nomination and Remuneration Committee determines and agrees with the Board the remuneration of the Company’s Chairman and non-executive Directors and in determining such remuneration, takes into account all factors which it deems necessary including any relevant legal requirements, the provisions and recommendations in the AIC Code, the Listing Rules and associated guidance.</w:t>
      </w:r>
    </w:p>
    <w:p w14:paraId="011006DB" w14:textId="42736687" w:rsidR="001E3527" w:rsidRPr="00B148F9" w:rsidRDefault="001E3527" w:rsidP="00E1723A">
      <w:pPr>
        <w:pStyle w:val="ListBullet1"/>
        <w:numPr>
          <w:ilvl w:val="0"/>
          <w:numId w:val="0"/>
        </w:numPr>
        <w:spacing w:after="0"/>
      </w:pPr>
    </w:p>
    <w:p w14:paraId="0B193FC2" w14:textId="77777777" w:rsidR="00E1723A" w:rsidRPr="00B148F9" w:rsidRDefault="00BC72FB" w:rsidP="00E1723A">
      <w:pPr>
        <w:pStyle w:val="ListBullet1"/>
        <w:numPr>
          <w:ilvl w:val="0"/>
          <w:numId w:val="0"/>
        </w:numPr>
        <w:spacing w:after="0"/>
        <w:rPr>
          <w:rStyle w:val="aag"/>
          <w:sz w:val="20"/>
        </w:rPr>
      </w:pPr>
      <w:r w:rsidRPr="00B148F9">
        <w:rPr>
          <w:rStyle w:val="aag"/>
          <w:b/>
          <w:sz w:val="20"/>
        </w:rPr>
        <w:t xml:space="preserve">Board </w:t>
      </w:r>
      <w:r w:rsidR="000A54D1" w:rsidRPr="00B148F9">
        <w:rPr>
          <w:rStyle w:val="aag"/>
          <w:b/>
          <w:sz w:val="20"/>
        </w:rPr>
        <w:t>performance and e</w:t>
      </w:r>
      <w:r w:rsidR="00E1723A" w:rsidRPr="00B148F9">
        <w:rPr>
          <w:rStyle w:val="aag"/>
          <w:b/>
          <w:sz w:val="20"/>
        </w:rPr>
        <w:t>valuation</w:t>
      </w:r>
    </w:p>
    <w:p w14:paraId="45610DC7" w14:textId="466C6BE2" w:rsidR="00F71A4D" w:rsidRPr="00B148F9" w:rsidRDefault="00E1723A" w:rsidP="00E1723A">
      <w:pPr>
        <w:pStyle w:val="ListBullet1"/>
        <w:numPr>
          <w:ilvl w:val="0"/>
          <w:numId w:val="0"/>
        </w:numPr>
        <w:spacing w:after="0"/>
        <w:rPr>
          <w:sz w:val="20"/>
        </w:rPr>
      </w:pPr>
      <w:r w:rsidRPr="00B148F9">
        <w:rPr>
          <w:rStyle w:val="aag"/>
          <w:sz w:val="20"/>
        </w:rPr>
        <w:t>In accordance with Pr</w:t>
      </w:r>
      <w:r w:rsidR="002A2342" w:rsidRPr="00B148F9">
        <w:rPr>
          <w:rStyle w:val="aag"/>
          <w:sz w:val="20"/>
        </w:rPr>
        <w:t xml:space="preserve">ovision 26 </w:t>
      </w:r>
      <w:r w:rsidRPr="00B148F9">
        <w:rPr>
          <w:rStyle w:val="aag"/>
          <w:sz w:val="20"/>
        </w:rPr>
        <w:t xml:space="preserve">of the AIC Code, the Board is required to undertake a formal and rigorous evaluation of its performance on an annual basis. Such an evaluation of the performance of the Board as a whole and the Chairman </w:t>
      </w:r>
      <w:r w:rsidR="00D82019" w:rsidRPr="00B148F9">
        <w:rPr>
          <w:rStyle w:val="aag"/>
          <w:sz w:val="20"/>
        </w:rPr>
        <w:t xml:space="preserve">will be </w:t>
      </w:r>
      <w:r w:rsidRPr="00B148F9">
        <w:rPr>
          <w:rStyle w:val="aag"/>
          <w:sz w:val="20"/>
        </w:rPr>
        <w:t xml:space="preserve">carried out under the mandate of the </w:t>
      </w:r>
      <w:r w:rsidR="009936B3" w:rsidRPr="00B148F9">
        <w:rPr>
          <w:rStyle w:val="aag"/>
          <w:sz w:val="20"/>
        </w:rPr>
        <w:t>Board</w:t>
      </w:r>
      <w:r w:rsidRPr="00B148F9">
        <w:rPr>
          <w:rStyle w:val="aag"/>
          <w:sz w:val="20"/>
        </w:rPr>
        <w:t xml:space="preserve"> and in the form of self-appraisal questionnaires and a detailed discussion </w:t>
      </w:r>
      <w:r w:rsidR="002A2342" w:rsidRPr="00B148F9">
        <w:rPr>
          <w:rStyle w:val="aag"/>
          <w:sz w:val="20"/>
        </w:rPr>
        <w:t>to determine effectiveness and performance in various areas as well as the Directors’ continued independence</w:t>
      </w:r>
      <w:r w:rsidRPr="00B148F9">
        <w:rPr>
          <w:rStyle w:val="aag"/>
          <w:sz w:val="20"/>
        </w:rPr>
        <w:t xml:space="preserve">. </w:t>
      </w:r>
      <w:r w:rsidRPr="00B148F9">
        <w:rPr>
          <w:sz w:val="20"/>
        </w:rPr>
        <w:t>The Directors believe that the current mix of skills, experience, ages and length of service of the Directors is appropriate to the requirements of the Company. With any new director appointment to the Board, induction</w:t>
      </w:r>
      <w:r w:rsidR="00B12A67" w:rsidRPr="00B148F9">
        <w:rPr>
          <w:sz w:val="20"/>
        </w:rPr>
        <w:t xml:space="preserve"> training</w:t>
      </w:r>
      <w:r w:rsidRPr="00B148F9">
        <w:rPr>
          <w:sz w:val="20"/>
        </w:rPr>
        <w:t xml:space="preserve"> </w:t>
      </w:r>
      <w:r w:rsidR="00B12A67" w:rsidRPr="00B148F9">
        <w:rPr>
          <w:sz w:val="20"/>
        </w:rPr>
        <w:t>will be provided</w:t>
      </w:r>
      <w:r w:rsidR="0037603F" w:rsidRPr="00B148F9">
        <w:rPr>
          <w:sz w:val="20"/>
        </w:rPr>
        <w:t>.</w:t>
      </w:r>
    </w:p>
    <w:p w14:paraId="07C08C84" w14:textId="6A94A78A" w:rsidR="00E1723A" w:rsidRPr="00B148F9" w:rsidRDefault="00E1723A" w:rsidP="00E1723A"/>
    <w:p w14:paraId="00DB5051" w14:textId="77777777" w:rsidR="00E1723A" w:rsidRPr="00B148F9" w:rsidRDefault="000A54D1" w:rsidP="00E1723A">
      <w:pPr>
        <w:rPr>
          <w:b/>
        </w:rPr>
      </w:pPr>
      <w:r w:rsidRPr="00B148F9">
        <w:rPr>
          <w:b/>
        </w:rPr>
        <w:t>Internal c</w:t>
      </w:r>
      <w:r w:rsidR="00E1723A" w:rsidRPr="00B148F9">
        <w:rPr>
          <w:b/>
        </w:rPr>
        <w:t xml:space="preserve">ontrol and </w:t>
      </w:r>
      <w:r w:rsidRPr="00B148F9">
        <w:rPr>
          <w:b/>
        </w:rPr>
        <w:t>financial r</w:t>
      </w:r>
      <w:r w:rsidR="00E1723A" w:rsidRPr="00B148F9">
        <w:rPr>
          <w:b/>
        </w:rPr>
        <w:t>eporting</w:t>
      </w:r>
    </w:p>
    <w:p w14:paraId="78A4D4EA" w14:textId="77777777" w:rsidR="00E1723A" w:rsidRPr="00B148F9" w:rsidRDefault="00E1723A" w:rsidP="00E1723A">
      <w:pPr>
        <w:rPr>
          <w:rFonts w:cs="Arial"/>
        </w:rPr>
      </w:pPr>
      <w:r w:rsidRPr="00B148F9">
        <w:rPr>
          <w:rFonts w:cs="Arial"/>
        </w:rPr>
        <w:t xml:space="preserve">The Directors acknowledge that they are responsible for establishing and maintaining the Company’s system of internal control and reviewing its effectiveness. Internal control systems are designed to manage rather than eliminate the failure to achieve business objectives and can only provide reasonable but not absolute assurance against material misstatements or loss. The Directors review all controls including operations, compliance and risk management. The key procedures which have been established to provide internal control are: </w:t>
      </w:r>
    </w:p>
    <w:p w14:paraId="66891CA1" w14:textId="77777777" w:rsidR="00E1723A" w:rsidRPr="00B148F9" w:rsidRDefault="00E1723A" w:rsidP="00E1723A">
      <w:pPr>
        <w:pStyle w:val="Default"/>
        <w:rPr>
          <w:rFonts w:ascii="Century Gothic" w:hAnsi="Century Gothic"/>
          <w:sz w:val="20"/>
          <w:szCs w:val="20"/>
          <w:lang w:val="en-GB"/>
        </w:rPr>
      </w:pPr>
    </w:p>
    <w:p w14:paraId="351C2907" w14:textId="55546228" w:rsidR="00E1723A" w:rsidRPr="00B148F9" w:rsidRDefault="00E1723A" w:rsidP="001A0AB2">
      <w:pPr>
        <w:pStyle w:val="Default"/>
        <w:numPr>
          <w:ilvl w:val="0"/>
          <w:numId w:val="3"/>
        </w:numPr>
        <w:ind w:left="426" w:hanging="426"/>
        <w:jc w:val="both"/>
        <w:rPr>
          <w:rFonts w:ascii="Century Gothic" w:hAnsi="Century Gothic"/>
          <w:sz w:val="20"/>
          <w:szCs w:val="20"/>
          <w:lang w:val="en-GB"/>
        </w:rPr>
      </w:pPr>
      <w:r w:rsidRPr="00B148F9">
        <w:rPr>
          <w:rFonts w:ascii="Century Gothic" w:hAnsi="Century Gothic"/>
          <w:sz w:val="20"/>
          <w:szCs w:val="20"/>
          <w:lang w:val="en-GB"/>
        </w:rPr>
        <w:t xml:space="preserve">The Board monitors the actions of the </w:t>
      </w:r>
      <w:r w:rsidR="0037603F" w:rsidRPr="00B148F9">
        <w:rPr>
          <w:rFonts w:ascii="Century Gothic" w:hAnsi="Century Gothic"/>
          <w:sz w:val="20"/>
          <w:szCs w:val="20"/>
          <w:lang w:val="en-GB"/>
        </w:rPr>
        <w:t>Company</w:t>
      </w:r>
      <w:r w:rsidRPr="00B148F9">
        <w:rPr>
          <w:rFonts w:ascii="Century Gothic" w:hAnsi="Century Gothic"/>
          <w:sz w:val="20"/>
          <w:szCs w:val="20"/>
          <w:lang w:val="en-GB"/>
        </w:rPr>
        <w:t xml:space="preserve"> and undertakings of </w:t>
      </w:r>
      <w:r w:rsidR="00167043" w:rsidRPr="00B148F9">
        <w:rPr>
          <w:rFonts w:ascii="Century Gothic" w:hAnsi="Century Gothic"/>
          <w:sz w:val="20"/>
          <w:szCs w:val="20"/>
          <w:lang w:val="en-GB"/>
        </w:rPr>
        <w:t xml:space="preserve">any external consultant as appointed by the </w:t>
      </w:r>
      <w:r w:rsidR="0037603F" w:rsidRPr="00B148F9">
        <w:rPr>
          <w:rFonts w:ascii="Century Gothic" w:hAnsi="Century Gothic"/>
          <w:sz w:val="20"/>
          <w:szCs w:val="20"/>
          <w:lang w:val="en-GB"/>
        </w:rPr>
        <w:t xml:space="preserve">Company </w:t>
      </w:r>
      <w:r w:rsidRPr="00B148F9">
        <w:rPr>
          <w:rFonts w:ascii="Century Gothic" w:hAnsi="Century Gothic"/>
          <w:sz w:val="20"/>
          <w:szCs w:val="20"/>
          <w:lang w:val="en-GB"/>
        </w:rPr>
        <w:t xml:space="preserve">at regular </w:t>
      </w:r>
      <w:r w:rsidR="009B6487" w:rsidRPr="00B148F9">
        <w:rPr>
          <w:rFonts w:ascii="Century Gothic" w:hAnsi="Century Gothic"/>
          <w:sz w:val="20"/>
          <w:szCs w:val="20"/>
          <w:lang w:val="en-GB"/>
        </w:rPr>
        <w:t>B</w:t>
      </w:r>
      <w:r w:rsidRPr="00B148F9">
        <w:rPr>
          <w:rFonts w:ascii="Century Gothic" w:hAnsi="Century Gothic"/>
          <w:sz w:val="20"/>
          <w:szCs w:val="20"/>
          <w:lang w:val="en-GB"/>
        </w:rPr>
        <w:t>oard meetings and is given frequent updates on developments arising from the operations and strategic direction of the underlying investee companies. The Board has also delegated administration and company secretarial services to the Administrator; however, it retains accountability for all functions it delegates.</w:t>
      </w:r>
    </w:p>
    <w:p w14:paraId="145EB189" w14:textId="77777777" w:rsidR="00E1723A" w:rsidRPr="00B148F9" w:rsidRDefault="00E1723A" w:rsidP="00E1723A">
      <w:pPr>
        <w:pStyle w:val="Default"/>
        <w:ind w:left="426"/>
        <w:jc w:val="both"/>
        <w:rPr>
          <w:rFonts w:ascii="Century Gothic" w:hAnsi="Century Gothic"/>
          <w:sz w:val="20"/>
          <w:szCs w:val="20"/>
          <w:lang w:val="en-GB"/>
        </w:rPr>
      </w:pPr>
    </w:p>
    <w:p w14:paraId="0FCD8CE5" w14:textId="031B6C2F" w:rsidR="00E1723A" w:rsidRPr="00B148F9" w:rsidRDefault="00E1723A" w:rsidP="001A0AB2">
      <w:pPr>
        <w:pStyle w:val="Default"/>
        <w:numPr>
          <w:ilvl w:val="0"/>
          <w:numId w:val="3"/>
        </w:numPr>
        <w:ind w:left="426" w:hanging="426"/>
        <w:jc w:val="both"/>
        <w:rPr>
          <w:rFonts w:ascii="Century Gothic" w:hAnsi="Century Gothic"/>
          <w:sz w:val="20"/>
          <w:szCs w:val="20"/>
          <w:lang w:val="en-GB"/>
        </w:rPr>
      </w:pPr>
      <w:r w:rsidRPr="00B148F9">
        <w:rPr>
          <w:rFonts w:ascii="Century Gothic" w:hAnsi="Century Gothic"/>
          <w:sz w:val="20"/>
          <w:szCs w:val="20"/>
          <w:lang w:val="en-GB"/>
        </w:rPr>
        <w:t>The Board clearly defines the duties and responsibilities of the Company’s agents and advisors and appointments are made by the Board after due and careful consideration. The Board monitors the ongoing performance of such agents and advisors and will continue to do so</w:t>
      </w:r>
      <w:r w:rsidR="00A83775" w:rsidRPr="00B148F9">
        <w:rPr>
          <w:rFonts w:ascii="Century Gothic" w:hAnsi="Century Gothic"/>
          <w:sz w:val="20"/>
          <w:szCs w:val="20"/>
          <w:lang w:val="en-GB"/>
        </w:rPr>
        <w:t>.</w:t>
      </w:r>
    </w:p>
    <w:p w14:paraId="5BA2E28A" w14:textId="77777777" w:rsidR="00E1723A" w:rsidRPr="00B148F9" w:rsidRDefault="00E1723A" w:rsidP="00E1723A">
      <w:pPr>
        <w:pStyle w:val="Default"/>
        <w:ind w:left="426"/>
        <w:jc w:val="both"/>
        <w:rPr>
          <w:rFonts w:ascii="Century Gothic" w:hAnsi="Century Gothic"/>
          <w:sz w:val="20"/>
          <w:szCs w:val="20"/>
          <w:lang w:val="en-GB"/>
        </w:rPr>
      </w:pPr>
    </w:p>
    <w:p w14:paraId="12D9AE90" w14:textId="436D6349" w:rsidR="00E1723A" w:rsidRPr="00B148F9" w:rsidRDefault="00E1723A" w:rsidP="001A0AB2">
      <w:pPr>
        <w:pStyle w:val="Default"/>
        <w:numPr>
          <w:ilvl w:val="0"/>
          <w:numId w:val="3"/>
        </w:numPr>
        <w:ind w:left="426" w:hanging="426"/>
        <w:jc w:val="both"/>
        <w:rPr>
          <w:rFonts w:ascii="Century Gothic" w:hAnsi="Century Gothic"/>
          <w:sz w:val="20"/>
          <w:szCs w:val="20"/>
          <w:lang w:val="en-GB"/>
        </w:rPr>
      </w:pPr>
      <w:r w:rsidRPr="00B148F9">
        <w:rPr>
          <w:rFonts w:ascii="Century Gothic" w:hAnsi="Century Gothic"/>
          <w:sz w:val="20"/>
          <w:szCs w:val="20"/>
          <w:lang w:val="en-GB"/>
        </w:rPr>
        <w:t>The Administrator maintain</w:t>
      </w:r>
      <w:r w:rsidR="00A83775" w:rsidRPr="00B148F9">
        <w:rPr>
          <w:rFonts w:ascii="Century Gothic" w:hAnsi="Century Gothic"/>
          <w:sz w:val="20"/>
          <w:szCs w:val="20"/>
          <w:lang w:val="en-GB"/>
        </w:rPr>
        <w:t>s</w:t>
      </w:r>
      <w:r w:rsidRPr="00B148F9">
        <w:rPr>
          <w:rFonts w:ascii="Century Gothic" w:hAnsi="Century Gothic"/>
          <w:sz w:val="20"/>
          <w:szCs w:val="20"/>
          <w:lang w:val="en-GB"/>
        </w:rPr>
        <w:t xml:space="preserve"> a system of internal control on which they report to the Board. The Board has reviewed the need for an internal audit function and has decided that the systems and procedures employed by </w:t>
      </w:r>
      <w:r w:rsidR="00A83775" w:rsidRPr="00B148F9">
        <w:rPr>
          <w:rFonts w:ascii="Century Gothic" w:hAnsi="Century Gothic"/>
          <w:sz w:val="20"/>
          <w:szCs w:val="20"/>
          <w:lang w:val="en-GB"/>
        </w:rPr>
        <w:t>the</w:t>
      </w:r>
      <w:r w:rsidRPr="00B148F9">
        <w:rPr>
          <w:rFonts w:ascii="Century Gothic" w:hAnsi="Century Gothic"/>
          <w:sz w:val="20"/>
          <w:szCs w:val="20"/>
          <w:lang w:val="en-GB"/>
        </w:rPr>
        <w:t xml:space="preserve"> Administrato</w:t>
      </w:r>
      <w:r w:rsidR="00A83775" w:rsidRPr="00B148F9">
        <w:rPr>
          <w:rFonts w:ascii="Century Gothic" w:hAnsi="Century Gothic"/>
          <w:sz w:val="20"/>
          <w:szCs w:val="20"/>
          <w:lang w:val="en-GB"/>
        </w:rPr>
        <w:t xml:space="preserve">r </w:t>
      </w:r>
      <w:r w:rsidRPr="00B148F9">
        <w:rPr>
          <w:rFonts w:ascii="Century Gothic" w:hAnsi="Century Gothic"/>
          <w:sz w:val="20"/>
          <w:szCs w:val="20"/>
          <w:lang w:val="en-GB"/>
        </w:rPr>
        <w:t xml:space="preserve">provide sufficient assurance that a sound system of risk management and internal control, which safeguards shareholders' investment and the Company's assets, is maintained. An internal audit function specific to the Company is therefore considered unnecessary. </w:t>
      </w:r>
    </w:p>
    <w:p w14:paraId="440A8967" w14:textId="77777777" w:rsidR="00E1723A" w:rsidRPr="00B148F9" w:rsidRDefault="00E1723A" w:rsidP="00E1723A">
      <w:pPr>
        <w:pStyle w:val="Default"/>
        <w:jc w:val="both"/>
        <w:rPr>
          <w:rFonts w:ascii="Century Gothic" w:hAnsi="Century Gothic"/>
          <w:sz w:val="20"/>
          <w:szCs w:val="20"/>
          <w:lang w:val="en-GB"/>
        </w:rPr>
      </w:pPr>
    </w:p>
    <w:p w14:paraId="63460C02" w14:textId="77777777" w:rsidR="007F5BE2" w:rsidRPr="00B148F9" w:rsidRDefault="00E1723A" w:rsidP="00E1723A">
      <w:r w:rsidRPr="00B148F9">
        <w:lastRenderedPageBreak/>
        <w:t xml:space="preserve">The systems of control referred to above are designed to ensure effectiveness and efficient operation, internal control and compliance with laws and regulations. In establishing the systems of internal control, regard is paid to the materiality of relevant risks, the likelihood of costs being incurred and costs of control. </w:t>
      </w:r>
    </w:p>
    <w:p w14:paraId="11478F88" w14:textId="77777777" w:rsidR="00E1723A" w:rsidRPr="00B148F9" w:rsidRDefault="00E1723A" w:rsidP="00E1723A"/>
    <w:p w14:paraId="015A0FFA" w14:textId="77777777" w:rsidR="00E1723A" w:rsidRPr="00B148F9" w:rsidRDefault="00BC72FB" w:rsidP="00E1723A">
      <w:pPr>
        <w:rPr>
          <w:rFonts w:cs="Arial"/>
        </w:rPr>
      </w:pPr>
      <w:r w:rsidRPr="00B148F9">
        <w:rPr>
          <w:b/>
        </w:rPr>
        <w:t xml:space="preserve">Relations </w:t>
      </w:r>
      <w:r w:rsidR="00E1723A" w:rsidRPr="00B148F9">
        <w:rPr>
          <w:b/>
        </w:rPr>
        <w:t xml:space="preserve">with </w:t>
      </w:r>
      <w:r w:rsidR="000A54D1" w:rsidRPr="00B148F9">
        <w:rPr>
          <w:b/>
        </w:rPr>
        <w:t>S</w:t>
      </w:r>
      <w:r w:rsidR="00E1723A" w:rsidRPr="00B148F9">
        <w:rPr>
          <w:b/>
        </w:rPr>
        <w:t>hareholders</w:t>
      </w:r>
    </w:p>
    <w:p w14:paraId="7723ACCE" w14:textId="07F477C8" w:rsidR="00E1723A" w:rsidRPr="00B148F9" w:rsidRDefault="00E1723A" w:rsidP="00E1723A">
      <w:pPr>
        <w:rPr>
          <w:rFonts w:cs="Arial"/>
          <w:b/>
        </w:rPr>
      </w:pPr>
      <w:r w:rsidRPr="00B148F9">
        <w:rPr>
          <w:rFonts w:cs="Arial"/>
        </w:rPr>
        <w:t xml:space="preserve">The Board welcomes </w:t>
      </w:r>
      <w:r w:rsidR="003D0C18" w:rsidRPr="00B148F9">
        <w:rPr>
          <w:rFonts w:cs="Arial"/>
        </w:rPr>
        <w:t>S</w:t>
      </w:r>
      <w:r w:rsidRPr="00B148F9">
        <w:rPr>
          <w:rFonts w:cs="Arial"/>
        </w:rPr>
        <w:t>hareholders' views and places great import</w:t>
      </w:r>
      <w:r w:rsidR="003D0C18" w:rsidRPr="00B148F9">
        <w:rPr>
          <w:rFonts w:cs="Arial"/>
        </w:rPr>
        <w:t>ance on communication with its S</w:t>
      </w:r>
      <w:r w:rsidRPr="00B148F9">
        <w:rPr>
          <w:rFonts w:cs="Arial"/>
        </w:rPr>
        <w:t xml:space="preserve">hareholders. The Company's </w:t>
      </w:r>
      <w:r w:rsidR="001D6D09" w:rsidRPr="00B148F9">
        <w:rPr>
          <w:rFonts w:cs="Arial"/>
        </w:rPr>
        <w:t>Annual G</w:t>
      </w:r>
      <w:r w:rsidRPr="00B148F9">
        <w:rPr>
          <w:rFonts w:cs="Arial"/>
        </w:rPr>
        <w:t xml:space="preserve">eneral </w:t>
      </w:r>
      <w:r w:rsidR="001D6D09" w:rsidRPr="00B148F9">
        <w:rPr>
          <w:rFonts w:cs="Arial"/>
        </w:rPr>
        <w:t>M</w:t>
      </w:r>
      <w:r w:rsidRPr="00B148F9">
        <w:rPr>
          <w:rFonts w:cs="Arial"/>
        </w:rPr>
        <w:t xml:space="preserve">eeting provides a forum for shareholders to meet and discuss issues with the Directors of the Company. The Chairman and other </w:t>
      </w:r>
      <w:r w:rsidR="00BC72FB" w:rsidRPr="00B148F9">
        <w:rPr>
          <w:rFonts w:cs="Arial"/>
        </w:rPr>
        <w:t>D</w:t>
      </w:r>
      <w:r w:rsidRPr="00B148F9">
        <w:rPr>
          <w:rFonts w:cs="Arial"/>
        </w:rPr>
        <w:t>irectors are also available to meet with shareholders at other times, if required. In addition, the Company maintains a website which contains comprehensive information (</w:t>
      </w:r>
      <w:r w:rsidR="00A83775" w:rsidRPr="00B148F9">
        <w:t>www.rtwfunds.com/venture-fund</w:t>
      </w:r>
      <w:r w:rsidRPr="00B148F9">
        <w:rPr>
          <w:rFonts w:cs="Arial"/>
        </w:rPr>
        <w:t>), including company notifications, share information, financial reports,</w:t>
      </w:r>
      <w:r w:rsidR="0085468C" w:rsidRPr="00B148F9">
        <w:rPr>
          <w:rFonts w:cs="Arial"/>
        </w:rPr>
        <w:t xml:space="preserve"> </w:t>
      </w:r>
      <w:r w:rsidR="00E83D57" w:rsidRPr="00B148F9">
        <w:rPr>
          <w:rFonts w:cs="Arial"/>
        </w:rPr>
        <w:t>monthly NAV</w:t>
      </w:r>
      <w:r w:rsidR="002C4729" w:rsidRPr="00B148F9">
        <w:rPr>
          <w:rFonts w:cs="Arial"/>
        </w:rPr>
        <w:t>s</w:t>
      </w:r>
      <w:r w:rsidR="0085468C" w:rsidRPr="00B148F9">
        <w:rPr>
          <w:rFonts w:cs="Arial"/>
        </w:rPr>
        <w:t xml:space="preserve">, </w:t>
      </w:r>
      <w:r w:rsidRPr="00B148F9">
        <w:rPr>
          <w:rFonts w:cs="Arial"/>
        </w:rPr>
        <w:t>investment objectives and policy, investor contacts and information on the Board and corporate governance.</w:t>
      </w:r>
      <w:r w:rsidRPr="00B148F9">
        <w:rPr>
          <w:rFonts w:cs="Arial"/>
          <w:b/>
        </w:rPr>
        <w:t xml:space="preserve"> </w:t>
      </w:r>
    </w:p>
    <w:p w14:paraId="30B464C7" w14:textId="77777777" w:rsidR="004D33E1" w:rsidRPr="00B148F9" w:rsidRDefault="004D33E1" w:rsidP="00E1723A">
      <w:pPr>
        <w:rPr>
          <w:b/>
        </w:rPr>
      </w:pPr>
    </w:p>
    <w:p w14:paraId="2E8FD487" w14:textId="51196854" w:rsidR="00E1723A" w:rsidRPr="00B148F9" w:rsidRDefault="00E1723A" w:rsidP="00E1723A">
      <w:pPr>
        <w:rPr>
          <w:rFonts w:cs="Arial"/>
          <w:b/>
          <w:bCs/>
        </w:rPr>
      </w:pPr>
      <w:r w:rsidRPr="00B148F9">
        <w:rPr>
          <w:b/>
        </w:rPr>
        <w:t>Major Shareholders</w:t>
      </w:r>
    </w:p>
    <w:p w14:paraId="5ED91403" w14:textId="6B9BC21B" w:rsidR="00E1723A" w:rsidRPr="00B148F9" w:rsidRDefault="00E1723A" w:rsidP="00E1723A">
      <w:pPr>
        <w:pStyle w:val="BodyText"/>
        <w:spacing w:after="0"/>
        <w:rPr>
          <w:rFonts w:cs="Arial"/>
        </w:rPr>
      </w:pPr>
      <w:r w:rsidRPr="00B148F9">
        <w:rPr>
          <w:rFonts w:cs="Arial"/>
        </w:rPr>
        <w:t xml:space="preserve">As at </w:t>
      </w:r>
      <w:r w:rsidR="007A1250" w:rsidRPr="00B148F9">
        <w:rPr>
          <w:rFonts w:cs="Arial"/>
        </w:rPr>
        <w:t>23 March</w:t>
      </w:r>
      <w:r w:rsidRPr="00B148F9">
        <w:rPr>
          <w:rFonts w:cs="Arial"/>
        </w:rPr>
        <w:t xml:space="preserve"> 20</w:t>
      </w:r>
      <w:r w:rsidR="00154484" w:rsidRPr="00B148F9">
        <w:rPr>
          <w:rFonts w:cs="Arial"/>
        </w:rPr>
        <w:t>20</w:t>
      </w:r>
      <w:r w:rsidRPr="00B148F9">
        <w:rPr>
          <w:rFonts w:cs="Arial"/>
        </w:rPr>
        <w:t xml:space="preserve">, insofar as is known to the Company, the following persons were interested, directly or indirectly, in 5 per cent. or more of the </w:t>
      </w:r>
      <w:r w:rsidR="001167F8" w:rsidRPr="00B148F9">
        <w:rPr>
          <w:rFonts w:cs="Arial"/>
        </w:rPr>
        <w:t>Ordinary S</w:t>
      </w:r>
      <w:r w:rsidRPr="00B148F9">
        <w:rPr>
          <w:rFonts w:cs="Arial"/>
        </w:rPr>
        <w:t>hares in issue:</w:t>
      </w:r>
    </w:p>
    <w:p w14:paraId="10650D6E" w14:textId="28A7C0C7" w:rsidR="00E1723A" w:rsidRPr="00B148F9" w:rsidRDefault="00E1723A" w:rsidP="00E1723A">
      <w:pPr>
        <w:pStyle w:val="BodyText"/>
        <w:spacing w:after="0"/>
        <w:rPr>
          <w:rFonts w:cs="Arial"/>
          <w:b/>
        </w:rPr>
      </w:pPr>
    </w:p>
    <w:tbl>
      <w:tblPr>
        <w:tblW w:w="8789" w:type="dxa"/>
        <w:tblInd w:w="108" w:type="dxa"/>
        <w:tblLayout w:type="fixed"/>
        <w:tblLook w:val="04A0" w:firstRow="1" w:lastRow="0" w:firstColumn="1" w:lastColumn="0" w:noHBand="0" w:noVBand="1"/>
      </w:tblPr>
      <w:tblGrid>
        <w:gridCol w:w="3800"/>
        <w:gridCol w:w="2012"/>
        <w:gridCol w:w="1559"/>
        <w:gridCol w:w="1418"/>
      </w:tblGrid>
      <w:tr w:rsidR="00E1723A" w:rsidRPr="00B148F9" w14:paraId="3474EDD1" w14:textId="77777777" w:rsidTr="00451D0C">
        <w:trPr>
          <w:trHeight w:val="780"/>
        </w:trPr>
        <w:tc>
          <w:tcPr>
            <w:tcW w:w="3800" w:type="dxa"/>
            <w:tcBorders>
              <w:top w:val="single" w:sz="4" w:space="0" w:color="auto"/>
              <w:left w:val="nil"/>
              <w:bottom w:val="single" w:sz="4" w:space="0" w:color="auto"/>
              <w:right w:val="nil"/>
            </w:tcBorders>
            <w:shd w:val="clear" w:color="auto" w:fill="auto"/>
            <w:vAlign w:val="center"/>
            <w:hideMark/>
          </w:tcPr>
          <w:p w14:paraId="0FC0EAD6" w14:textId="77777777" w:rsidR="00E1723A" w:rsidRPr="00B148F9" w:rsidRDefault="00E1723A" w:rsidP="00186AF5">
            <w:pPr>
              <w:rPr>
                <w:rFonts w:cs="Arial"/>
                <w:b/>
                <w:bCs/>
                <w:lang w:eastAsia="en-GB"/>
              </w:rPr>
            </w:pPr>
            <w:r w:rsidRPr="00B148F9">
              <w:rPr>
                <w:rFonts w:cs="Arial"/>
                <w:b/>
                <w:bCs/>
                <w:lang w:eastAsia="en-GB"/>
              </w:rPr>
              <w:t>Shareholder</w:t>
            </w:r>
          </w:p>
        </w:tc>
        <w:tc>
          <w:tcPr>
            <w:tcW w:w="2012" w:type="dxa"/>
            <w:tcBorders>
              <w:top w:val="single" w:sz="4" w:space="0" w:color="auto"/>
              <w:left w:val="nil"/>
              <w:bottom w:val="single" w:sz="4" w:space="0" w:color="auto"/>
              <w:right w:val="nil"/>
            </w:tcBorders>
            <w:shd w:val="clear" w:color="auto" w:fill="auto"/>
            <w:vAlign w:val="center"/>
            <w:hideMark/>
          </w:tcPr>
          <w:p w14:paraId="76FDDE38" w14:textId="77777777" w:rsidR="00E1723A" w:rsidRPr="00B148F9" w:rsidRDefault="00E1723A" w:rsidP="00186AF5">
            <w:pPr>
              <w:jc w:val="right"/>
              <w:rPr>
                <w:rFonts w:cs="Arial"/>
                <w:b/>
                <w:bCs/>
                <w:lang w:eastAsia="en-GB"/>
              </w:rPr>
            </w:pPr>
            <w:r w:rsidRPr="00B148F9">
              <w:rPr>
                <w:rFonts w:cs="Arial"/>
                <w:b/>
                <w:bCs/>
                <w:lang w:eastAsia="en-GB"/>
              </w:rPr>
              <w:t>Shareholding (Ordinary Shares)</w:t>
            </w:r>
          </w:p>
        </w:tc>
        <w:tc>
          <w:tcPr>
            <w:tcW w:w="1559" w:type="dxa"/>
            <w:tcBorders>
              <w:top w:val="single" w:sz="4" w:space="0" w:color="auto"/>
              <w:left w:val="nil"/>
              <w:bottom w:val="single" w:sz="4" w:space="0" w:color="auto"/>
              <w:right w:val="nil"/>
            </w:tcBorders>
            <w:shd w:val="clear" w:color="auto" w:fill="auto"/>
            <w:vAlign w:val="center"/>
            <w:hideMark/>
          </w:tcPr>
          <w:p w14:paraId="0442F951" w14:textId="77777777" w:rsidR="00E1723A" w:rsidRPr="00B148F9" w:rsidRDefault="00E1723A" w:rsidP="00186AF5">
            <w:pPr>
              <w:jc w:val="right"/>
              <w:rPr>
                <w:rFonts w:cs="Arial"/>
                <w:b/>
                <w:bCs/>
                <w:lang w:eastAsia="en-GB"/>
              </w:rPr>
            </w:pPr>
            <w:r w:rsidRPr="00B148F9">
              <w:rPr>
                <w:rFonts w:cs="Arial"/>
                <w:b/>
                <w:bCs/>
                <w:lang w:eastAsia="en-GB"/>
              </w:rPr>
              <w:t>% Holding</w:t>
            </w:r>
          </w:p>
        </w:tc>
        <w:tc>
          <w:tcPr>
            <w:tcW w:w="1418" w:type="dxa"/>
            <w:tcBorders>
              <w:top w:val="single" w:sz="4" w:space="0" w:color="auto"/>
              <w:left w:val="nil"/>
              <w:bottom w:val="single" w:sz="4" w:space="0" w:color="auto"/>
              <w:right w:val="nil"/>
            </w:tcBorders>
            <w:shd w:val="clear" w:color="auto" w:fill="auto"/>
            <w:vAlign w:val="center"/>
            <w:hideMark/>
          </w:tcPr>
          <w:p w14:paraId="18634C5B" w14:textId="77777777" w:rsidR="00E1723A" w:rsidRPr="00B148F9" w:rsidRDefault="00E1723A" w:rsidP="00186AF5">
            <w:pPr>
              <w:jc w:val="right"/>
              <w:rPr>
                <w:rFonts w:cs="Arial"/>
                <w:b/>
                <w:bCs/>
                <w:lang w:eastAsia="en-GB"/>
              </w:rPr>
            </w:pPr>
            <w:r w:rsidRPr="00B148F9">
              <w:rPr>
                <w:rFonts w:cs="Arial"/>
                <w:b/>
                <w:bCs/>
                <w:lang w:eastAsia="en-GB"/>
              </w:rPr>
              <w:t>Nature of Holding</w:t>
            </w:r>
          </w:p>
        </w:tc>
      </w:tr>
      <w:tr w:rsidR="00E1723A" w:rsidRPr="00B148F9" w14:paraId="20B0A2BC" w14:textId="77777777" w:rsidTr="00451D0C">
        <w:trPr>
          <w:trHeight w:val="270"/>
        </w:trPr>
        <w:tc>
          <w:tcPr>
            <w:tcW w:w="3800" w:type="dxa"/>
            <w:tcBorders>
              <w:top w:val="nil"/>
              <w:left w:val="nil"/>
              <w:bottom w:val="nil"/>
              <w:right w:val="nil"/>
            </w:tcBorders>
            <w:shd w:val="clear" w:color="auto" w:fill="auto"/>
            <w:vAlign w:val="center"/>
            <w:hideMark/>
          </w:tcPr>
          <w:p w14:paraId="04D42B98" w14:textId="5321A02C" w:rsidR="00E1723A" w:rsidRPr="00B148F9" w:rsidRDefault="002C4729" w:rsidP="00186AF5">
            <w:pPr>
              <w:rPr>
                <w:rFonts w:cs="Arial"/>
                <w:bCs/>
                <w:lang w:eastAsia="en-GB"/>
              </w:rPr>
            </w:pPr>
            <w:r w:rsidRPr="00B148F9">
              <w:rPr>
                <w:rFonts w:cs="Arial"/>
                <w:bCs/>
                <w:lang w:eastAsia="en-GB"/>
              </w:rPr>
              <w:t>Bluestem Partners, LP</w:t>
            </w:r>
          </w:p>
        </w:tc>
        <w:tc>
          <w:tcPr>
            <w:tcW w:w="2012" w:type="dxa"/>
            <w:tcBorders>
              <w:top w:val="nil"/>
              <w:left w:val="nil"/>
              <w:bottom w:val="nil"/>
              <w:right w:val="nil"/>
            </w:tcBorders>
            <w:shd w:val="clear" w:color="auto" w:fill="auto"/>
            <w:vAlign w:val="center"/>
            <w:hideMark/>
          </w:tcPr>
          <w:p w14:paraId="5A991054" w14:textId="51727740" w:rsidR="00E1723A" w:rsidRPr="00B148F9" w:rsidRDefault="00192256" w:rsidP="001251FE">
            <w:pPr>
              <w:jc w:val="right"/>
              <w:rPr>
                <w:rFonts w:cs="Arial"/>
                <w:bCs/>
                <w:lang w:eastAsia="en-GB"/>
              </w:rPr>
            </w:pPr>
            <w:r w:rsidRPr="00B148F9">
              <w:rPr>
                <w:rFonts w:cs="Arial"/>
                <w:bCs/>
                <w:lang w:eastAsia="en-GB"/>
              </w:rPr>
              <w:t>28,315,423</w:t>
            </w:r>
          </w:p>
        </w:tc>
        <w:tc>
          <w:tcPr>
            <w:tcW w:w="1559" w:type="dxa"/>
            <w:tcBorders>
              <w:top w:val="nil"/>
              <w:left w:val="nil"/>
              <w:bottom w:val="nil"/>
              <w:right w:val="nil"/>
            </w:tcBorders>
            <w:shd w:val="clear" w:color="auto" w:fill="auto"/>
            <w:vAlign w:val="center"/>
            <w:hideMark/>
          </w:tcPr>
          <w:p w14:paraId="3D144381" w14:textId="2F55AC64" w:rsidR="00E1723A" w:rsidRPr="00B148F9" w:rsidRDefault="00F92D5B" w:rsidP="00D050E5">
            <w:pPr>
              <w:jc w:val="right"/>
              <w:rPr>
                <w:rFonts w:cs="Arial"/>
                <w:bCs/>
                <w:lang w:eastAsia="en-GB"/>
              </w:rPr>
            </w:pPr>
            <w:r w:rsidRPr="00B148F9">
              <w:rPr>
                <w:rFonts w:cs="Arial"/>
                <w:bCs/>
                <w:lang w:eastAsia="en-GB"/>
              </w:rPr>
              <w:t>1</w:t>
            </w:r>
            <w:r w:rsidR="002C4729" w:rsidRPr="00B148F9">
              <w:rPr>
                <w:rFonts w:cs="Arial"/>
                <w:bCs/>
                <w:lang w:eastAsia="en-GB"/>
              </w:rPr>
              <w:t>6</w:t>
            </w:r>
            <w:r w:rsidRPr="00B148F9">
              <w:rPr>
                <w:rFonts w:cs="Arial"/>
                <w:bCs/>
                <w:lang w:eastAsia="en-GB"/>
              </w:rPr>
              <w:t>.</w:t>
            </w:r>
            <w:r w:rsidR="002C4729" w:rsidRPr="00B148F9">
              <w:rPr>
                <w:rFonts w:cs="Arial"/>
                <w:bCs/>
                <w:lang w:eastAsia="en-GB"/>
              </w:rPr>
              <w:t>2</w:t>
            </w:r>
            <w:r w:rsidRPr="00B148F9">
              <w:rPr>
                <w:rFonts w:cs="Arial"/>
                <w:bCs/>
                <w:lang w:eastAsia="en-GB"/>
              </w:rPr>
              <w:t>8</w:t>
            </w:r>
          </w:p>
        </w:tc>
        <w:tc>
          <w:tcPr>
            <w:tcW w:w="1418" w:type="dxa"/>
            <w:tcBorders>
              <w:top w:val="nil"/>
              <w:left w:val="nil"/>
              <w:bottom w:val="nil"/>
              <w:right w:val="nil"/>
            </w:tcBorders>
            <w:shd w:val="clear" w:color="auto" w:fill="auto"/>
            <w:vAlign w:val="center"/>
            <w:hideMark/>
          </w:tcPr>
          <w:p w14:paraId="4D6E6F4C" w14:textId="7FDB424A" w:rsidR="00E1723A" w:rsidRPr="00B148F9" w:rsidRDefault="002C4729">
            <w:pPr>
              <w:jc w:val="right"/>
              <w:rPr>
                <w:rFonts w:cs="Arial"/>
                <w:bCs/>
                <w:lang w:eastAsia="en-GB"/>
              </w:rPr>
            </w:pPr>
            <w:r w:rsidRPr="00B148F9">
              <w:rPr>
                <w:rFonts w:cs="Arial"/>
                <w:bCs/>
                <w:lang w:eastAsia="en-GB"/>
              </w:rPr>
              <w:t>Direct</w:t>
            </w:r>
          </w:p>
        </w:tc>
      </w:tr>
      <w:tr w:rsidR="00313C41" w:rsidRPr="00B148F9" w14:paraId="2746CEC9" w14:textId="77777777" w:rsidTr="00451D0C">
        <w:trPr>
          <w:trHeight w:val="270"/>
        </w:trPr>
        <w:tc>
          <w:tcPr>
            <w:tcW w:w="3800" w:type="dxa"/>
            <w:tcBorders>
              <w:top w:val="nil"/>
              <w:left w:val="nil"/>
              <w:bottom w:val="nil"/>
              <w:right w:val="nil"/>
            </w:tcBorders>
            <w:shd w:val="clear" w:color="auto" w:fill="auto"/>
            <w:vAlign w:val="center"/>
          </w:tcPr>
          <w:p w14:paraId="51F4D02A" w14:textId="1DE6649D" w:rsidR="00313C41" w:rsidRPr="00B148F9" w:rsidRDefault="002C4729" w:rsidP="00186AF5">
            <w:pPr>
              <w:jc w:val="left"/>
              <w:rPr>
                <w:rFonts w:cs="Arial"/>
                <w:lang w:eastAsia="en-GB"/>
              </w:rPr>
            </w:pPr>
            <w:r w:rsidRPr="00B148F9">
              <w:rPr>
                <w:rFonts w:cs="Arial"/>
                <w:lang w:eastAsia="en-GB"/>
              </w:rPr>
              <w:t>Roderick Wong</w:t>
            </w:r>
          </w:p>
        </w:tc>
        <w:tc>
          <w:tcPr>
            <w:tcW w:w="2012" w:type="dxa"/>
            <w:tcBorders>
              <w:top w:val="nil"/>
              <w:left w:val="nil"/>
              <w:bottom w:val="nil"/>
              <w:right w:val="nil"/>
            </w:tcBorders>
            <w:shd w:val="clear" w:color="auto" w:fill="auto"/>
          </w:tcPr>
          <w:p w14:paraId="37E2CD60" w14:textId="1F671076" w:rsidR="00313C41" w:rsidRPr="00B148F9" w:rsidRDefault="002C4729" w:rsidP="00AE1764">
            <w:pPr>
              <w:jc w:val="right"/>
              <w:rPr>
                <w:rFonts w:cs="Arial"/>
                <w:lang w:eastAsia="en-GB"/>
              </w:rPr>
            </w:pPr>
            <w:r w:rsidRPr="00B148F9">
              <w:rPr>
                <w:rFonts w:cs="Arial"/>
                <w:lang w:eastAsia="en-GB"/>
              </w:rPr>
              <w:t>24,814,619</w:t>
            </w:r>
          </w:p>
        </w:tc>
        <w:tc>
          <w:tcPr>
            <w:tcW w:w="1559" w:type="dxa"/>
            <w:tcBorders>
              <w:top w:val="nil"/>
              <w:left w:val="nil"/>
              <w:bottom w:val="nil"/>
              <w:right w:val="nil"/>
            </w:tcBorders>
            <w:shd w:val="clear" w:color="auto" w:fill="auto"/>
          </w:tcPr>
          <w:p w14:paraId="12EDA7DB" w14:textId="51684D7F" w:rsidR="00313C41" w:rsidRPr="00B148F9" w:rsidRDefault="002C4729" w:rsidP="00D050E5">
            <w:pPr>
              <w:jc w:val="right"/>
              <w:rPr>
                <w:rFonts w:cs="Arial"/>
                <w:lang w:eastAsia="en-GB"/>
              </w:rPr>
            </w:pPr>
            <w:r w:rsidRPr="00B148F9">
              <w:rPr>
                <w:rFonts w:cs="Arial"/>
                <w:lang w:eastAsia="en-GB"/>
              </w:rPr>
              <w:t>1</w:t>
            </w:r>
            <w:r w:rsidR="00F92D5B" w:rsidRPr="00B148F9">
              <w:rPr>
                <w:rFonts w:cs="Arial"/>
                <w:lang w:eastAsia="en-GB"/>
              </w:rPr>
              <w:t>4</w:t>
            </w:r>
            <w:r w:rsidRPr="00B148F9">
              <w:rPr>
                <w:rFonts w:cs="Arial"/>
                <w:lang w:eastAsia="en-GB"/>
              </w:rPr>
              <w:t>.</w:t>
            </w:r>
            <w:r w:rsidR="00F92D5B" w:rsidRPr="00B148F9">
              <w:rPr>
                <w:rFonts w:cs="Arial"/>
                <w:lang w:eastAsia="en-GB"/>
              </w:rPr>
              <w:t>2</w:t>
            </w:r>
            <w:r w:rsidRPr="00B148F9">
              <w:rPr>
                <w:rFonts w:cs="Arial"/>
                <w:lang w:eastAsia="en-GB"/>
              </w:rPr>
              <w:t>6</w:t>
            </w:r>
          </w:p>
        </w:tc>
        <w:tc>
          <w:tcPr>
            <w:tcW w:w="1418" w:type="dxa"/>
            <w:tcBorders>
              <w:top w:val="nil"/>
              <w:left w:val="nil"/>
              <w:bottom w:val="nil"/>
              <w:right w:val="nil"/>
            </w:tcBorders>
            <w:shd w:val="clear" w:color="auto" w:fill="auto"/>
            <w:vAlign w:val="center"/>
          </w:tcPr>
          <w:p w14:paraId="424D3714" w14:textId="21B644BF" w:rsidR="00313C41" w:rsidRPr="00B148F9" w:rsidRDefault="002C4729" w:rsidP="00186AF5">
            <w:pPr>
              <w:jc w:val="right"/>
              <w:rPr>
                <w:rFonts w:cs="Arial"/>
                <w:lang w:eastAsia="en-GB"/>
              </w:rPr>
            </w:pPr>
            <w:r w:rsidRPr="00B148F9">
              <w:rPr>
                <w:rFonts w:cs="Arial"/>
                <w:lang w:eastAsia="en-GB"/>
              </w:rPr>
              <w:t>Direct</w:t>
            </w:r>
          </w:p>
        </w:tc>
      </w:tr>
      <w:tr w:rsidR="00313C41" w:rsidRPr="00B148F9" w14:paraId="2EAF97A5" w14:textId="77777777" w:rsidTr="00154484">
        <w:trPr>
          <w:trHeight w:val="270"/>
        </w:trPr>
        <w:tc>
          <w:tcPr>
            <w:tcW w:w="3800" w:type="dxa"/>
            <w:tcBorders>
              <w:top w:val="nil"/>
              <w:left w:val="nil"/>
              <w:bottom w:val="nil"/>
              <w:right w:val="nil"/>
            </w:tcBorders>
            <w:shd w:val="clear" w:color="auto" w:fill="auto"/>
            <w:vAlign w:val="center"/>
          </w:tcPr>
          <w:p w14:paraId="6277CAA9" w14:textId="15ED994B" w:rsidR="00313C41" w:rsidRPr="00B148F9" w:rsidRDefault="002C4729" w:rsidP="00186AF5">
            <w:pPr>
              <w:jc w:val="left"/>
              <w:rPr>
                <w:rFonts w:cs="Arial"/>
                <w:lang w:eastAsia="en-GB"/>
              </w:rPr>
            </w:pPr>
            <w:r w:rsidRPr="00B148F9">
              <w:rPr>
                <w:rFonts w:cs="Arial"/>
                <w:lang w:eastAsia="en-GB"/>
              </w:rPr>
              <w:t>Chase Nominees Limited</w:t>
            </w:r>
          </w:p>
        </w:tc>
        <w:tc>
          <w:tcPr>
            <w:tcW w:w="2012" w:type="dxa"/>
            <w:tcBorders>
              <w:top w:val="nil"/>
              <w:left w:val="nil"/>
              <w:bottom w:val="nil"/>
              <w:right w:val="nil"/>
            </w:tcBorders>
            <w:shd w:val="clear" w:color="auto" w:fill="auto"/>
          </w:tcPr>
          <w:p w14:paraId="28A6A6D6" w14:textId="47B87C60" w:rsidR="00313C41" w:rsidRPr="00B148F9" w:rsidRDefault="008C0691" w:rsidP="00AF049F">
            <w:pPr>
              <w:jc w:val="right"/>
              <w:rPr>
                <w:rFonts w:cs="Arial"/>
                <w:lang w:eastAsia="en-GB"/>
              </w:rPr>
            </w:pPr>
            <w:r w:rsidRPr="008C0691">
              <w:rPr>
                <w:rFonts w:cs="Arial"/>
                <w:lang w:eastAsia="en-GB"/>
              </w:rPr>
              <w:t>22,245,386</w:t>
            </w:r>
          </w:p>
        </w:tc>
        <w:tc>
          <w:tcPr>
            <w:tcW w:w="1559" w:type="dxa"/>
            <w:tcBorders>
              <w:top w:val="nil"/>
              <w:left w:val="nil"/>
              <w:bottom w:val="nil"/>
              <w:right w:val="nil"/>
            </w:tcBorders>
            <w:shd w:val="clear" w:color="auto" w:fill="auto"/>
          </w:tcPr>
          <w:p w14:paraId="1C5B39BC" w14:textId="100E4B30" w:rsidR="00313C41" w:rsidRPr="00B148F9" w:rsidRDefault="002C4729">
            <w:pPr>
              <w:jc w:val="right"/>
              <w:rPr>
                <w:rFonts w:cs="Arial"/>
                <w:lang w:eastAsia="en-GB"/>
              </w:rPr>
            </w:pPr>
            <w:r w:rsidRPr="00B148F9">
              <w:rPr>
                <w:rFonts w:cs="Arial"/>
                <w:lang w:eastAsia="en-GB"/>
              </w:rPr>
              <w:t>1</w:t>
            </w:r>
            <w:r w:rsidR="008C0691">
              <w:rPr>
                <w:rFonts w:cs="Arial"/>
                <w:lang w:eastAsia="en-GB"/>
              </w:rPr>
              <w:t>3</w:t>
            </w:r>
            <w:r w:rsidRPr="00B148F9">
              <w:rPr>
                <w:rFonts w:cs="Arial"/>
                <w:lang w:eastAsia="en-GB"/>
              </w:rPr>
              <w:t>.</w:t>
            </w:r>
            <w:r w:rsidR="008C0691">
              <w:rPr>
                <w:rFonts w:cs="Arial"/>
                <w:lang w:eastAsia="en-GB"/>
              </w:rPr>
              <w:t>77</w:t>
            </w:r>
          </w:p>
        </w:tc>
        <w:tc>
          <w:tcPr>
            <w:tcW w:w="1418" w:type="dxa"/>
            <w:tcBorders>
              <w:top w:val="nil"/>
              <w:left w:val="nil"/>
              <w:bottom w:val="nil"/>
              <w:right w:val="nil"/>
            </w:tcBorders>
            <w:shd w:val="clear" w:color="auto" w:fill="auto"/>
            <w:vAlign w:val="center"/>
          </w:tcPr>
          <w:p w14:paraId="72C29A8A" w14:textId="08FE5DC0" w:rsidR="00313C41" w:rsidRPr="00B148F9" w:rsidRDefault="002C4729" w:rsidP="00E37EE3">
            <w:pPr>
              <w:jc w:val="right"/>
              <w:rPr>
                <w:rFonts w:cs="Arial"/>
                <w:lang w:eastAsia="en-GB"/>
              </w:rPr>
            </w:pPr>
            <w:r w:rsidRPr="00B148F9">
              <w:rPr>
                <w:rFonts w:cs="Arial"/>
                <w:lang w:eastAsia="en-GB"/>
              </w:rPr>
              <w:t>Direct</w:t>
            </w:r>
          </w:p>
        </w:tc>
      </w:tr>
    </w:tbl>
    <w:p w14:paraId="32B8EFB9" w14:textId="469B6CBB" w:rsidR="00E1723A" w:rsidRPr="00B148F9" w:rsidRDefault="00E1723A" w:rsidP="00E1723A">
      <w:pPr>
        <w:rPr>
          <w:rFonts w:cs="Arial"/>
          <w:b/>
        </w:rPr>
      </w:pPr>
    </w:p>
    <w:p w14:paraId="228C030A" w14:textId="67883692" w:rsidR="00E1723A" w:rsidRPr="00B148F9" w:rsidRDefault="00E61BFF" w:rsidP="00E1723A">
      <w:r w:rsidRPr="00B148F9">
        <w:rPr>
          <w:rFonts w:cs="Arial"/>
        </w:rPr>
        <w:t xml:space="preserve">Details of the voting rights can be found </w:t>
      </w:r>
      <w:r w:rsidR="00D502F5">
        <w:rPr>
          <w:rFonts w:cs="Arial"/>
        </w:rPr>
        <w:t>below.</w:t>
      </w:r>
      <w:r w:rsidRPr="00B148F9">
        <w:t xml:space="preserve"> </w:t>
      </w:r>
    </w:p>
    <w:p w14:paraId="53732F3B" w14:textId="6C7C401A" w:rsidR="008776A8" w:rsidRPr="00B148F9" w:rsidRDefault="008776A8" w:rsidP="00E1723A"/>
    <w:p w14:paraId="75B4055A" w14:textId="55A256A4" w:rsidR="008776A8" w:rsidRPr="00B148F9" w:rsidRDefault="008776A8" w:rsidP="00E1723A">
      <w:pPr>
        <w:rPr>
          <w:b/>
        </w:rPr>
      </w:pPr>
      <w:r w:rsidRPr="00B148F9">
        <w:rPr>
          <w:b/>
        </w:rPr>
        <w:t>Dividends</w:t>
      </w:r>
    </w:p>
    <w:p w14:paraId="4261945C" w14:textId="172D194F" w:rsidR="008776A8" w:rsidRPr="00B148F9" w:rsidRDefault="008776A8" w:rsidP="008776A8">
      <w:r w:rsidRPr="00B148F9">
        <w:t xml:space="preserve">The Company does not anticipate paying any dividends on its Ordinary Shares, as it intends to re-invest proceeds received from </w:t>
      </w:r>
      <w:r w:rsidR="0048214A" w:rsidRPr="00B148F9">
        <w:t>P</w:t>
      </w:r>
      <w:r w:rsidRPr="00B148F9">
        <w:t xml:space="preserve">ortfolio </w:t>
      </w:r>
      <w:r w:rsidR="0048214A" w:rsidRPr="00B148F9">
        <w:t>C</w:t>
      </w:r>
      <w:r w:rsidRPr="00B148F9">
        <w:t xml:space="preserve">ompany sales or distributions. There have been no material changes in the Company’s dividend policy from that disclosed in the prospectus published by the Company on 14 October 2019. </w:t>
      </w:r>
    </w:p>
    <w:p w14:paraId="21DE0882" w14:textId="101481F5" w:rsidR="004376E7" w:rsidRPr="00B148F9" w:rsidRDefault="004376E7" w:rsidP="008776A8"/>
    <w:p w14:paraId="7DCA545D" w14:textId="4E893F79" w:rsidR="004376E7" w:rsidRPr="00B148F9" w:rsidRDefault="004376E7" w:rsidP="008776A8">
      <w:pPr>
        <w:rPr>
          <w:b/>
        </w:rPr>
      </w:pPr>
      <w:r w:rsidRPr="00B148F9">
        <w:rPr>
          <w:b/>
        </w:rPr>
        <w:t>Total Return for the year ended 31 December 2019</w:t>
      </w:r>
    </w:p>
    <w:p w14:paraId="0254E88A" w14:textId="16646AF9" w:rsidR="004376E7" w:rsidRPr="00B148F9" w:rsidRDefault="004376E7" w:rsidP="008776A8">
      <w:pPr>
        <w:rPr>
          <w:rFonts w:cs="Arial"/>
        </w:rPr>
      </w:pPr>
      <w:r w:rsidRPr="00B148F9">
        <w:rPr>
          <w:rFonts w:cs="Arial"/>
        </w:rPr>
        <w:t xml:space="preserve">Following </w:t>
      </w:r>
      <w:r w:rsidR="001F13AE" w:rsidRPr="00B148F9">
        <w:rPr>
          <w:rFonts w:cs="Arial"/>
        </w:rPr>
        <w:t>i</w:t>
      </w:r>
      <w:r w:rsidRPr="00B148F9">
        <w:rPr>
          <w:rFonts w:cs="Arial"/>
        </w:rPr>
        <w:t xml:space="preserve">nitial </w:t>
      </w:r>
      <w:r w:rsidR="001F13AE" w:rsidRPr="00B148F9">
        <w:rPr>
          <w:rFonts w:cs="Arial"/>
        </w:rPr>
        <w:t>a</w:t>
      </w:r>
      <w:r w:rsidRPr="00B148F9">
        <w:rPr>
          <w:rFonts w:cs="Arial"/>
        </w:rPr>
        <w:t xml:space="preserve">dmission, from 30 October 2019 through 31 December 2019, the Company recorded a net total return based on NAV per share of </w:t>
      </w:r>
      <w:r w:rsidR="00DB0C2A" w:rsidRPr="00B148F9">
        <w:rPr>
          <w:rFonts w:cs="Arial"/>
        </w:rPr>
        <w:t>2</w:t>
      </w:r>
      <w:r w:rsidR="00A20FF2" w:rsidRPr="00B148F9">
        <w:rPr>
          <w:rFonts w:cs="Arial"/>
        </w:rPr>
        <w:t>2</w:t>
      </w:r>
      <w:r w:rsidR="00DB0C2A" w:rsidRPr="00B148F9">
        <w:rPr>
          <w:rFonts w:cs="Arial"/>
        </w:rPr>
        <w:t xml:space="preserve"> per cent</w:t>
      </w:r>
      <w:r w:rsidRPr="00B148F9">
        <w:rPr>
          <w:rFonts w:cs="Arial"/>
        </w:rPr>
        <w:t>.</w:t>
      </w:r>
    </w:p>
    <w:p w14:paraId="705D5A24" w14:textId="77777777" w:rsidR="00E1723A" w:rsidRPr="00B148F9" w:rsidRDefault="00E1723A" w:rsidP="00E1723A"/>
    <w:p w14:paraId="48580A2B" w14:textId="77777777" w:rsidR="00E1723A" w:rsidRPr="00B148F9" w:rsidRDefault="000A54D1" w:rsidP="00E1723A">
      <w:pPr>
        <w:rPr>
          <w:rFonts w:cs="Arial"/>
          <w:b/>
        </w:rPr>
      </w:pPr>
      <w:r w:rsidRPr="00B148F9">
        <w:rPr>
          <w:rFonts w:cs="Arial"/>
          <w:b/>
        </w:rPr>
        <w:t>Directors’ a</w:t>
      </w:r>
      <w:r w:rsidR="00E1723A" w:rsidRPr="00B148F9">
        <w:rPr>
          <w:rFonts w:cs="Arial"/>
          <w:b/>
        </w:rPr>
        <w:t xml:space="preserve">uthority to </w:t>
      </w:r>
      <w:r w:rsidRPr="00B148F9">
        <w:rPr>
          <w:rFonts w:cs="Arial"/>
          <w:b/>
        </w:rPr>
        <w:t>i</w:t>
      </w:r>
      <w:r w:rsidR="00E1723A" w:rsidRPr="00B148F9">
        <w:rPr>
          <w:rFonts w:cs="Arial"/>
          <w:b/>
        </w:rPr>
        <w:t xml:space="preserve">ssue </w:t>
      </w:r>
      <w:r w:rsidRPr="00B148F9">
        <w:rPr>
          <w:rFonts w:cs="Arial"/>
          <w:b/>
        </w:rPr>
        <w:t>s</w:t>
      </w:r>
      <w:r w:rsidR="00E1723A" w:rsidRPr="00B148F9">
        <w:rPr>
          <w:rFonts w:cs="Arial"/>
          <w:b/>
        </w:rPr>
        <w:t>hares</w:t>
      </w:r>
    </w:p>
    <w:p w14:paraId="61431CAC" w14:textId="77032FB2" w:rsidR="00E1723A" w:rsidRPr="00B148F9" w:rsidRDefault="005D456B" w:rsidP="00E1723A">
      <w:pPr>
        <w:rPr>
          <w:rFonts w:cs="Arial"/>
        </w:rPr>
      </w:pPr>
      <w:r w:rsidRPr="00B148F9">
        <w:rPr>
          <w:rFonts w:cs="Arial"/>
        </w:rPr>
        <w:t>Subject to the Company’s Articles of Association t</w:t>
      </w:r>
      <w:r w:rsidR="0029618D" w:rsidRPr="00B148F9">
        <w:rPr>
          <w:rFonts w:cs="Arial"/>
        </w:rPr>
        <w:t xml:space="preserve">he Directors have the power to issue </w:t>
      </w:r>
      <w:r w:rsidRPr="00B148F9">
        <w:rPr>
          <w:rFonts w:cs="Arial"/>
        </w:rPr>
        <w:t xml:space="preserve">an unlimited number of </w:t>
      </w:r>
      <w:r w:rsidR="005E4510" w:rsidRPr="00B148F9">
        <w:rPr>
          <w:rFonts w:cs="Arial"/>
        </w:rPr>
        <w:t>shares</w:t>
      </w:r>
      <w:r w:rsidR="00720377" w:rsidRPr="00B148F9">
        <w:rPr>
          <w:rFonts w:cs="Arial"/>
        </w:rPr>
        <w:t>.</w:t>
      </w:r>
    </w:p>
    <w:p w14:paraId="61E3C782" w14:textId="77777777" w:rsidR="00E1723A" w:rsidRPr="00B148F9" w:rsidRDefault="00E1723A" w:rsidP="00E1723A">
      <w:pPr>
        <w:rPr>
          <w:rFonts w:cs="Arial"/>
        </w:rPr>
      </w:pPr>
    </w:p>
    <w:p w14:paraId="7A69A366" w14:textId="77777777" w:rsidR="00E1723A" w:rsidRPr="00B148F9" w:rsidRDefault="00E1723A" w:rsidP="00E1723A">
      <w:pPr>
        <w:rPr>
          <w:rFonts w:cs="Arial"/>
          <w:b/>
          <w:bCs/>
        </w:rPr>
      </w:pPr>
      <w:r w:rsidRPr="00B148F9">
        <w:rPr>
          <w:rFonts w:cs="Arial"/>
          <w:b/>
          <w:bCs/>
        </w:rPr>
        <w:t xml:space="preserve">Directors’ </w:t>
      </w:r>
      <w:r w:rsidR="000A54D1" w:rsidRPr="00B148F9">
        <w:rPr>
          <w:rFonts w:cs="Arial"/>
          <w:b/>
          <w:bCs/>
        </w:rPr>
        <w:t>a</w:t>
      </w:r>
      <w:r w:rsidRPr="00B148F9">
        <w:rPr>
          <w:rFonts w:cs="Arial"/>
          <w:b/>
          <w:bCs/>
        </w:rPr>
        <w:t xml:space="preserve">uthority to </w:t>
      </w:r>
      <w:r w:rsidR="000A54D1" w:rsidRPr="00B148F9">
        <w:rPr>
          <w:rFonts w:cs="Arial"/>
          <w:b/>
          <w:bCs/>
        </w:rPr>
        <w:t>buy back s</w:t>
      </w:r>
      <w:r w:rsidRPr="00B148F9">
        <w:rPr>
          <w:rFonts w:cs="Arial"/>
          <w:b/>
          <w:bCs/>
        </w:rPr>
        <w:t>hares</w:t>
      </w:r>
    </w:p>
    <w:p w14:paraId="41AE680E" w14:textId="587B04F1" w:rsidR="00E1723A" w:rsidRPr="00B148F9" w:rsidRDefault="00E1723A" w:rsidP="001167F8">
      <w:pPr>
        <w:rPr>
          <w:rFonts w:cs="Arial"/>
        </w:rPr>
      </w:pPr>
      <w:r w:rsidRPr="00B148F9">
        <w:rPr>
          <w:rFonts w:cs="Arial"/>
        </w:rPr>
        <w:t>The current authority of the Company to make market purchases of up to</w:t>
      </w:r>
      <w:r w:rsidR="000519FD" w:rsidRPr="00B148F9">
        <w:rPr>
          <w:rFonts w:cs="Arial"/>
        </w:rPr>
        <w:t xml:space="preserve"> 50 million Ordinary Shares</w:t>
      </w:r>
      <w:r w:rsidRPr="00B148F9">
        <w:rPr>
          <w:rFonts w:cs="Arial"/>
        </w:rPr>
        <w:t xml:space="preserve"> </w:t>
      </w:r>
      <w:r w:rsidR="000519FD" w:rsidRPr="00B148F9">
        <w:rPr>
          <w:rFonts w:cs="Arial"/>
        </w:rPr>
        <w:t xml:space="preserve">(or, if lower, </w:t>
      </w:r>
      <w:r w:rsidRPr="00B148F9">
        <w:rPr>
          <w:rFonts w:cs="Arial"/>
        </w:rPr>
        <w:t>a maximum of 14.99</w:t>
      </w:r>
      <w:r w:rsidR="00016A65" w:rsidRPr="00B148F9">
        <w:rPr>
          <w:rFonts w:cs="Arial"/>
        </w:rPr>
        <w:t>%</w:t>
      </w:r>
      <w:r w:rsidRPr="00B148F9">
        <w:rPr>
          <w:rFonts w:cs="Arial"/>
        </w:rPr>
        <w:t xml:space="preserve"> of the issued Share Capital</w:t>
      </w:r>
      <w:r w:rsidR="000519FD" w:rsidRPr="00B148F9">
        <w:rPr>
          <w:rFonts w:cs="Arial"/>
        </w:rPr>
        <w:t>)</w:t>
      </w:r>
      <w:r w:rsidRPr="00B148F9">
        <w:rPr>
          <w:rFonts w:cs="Arial"/>
        </w:rPr>
        <w:t xml:space="preserve"> </w:t>
      </w:r>
      <w:r w:rsidR="0034531A" w:rsidRPr="00B148F9">
        <w:rPr>
          <w:rFonts w:cs="Arial"/>
        </w:rPr>
        <w:t>as authorised in the Company Prospectus dated 1</w:t>
      </w:r>
      <w:r w:rsidR="002C4729" w:rsidRPr="00B148F9">
        <w:rPr>
          <w:rFonts w:cs="Arial"/>
        </w:rPr>
        <w:t>4</w:t>
      </w:r>
      <w:r w:rsidR="0034531A" w:rsidRPr="00B148F9">
        <w:rPr>
          <w:rFonts w:cs="Arial"/>
        </w:rPr>
        <w:t xml:space="preserve"> October 2019, with such authority lasting until the conclusion of the Annual General Meeting</w:t>
      </w:r>
      <w:r w:rsidRPr="00B148F9">
        <w:rPr>
          <w:rFonts w:cs="Arial"/>
        </w:rPr>
        <w:t xml:space="preserve">. At the </w:t>
      </w:r>
      <w:r w:rsidR="005B27DB" w:rsidRPr="00B148F9">
        <w:rPr>
          <w:rFonts w:cs="Arial"/>
        </w:rPr>
        <w:t>AGM</w:t>
      </w:r>
      <w:r w:rsidRPr="00B148F9">
        <w:rPr>
          <w:rFonts w:cs="Arial"/>
        </w:rPr>
        <w:t xml:space="preserve"> to take place on </w:t>
      </w:r>
      <w:r w:rsidR="00AE1437" w:rsidRPr="00B148F9">
        <w:t>25 June</w:t>
      </w:r>
      <w:r w:rsidR="004F3324" w:rsidRPr="00B148F9">
        <w:t xml:space="preserve"> </w:t>
      </w:r>
      <w:r w:rsidR="00C06B37" w:rsidRPr="00B148F9">
        <w:t>20</w:t>
      </w:r>
      <w:r w:rsidR="004D33E1" w:rsidRPr="00B148F9">
        <w:t>20</w:t>
      </w:r>
      <w:r w:rsidR="00C06B37" w:rsidRPr="00B148F9">
        <w:t xml:space="preserve"> </w:t>
      </w:r>
      <w:r w:rsidRPr="00B148F9">
        <w:rPr>
          <w:rFonts w:cs="Arial"/>
        </w:rPr>
        <w:t xml:space="preserve">the </w:t>
      </w:r>
      <w:r w:rsidR="001D3169" w:rsidRPr="00B148F9">
        <w:rPr>
          <w:rFonts w:cs="Arial"/>
        </w:rPr>
        <w:t xml:space="preserve">Board </w:t>
      </w:r>
      <w:r w:rsidRPr="00B148F9">
        <w:rPr>
          <w:rFonts w:cs="Arial"/>
        </w:rPr>
        <w:t xml:space="preserve">will seek to renew such authority. Any buy back of </w:t>
      </w:r>
      <w:r w:rsidR="001167F8" w:rsidRPr="00B148F9">
        <w:rPr>
          <w:rFonts w:cs="Arial"/>
        </w:rPr>
        <w:t xml:space="preserve">Ordinary </w:t>
      </w:r>
      <w:r w:rsidRPr="00B148F9">
        <w:rPr>
          <w:rFonts w:cs="Arial"/>
        </w:rPr>
        <w:t xml:space="preserve">Shares will be made subject to </w:t>
      </w:r>
      <w:r w:rsidR="001D6D09" w:rsidRPr="00B148F9">
        <w:rPr>
          <w:rFonts w:cs="Arial"/>
        </w:rPr>
        <w:t>Companies Law</w:t>
      </w:r>
      <w:r w:rsidRPr="00B148F9">
        <w:rPr>
          <w:rFonts w:cs="Arial"/>
        </w:rPr>
        <w:t xml:space="preserve"> and within any guidelines established from time to time by the Board and the making and timing of any buy backs will be at the absolute discretion of the Board and not at the option of the Shareholders. </w:t>
      </w:r>
      <w:r w:rsidR="001167F8" w:rsidRPr="00B148F9">
        <w:rPr>
          <w:rFonts w:cs="Arial"/>
        </w:rPr>
        <w:t xml:space="preserve">Ordinary Shares will only be repurchased at a price which, after repurchase costs, represents a discount to the Net Asset Value per Ordinary Share and </w:t>
      </w:r>
      <w:r w:rsidRPr="00B148F9">
        <w:rPr>
          <w:rFonts w:cs="Arial"/>
        </w:rPr>
        <w:t>where the Directors believe such purchases will enhance shareholder value. Such purchases will also only be made in accordance with the Listing Rules of the UK Listing Authority which provide that the price to be paid must not be more than 5 per cent</w:t>
      </w:r>
      <w:r w:rsidR="00485A2B">
        <w:rPr>
          <w:rFonts w:cs="Arial"/>
        </w:rPr>
        <w:t>.</w:t>
      </w:r>
      <w:r w:rsidRPr="00B148F9">
        <w:rPr>
          <w:rFonts w:cs="Arial"/>
        </w:rPr>
        <w:t xml:space="preserve"> above the average of the middle market quotations for the </w:t>
      </w:r>
      <w:r w:rsidR="001167F8" w:rsidRPr="00B148F9">
        <w:rPr>
          <w:rFonts w:cs="Arial"/>
        </w:rPr>
        <w:t>Ordinary</w:t>
      </w:r>
      <w:r w:rsidRPr="00B148F9">
        <w:rPr>
          <w:rFonts w:cs="Arial"/>
        </w:rPr>
        <w:t xml:space="preserve"> Shares for the five business days before the shares are purchased unless previously advised to shareholders.</w:t>
      </w:r>
    </w:p>
    <w:p w14:paraId="5ADABF6B" w14:textId="77777777" w:rsidR="00E1723A" w:rsidRPr="00B148F9" w:rsidRDefault="00E1723A" w:rsidP="00E1723A">
      <w:pPr>
        <w:rPr>
          <w:rFonts w:cs="Arial"/>
        </w:rPr>
      </w:pPr>
    </w:p>
    <w:p w14:paraId="14EE6003" w14:textId="142DAD3C" w:rsidR="00E1723A" w:rsidRPr="00B148F9" w:rsidRDefault="00E1723A" w:rsidP="00E1723A">
      <w:pPr>
        <w:rPr>
          <w:rFonts w:cs="Arial"/>
        </w:rPr>
      </w:pPr>
      <w:r w:rsidRPr="00B148F9">
        <w:rPr>
          <w:rFonts w:cs="Arial"/>
        </w:rPr>
        <w:t xml:space="preserve">In accordance with the Company’s Articles and </w:t>
      </w:r>
      <w:r w:rsidR="001D6D09" w:rsidRPr="00B148F9">
        <w:rPr>
          <w:rFonts w:cs="Arial"/>
        </w:rPr>
        <w:t>Companies Law</w:t>
      </w:r>
      <w:r w:rsidRPr="00B148F9">
        <w:rPr>
          <w:rFonts w:cs="Arial"/>
        </w:rPr>
        <w:t xml:space="preserve"> up to 10 per cent. of the Company’s shares may be held as treasury shares. The Company has not held any shares in treasury at any time.</w:t>
      </w:r>
    </w:p>
    <w:p w14:paraId="17E61B66" w14:textId="77777777" w:rsidR="009A7AD1" w:rsidRPr="00B148F9" w:rsidRDefault="009A7AD1" w:rsidP="00E1723A">
      <w:pPr>
        <w:rPr>
          <w:rFonts w:cs="Arial"/>
        </w:rPr>
      </w:pPr>
    </w:p>
    <w:p w14:paraId="71B5D664" w14:textId="77777777" w:rsidR="00E1723A" w:rsidRPr="00B148F9" w:rsidRDefault="00E1723A" w:rsidP="00E1723A">
      <w:pPr>
        <w:rPr>
          <w:rFonts w:cs="Arial"/>
          <w:b/>
          <w:bCs/>
        </w:rPr>
      </w:pPr>
      <w:r w:rsidRPr="00B148F9">
        <w:rPr>
          <w:rFonts w:cs="Arial"/>
          <w:b/>
          <w:bCs/>
        </w:rPr>
        <w:lastRenderedPageBreak/>
        <w:t>Articles of Incorporation</w:t>
      </w:r>
    </w:p>
    <w:p w14:paraId="67EEBF53" w14:textId="373DC6A9" w:rsidR="00E1723A" w:rsidRPr="00B148F9" w:rsidRDefault="00E1723A" w:rsidP="00E1723A">
      <w:pPr>
        <w:rPr>
          <w:rFonts w:cs="Arial"/>
        </w:rPr>
      </w:pPr>
      <w:r w:rsidRPr="00B148F9">
        <w:rPr>
          <w:rFonts w:cs="Arial"/>
        </w:rPr>
        <w:t xml:space="preserve">The Company’s Articles may only be amended by special resolution of the shareholders and if the amendment affects the rights of the holders of shares, by a separate resolution of such holders only. </w:t>
      </w:r>
    </w:p>
    <w:p w14:paraId="511AA6C4" w14:textId="77777777" w:rsidR="005244D1" w:rsidRPr="00B148F9" w:rsidRDefault="005244D1" w:rsidP="00E1723A">
      <w:pPr>
        <w:autoSpaceDE w:val="0"/>
        <w:autoSpaceDN w:val="0"/>
        <w:adjustRightInd w:val="0"/>
        <w:rPr>
          <w:rFonts w:cs="Arial"/>
          <w:b/>
          <w:bCs/>
        </w:rPr>
      </w:pPr>
    </w:p>
    <w:p w14:paraId="1510C288" w14:textId="01D12F92" w:rsidR="00E1723A" w:rsidRPr="00B148F9" w:rsidRDefault="00E1723A" w:rsidP="00E1723A">
      <w:pPr>
        <w:autoSpaceDE w:val="0"/>
        <w:autoSpaceDN w:val="0"/>
        <w:adjustRightInd w:val="0"/>
        <w:rPr>
          <w:rFonts w:cs="Arial"/>
          <w:b/>
          <w:bCs/>
        </w:rPr>
      </w:pPr>
      <w:r w:rsidRPr="00B148F9">
        <w:rPr>
          <w:rFonts w:cs="Arial"/>
          <w:b/>
          <w:bCs/>
        </w:rPr>
        <w:t>Change of control</w:t>
      </w:r>
    </w:p>
    <w:p w14:paraId="3F039720" w14:textId="2FD58ECA" w:rsidR="00E1723A" w:rsidRPr="00B148F9" w:rsidRDefault="00E1723A" w:rsidP="00E1723A">
      <w:pPr>
        <w:autoSpaceDE w:val="0"/>
        <w:autoSpaceDN w:val="0"/>
        <w:adjustRightInd w:val="0"/>
        <w:rPr>
          <w:rFonts w:cs="Arial"/>
        </w:rPr>
      </w:pPr>
      <w:r w:rsidRPr="00B148F9">
        <w:rPr>
          <w:rFonts w:cs="Arial"/>
        </w:rPr>
        <w:t>There are no agreements that the Company considers significant and to which the Company is party that would take effect, alter or terminate upon change of control of the Company following a takeover bid.</w:t>
      </w:r>
    </w:p>
    <w:p w14:paraId="2ED3A1E4" w14:textId="1DEE5BEC" w:rsidR="00B40465" w:rsidRPr="00B148F9" w:rsidRDefault="00B40465" w:rsidP="00E1723A">
      <w:pPr>
        <w:autoSpaceDE w:val="0"/>
        <w:autoSpaceDN w:val="0"/>
        <w:adjustRightInd w:val="0"/>
        <w:rPr>
          <w:rFonts w:cs="Arial"/>
        </w:rPr>
      </w:pPr>
    </w:p>
    <w:p w14:paraId="5C493D6E" w14:textId="23DF1A85" w:rsidR="00B40465" w:rsidRPr="00B148F9" w:rsidRDefault="00B40465" w:rsidP="00E1723A">
      <w:pPr>
        <w:autoSpaceDE w:val="0"/>
        <w:autoSpaceDN w:val="0"/>
        <w:adjustRightInd w:val="0"/>
        <w:rPr>
          <w:rFonts w:cs="Arial"/>
          <w:b/>
        </w:rPr>
      </w:pPr>
      <w:r w:rsidRPr="00B148F9">
        <w:rPr>
          <w:rFonts w:cs="Arial"/>
          <w:b/>
        </w:rPr>
        <w:t>Anti-Bribery and Corruption Policy</w:t>
      </w:r>
    </w:p>
    <w:p w14:paraId="41091896" w14:textId="17C77AC3" w:rsidR="00B40465" w:rsidRPr="00B148F9" w:rsidRDefault="00BB73BE" w:rsidP="00E1723A">
      <w:pPr>
        <w:autoSpaceDE w:val="0"/>
        <w:autoSpaceDN w:val="0"/>
        <w:adjustRightInd w:val="0"/>
      </w:pPr>
      <w:r w:rsidRPr="00B148F9">
        <w:rPr>
          <w:rFonts w:cs="Arial"/>
        </w:rPr>
        <w:t xml:space="preserve">The Board has a zero tolerance approach to instances of bribery and corruption and has reiterated its commitment to carry out business fairly, honestly and openly. Accordingly, it expressly prohibits any Director or associated persons, when acting on behalf of the Company, from accepting, soliciting, paying, offering or </w:t>
      </w:r>
      <w:r w:rsidRPr="00B148F9">
        <w:t>promising to pay or authorise any payment, public or private, in the United Kingdom or abroad to secure any improper benefit for themselves or for the Company. The Investment Manager has also adopted a zero tolerance approach to instances of bribery and corruption. The Board insists on strict observance with these same standards by its service providers in their activities for the Company and continues to refine its process in this regard.</w:t>
      </w:r>
    </w:p>
    <w:p w14:paraId="142773D9" w14:textId="77777777" w:rsidR="00A670DB" w:rsidRPr="00B148F9" w:rsidRDefault="00A670DB" w:rsidP="00E1723A">
      <w:pPr>
        <w:autoSpaceDE w:val="0"/>
        <w:autoSpaceDN w:val="0"/>
        <w:adjustRightInd w:val="0"/>
      </w:pPr>
    </w:p>
    <w:p w14:paraId="70E7A9F4" w14:textId="33D1C5EE" w:rsidR="00BB73BE" w:rsidRPr="00B148F9" w:rsidRDefault="00BB73BE" w:rsidP="00E1723A">
      <w:pPr>
        <w:autoSpaceDE w:val="0"/>
        <w:autoSpaceDN w:val="0"/>
        <w:adjustRightInd w:val="0"/>
      </w:pPr>
      <w:r w:rsidRPr="00B148F9">
        <w:rPr>
          <w:b/>
        </w:rPr>
        <w:t>Criminal Finances Act</w:t>
      </w:r>
    </w:p>
    <w:p w14:paraId="11A3159A" w14:textId="7EA035DF" w:rsidR="00BB73BE" w:rsidRPr="00B148F9" w:rsidRDefault="00BB73BE" w:rsidP="00E1723A">
      <w:pPr>
        <w:autoSpaceDE w:val="0"/>
        <w:autoSpaceDN w:val="0"/>
        <w:adjustRightInd w:val="0"/>
        <w:rPr>
          <w:rFonts w:cs="Arial"/>
        </w:rPr>
      </w:pPr>
      <w:r w:rsidRPr="00B148F9">
        <w:rPr>
          <w:rFonts w:cs="Arial"/>
        </w:rPr>
        <w:t>The Board has a zero tolerance commitment to preventing persons associated with it from engaging in criminal facilitation of tax evasion. The Board expects the same of its service providers and will not work with service providers that it knows do not demonstrate the same zero tolerance commitment to preventing persons associated with it from engaging in criminal facilitation of tax evasion.</w:t>
      </w:r>
    </w:p>
    <w:p w14:paraId="633FB2CE" w14:textId="62DCA82A" w:rsidR="00BB73BE" w:rsidRPr="00B148F9" w:rsidRDefault="00BB73BE" w:rsidP="00E1723A">
      <w:pPr>
        <w:autoSpaceDE w:val="0"/>
        <w:autoSpaceDN w:val="0"/>
        <w:adjustRightInd w:val="0"/>
        <w:rPr>
          <w:rFonts w:cs="Arial"/>
        </w:rPr>
      </w:pPr>
    </w:p>
    <w:p w14:paraId="462C442D" w14:textId="3474DF65" w:rsidR="00BB73BE" w:rsidRPr="00B148F9" w:rsidRDefault="00BB73BE" w:rsidP="00E1723A">
      <w:pPr>
        <w:autoSpaceDE w:val="0"/>
        <w:autoSpaceDN w:val="0"/>
        <w:adjustRightInd w:val="0"/>
        <w:rPr>
          <w:rFonts w:cs="Arial"/>
        </w:rPr>
      </w:pPr>
      <w:r w:rsidRPr="00B148F9">
        <w:rPr>
          <w:rFonts w:cs="Arial"/>
          <w:b/>
        </w:rPr>
        <w:t>Environment, Employees, Human Rights and Social Matters</w:t>
      </w:r>
    </w:p>
    <w:p w14:paraId="1758C8CD" w14:textId="60230C5B" w:rsidR="00BB73BE" w:rsidRPr="00B148F9" w:rsidRDefault="00BB73BE" w:rsidP="00E1723A">
      <w:pPr>
        <w:autoSpaceDE w:val="0"/>
        <w:autoSpaceDN w:val="0"/>
        <w:adjustRightInd w:val="0"/>
        <w:rPr>
          <w:rFonts w:cs="Arial"/>
        </w:rPr>
      </w:pPr>
      <w:r w:rsidRPr="00B148F9">
        <w:rPr>
          <w:rFonts w:cs="Arial"/>
        </w:rPr>
        <w:t>The Company has an investment management contract with the Investment Manager. It has no employees and all of its Directors are non-executive, with day-to-day activities being carried out by third party service providers. There are therefore no disclosures to be made in respect of its employees. Further, because the Company is a closed-ended investment company with no employees, its environmental impact is minimal. The Board notes that the companies in which the Company invests directly or indirectly may have an environmental, employee, human rights or social impact of which the Board has no visibility or control.</w:t>
      </w:r>
    </w:p>
    <w:p w14:paraId="3B9DFBE4" w14:textId="0E192515" w:rsidR="00BB73BE" w:rsidRPr="00B148F9" w:rsidRDefault="00BB73BE" w:rsidP="00E1723A">
      <w:pPr>
        <w:autoSpaceDE w:val="0"/>
        <w:autoSpaceDN w:val="0"/>
        <w:adjustRightInd w:val="0"/>
        <w:rPr>
          <w:rFonts w:cs="Arial"/>
        </w:rPr>
      </w:pPr>
    </w:p>
    <w:p w14:paraId="75B044B5" w14:textId="6C2C317A" w:rsidR="00BB73BE" w:rsidRPr="00B148F9" w:rsidRDefault="00BB73BE" w:rsidP="00E1723A">
      <w:pPr>
        <w:autoSpaceDE w:val="0"/>
        <w:autoSpaceDN w:val="0"/>
        <w:adjustRightInd w:val="0"/>
        <w:rPr>
          <w:rFonts w:cs="Arial"/>
        </w:rPr>
      </w:pPr>
      <w:r w:rsidRPr="00B148F9">
        <w:rPr>
          <w:rFonts w:cs="Arial"/>
          <w:b/>
        </w:rPr>
        <w:t>The UK Modern Slavery Act</w:t>
      </w:r>
    </w:p>
    <w:p w14:paraId="767307BC" w14:textId="08319FDC" w:rsidR="00BB73BE" w:rsidRPr="00B148F9" w:rsidRDefault="00BB73BE" w:rsidP="00E1723A">
      <w:pPr>
        <w:autoSpaceDE w:val="0"/>
        <w:autoSpaceDN w:val="0"/>
        <w:adjustRightInd w:val="0"/>
        <w:rPr>
          <w:rFonts w:cs="Arial"/>
        </w:rPr>
      </w:pPr>
      <w:r w:rsidRPr="00B148F9">
        <w:rPr>
          <w:rFonts w:cs="Arial"/>
        </w:rPr>
        <w:t>The Board conducts the business of the Company ethically and with integrity, and has a zero tolerance policy towards modern slavery in all its forms. As the Company has no employees, all its Directors are non-executive and all its functions are outsourced, there are no further disclosures to be made in respect of employees and human rights. The Board notes that the companies in which the Company invests directly or indirectly may have an employee, community, human rights or social impact of which the Board has no visibility or control.</w:t>
      </w:r>
    </w:p>
    <w:p w14:paraId="28DCD150" w14:textId="312F7304" w:rsidR="008D2A9B" w:rsidRPr="00B148F9" w:rsidRDefault="008D2A9B" w:rsidP="00E1723A">
      <w:pPr>
        <w:autoSpaceDE w:val="0"/>
        <w:autoSpaceDN w:val="0"/>
        <w:adjustRightInd w:val="0"/>
        <w:rPr>
          <w:rFonts w:cs="Arial"/>
        </w:rPr>
      </w:pPr>
    </w:p>
    <w:p w14:paraId="5F2AC432" w14:textId="48426DF2" w:rsidR="008D2A9B" w:rsidRPr="00B148F9" w:rsidRDefault="008D2A9B" w:rsidP="00E1723A">
      <w:pPr>
        <w:autoSpaceDE w:val="0"/>
        <w:autoSpaceDN w:val="0"/>
        <w:adjustRightInd w:val="0"/>
        <w:rPr>
          <w:rFonts w:cs="Arial"/>
          <w:b/>
        </w:rPr>
      </w:pPr>
      <w:r w:rsidRPr="00B148F9">
        <w:rPr>
          <w:rFonts w:cs="Arial"/>
          <w:b/>
        </w:rPr>
        <w:t>Certain Service Providers</w:t>
      </w:r>
    </w:p>
    <w:p w14:paraId="07C9778D" w14:textId="02A0234D" w:rsidR="00001FAB" w:rsidRPr="00B148F9" w:rsidRDefault="00001FAB" w:rsidP="00E1723A">
      <w:pPr>
        <w:autoSpaceDE w:val="0"/>
        <w:autoSpaceDN w:val="0"/>
        <w:adjustRightInd w:val="0"/>
        <w:rPr>
          <w:rFonts w:cs="Arial"/>
        </w:rPr>
      </w:pPr>
    </w:p>
    <w:p w14:paraId="5476EB9B" w14:textId="1FFF6D8F" w:rsidR="008D2A9B" w:rsidRPr="00B148F9" w:rsidRDefault="008D2A9B" w:rsidP="00E1723A">
      <w:pPr>
        <w:autoSpaceDE w:val="0"/>
        <w:autoSpaceDN w:val="0"/>
        <w:adjustRightInd w:val="0"/>
        <w:rPr>
          <w:rFonts w:cs="Arial"/>
        </w:rPr>
      </w:pPr>
      <w:r w:rsidRPr="00B148F9">
        <w:rPr>
          <w:rFonts w:cs="Arial"/>
          <w:b/>
        </w:rPr>
        <w:t>Independent Auditor</w:t>
      </w:r>
    </w:p>
    <w:p w14:paraId="251AD746" w14:textId="17259C5D" w:rsidR="008D2A9B" w:rsidRPr="00B148F9" w:rsidRDefault="008D2A9B" w:rsidP="00E1723A">
      <w:pPr>
        <w:autoSpaceDE w:val="0"/>
        <w:autoSpaceDN w:val="0"/>
        <w:adjustRightInd w:val="0"/>
        <w:rPr>
          <w:rFonts w:cs="Arial"/>
        </w:rPr>
      </w:pPr>
      <w:r w:rsidRPr="00B148F9">
        <w:rPr>
          <w:rFonts w:cs="Arial"/>
        </w:rPr>
        <w:t>KPMG Channel Islands Limited</w:t>
      </w:r>
      <w:r w:rsidR="006401EE" w:rsidRPr="00B148F9">
        <w:rPr>
          <w:rFonts w:cs="Arial"/>
        </w:rPr>
        <w:t xml:space="preserve"> (“KPMG”)</w:t>
      </w:r>
      <w:r w:rsidRPr="00B148F9">
        <w:rPr>
          <w:rFonts w:cs="Arial"/>
        </w:rPr>
        <w:t>, who are Chartered Accountants and are registered auditors qualified to practice in England &amp; Wales, have been appointed to serve as the Company’s auditor (the “Independent Auditor”). In such capacity, the Independent Auditor is responsible for auditing and expressing an opinion on the financial statements of the Company in accordance with applicable law and auditing standards.</w:t>
      </w:r>
    </w:p>
    <w:p w14:paraId="2FEAC0E4" w14:textId="3E0C0B95" w:rsidR="008D2A9B" w:rsidRPr="00B148F9" w:rsidRDefault="008D2A9B" w:rsidP="00E1723A">
      <w:pPr>
        <w:autoSpaceDE w:val="0"/>
        <w:autoSpaceDN w:val="0"/>
        <w:adjustRightInd w:val="0"/>
        <w:rPr>
          <w:rFonts w:cs="Arial"/>
        </w:rPr>
      </w:pPr>
    </w:p>
    <w:p w14:paraId="6F252D0A" w14:textId="7F4BAF15" w:rsidR="008D2A9B" w:rsidRPr="00B148F9" w:rsidRDefault="008D2A9B" w:rsidP="00E1723A">
      <w:pPr>
        <w:autoSpaceDE w:val="0"/>
        <w:autoSpaceDN w:val="0"/>
        <w:adjustRightInd w:val="0"/>
        <w:rPr>
          <w:rFonts w:cs="Arial"/>
        </w:rPr>
      </w:pPr>
      <w:r w:rsidRPr="00B148F9">
        <w:rPr>
          <w:rFonts w:cs="Arial"/>
          <w:b/>
        </w:rPr>
        <w:t>Investment Manager</w:t>
      </w:r>
    </w:p>
    <w:p w14:paraId="1588C51F" w14:textId="0C257BCF" w:rsidR="008D2A9B" w:rsidRPr="00B148F9" w:rsidRDefault="008D2A9B" w:rsidP="00E1723A">
      <w:pPr>
        <w:autoSpaceDE w:val="0"/>
        <w:autoSpaceDN w:val="0"/>
        <w:adjustRightInd w:val="0"/>
        <w:rPr>
          <w:rFonts w:cs="Arial"/>
        </w:rPr>
      </w:pPr>
      <w:r w:rsidRPr="00B148F9">
        <w:rPr>
          <w:rFonts w:cs="Arial"/>
        </w:rPr>
        <w:t>The Directors are responsible for the determination of the Company’s investment policy and have overall responsibility for the Company’s business activities. The Company and the Investment Manager have entered</w:t>
      </w:r>
      <w:r w:rsidR="00326813" w:rsidRPr="00B148F9">
        <w:rPr>
          <w:rFonts w:cs="Arial"/>
        </w:rPr>
        <w:t xml:space="preserve"> into</w:t>
      </w:r>
      <w:r w:rsidRPr="00B148F9">
        <w:rPr>
          <w:rFonts w:cs="Arial"/>
        </w:rPr>
        <w:t xml:space="preserve"> the Investment Management Agreement (as amended, supplemented or modified from time to time), pursuant to which the Investment Manager has been appointed as the Company’s investment manager and has been delegated the authority and responsibility to manage the Company’s investment portfolio. </w:t>
      </w:r>
    </w:p>
    <w:p w14:paraId="046B7AA2" w14:textId="77777777" w:rsidR="00BB73BE" w:rsidRPr="00B148F9" w:rsidRDefault="00BB73BE" w:rsidP="00E1723A">
      <w:pPr>
        <w:autoSpaceDE w:val="0"/>
        <w:autoSpaceDN w:val="0"/>
        <w:adjustRightInd w:val="0"/>
        <w:rPr>
          <w:rFonts w:cs="Arial"/>
        </w:rPr>
      </w:pPr>
    </w:p>
    <w:p w14:paraId="56FC164A" w14:textId="77777777" w:rsidR="00E1723A" w:rsidRPr="00B148F9" w:rsidRDefault="00E1723A" w:rsidP="00E1723A">
      <w:pPr>
        <w:autoSpaceDE w:val="0"/>
        <w:autoSpaceDN w:val="0"/>
        <w:adjustRightInd w:val="0"/>
        <w:rPr>
          <w:rFonts w:cs="Arial"/>
          <w:b/>
          <w:bCs/>
        </w:rPr>
      </w:pPr>
      <w:r w:rsidRPr="00B148F9">
        <w:rPr>
          <w:rFonts w:cs="Arial"/>
          <w:b/>
          <w:bCs/>
        </w:rPr>
        <w:lastRenderedPageBreak/>
        <w:t>Principal risks and uncertainties</w:t>
      </w:r>
    </w:p>
    <w:p w14:paraId="1FF00C52" w14:textId="18A378CC" w:rsidR="00E1723A" w:rsidRPr="00B148F9" w:rsidRDefault="00E1723A" w:rsidP="00E1723A">
      <w:pPr>
        <w:autoSpaceDE w:val="0"/>
        <w:autoSpaceDN w:val="0"/>
        <w:adjustRightInd w:val="0"/>
        <w:rPr>
          <w:rFonts w:cs="Arial"/>
        </w:rPr>
      </w:pPr>
      <w:r w:rsidRPr="00B148F9">
        <w:rPr>
          <w:rFonts w:cs="Arial"/>
        </w:rPr>
        <w:t xml:space="preserve">The Company’s assets consist of investments in </w:t>
      </w:r>
      <w:r w:rsidR="007D3D70" w:rsidRPr="00B148F9">
        <w:rPr>
          <w:rFonts w:cs="Arial"/>
        </w:rPr>
        <w:t>promising therapies and technologies</w:t>
      </w:r>
      <w:r w:rsidR="00CD4AB9" w:rsidRPr="00B148F9">
        <w:rPr>
          <w:rFonts w:cs="Arial"/>
        </w:rPr>
        <w:t xml:space="preserve"> in the </w:t>
      </w:r>
      <w:r w:rsidR="00AE1437" w:rsidRPr="00B148F9">
        <w:rPr>
          <w:rFonts w:cs="Arial"/>
        </w:rPr>
        <w:t>p</w:t>
      </w:r>
      <w:r w:rsidR="00CD4AB9" w:rsidRPr="00B148F9">
        <w:rPr>
          <w:rFonts w:cs="Arial"/>
        </w:rPr>
        <w:t>harmaceutical industry</w:t>
      </w:r>
      <w:r w:rsidR="007D3D70" w:rsidRPr="00B148F9">
        <w:rPr>
          <w:rFonts w:cs="Arial"/>
        </w:rPr>
        <w:t xml:space="preserve">. There is </w:t>
      </w:r>
      <w:r w:rsidR="004225FB" w:rsidRPr="00B148F9">
        <w:rPr>
          <w:rFonts w:cs="Arial"/>
        </w:rPr>
        <w:t xml:space="preserve">inherent </w:t>
      </w:r>
      <w:r w:rsidR="007D3D70" w:rsidRPr="00B148F9">
        <w:rPr>
          <w:rFonts w:cs="Arial"/>
        </w:rPr>
        <w:t>uncertainty in the long term viability of developing biopharmaceutical technologies and whether these technologies</w:t>
      </w:r>
      <w:r w:rsidR="00CD4AB9" w:rsidRPr="00B148F9">
        <w:rPr>
          <w:rFonts w:cs="Arial"/>
        </w:rPr>
        <w:t xml:space="preserve"> can</w:t>
      </w:r>
      <w:r w:rsidR="007D3D70" w:rsidRPr="00B148F9">
        <w:rPr>
          <w:rFonts w:cs="Arial"/>
        </w:rPr>
        <w:t xml:space="preserve"> translate scientific theory into commercially viable business opportunities</w:t>
      </w:r>
      <w:r w:rsidRPr="00B148F9">
        <w:rPr>
          <w:rFonts w:cs="Arial"/>
        </w:rPr>
        <w:t>. Its principal risks are therefore related to the particular circumstance</w:t>
      </w:r>
      <w:r w:rsidR="007D4819" w:rsidRPr="00B148F9">
        <w:rPr>
          <w:rFonts w:cs="Arial"/>
        </w:rPr>
        <w:t>s</w:t>
      </w:r>
      <w:r w:rsidRPr="00B148F9">
        <w:rPr>
          <w:rFonts w:cs="Arial"/>
        </w:rPr>
        <w:t xml:space="preserve"> of the businesses in which it is invested. The </w:t>
      </w:r>
      <w:r w:rsidR="007E2495" w:rsidRPr="00B148F9">
        <w:rPr>
          <w:rFonts w:cs="Arial"/>
        </w:rPr>
        <w:t>Compan</w:t>
      </w:r>
      <w:r w:rsidR="007D3D70" w:rsidRPr="00B148F9">
        <w:rPr>
          <w:rFonts w:cs="Arial"/>
        </w:rPr>
        <w:t>y</w:t>
      </w:r>
      <w:r w:rsidR="001D6D09" w:rsidRPr="00B148F9">
        <w:rPr>
          <w:rFonts w:cs="Arial"/>
        </w:rPr>
        <w:t xml:space="preserve"> </w:t>
      </w:r>
      <w:r w:rsidRPr="00B148F9">
        <w:rPr>
          <w:rFonts w:cs="Arial"/>
        </w:rPr>
        <w:t>seek</w:t>
      </w:r>
      <w:r w:rsidR="007D3D70" w:rsidRPr="00B148F9">
        <w:rPr>
          <w:rFonts w:cs="Arial"/>
        </w:rPr>
        <w:t>s</w:t>
      </w:r>
      <w:r w:rsidRPr="00B148F9">
        <w:rPr>
          <w:rFonts w:cs="Arial"/>
        </w:rPr>
        <w:t xml:space="preserve"> to mitigate these risks through active asset management initiatives and carrying out due diligence work on potential targets before entering into any investments. </w:t>
      </w:r>
    </w:p>
    <w:p w14:paraId="57156DCB" w14:textId="77777777" w:rsidR="00E1723A" w:rsidRPr="00B148F9" w:rsidRDefault="00E1723A" w:rsidP="00E1723A">
      <w:pPr>
        <w:autoSpaceDE w:val="0"/>
        <w:autoSpaceDN w:val="0"/>
        <w:adjustRightInd w:val="0"/>
        <w:rPr>
          <w:rFonts w:cs="Arial"/>
        </w:rPr>
      </w:pPr>
    </w:p>
    <w:p w14:paraId="6C21F3F0" w14:textId="77777777" w:rsidR="00E1723A" w:rsidRPr="00B148F9" w:rsidRDefault="00E1723A" w:rsidP="00E1723A">
      <w:pPr>
        <w:autoSpaceDE w:val="0"/>
        <w:autoSpaceDN w:val="0"/>
        <w:adjustRightInd w:val="0"/>
        <w:rPr>
          <w:rFonts w:cs="Arial"/>
        </w:rPr>
      </w:pPr>
      <w:r w:rsidRPr="00B148F9">
        <w:rPr>
          <w:rFonts w:cs="Arial"/>
        </w:rPr>
        <w:t>Each Director is aware of the risks inherent in the Company’s business and understands the importance of identifying, evaluating and monitoring these risks. The Board has adopted procedures and controls that enable it to manage these risks within acceptable limits and to meet all of its legal and regulatory obligations.</w:t>
      </w:r>
    </w:p>
    <w:p w14:paraId="6D982D4E" w14:textId="77777777" w:rsidR="00E1723A" w:rsidRPr="00B148F9" w:rsidRDefault="00E1723A" w:rsidP="00E1723A">
      <w:pPr>
        <w:autoSpaceDE w:val="0"/>
        <w:autoSpaceDN w:val="0"/>
        <w:adjustRightInd w:val="0"/>
        <w:rPr>
          <w:rFonts w:cs="Arial"/>
        </w:rPr>
      </w:pPr>
    </w:p>
    <w:p w14:paraId="020EF191" w14:textId="5401ED82" w:rsidR="00E1723A" w:rsidRPr="00B148F9" w:rsidRDefault="00E1723A" w:rsidP="00E1723A">
      <w:pPr>
        <w:autoSpaceDE w:val="0"/>
        <w:autoSpaceDN w:val="0"/>
        <w:adjustRightInd w:val="0"/>
      </w:pPr>
      <w:r w:rsidRPr="00B148F9">
        <w:t xml:space="preserve">The Board considers the process for identifying, evaluating and managing any significant risks faced by the Company on an on-going basis and these risks are reported and discussed at Board Meetings. It ensures that effective controls are in place to mitigate these risks and that a satisfactory compliance regime exists to ensure all applicable local and international laws and regulations are upheld. </w:t>
      </w:r>
      <w:r w:rsidR="0085468C" w:rsidRPr="00B148F9">
        <w:t>P</w:t>
      </w:r>
      <w:r w:rsidRPr="00B148F9">
        <w:t>articular attention has been given to the effectiveness of controls to monitor liquidity risk, asset values and counterparty exposure.</w:t>
      </w:r>
    </w:p>
    <w:p w14:paraId="69017C4D" w14:textId="0705DDF0" w:rsidR="00AE1437" w:rsidRPr="00B148F9" w:rsidRDefault="00AE1437" w:rsidP="00E1723A">
      <w:pPr>
        <w:autoSpaceDE w:val="0"/>
        <w:autoSpaceDN w:val="0"/>
        <w:adjustRightInd w:val="0"/>
      </w:pPr>
    </w:p>
    <w:p w14:paraId="071FF218" w14:textId="010B0991" w:rsidR="00AE1437" w:rsidRPr="00B148F9" w:rsidRDefault="002F7E7D" w:rsidP="00E1723A">
      <w:pPr>
        <w:autoSpaceDE w:val="0"/>
        <w:autoSpaceDN w:val="0"/>
        <w:adjustRightInd w:val="0"/>
      </w:pPr>
      <w:r w:rsidRPr="00B148F9">
        <w:t>For each material risk, the likelihood and consequence are identified, management controls and frequency of monitoring are confirmed and results reported and discussed at the quarterly Board meetings and through updating of the Company’s risk matrix</w:t>
      </w:r>
      <w:r w:rsidR="00FE4734" w:rsidRPr="00B148F9">
        <w:t>.</w:t>
      </w:r>
      <w:r w:rsidRPr="00B148F9">
        <w:t xml:space="preserve"> </w:t>
      </w:r>
      <w:r w:rsidR="00571B28" w:rsidRPr="00B148F9">
        <w:t>An extraction of the highest rated risks post mitigation forms the basis of the Principal Risks and Uncertainties disclosure in the Strategic Report.</w:t>
      </w:r>
    </w:p>
    <w:p w14:paraId="1255EE44" w14:textId="77777777" w:rsidR="00E1723A" w:rsidRPr="00B148F9" w:rsidRDefault="00E1723A" w:rsidP="00E1723A">
      <w:pPr>
        <w:autoSpaceDE w:val="0"/>
        <w:autoSpaceDN w:val="0"/>
        <w:adjustRightInd w:val="0"/>
      </w:pPr>
    </w:p>
    <w:p w14:paraId="427C190A" w14:textId="1E98812E" w:rsidR="00AF4FE9" w:rsidRPr="00B148F9" w:rsidRDefault="00AF4FE9" w:rsidP="00E1723A">
      <w:pPr>
        <w:autoSpaceDE w:val="0"/>
        <w:autoSpaceDN w:val="0"/>
        <w:adjustRightInd w:val="0"/>
      </w:pPr>
      <w:r w:rsidRPr="00B148F9">
        <w:t xml:space="preserve">Further details on the Company’s principle risks and uncertainties </w:t>
      </w:r>
      <w:r w:rsidRPr="00B148F9">
        <w:rPr>
          <w:rFonts w:cs="Arial"/>
        </w:rPr>
        <w:t xml:space="preserve">can be found </w:t>
      </w:r>
      <w:r w:rsidR="00D502F5">
        <w:rPr>
          <w:rFonts w:cs="Arial"/>
        </w:rPr>
        <w:t>above</w:t>
      </w:r>
      <w:r w:rsidRPr="00B148F9">
        <w:t xml:space="preserve">. </w:t>
      </w:r>
    </w:p>
    <w:p w14:paraId="663B894C" w14:textId="77777777" w:rsidR="00AF4FE9" w:rsidRPr="00B148F9" w:rsidRDefault="00AF4FE9" w:rsidP="00E1723A">
      <w:pPr>
        <w:autoSpaceDE w:val="0"/>
        <w:autoSpaceDN w:val="0"/>
        <w:adjustRightInd w:val="0"/>
      </w:pPr>
    </w:p>
    <w:p w14:paraId="05A26F17" w14:textId="7EED073C" w:rsidR="00E1723A" w:rsidRPr="00B148F9" w:rsidRDefault="00E1723A" w:rsidP="00E1723A">
      <w:pPr>
        <w:autoSpaceDE w:val="0"/>
        <w:autoSpaceDN w:val="0"/>
        <w:adjustRightInd w:val="0"/>
      </w:pPr>
      <w:r w:rsidRPr="00B148F9">
        <w:t>The financial risks</w:t>
      </w:r>
      <w:r w:rsidR="00A02D58" w:rsidRPr="00B148F9">
        <w:t xml:space="preserve"> of the Company</w:t>
      </w:r>
      <w:r w:rsidR="004225FB" w:rsidRPr="00B148F9">
        <w:t xml:space="preserve"> </w:t>
      </w:r>
      <w:r w:rsidRPr="00B148F9">
        <w:t xml:space="preserve">are discussed in Note </w:t>
      </w:r>
      <w:r w:rsidR="004F6D2D" w:rsidRPr="00B148F9">
        <w:t xml:space="preserve">8 </w:t>
      </w:r>
      <w:r w:rsidRPr="00B148F9">
        <w:t>to the financial statements.</w:t>
      </w:r>
    </w:p>
    <w:p w14:paraId="438C7B4E" w14:textId="77777777" w:rsidR="00E1723A" w:rsidRPr="00B148F9" w:rsidRDefault="00E1723A" w:rsidP="00E1723A">
      <w:pPr>
        <w:autoSpaceDE w:val="0"/>
        <w:autoSpaceDN w:val="0"/>
        <w:adjustRightInd w:val="0"/>
        <w:rPr>
          <w:rFonts w:cs="Arial"/>
        </w:rPr>
      </w:pPr>
    </w:p>
    <w:p w14:paraId="7F6330C8" w14:textId="0BBE37D6" w:rsidR="00E1723A" w:rsidRPr="00B148F9" w:rsidRDefault="00E1723A" w:rsidP="00E1723A">
      <w:pPr>
        <w:autoSpaceDE w:val="0"/>
        <w:autoSpaceDN w:val="0"/>
        <w:adjustRightInd w:val="0"/>
        <w:rPr>
          <w:rFonts w:cs="Arial"/>
        </w:rPr>
      </w:pPr>
      <w:r w:rsidRPr="00B148F9">
        <w:rPr>
          <w:rFonts w:cs="Arial"/>
        </w:rPr>
        <w:t xml:space="preserve">The Company’s </w:t>
      </w:r>
      <w:r w:rsidR="005A00A6" w:rsidRPr="00B148F9">
        <w:rPr>
          <w:rFonts w:cs="Arial"/>
        </w:rPr>
        <w:t xml:space="preserve">other </w:t>
      </w:r>
      <w:r w:rsidRPr="00B148F9">
        <w:rPr>
          <w:rFonts w:cs="Arial"/>
        </w:rPr>
        <w:t>risk factors are fully discussed in the Company’s prospectuses, available on the Company’s website (</w:t>
      </w:r>
      <w:r w:rsidR="00BB4A0E" w:rsidRPr="00B148F9">
        <w:t>www.rtwfunds.com/venture-fund</w:t>
      </w:r>
      <w:r w:rsidRPr="00B148F9">
        <w:t>)</w:t>
      </w:r>
      <w:r w:rsidRPr="00B148F9">
        <w:rPr>
          <w:rFonts w:cs="Arial"/>
        </w:rPr>
        <w:t xml:space="preserve"> and should be reviewed by </w:t>
      </w:r>
      <w:r w:rsidR="003D0C18" w:rsidRPr="00B148F9">
        <w:rPr>
          <w:rFonts w:cs="Arial"/>
        </w:rPr>
        <w:t>S</w:t>
      </w:r>
      <w:r w:rsidRPr="00B148F9">
        <w:rPr>
          <w:rFonts w:cs="Arial"/>
        </w:rPr>
        <w:t>hareholders.</w:t>
      </w:r>
    </w:p>
    <w:p w14:paraId="1B535382" w14:textId="77777777" w:rsidR="00901662" w:rsidRPr="00B148F9" w:rsidRDefault="00901662" w:rsidP="00E1723A">
      <w:pPr>
        <w:autoSpaceDE w:val="0"/>
        <w:autoSpaceDN w:val="0"/>
        <w:adjustRightInd w:val="0"/>
      </w:pPr>
    </w:p>
    <w:p w14:paraId="66B75699" w14:textId="77777777" w:rsidR="00B10185" w:rsidRPr="00B148F9" w:rsidRDefault="000A54D1" w:rsidP="00E1723A">
      <w:pPr>
        <w:autoSpaceDE w:val="0"/>
        <w:autoSpaceDN w:val="0"/>
        <w:adjustRightInd w:val="0"/>
        <w:rPr>
          <w:b/>
        </w:rPr>
      </w:pPr>
      <w:r w:rsidRPr="00B148F9">
        <w:rPr>
          <w:b/>
        </w:rPr>
        <w:t>Going c</w:t>
      </w:r>
      <w:r w:rsidR="00B10185" w:rsidRPr="00B148F9">
        <w:rPr>
          <w:b/>
        </w:rPr>
        <w:t>oncern</w:t>
      </w:r>
    </w:p>
    <w:p w14:paraId="76A5B1E3" w14:textId="4FF2715C" w:rsidR="00B10185" w:rsidRPr="00B148F9" w:rsidRDefault="00B10185" w:rsidP="00E1723A">
      <w:pPr>
        <w:autoSpaceDE w:val="0"/>
        <w:autoSpaceDN w:val="0"/>
        <w:adjustRightInd w:val="0"/>
      </w:pPr>
      <w:r w:rsidRPr="00B148F9">
        <w:t>After making enquir</w:t>
      </w:r>
      <w:r w:rsidR="003D0FD2" w:rsidRPr="00B148F9">
        <w:t>i</w:t>
      </w:r>
      <w:r w:rsidRPr="00B148F9">
        <w:t>es and given the nature of the Company and its investments, the Directors are satisfied that it is appropriate to continue to adopt the going concern basis in preparing the financial statements, and, after due consideration, the Directors consider that the Company is able to continue for the foreseeable future.</w:t>
      </w:r>
    </w:p>
    <w:p w14:paraId="75067412" w14:textId="2484E1C6" w:rsidR="00BB73BE" w:rsidRPr="00B148F9" w:rsidRDefault="00BB73BE" w:rsidP="00E1723A">
      <w:pPr>
        <w:autoSpaceDE w:val="0"/>
        <w:autoSpaceDN w:val="0"/>
        <w:adjustRightInd w:val="0"/>
        <w:rPr>
          <w:b/>
        </w:rPr>
      </w:pPr>
    </w:p>
    <w:p w14:paraId="7564B45C" w14:textId="77777777" w:rsidR="002E7F22" w:rsidRPr="00B148F9" w:rsidRDefault="002E7F22" w:rsidP="00E1723A">
      <w:pPr>
        <w:autoSpaceDE w:val="0"/>
        <w:autoSpaceDN w:val="0"/>
        <w:adjustRightInd w:val="0"/>
        <w:rPr>
          <w:b/>
        </w:rPr>
      </w:pPr>
    </w:p>
    <w:p w14:paraId="009CCF35" w14:textId="77777777" w:rsidR="00BB73BE" w:rsidRPr="00B148F9" w:rsidRDefault="00BB73BE" w:rsidP="00E1723A">
      <w:pPr>
        <w:autoSpaceDE w:val="0"/>
        <w:autoSpaceDN w:val="0"/>
        <w:adjustRightInd w:val="0"/>
        <w:rPr>
          <w:b/>
        </w:rPr>
      </w:pPr>
    </w:p>
    <w:p w14:paraId="39E91C81" w14:textId="1D5AFCB0" w:rsidR="001D7A52" w:rsidRPr="00B148F9" w:rsidRDefault="00E1723A" w:rsidP="00E1723A">
      <w:pPr>
        <w:autoSpaceDE w:val="0"/>
        <w:autoSpaceDN w:val="0"/>
        <w:adjustRightInd w:val="0"/>
        <w:rPr>
          <w:rFonts w:cs="Arial"/>
          <w:b/>
        </w:rPr>
      </w:pPr>
      <w:r w:rsidRPr="00B148F9">
        <w:rPr>
          <w:rFonts w:cs="Arial"/>
        </w:rPr>
        <w:t>By order of the Board</w:t>
      </w:r>
    </w:p>
    <w:p w14:paraId="6A6263F2" w14:textId="77777777" w:rsidR="001D7A52" w:rsidRPr="00B148F9" w:rsidRDefault="001D7A52" w:rsidP="00E1723A">
      <w:pPr>
        <w:autoSpaceDE w:val="0"/>
        <w:autoSpaceDN w:val="0"/>
        <w:adjustRightInd w:val="0"/>
        <w:rPr>
          <w:rFonts w:cs="Arial"/>
          <w:b/>
        </w:rPr>
      </w:pPr>
    </w:p>
    <w:p w14:paraId="5EBD85F7" w14:textId="02814763" w:rsidR="00E1723A" w:rsidRPr="00B148F9" w:rsidRDefault="00E52254" w:rsidP="00E1723A">
      <w:pPr>
        <w:autoSpaceDE w:val="0"/>
        <w:autoSpaceDN w:val="0"/>
        <w:adjustRightInd w:val="0"/>
        <w:rPr>
          <w:rFonts w:cs="Arial"/>
          <w:b/>
        </w:rPr>
      </w:pPr>
      <w:r w:rsidRPr="00B148F9">
        <w:rPr>
          <w:rFonts w:cs="Arial"/>
          <w:b/>
        </w:rPr>
        <w:t>William Simpson</w:t>
      </w:r>
    </w:p>
    <w:p w14:paraId="27C94B6B" w14:textId="27C30666" w:rsidR="00E1723A" w:rsidRPr="009E4CA7" w:rsidRDefault="00E1723A" w:rsidP="00E1723A">
      <w:pPr>
        <w:autoSpaceDE w:val="0"/>
        <w:autoSpaceDN w:val="0"/>
        <w:adjustRightInd w:val="0"/>
        <w:rPr>
          <w:rFonts w:cs="Arial"/>
        </w:rPr>
      </w:pPr>
      <w:r w:rsidRPr="009E4CA7">
        <w:rPr>
          <w:rFonts w:cs="Arial"/>
        </w:rPr>
        <w:t>Chairman</w:t>
      </w:r>
    </w:p>
    <w:p w14:paraId="705F16EB" w14:textId="366CA650" w:rsidR="007F06CA" w:rsidRPr="00B148F9" w:rsidRDefault="009E4CA7" w:rsidP="008E6E59">
      <w:pPr>
        <w:autoSpaceDE w:val="0"/>
        <w:autoSpaceDN w:val="0"/>
        <w:adjustRightInd w:val="0"/>
        <w:rPr>
          <w:rFonts w:cs="Arial"/>
        </w:rPr>
      </w:pPr>
      <w:r w:rsidRPr="009E4CA7">
        <w:t>21</w:t>
      </w:r>
      <w:r w:rsidR="005D456B" w:rsidRPr="009E4CA7">
        <w:t xml:space="preserve"> April </w:t>
      </w:r>
      <w:r w:rsidR="00E1723A" w:rsidRPr="009E4CA7">
        <w:rPr>
          <w:rFonts w:cs="Arial"/>
        </w:rPr>
        <w:t>20</w:t>
      </w:r>
      <w:r w:rsidR="005D456B" w:rsidRPr="009E4CA7">
        <w:rPr>
          <w:rFonts w:cs="Arial"/>
        </w:rPr>
        <w:t>20</w:t>
      </w:r>
    </w:p>
    <w:p w14:paraId="29417479" w14:textId="77777777" w:rsidR="001D7A52" w:rsidRPr="00B148F9" w:rsidRDefault="007F06CA" w:rsidP="001D7A52">
      <w:pPr>
        <w:tabs>
          <w:tab w:val="left" w:pos="3720"/>
        </w:tabs>
        <w:rPr>
          <w:rFonts w:cs="Arial"/>
          <w:b/>
          <w:bCs/>
        </w:rPr>
      </w:pPr>
      <w:r w:rsidRPr="00B148F9">
        <w:rPr>
          <w:rFonts w:cs="Arial"/>
        </w:rPr>
        <w:br w:type="page"/>
      </w:r>
      <w:bookmarkStart w:id="3" w:name="OLE_LINK3"/>
      <w:bookmarkStart w:id="4" w:name="OLE_LINK4"/>
      <w:r w:rsidR="001D7A52" w:rsidRPr="00B148F9">
        <w:rPr>
          <w:rFonts w:cs="Arial"/>
          <w:b/>
        </w:rPr>
        <w:lastRenderedPageBreak/>
        <w:t>Statement of Directors’ responsibilities</w:t>
      </w:r>
    </w:p>
    <w:p w14:paraId="7595CC97" w14:textId="77777777" w:rsidR="001D7A52" w:rsidRPr="00B148F9" w:rsidRDefault="001D7A52" w:rsidP="001D7A52">
      <w:pPr>
        <w:pStyle w:val="BodyText"/>
        <w:spacing w:after="0"/>
        <w:rPr>
          <w:rFonts w:cs="Arial"/>
          <w:bCs/>
        </w:rPr>
      </w:pPr>
    </w:p>
    <w:p w14:paraId="4F1E0964" w14:textId="7BAE6B4F" w:rsidR="001D7A52" w:rsidRPr="00B148F9" w:rsidRDefault="001D7A52" w:rsidP="001D7A52">
      <w:pPr>
        <w:pStyle w:val="BodyText"/>
        <w:spacing w:after="0"/>
        <w:rPr>
          <w:rFonts w:cs="Arial"/>
          <w:bCs/>
        </w:rPr>
      </w:pPr>
      <w:r w:rsidRPr="00B148F9">
        <w:rPr>
          <w:rFonts w:cs="Arial"/>
          <w:bCs/>
        </w:rPr>
        <w:t>The Directors are responsible for preparing the</w:t>
      </w:r>
      <w:r w:rsidR="00AF4FE9" w:rsidRPr="00B148F9">
        <w:rPr>
          <w:rFonts w:cs="Arial"/>
          <w:bCs/>
        </w:rPr>
        <w:t xml:space="preserve"> Annual</w:t>
      </w:r>
      <w:r w:rsidRPr="00B148F9">
        <w:rPr>
          <w:rFonts w:cs="Arial"/>
          <w:bCs/>
        </w:rPr>
        <w:t xml:space="preserve"> Report</w:t>
      </w:r>
      <w:r w:rsidR="005347DA" w:rsidRPr="00B148F9">
        <w:rPr>
          <w:rFonts w:cs="Arial"/>
          <w:bCs/>
        </w:rPr>
        <w:t xml:space="preserve"> and financial statements</w:t>
      </w:r>
      <w:r w:rsidR="00AF4FE9" w:rsidRPr="00B148F9">
        <w:rPr>
          <w:rFonts w:cs="Arial"/>
          <w:bCs/>
        </w:rPr>
        <w:t xml:space="preserve"> in accordance with applicable laws and regulations. Company law requires the directors to prepare financial statements</w:t>
      </w:r>
      <w:r w:rsidR="005347DA" w:rsidRPr="00B148F9">
        <w:rPr>
          <w:rFonts w:cs="Arial"/>
          <w:bCs/>
        </w:rPr>
        <w:t xml:space="preserve"> </w:t>
      </w:r>
      <w:r w:rsidRPr="00B148F9">
        <w:rPr>
          <w:rFonts w:cs="Arial"/>
          <w:bCs/>
        </w:rPr>
        <w:t>for each financial year in accordance with US GAAP</w:t>
      </w:r>
      <w:r w:rsidR="00AF4FE9" w:rsidRPr="00B148F9">
        <w:rPr>
          <w:rFonts w:cs="Arial"/>
          <w:bCs/>
        </w:rPr>
        <w:t xml:space="preserve"> and applicable law</w:t>
      </w:r>
      <w:r w:rsidRPr="00B148F9">
        <w:rPr>
          <w:rFonts w:cs="Arial"/>
          <w:bCs/>
        </w:rPr>
        <w:t xml:space="preserve">. </w:t>
      </w:r>
      <w:r w:rsidR="004A6DA1" w:rsidRPr="00B148F9">
        <w:rPr>
          <w:rFonts w:cs="Arial"/>
          <w:bCs/>
        </w:rPr>
        <w:t xml:space="preserve">Under the Company law the directors must not approve the financial statements unless they are satisfied that they give a true and fair view of the state of the affairs of the Company and of its profit or loss for that period. </w:t>
      </w:r>
      <w:r w:rsidRPr="00B148F9">
        <w:rPr>
          <w:rFonts w:cs="Arial"/>
          <w:bCs/>
        </w:rPr>
        <w:t>In preparing these financial statements</w:t>
      </w:r>
      <w:r w:rsidRPr="00B148F9">
        <w:rPr>
          <w:rFonts w:cs="Arial"/>
        </w:rPr>
        <w:t xml:space="preserve"> </w:t>
      </w:r>
      <w:r w:rsidRPr="00B148F9">
        <w:rPr>
          <w:rFonts w:cs="Arial"/>
          <w:bCs/>
        </w:rPr>
        <w:t>the Directors are required to:</w:t>
      </w:r>
    </w:p>
    <w:p w14:paraId="4E5B2D73" w14:textId="77777777" w:rsidR="001D7A52" w:rsidRPr="00B148F9" w:rsidRDefault="001D7A52" w:rsidP="001D7A52">
      <w:pPr>
        <w:pStyle w:val="BodyText"/>
        <w:spacing w:after="0"/>
        <w:rPr>
          <w:rFonts w:cs="Arial"/>
          <w:b/>
          <w:bCs/>
        </w:rPr>
      </w:pPr>
    </w:p>
    <w:p w14:paraId="1AEB72BD" w14:textId="532578A1" w:rsidR="001D7A52" w:rsidRPr="00B148F9" w:rsidRDefault="001D7A52" w:rsidP="001D7A52">
      <w:pPr>
        <w:numPr>
          <w:ilvl w:val="0"/>
          <w:numId w:val="2"/>
        </w:numPr>
        <w:tabs>
          <w:tab w:val="clear" w:pos="720"/>
        </w:tabs>
        <w:autoSpaceDE w:val="0"/>
        <w:autoSpaceDN w:val="0"/>
        <w:adjustRightInd w:val="0"/>
        <w:ind w:left="360"/>
        <w:rPr>
          <w:rFonts w:cs="Arial"/>
        </w:rPr>
      </w:pPr>
      <w:r w:rsidRPr="00B148F9">
        <w:rPr>
          <w:rFonts w:cs="Arial"/>
        </w:rPr>
        <w:t xml:space="preserve">select suitable accounting policies and apply them consistently; </w:t>
      </w:r>
    </w:p>
    <w:p w14:paraId="559D8DF5" w14:textId="77777777" w:rsidR="001D7A52" w:rsidRPr="00B148F9" w:rsidRDefault="001D7A52" w:rsidP="001D7A52">
      <w:pPr>
        <w:numPr>
          <w:ilvl w:val="0"/>
          <w:numId w:val="2"/>
        </w:numPr>
        <w:tabs>
          <w:tab w:val="clear" w:pos="720"/>
        </w:tabs>
        <w:autoSpaceDE w:val="0"/>
        <w:autoSpaceDN w:val="0"/>
        <w:adjustRightInd w:val="0"/>
        <w:ind w:left="360"/>
        <w:rPr>
          <w:rFonts w:cs="Arial"/>
        </w:rPr>
      </w:pPr>
      <w:r w:rsidRPr="00B148F9">
        <w:rPr>
          <w:rFonts w:cs="Arial"/>
        </w:rPr>
        <w:t>make judgements and estimates that are reasonable and prudent;</w:t>
      </w:r>
    </w:p>
    <w:p w14:paraId="185BCCEB" w14:textId="728CE54F" w:rsidR="001D7A52" w:rsidRPr="00B148F9" w:rsidRDefault="005347DA" w:rsidP="001D7A52">
      <w:pPr>
        <w:numPr>
          <w:ilvl w:val="0"/>
          <w:numId w:val="2"/>
        </w:numPr>
        <w:tabs>
          <w:tab w:val="clear" w:pos="720"/>
        </w:tabs>
        <w:autoSpaceDE w:val="0"/>
        <w:autoSpaceDN w:val="0"/>
        <w:adjustRightInd w:val="0"/>
        <w:ind w:left="360"/>
        <w:rPr>
          <w:rFonts w:cs="Arial"/>
        </w:rPr>
      </w:pPr>
      <w:r w:rsidRPr="00B148F9">
        <w:rPr>
          <w:rFonts w:cs="Arial"/>
        </w:rPr>
        <w:t>state whether applicable accounting standards have been followed, subject to any material departures disclosed and explained in the financial statements</w:t>
      </w:r>
      <w:r w:rsidR="001D7A52" w:rsidRPr="00B148F9">
        <w:rPr>
          <w:rFonts w:cs="Arial"/>
        </w:rPr>
        <w:t>;</w:t>
      </w:r>
    </w:p>
    <w:p w14:paraId="335974FC" w14:textId="73C6C780" w:rsidR="001D7A52" w:rsidRPr="00B148F9" w:rsidRDefault="005347DA" w:rsidP="001D7A52">
      <w:pPr>
        <w:numPr>
          <w:ilvl w:val="0"/>
          <w:numId w:val="2"/>
        </w:numPr>
        <w:tabs>
          <w:tab w:val="clear" w:pos="720"/>
        </w:tabs>
        <w:autoSpaceDE w:val="0"/>
        <w:autoSpaceDN w:val="0"/>
        <w:adjustRightInd w:val="0"/>
        <w:ind w:left="360"/>
        <w:rPr>
          <w:rFonts w:cs="Arial"/>
        </w:rPr>
      </w:pPr>
      <w:r w:rsidRPr="00B148F9">
        <w:rPr>
          <w:rFonts w:cs="Arial"/>
        </w:rPr>
        <w:t>assess the Company’s ability to continue as a going concern, disclosing, as applicable, matters related to going concern</w:t>
      </w:r>
      <w:r w:rsidR="001D7A52" w:rsidRPr="00B148F9">
        <w:rPr>
          <w:rFonts w:cs="Arial"/>
        </w:rPr>
        <w:t>; and</w:t>
      </w:r>
    </w:p>
    <w:p w14:paraId="09E9C523" w14:textId="5E84364F" w:rsidR="001D7A52" w:rsidRPr="00B148F9" w:rsidRDefault="005347DA" w:rsidP="001D7A52">
      <w:pPr>
        <w:numPr>
          <w:ilvl w:val="0"/>
          <w:numId w:val="2"/>
        </w:numPr>
        <w:tabs>
          <w:tab w:val="clear" w:pos="720"/>
        </w:tabs>
        <w:autoSpaceDE w:val="0"/>
        <w:autoSpaceDN w:val="0"/>
        <w:adjustRightInd w:val="0"/>
        <w:ind w:left="360"/>
        <w:rPr>
          <w:rFonts w:cs="Arial"/>
        </w:rPr>
      </w:pPr>
      <w:r w:rsidRPr="00B148F9">
        <w:rPr>
          <w:rFonts w:cs="Arial"/>
        </w:rPr>
        <w:t>use the</w:t>
      </w:r>
      <w:r w:rsidR="001D7A52" w:rsidRPr="00B148F9">
        <w:rPr>
          <w:rFonts w:cs="Arial"/>
        </w:rPr>
        <w:t xml:space="preserve"> going concern basis </w:t>
      </w:r>
      <w:r w:rsidRPr="00B148F9">
        <w:rPr>
          <w:rFonts w:cs="Arial"/>
        </w:rPr>
        <w:t xml:space="preserve">of accounting </w:t>
      </w:r>
      <w:r w:rsidR="001D7A52" w:rsidRPr="00B148F9">
        <w:rPr>
          <w:rFonts w:cs="Arial"/>
        </w:rPr>
        <w:t xml:space="preserve">unless </w:t>
      </w:r>
      <w:r w:rsidRPr="00B148F9">
        <w:rPr>
          <w:rFonts w:cs="Arial"/>
        </w:rPr>
        <w:t>liquidation is imminent</w:t>
      </w:r>
      <w:r w:rsidR="001D7A52" w:rsidRPr="00B148F9">
        <w:rPr>
          <w:rFonts w:cs="Arial"/>
        </w:rPr>
        <w:t>.</w:t>
      </w:r>
    </w:p>
    <w:p w14:paraId="683C7E2B" w14:textId="77777777" w:rsidR="001D7A52" w:rsidRPr="00B148F9" w:rsidRDefault="001D7A52" w:rsidP="001D7A52">
      <w:pPr>
        <w:autoSpaceDE w:val="0"/>
        <w:autoSpaceDN w:val="0"/>
        <w:adjustRightInd w:val="0"/>
        <w:rPr>
          <w:rFonts w:cs="Arial"/>
        </w:rPr>
      </w:pPr>
    </w:p>
    <w:p w14:paraId="00E69C0F" w14:textId="4E250AED" w:rsidR="005347DA" w:rsidRPr="00B148F9" w:rsidRDefault="005347DA" w:rsidP="001D7A52">
      <w:pPr>
        <w:autoSpaceDE w:val="0"/>
        <w:autoSpaceDN w:val="0"/>
        <w:adjustRightInd w:val="0"/>
        <w:rPr>
          <w:rFonts w:cs="Arial"/>
        </w:rPr>
      </w:pPr>
      <w:r w:rsidRPr="00B148F9">
        <w:rPr>
          <w:rFonts w:cs="Arial"/>
        </w:rPr>
        <w:t xml:space="preserve">The Directors confirm that they have complied with the above requirements in preparing the Financial Statements. </w:t>
      </w:r>
    </w:p>
    <w:p w14:paraId="037802A3" w14:textId="77777777" w:rsidR="005347DA" w:rsidRPr="00B148F9" w:rsidRDefault="005347DA" w:rsidP="001D7A52">
      <w:pPr>
        <w:autoSpaceDE w:val="0"/>
        <w:autoSpaceDN w:val="0"/>
        <w:adjustRightInd w:val="0"/>
        <w:rPr>
          <w:rFonts w:cs="Arial"/>
        </w:rPr>
      </w:pPr>
    </w:p>
    <w:p w14:paraId="73C12922" w14:textId="12487614" w:rsidR="001D7A52" w:rsidRPr="00B148F9" w:rsidRDefault="001D7A52" w:rsidP="001D7A52">
      <w:pPr>
        <w:autoSpaceDE w:val="0"/>
        <w:autoSpaceDN w:val="0"/>
        <w:adjustRightInd w:val="0"/>
        <w:rPr>
          <w:rFonts w:cs="Arial"/>
        </w:rPr>
      </w:pPr>
      <w:r w:rsidRPr="00B148F9">
        <w:rPr>
          <w:rFonts w:cs="Arial"/>
        </w:rPr>
        <w:t>The Directors are responsible for keeping proper accounting records which disclose, with reasonable accuracy at any time, the financial position of the Company and which enable them to ensure that the financial statements comply with the Companies Law. They are also responsible for safeguarding the assets of the Company and hence for taking reasonable steps for the prevention and detection of fraud, error and non-compliance with law and regulations.</w:t>
      </w:r>
    </w:p>
    <w:p w14:paraId="545404AC" w14:textId="77777777" w:rsidR="001D7A52" w:rsidRPr="00B148F9" w:rsidRDefault="001D7A52" w:rsidP="001D7A52">
      <w:pPr>
        <w:pStyle w:val="DefaultText"/>
        <w:rPr>
          <w:rFonts w:cs="Arial"/>
          <w:lang w:eastAsia="en-GB"/>
        </w:rPr>
      </w:pPr>
    </w:p>
    <w:p w14:paraId="3644161F" w14:textId="77777777" w:rsidR="001D7A52" w:rsidRPr="00B148F9" w:rsidRDefault="001D7A52" w:rsidP="001D7A52">
      <w:pPr>
        <w:pStyle w:val="DefaultText"/>
        <w:rPr>
          <w:rFonts w:cs="Arial"/>
          <w:lang w:eastAsia="en-GB"/>
        </w:rPr>
      </w:pPr>
      <w:r w:rsidRPr="00B148F9">
        <w:rPr>
          <w:rFonts w:cs="Arial"/>
          <w:lang w:eastAsia="en-GB"/>
        </w:rPr>
        <w:t xml:space="preserve">The </w:t>
      </w:r>
      <w:r w:rsidRPr="00B148F9">
        <w:rPr>
          <w:rFonts w:cs="Arial"/>
        </w:rPr>
        <w:t>Directors confirm that, so far as they are aware, there is no information relevant to the audit of which the Company’s auditor is unaware</w:t>
      </w:r>
      <w:r w:rsidRPr="00B148F9">
        <w:rPr>
          <w:rFonts w:cs="Arial"/>
          <w:lang w:eastAsia="en-GB"/>
        </w:rPr>
        <w:t xml:space="preserve">. The Directors also confirm that they have taken all steps they ought to have taken as Directors to make themselves aware of any information relevant to the audit and to establish that the Company’s auditor is aware of that information. </w:t>
      </w:r>
    </w:p>
    <w:p w14:paraId="08F2FE2B" w14:textId="77777777" w:rsidR="001D7A52" w:rsidRPr="00B148F9" w:rsidRDefault="001D7A52" w:rsidP="001D7A52">
      <w:pPr>
        <w:pStyle w:val="DefaultText"/>
      </w:pPr>
    </w:p>
    <w:p w14:paraId="3496697E" w14:textId="6F201AEA" w:rsidR="001D7A52" w:rsidRPr="00B148F9" w:rsidRDefault="001D7A52" w:rsidP="001D7A52">
      <w:pPr>
        <w:autoSpaceDE w:val="0"/>
        <w:autoSpaceDN w:val="0"/>
        <w:adjustRightInd w:val="0"/>
        <w:rPr>
          <w:rFonts w:cs="Arial"/>
        </w:rPr>
      </w:pPr>
      <w:r w:rsidRPr="00B148F9">
        <w:rPr>
          <w:rFonts w:cs="Arial"/>
        </w:rPr>
        <w:t xml:space="preserve">Each of the Directors, whose names are set out </w:t>
      </w:r>
      <w:r w:rsidR="00D502F5">
        <w:rPr>
          <w:rFonts w:cs="Arial"/>
        </w:rPr>
        <w:t>above</w:t>
      </w:r>
      <w:r w:rsidRPr="00B148F9">
        <w:rPr>
          <w:rFonts w:cs="Arial"/>
        </w:rPr>
        <w:t xml:space="preserve"> in the Report of the Directors section of the Annual Report, confirms that, to the best of their knowledge and belief:</w:t>
      </w:r>
    </w:p>
    <w:p w14:paraId="0959C857" w14:textId="77777777" w:rsidR="001D7A52" w:rsidRPr="00B148F9" w:rsidRDefault="001D7A52" w:rsidP="001D7A52">
      <w:pPr>
        <w:autoSpaceDE w:val="0"/>
        <w:autoSpaceDN w:val="0"/>
        <w:adjustRightInd w:val="0"/>
        <w:rPr>
          <w:rFonts w:cs="Arial"/>
        </w:rPr>
      </w:pPr>
    </w:p>
    <w:p w14:paraId="5467629C" w14:textId="6F9D386A" w:rsidR="001D7A52" w:rsidRPr="00B148F9" w:rsidRDefault="001D7A52" w:rsidP="00A94612">
      <w:pPr>
        <w:pStyle w:val="ListParagraph"/>
        <w:numPr>
          <w:ilvl w:val="0"/>
          <w:numId w:val="7"/>
        </w:numPr>
        <w:tabs>
          <w:tab w:val="left" w:pos="426"/>
        </w:tabs>
        <w:autoSpaceDE w:val="0"/>
        <w:autoSpaceDN w:val="0"/>
        <w:adjustRightInd w:val="0"/>
        <w:rPr>
          <w:rFonts w:cs="Arial"/>
        </w:rPr>
      </w:pPr>
      <w:r w:rsidRPr="00B148F9">
        <w:rPr>
          <w:rFonts w:cs="Arial"/>
        </w:rPr>
        <w:t>the financial statements, prepared in accordance with US GAAP</w:t>
      </w:r>
      <w:r w:rsidR="008E3B3B" w:rsidRPr="00B148F9">
        <w:rPr>
          <w:rFonts w:cs="Arial"/>
        </w:rPr>
        <w:t>,</w:t>
      </w:r>
      <w:r w:rsidRPr="00B148F9">
        <w:rPr>
          <w:rFonts w:cs="Arial"/>
        </w:rPr>
        <w:t xml:space="preserve"> give a true and fair view of the assets, liabilities, financial position and profit or loss of the Company;</w:t>
      </w:r>
    </w:p>
    <w:p w14:paraId="1D3ECC92" w14:textId="310671C0" w:rsidR="001D7A52" w:rsidRPr="00B148F9" w:rsidRDefault="001D7A52" w:rsidP="00A94612">
      <w:pPr>
        <w:pStyle w:val="ListParagraph"/>
        <w:numPr>
          <w:ilvl w:val="0"/>
          <w:numId w:val="7"/>
        </w:numPr>
        <w:tabs>
          <w:tab w:val="left" w:pos="426"/>
        </w:tabs>
        <w:autoSpaceDE w:val="0"/>
        <w:autoSpaceDN w:val="0"/>
        <w:adjustRightInd w:val="0"/>
        <w:rPr>
          <w:rFonts w:cs="Arial"/>
        </w:rPr>
      </w:pPr>
      <w:r w:rsidRPr="00B148F9">
        <w:rPr>
          <w:rFonts w:cs="Arial"/>
        </w:rPr>
        <w:t>the Annual Report includes a fair review of the development and performance of the business and the position of the Company, together with a description of the principal risks and uncertainties</w:t>
      </w:r>
      <w:r w:rsidR="008E3B3B" w:rsidRPr="00B148F9">
        <w:rPr>
          <w:rFonts w:cs="Arial"/>
        </w:rPr>
        <w:t xml:space="preserve"> faced.</w:t>
      </w:r>
    </w:p>
    <w:p w14:paraId="1BEFB853" w14:textId="1C8A803E" w:rsidR="008E3B3B" w:rsidRPr="00B148F9" w:rsidRDefault="008E3B3B" w:rsidP="00DE3E70">
      <w:pPr>
        <w:tabs>
          <w:tab w:val="left" w:pos="426"/>
        </w:tabs>
        <w:autoSpaceDE w:val="0"/>
        <w:autoSpaceDN w:val="0"/>
        <w:adjustRightInd w:val="0"/>
        <w:rPr>
          <w:rFonts w:cs="Arial"/>
        </w:rPr>
      </w:pPr>
    </w:p>
    <w:p w14:paraId="0D3AC4F9" w14:textId="27D8C88C" w:rsidR="001D7A52" w:rsidRPr="00B148F9" w:rsidRDefault="008E3B3B" w:rsidP="00DE3E70">
      <w:pPr>
        <w:tabs>
          <w:tab w:val="left" w:pos="426"/>
        </w:tabs>
        <w:autoSpaceDE w:val="0"/>
        <w:autoSpaceDN w:val="0"/>
        <w:adjustRightInd w:val="0"/>
        <w:rPr>
          <w:rFonts w:cs="Arial"/>
        </w:rPr>
      </w:pPr>
      <w:r w:rsidRPr="00B148F9">
        <w:rPr>
          <w:rFonts w:cs="Arial"/>
        </w:rPr>
        <w:t xml:space="preserve">We consider </w:t>
      </w:r>
      <w:r w:rsidR="001D7A52" w:rsidRPr="00B148F9">
        <w:rPr>
          <w:rFonts w:cs="Arial"/>
        </w:rPr>
        <w:t>the Annual Report</w:t>
      </w:r>
      <w:r w:rsidR="00AF4FE9" w:rsidRPr="00B148F9">
        <w:rPr>
          <w:rFonts w:cs="Arial"/>
        </w:rPr>
        <w:t xml:space="preserve"> and Audited Financial Statements</w:t>
      </w:r>
      <w:r w:rsidR="001D7A52" w:rsidRPr="00B148F9">
        <w:rPr>
          <w:rFonts w:cs="Arial"/>
        </w:rPr>
        <w:t>, taken as a whole, is fair, balanced and understandable and provides the information necessary for shareholders to assess the Company’s performance, business model and strategy</w:t>
      </w:r>
      <w:r w:rsidRPr="00B148F9">
        <w:rPr>
          <w:rFonts w:cs="Arial"/>
        </w:rPr>
        <w:t>.</w:t>
      </w:r>
    </w:p>
    <w:p w14:paraId="33BFE6D1" w14:textId="77777777" w:rsidR="009B7F6F" w:rsidRPr="00B148F9" w:rsidRDefault="009B7F6F" w:rsidP="009B7F6F">
      <w:pPr>
        <w:pStyle w:val="DefaultText"/>
        <w:rPr>
          <w:rFonts w:cs="Arial"/>
          <w:lang w:eastAsia="en-GB"/>
        </w:rPr>
      </w:pPr>
    </w:p>
    <w:p w14:paraId="62C25D52" w14:textId="199DF292" w:rsidR="008E3B3B" w:rsidRPr="00B148F9" w:rsidRDefault="009B7F6F" w:rsidP="009B7F6F">
      <w:pPr>
        <w:pStyle w:val="DefaultText"/>
      </w:pPr>
      <w:r w:rsidRPr="00B148F9">
        <w:t>The Directors are responsible for the maintenance and integrity of the corporate and financial information included on the Company’s website (</w:t>
      </w:r>
      <w:hyperlink r:id="rId347" w:history="1">
        <w:r w:rsidR="008E3B3B" w:rsidRPr="00B148F9">
          <w:rPr>
            <w:rStyle w:val="Hyperlink"/>
          </w:rPr>
          <w:t>www.rtwfunds.com/venture-fund</w:t>
        </w:r>
      </w:hyperlink>
      <w:r w:rsidRPr="00251CF4">
        <w:t>).</w:t>
      </w:r>
      <w:r w:rsidR="008E3B3B" w:rsidRPr="00B148F9">
        <w:t xml:space="preserve"> </w:t>
      </w:r>
    </w:p>
    <w:p w14:paraId="798B9D3B" w14:textId="77777777" w:rsidR="008E3B3B" w:rsidRPr="00B148F9" w:rsidRDefault="008E3B3B" w:rsidP="009B7F6F">
      <w:pPr>
        <w:pStyle w:val="DefaultText"/>
      </w:pPr>
    </w:p>
    <w:p w14:paraId="6406A48F" w14:textId="612C3F77" w:rsidR="009B7F6F" w:rsidRPr="00B148F9" w:rsidRDefault="008E3B3B" w:rsidP="009B7F6F">
      <w:pPr>
        <w:pStyle w:val="DefaultText"/>
      </w:pPr>
      <w:r w:rsidRPr="00B148F9">
        <w:t xml:space="preserve">Legislation in Guernsey governing the preparation and dissemination of financial statements may differ from legislation in other jurisdictions. </w:t>
      </w:r>
    </w:p>
    <w:p w14:paraId="23F9AAE5" w14:textId="77777777" w:rsidR="009B7F6F" w:rsidRPr="00B148F9" w:rsidRDefault="009B7F6F" w:rsidP="001D7A52">
      <w:pPr>
        <w:autoSpaceDE w:val="0"/>
        <w:autoSpaceDN w:val="0"/>
        <w:adjustRightInd w:val="0"/>
        <w:rPr>
          <w:rFonts w:cs="Arial"/>
        </w:rPr>
      </w:pPr>
    </w:p>
    <w:p w14:paraId="59B0A5B7" w14:textId="1CB9EE5A" w:rsidR="001D7A52" w:rsidRPr="00B148F9" w:rsidRDefault="001D7A52" w:rsidP="001D7A52">
      <w:pPr>
        <w:autoSpaceDE w:val="0"/>
        <w:autoSpaceDN w:val="0"/>
        <w:adjustRightInd w:val="0"/>
        <w:rPr>
          <w:rFonts w:cs="Arial"/>
        </w:rPr>
      </w:pPr>
      <w:r w:rsidRPr="00B148F9">
        <w:rPr>
          <w:rFonts w:cs="Arial"/>
        </w:rPr>
        <w:t>By order of the Board</w:t>
      </w:r>
    </w:p>
    <w:p w14:paraId="267C2B1A" w14:textId="77777777" w:rsidR="001D7A52" w:rsidRPr="00B148F9" w:rsidRDefault="001D7A52" w:rsidP="001D7A52">
      <w:pPr>
        <w:autoSpaceDE w:val="0"/>
        <w:autoSpaceDN w:val="0"/>
        <w:adjustRightInd w:val="0"/>
        <w:rPr>
          <w:rFonts w:cs="Arial"/>
          <w:b/>
        </w:rPr>
      </w:pPr>
    </w:p>
    <w:p w14:paraId="1BF897F8" w14:textId="77777777" w:rsidR="001D7A52" w:rsidRPr="00B148F9" w:rsidRDefault="001D7A52" w:rsidP="001D7A52">
      <w:pPr>
        <w:autoSpaceDE w:val="0"/>
        <w:autoSpaceDN w:val="0"/>
        <w:adjustRightInd w:val="0"/>
        <w:rPr>
          <w:rFonts w:cs="Arial"/>
          <w:b/>
        </w:rPr>
      </w:pPr>
    </w:p>
    <w:p w14:paraId="6F656B06" w14:textId="77777777" w:rsidR="001D7A52" w:rsidRPr="00B148F9" w:rsidRDefault="001D7A52" w:rsidP="001D7A52">
      <w:pPr>
        <w:autoSpaceDE w:val="0"/>
        <w:autoSpaceDN w:val="0"/>
        <w:adjustRightInd w:val="0"/>
        <w:rPr>
          <w:rFonts w:cs="Arial"/>
          <w:b/>
        </w:rPr>
      </w:pPr>
    </w:p>
    <w:p w14:paraId="68D25630" w14:textId="6D5CF039" w:rsidR="001D7A52" w:rsidRPr="00B148F9" w:rsidRDefault="001D7A52" w:rsidP="001D7A52">
      <w:pPr>
        <w:autoSpaceDE w:val="0"/>
        <w:autoSpaceDN w:val="0"/>
        <w:adjustRightInd w:val="0"/>
        <w:rPr>
          <w:rFonts w:cs="Arial"/>
        </w:rPr>
      </w:pPr>
      <w:r w:rsidRPr="00B148F9">
        <w:rPr>
          <w:rFonts w:cs="Arial"/>
          <w:b/>
        </w:rPr>
        <w:t>William Simpson</w:t>
      </w:r>
      <w:r w:rsidRPr="00B148F9">
        <w:rPr>
          <w:rFonts w:cs="Arial"/>
        </w:rPr>
        <w:tab/>
      </w:r>
      <w:r w:rsidRPr="00B148F9">
        <w:rPr>
          <w:rFonts w:cs="Arial"/>
        </w:rPr>
        <w:tab/>
      </w:r>
      <w:r w:rsidRPr="00B148F9">
        <w:rPr>
          <w:rFonts w:cs="Arial"/>
        </w:rPr>
        <w:tab/>
      </w:r>
      <w:r w:rsidRPr="00B148F9">
        <w:rPr>
          <w:rFonts w:cs="Arial"/>
        </w:rPr>
        <w:tab/>
      </w:r>
      <w:r w:rsidRPr="00B148F9">
        <w:rPr>
          <w:rFonts w:cs="Arial"/>
        </w:rPr>
        <w:tab/>
      </w:r>
      <w:r w:rsidRPr="00B148F9">
        <w:rPr>
          <w:rFonts w:cs="Arial"/>
          <w:b/>
        </w:rPr>
        <w:t>Paul Le Page</w:t>
      </w:r>
    </w:p>
    <w:p w14:paraId="6841612D" w14:textId="0F60E340" w:rsidR="001D7A52" w:rsidRPr="009E4CA7" w:rsidRDefault="001D7A52" w:rsidP="001D7A52">
      <w:pPr>
        <w:autoSpaceDE w:val="0"/>
        <w:autoSpaceDN w:val="0"/>
        <w:adjustRightInd w:val="0"/>
        <w:rPr>
          <w:rFonts w:cs="Arial"/>
        </w:rPr>
      </w:pPr>
      <w:r w:rsidRPr="009E4CA7">
        <w:rPr>
          <w:rFonts w:cs="Arial"/>
        </w:rPr>
        <w:t>Chairman</w:t>
      </w:r>
      <w:r w:rsidRPr="009E4CA7">
        <w:rPr>
          <w:rFonts w:cs="Arial"/>
        </w:rPr>
        <w:tab/>
      </w:r>
      <w:r w:rsidRPr="009E4CA7">
        <w:rPr>
          <w:rFonts w:cs="Arial"/>
        </w:rPr>
        <w:tab/>
      </w:r>
      <w:r w:rsidRPr="009E4CA7">
        <w:rPr>
          <w:rFonts w:cs="Arial"/>
        </w:rPr>
        <w:tab/>
      </w:r>
      <w:r w:rsidRPr="009E4CA7">
        <w:rPr>
          <w:rFonts w:cs="Arial"/>
        </w:rPr>
        <w:tab/>
      </w:r>
      <w:r w:rsidRPr="009E4CA7">
        <w:rPr>
          <w:rFonts w:cs="Arial"/>
        </w:rPr>
        <w:tab/>
      </w:r>
      <w:r w:rsidRPr="009E4CA7">
        <w:rPr>
          <w:rFonts w:cs="Arial"/>
        </w:rPr>
        <w:tab/>
        <w:t>Director</w:t>
      </w:r>
    </w:p>
    <w:p w14:paraId="45C74D81" w14:textId="35311191" w:rsidR="001D7A52" w:rsidRPr="00B148F9" w:rsidRDefault="009E4CA7" w:rsidP="001251FE">
      <w:pPr>
        <w:autoSpaceDE w:val="0"/>
        <w:autoSpaceDN w:val="0"/>
        <w:adjustRightInd w:val="0"/>
        <w:rPr>
          <w:rFonts w:cs="Arial"/>
        </w:rPr>
      </w:pPr>
      <w:r w:rsidRPr="009E4CA7">
        <w:t xml:space="preserve">21 </w:t>
      </w:r>
      <w:r w:rsidR="001D7A52" w:rsidRPr="009E4CA7">
        <w:t xml:space="preserve">April </w:t>
      </w:r>
      <w:r w:rsidR="001D7A52" w:rsidRPr="009E4CA7">
        <w:rPr>
          <w:rFonts w:cs="Arial"/>
        </w:rPr>
        <w:t>2020</w:t>
      </w:r>
      <w:r w:rsidR="001D7A52" w:rsidRPr="009E4CA7">
        <w:rPr>
          <w:rFonts w:cs="Arial"/>
        </w:rPr>
        <w:tab/>
      </w:r>
      <w:r w:rsidR="001D7A52" w:rsidRPr="009E4CA7">
        <w:rPr>
          <w:rFonts w:cs="Arial"/>
        </w:rPr>
        <w:tab/>
      </w:r>
      <w:r w:rsidR="001D7A52" w:rsidRPr="009E4CA7">
        <w:rPr>
          <w:rFonts w:cs="Arial"/>
        </w:rPr>
        <w:tab/>
      </w:r>
      <w:r w:rsidR="001D7A52" w:rsidRPr="009E4CA7">
        <w:rPr>
          <w:rFonts w:cs="Arial"/>
        </w:rPr>
        <w:tab/>
      </w:r>
      <w:r w:rsidR="001D7A52" w:rsidRPr="009E4CA7">
        <w:rPr>
          <w:rFonts w:cs="Arial"/>
        </w:rPr>
        <w:tab/>
      </w:r>
      <w:r w:rsidR="001D7A52" w:rsidRPr="009E4CA7">
        <w:rPr>
          <w:rFonts w:cs="Arial"/>
        </w:rPr>
        <w:tab/>
      </w:r>
      <w:r w:rsidRPr="009E4CA7">
        <w:rPr>
          <w:rFonts w:cs="Arial"/>
        </w:rPr>
        <w:t>21</w:t>
      </w:r>
      <w:r w:rsidR="001D7A52" w:rsidRPr="009E4CA7">
        <w:rPr>
          <w:rFonts w:cs="Arial"/>
        </w:rPr>
        <w:t xml:space="preserve"> April 2020</w:t>
      </w:r>
    </w:p>
    <w:p w14:paraId="37C76197" w14:textId="4D5CB32A" w:rsidR="008E3B3B" w:rsidRPr="00B148F9" w:rsidRDefault="008E3B3B" w:rsidP="001251FE">
      <w:pPr>
        <w:autoSpaceDE w:val="0"/>
        <w:autoSpaceDN w:val="0"/>
        <w:adjustRightInd w:val="0"/>
        <w:rPr>
          <w:rFonts w:cs="Arial"/>
        </w:rPr>
      </w:pPr>
    </w:p>
    <w:p w14:paraId="78522BB8" w14:textId="3B0FDDBF" w:rsidR="008E3B3B" w:rsidRPr="00B148F9" w:rsidRDefault="008E3B3B" w:rsidP="001251FE">
      <w:pPr>
        <w:autoSpaceDE w:val="0"/>
        <w:autoSpaceDN w:val="0"/>
        <w:adjustRightInd w:val="0"/>
        <w:rPr>
          <w:rFonts w:cs="Arial"/>
        </w:rPr>
      </w:pPr>
    </w:p>
    <w:p w14:paraId="6ABAAA9F" w14:textId="7C73A27B" w:rsidR="008E3B3B" w:rsidRPr="00B148F9" w:rsidRDefault="008E3B3B" w:rsidP="001251FE">
      <w:pPr>
        <w:autoSpaceDE w:val="0"/>
        <w:autoSpaceDN w:val="0"/>
        <w:adjustRightInd w:val="0"/>
        <w:rPr>
          <w:rFonts w:cs="Arial"/>
        </w:rPr>
      </w:pPr>
    </w:p>
    <w:p w14:paraId="7B2D38B3" w14:textId="77777777" w:rsidR="008E3B3B" w:rsidRPr="00B148F9" w:rsidRDefault="008E3B3B" w:rsidP="001251FE">
      <w:pPr>
        <w:autoSpaceDE w:val="0"/>
        <w:autoSpaceDN w:val="0"/>
        <w:adjustRightInd w:val="0"/>
        <w:rPr>
          <w:rFonts w:cs="Arial"/>
        </w:rPr>
      </w:pPr>
    </w:p>
    <w:p w14:paraId="0AFF276A" w14:textId="77777777" w:rsidR="00F81E2C" w:rsidRPr="00B148F9" w:rsidRDefault="00F81E2C" w:rsidP="000D4F40">
      <w:pPr>
        <w:pStyle w:val="Heading1"/>
        <w:jc w:val="left"/>
      </w:pPr>
      <w:r w:rsidRPr="00B148F9">
        <w:rPr>
          <w:sz w:val="20"/>
        </w:rPr>
        <w:lastRenderedPageBreak/>
        <w:t xml:space="preserve">Report of the Audit Committee </w:t>
      </w:r>
    </w:p>
    <w:p w14:paraId="7997D2AA" w14:textId="77777777" w:rsidR="00F81E2C" w:rsidRPr="00B148F9" w:rsidRDefault="00F81E2C" w:rsidP="00F81E2C">
      <w:pPr>
        <w:autoSpaceDE w:val="0"/>
        <w:autoSpaceDN w:val="0"/>
        <w:adjustRightInd w:val="0"/>
        <w:rPr>
          <w:rFonts w:cs="MetaPlusBold-Roman"/>
          <w:b/>
          <w:bCs/>
        </w:rPr>
      </w:pPr>
    </w:p>
    <w:p w14:paraId="5079B6B2" w14:textId="44CB793C" w:rsidR="00F81E2C" w:rsidRPr="00B148F9" w:rsidRDefault="00F81E2C" w:rsidP="00F81E2C">
      <w:pPr>
        <w:rPr>
          <w:color w:val="000000"/>
        </w:rPr>
      </w:pPr>
      <w:r w:rsidRPr="00B148F9">
        <w:rPr>
          <w:color w:val="000000"/>
        </w:rPr>
        <w:t xml:space="preserve">The Audit Committee, chaired by </w:t>
      </w:r>
      <w:r w:rsidR="006542E4" w:rsidRPr="00B148F9">
        <w:rPr>
          <w:color w:val="000000"/>
        </w:rPr>
        <w:t>Paul Le Page</w:t>
      </w:r>
      <w:r w:rsidRPr="00B148F9">
        <w:rPr>
          <w:color w:val="000000"/>
        </w:rPr>
        <w:t xml:space="preserve">, operates within clearly defined terms of reference </w:t>
      </w:r>
      <w:r w:rsidRPr="00B148F9">
        <w:rPr>
          <w:rFonts w:cs="MetaPlusBook-Roman"/>
          <w:color w:val="000000"/>
        </w:rPr>
        <w:t xml:space="preserve">which include all matters indicated by </w:t>
      </w:r>
      <w:r w:rsidR="001D6D09" w:rsidRPr="00B148F9">
        <w:rPr>
          <w:rFonts w:cs="MetaPlusBook-Roman"/>
          <w:color w:val="000000"/>
        </w:rPr>
        <w:t>DTR</w:t>
      </w:r>
      <w:r w:rsidRPr="00B148F9">
        <w:rPr>
          <w:rFonts w:cs="MetaPlusBook-Roman"/>
          <w:color w:val="000000"/>
        </w:rPr>
        <w:t xml:space="preserve"> 7.1 and the AIC Code.</w:t>
      </w:r>
      <w:r w:rsidRPr="00B148F9">
        <w:rPr>
          <w:color w:val="000000"/>
        </w:rPr>
        <w:t xml:space="preserve"> Its other members are </w:t>
      </w:r>
      <w:r w:rsidR="005B0A30" w:rsidRPr="00B148F9">
        <w:rPr>
          <w:color w:val="000000"/>
        </w:rPr>
        <w:t>William Simpson</w:t>
      </w:r>
      <w:r w:rsidRPr="00B148F9">
        <w:rPr>
          <w:color w:val="000000"/>
        </w:rPr>
        <w:t xml:space="preserve"> and </w:t>
      </w:r>
      <w:r w:rsidR="005B0A30" w:rsidRPr="00B148F9">
        <w:rPr>
          <w:color w:val="000000"/>
        </w:rPr>
        <w:t>William Scott</w:t>
      </w:r>
      <w:r w:rsidRPr="00B148F9">
        <w:rPr>
          <w:color w:val="000000"/>
        </w:rPr>
        <w:t xml:space="preserve">. Only independent directors can serve on the Audit Committee and members of the Audit Committee must have no links with the Company's external auditor and must be independent of the </w:t>
      </w:r>
      <w:r w:rsidR="00364EEB" w:rsidRPr="00B148F9">
        <w:rPr>
          <w:color w:val="000000"/>
        </w:rPr>
        <w:t>Investment Manager</w:t>
      </w:r>
      <w:r w:rsidRPr="00B148F9">
        <w:rPr>
          <w:color w:val="000000"/>
        </w:rPr>
        <w:t xml:space="preserve">. </w:t>
      </w:r>
      <w:r w:rsidR="00D53039" w:rsidRPr="00B148F9">
        <w:rPr>
          <w:color w:val="000000"/>
        </w:rPr>
        <w:t>The Committee can request the attendance of the</w:t>
      </w:r>
      <w:r w:rsidR="00FE4734" w:rsidRPr="00B148F9">
        <w:rPr>
          <w:color w:val="000000"/>
        </w:rPr>
        <w:t xml:space="preserve"> Investment</w:t>
      </w:r>
      <w:r w:rsidR="00D53039" w:rsidRPr="00B148F9">
        <w:rPr>
          <w:color w:val="000000"/>
        </w:rPr>
        <w:t xml:space="preserve"> </w:t>
      </w:r>
      <w:r w:rsidR="00FE4734" w:rsidRPr="00B148F9">
        <w:rPr>
          <w:color w:val="000000"/>
        </w:rPr>
        <w:t>M</w:t>
      </w:r>
      <w:r w:rsidR="00D53039" w:rsidRPr="00B148F9">
        <w:rPr>
          <w:color w:val="000000"/>
        </w:rPr>
        <w:t xml:space="preserve">anager, the auditors or any service provider at its meetings. </w:t>
      </w:r>
      <w:r w:rsidRPr="00B148F9">
        <w:rPr>
          <w:color w:val="000000"/>
        </w:rPr>
        <w:t xml:space="preserve">The </w:t>
      </w:r>
      <w:r w:rsidR="00571B28" w:rsidRPr="00B148F9">
        <w:rPr>
          <w:color w:val="000000"/>
        </w:rPr>
        <w:t>performance</w:t>
      </w:r>
      <w:r w:rsidRPr="00B148F9">
        <w:rPr>
          <w:color w:val="000000"/>
        </w:rPr>
        <w:t xml:space="preserve"> of the chairman of the Audit Committee is reviewed on an annual basis and the membership of the Audit Committee and its terms of reference are kept under review. The Audit Committee meets no less than twice a year in Guernsey, and meets the external auditor at least once a year in Guernsey. The Audit Committee met </w:t>
      </w:r>
      <w:r w:rsidR="00186D9C" w:rsidRPr="00B148F9">
        <w:rPr>
          <w:color w:val="000000"/>
        </w:rPr>
        <w:t>once</w:t>
      </w:r>
      <w:r w:rsidRPr="00B148F9">
        <w:rPr>
          <w:color w:val="000000"/>
        </w:rPr>
        <w:t xml:space="preserve"> in the year to 31 </w:t>
      </w:r>
      <w:r w:rsidR="00BA4C4B" w:rsidRPr="00B148F9">
        <w:rPr>
          <w:color w:val="000000"/>
        </w:rPr>
        <w:t>December</w:t>
      </w:r>
      <w:r w:rsidRPr="00B148F9">
        <w:rPr>
          <w:color w:val="000000"/>
        </w:rPr>
        <w:t xml:space="preserve"> 201</w:t>
      </w:r>
      <w:r w:rsidR="00565146" w:rsidRPr="00B148F9">
        <w:rPr>
          <w:color w:val="000000"/>
        </w:rPr>
        <w:t>9</w:t>
      </w:r>
      <w:r w:rsidRPr="00B148F9">
        <w:rPr>
          <w:color w:val="000000"/>
        </w:rPr>
        <w:t>.</w:t>
      </w:r>
    </w:p>
    <w:p w14:paraId="6862BD14" w14:textId="77777777" w:rsidR="00F81E2C" w:rsidRPr="00B148F9" w:rsidRDefault="00F81E2C" w:rsidP="00F81E2C">
      <w:pPr>
        <w:autoSpaceDE w:val="0"/>
        <w:autoSpaceDN w:val="0"/>
        <w:adjustRightInd w:val="0"/>
        <w:rPr>
          <w:rFonts w:cs="MetaPlusBook-Roman"/>
        </w:rPr>
      </w:pPr>
    </w:p>
    <w:p w14:paraId="2EFC901E" w14:textId="4A9F27E6" w:rsidR="00F81E2C" w:rsidRPr="00B148F9" w:rsidRDefault="00F81E2C" w:rsidP="00F81E2C">
      <w:pPr>
        <w:autoSpaceDE w:val="0"/>
        <w:autoSpaceDN w:val="0"/>
        <w:adjustRightInd w:val="0"/>
        <w:rPr>
          <w:rFonts w:cs="MetaPlusBook-Roman"/>
        </w:rPr>
      </w:pPr>
      <w:r w:rsidRPr="00B148F9">
        <w:rPr>
          <w:rFonts w:cs="MetaPlusBook-Roman"/>
        </w:rPr>
        <w:t xml:space="preserve">The Board has taken note of the requirement that at least one member of the Committee should have recent and relevant financial experience and is satisfied that the Committee is properly constituted in that respect, with all members being highly experienced and, in particular </w:t>
      </w:r>
      <w:r w:rsidR="00674A67" w:rsidRPr="00B148F9">
        <w:rPr>
          <w:rFonts w:cs="MetaPlusBook-Roman"/>
        </w:rPr>
        <w:t>two</w:t>
      </w:r>
      <w:r w:rsidRPr="00B148F9">
        <w:rPr>
          <w:rFonts w:cs="MetaPlusBook-Roman"/>
        </w:rPr>
        <w:t xml:space="preserve"> member</w:t>
      </w:r>
      <w:r w:rsidR="00674A67" w:rsidRPr="00B148F9">
        <w:rPr>
          <w:rFonts w:cs="MetaPlusBook-Roman"/>
        </w:rPr>
        <w:t>s</w:t>
      </w:r>
      <w:r w:rsidRPr="00B148F9">
        <w:rPr>
          <w:rFonts w:cs="MetaPlusBook-Roman"/>
        </w:rPr>
        <w:t xml:space="preserve"> having background</w:t>
      </w:r>
      <w:r w:rsidR="009634D5" w:rsidRPr="00B148F9">
        <w:rPr>
          <w:rFonts w:cs="MetaPlusBook-Roman"/>
        </w:rPr>
        <w:t>s</w:t>
      </w:r>
      <w:r w:rsidRPr="00B148F9">
        <w:rPr>
          <w:rFonts w:cs="MetaPlusBook-Roman"/>
        </w:rPr>
        <w:t xml:space="preserve"> as chartered accountant</w:t>
      </w:r>
      <w:r w:rsidR="009634D5" w:rsidRPr="00B148F9">
        <w:rPr>
          <w:rFonts w:cs="MetaPlusBook-Roman"/>
        </w:rPr>
        <w:t>s</w:t>
      </w:r>
      <w:r w:rsidRPr="00B148F9">
        <w:rPr>
          <w:rFonts w:cs="MetaPlusBook-Roman"/>
        </w:rPr>
        <w:t>.</w:t>
      </w:r>
    </w:p>
    <w:p w14:paraId="56CA8E60" w14:textId="3CC7109D" w:rsidR="00FF33D0" w:rsidRPr="00B148F9" w:rsidRDefault="00FF33D0" w:rsidP="00F81E2C">
      <w:pPr>
        <w:autoSpaceDE w:val="0"/>
        <w:autoSpaceDN w:val="0"/>
        <w:adjustRightInd w:val="0"/>
        <w:rPr>
          <w:rFonts w:cs="MetaPlusBook-Roman"/>
        </w:rPr>
      </w:pPr>
    </w:p>
    <w:p w14:paraId="3BD52064" w14:textId="5752E896" w:rsidR="00FF33D0" w:rsidRPr="00B148F9" w:rsidRDefault="00FF33D0" w:rsidP="00F81E2C">
      <w:pPr>
        <w:autoSpaceDE w:val="0"/>
        <w:autoSpaceDN w:val="0"/>
        <w:adjustRightInd w:val="0"/>
        <w:rPr>
          <w:rFonts w:cs="MetaPlusBook-Roman"/>
        </w:rPr>
      </w:pPr>
      <w:r w:rsidRPr="00B148F9">
        <w:rPr>
          <w:rFonts w:cs="MetaPlusBook-Roman"/>
        </w:rPr>
        <w:t>The Board has also considered the inclusion of the Chairman within the Committee and having taken into account that the Chairman is independent and non-executive</w:t>
      </w:r>
      <w:r w:rsidR="004F74E5" w:rsidRPr="00B148F9">
        <w:rPr>
          <w:rFonts w:cs="MetaPlusBook-Roman"/>
        </w:rPr>
        <w:t>, believes it appropriate for the Chairman to be a member.</w:t>
      </w:r>
    </w:p>
    <w:p w14:paraId="2A319F4C" w14:textId="77777777" w:rsidR="00F81E2C" w:rsidRPr="00B148F9" w:rsidRDefault="00F81E2C" w:rsidP="00F81E2C">
      <w:pPr>
        <w:autoSpaceDE w:val="0"/>
        <w:autoSpaceDN w:val="0"/>
        <w:adjustRightInd w:val="0"/>
        <w:rPr>
          <w:rFonts w:cs="MetaPlusBook-Roman"/>
        </w:rPr>
      </w:pPr>
    </w:p>
    <w:p w14:paraId="4CB8FCA0" w14:textId="2CFD253A" w:rsidR="00F81E2C" w:rsidRPr="00B148F9" w:rsidRDefault="00F81E2C" w:rsidP="00F81E2C">
      <w:pPr>
        <w:pStyle w:val="Default"/>
        <w:jc w:val="both"/>
        <w:rPr>
          <w:rFonts w:ascii="Century Gothic" w:hAnsi="Century Gothic"/>
          <w:sz w:val="20"/>
          <w:lang w:val="en-GB"/>
        </w:rPr>
      </w:pPr>
      <w:r w:rsidRPr="00B148F9">
        <w:rPr>
          <w:rFonts w:ascii="Century Gothic" w:hAnsi="Century Gothic"/>
          <w:sz w:val="20"/>
          <w:lang w:val="en-GB"/>
        </w:rPr>
        <w:t>The duties of the Audit Committee in discharging its responsibilities include reviewing the</w:t>
      </w:r>
      <w:r w:rsidR="0085468C" w:rsidRPr="00B148F9">
        <w:rPr>
          <w:rFonts w:ascii="Century Gothic" w:hAnsi="Century Gothic"/>
          <w:sz w:val="20"/>
          <w:lang w:val="en-GB"/>
        </w:rPr>
        <w:t xml:space="preserve"> Interim Report</w:t>
      </w:r>
      <w:r w:rsidR="003D0C18" w:rsidRPr="00B148F9">
        <w:rPr>
          <w:rFonts w:ascii="Century Gothic" w:hAnsi="Century Gothic"/>
          <w:sz w:val="20"/>
          <w:lang w:val="en-GB"/>
        </w:rPr>
        <w:t>,</w:t>
      </w:r>
      <w:r w:rsidR="0085468C" w:rsidRPr="00B148F9">
        <w:rPr>
          <w:rFonts w:ascii="Century Gothic" w:hAnsi="Century Gothic"/>
          <w:sz w:val="20"/>
          <w:lang w:val="en-GB"/>
        </w:rPr>
        <w:t xml:space="preserve"> </w:t>
      </w:r>
      <w:r w:rsidRPr="00B148F9">
        <w:rPr>
          <w:rFonts w:ascii="Century Gothic" w:hAnsi="Century Gothic"/>
          <w:sz w:val="20"/>
          <w:lang w:val="en-GB"/>
        </w:rPr>
        <w:t>Annual Report</w:t>
      </w:r>
      <w:r w:rsidR="00AF4FE9" w:rsidRPr="00B148F9">
        <w:rPr>
          <w:rFonts w:ascii="Century Gothic" w:hAnsi="Century Gothic"/>
          <w:sz w:val="20"/>
          <w:lang w:val="en-GB"/>
        </w:rPr>
        <w:t xml:space="preserve"> and Audited Financial Statements</w:t>
      </w:r>
      <w:r w:rsidRPr="00B148F9">
        <w:rPr>
          <w:rFonts w:ascii="Century Gothic" w:hAnsi="Century Gothic"/>
          <w:sz w:val="20"/>
          <w:lang w:val="en-GB"/>
        </w:rPr>
        <w:t xml:space="preserve">, the valuation of the Company’s investment portfolio, the system of internal controls, and the terms of appointment of the </w:t>
      </w:r>
      <w:r w:rsidR="007F5BE2" w:rsidRPr="00B148F9">
        <w:rPr>
          <w:rFonts w:ascii="Century Gothic" w:hAnsi="Century Gothic"/>
          <w:sz w:val="20"/>
          <w:lang w:val="en-GB"/>
        </w:rPr>
        <w:t xml:space="preserve">external </w:t>
      </w:r>
      <w:r w:rsidRPr="00B148F9">
        <w:rPr>
          <w:rFonts w:ascii="Century Gothic" w:hAnsi="Century Gothic"/>
          <w:sz w:val="20"/>
          <w:lang w:val="en-GB"/>
        </w:rPr>
        <w:t>auditor together with their remuneration</w:t>
      </w:r>
      <w:r w:rsidRPr="00B148F9">
        <w:rPr>
          <w:rFonts w:ascii="Century Gothic" w:hAnsi="Century Gothic" w:cs="MetaPlusBook-Roman"/>
          <w:color w:val="auto"/>
          <w:sz w:val="20"/>
          <w:szCs w:val="20"/>
          <w:lang w:val="en-GB"/>
        </w:rPr>
        <w:t xml:space="preserve">. It is also the formal forum through which the </w:t>
      </w:r>
      <w:r w:rsidR="007F5BE2" w:rsidRPr="00B148F9">
        <w:rPr>
          <w:rFonts w:ascii="Century Gothic" w:hAnsi="Century Gothic" w:cs="MetaPlusBook-Roman"/>
          <w:color w:val="auto"/>
          <w:sz w:val="20"/>
          <w:szCs w:val="20"/>
          <w:lang w:val="en-GB"/>
        </w:rPr>
        <w:t xml:space="preserve">external </w:t>
      </w:r>
      <w:r w:rsidRPr="00B148F9">
        <w:rPr>
          <w:rFonts w:ascii="Century Gothic" w:hAnsi="Century Gothic" w:cs="MetaPlusBook-Roman"/>
          <w:color w:val="auto"/>
          <w:sz w:val="20"/>
          <w:szCs w:val="20"/>
          <w:lang w:val="en-GB"/>
        </w:rPr>
        <w:t>auditor report</w:t>
      </w:r>
      <w:r w:rsidR="001D3169" w:rsidRPr="00B148F9">
        <w:rPr>
          <w:rFonts w:ascii="Century Gothic" w:hAnsi="Century Gothic" w:cs="MetaPlusBook-Roman"/>
          <w:color w:val="auto"/>
          <w:sz w:val="20"/>
          <w:szCs w:val="20"/>
          <w:lang w:val="en-GB"/>
        </w:rPr>
        <w:t>s</w:t>
      </w:r>
      <w:r w:rsidRPr="00B148F9">
        <w:rPr>
          <w:rFonts w:ascii="Century Gothic" w:hAnsi="Century Gothic" w:cs="MetaPlusBook-Roman"/>
          <w:color w:val="auto"/>
          <w:sz w:val="20"/>
          <w:szCs w:val="20"/>
          <w:lang w:val="en-GB"/>
        </w:rPr>
        <w:t xml:space="preserve"> to the Board of Directors and shall meet not less than twice a year and at such other times as the Audit Committee </w:t>
      </w:r>
      <w:r w:rsidR="001D6D09" w:rsidRPr="00B148F9">
        <w:rPr>
          <w:rFonts w:ascii="Century Gothic" w:hAnsi="Century Gothic" w:cs="MetaPlusBook-Roman"/>
          <w:color w:val="auto"/>
          <w:sz w:val="20"/>
          <w:szCs w:val="20"/>
          <w:lang w:val="en-GB"/>
        </w:rPr>
        <w:t>c</w:t>
      </w:r>
      <w:r w:rsidRPr="00B148F9">
        <w:rPr>
          <w:rFonts w:ascii="Century Gothic" w:hAnsi="Century Gothic" w:cs="MetaPlusBook-Roman"/>
          <w:color w:val="auto"/>
          <w:sz w:val="20"/>
          <w:szCs w:val="20"/>
          <w:lang w:val="en-GB"/>
        </w:rPr>
        <w:t>hairman shall require. The</w:t>
      </w:r>
      <w:r w:rsidRPr="00B148F9">
        <w:rPr>
          <w:rFonts w:ascii="Century Gothic" w:hAnsi="Century Gothic"/>
          <w:sz w:val="20"/>
          <w:lang w:val="en-GB"/>
        </w:rPr>
        <w:t xml:space="preserve"> objectivity of the </w:t>
      </w:r>
      <w:r w:rsidR="007F5BE2" w:rsidRPr="00B148F9">
        <w:rPr>
          <w:rFonts w:ascii="Century Gothic" w:hAnsi="Century Gothic"/>
          <w:sz w:val="20"/>
          <w:lang w:val="en-GB"/>
        </w:rPr>
        <w:t xml:space="preserve">external </w:t>
      </w:r>
      <w:r w:rsidRPr="00B148F9">
        <w:rPr>
          <w:rFonts w:ascii="Century Gothic" w:hAnsi="Century Gothic"/>
          <w:sz w:val="20"/>
          <w:lang w:val="en-GB"/>
        </w:rPr>
        <w:t xml:space="preserve">auditor is reviewed by the Audit </w:t>
      </w:r>
      <w:r w:rsidR="003B36BB" w:rsidRPr="00B148F9">
        <w:rPr>
          <w:rFonts w:ascii="Century Gothic" w:hAnsi="Century Gothic"/>
          <w:sz w:val="20"/>
          <w:lang w:val="en-GB"/>
        </w:rPr>
        <w:t>Committee, which</w:t>
      </w:r>
      <w:r w:rsidRPr="00B148F9">
        <w:rPr>
          <w:rFonts w:ascii="Century Gothic" w:hAnsi="Century Gothic"/>
          <w:sz w:val="20"/>
          <w:lang w:val="en-GB"/>
        </w:rPr>
        <w:t xml:space="preserve"> also reviews the terms under which the external auditor is appointed to perform non-audit services and the fees paid to </w:t>
      </w:r>
      <w:r w:rsidR="003D0C18" w:rsidRPr="00B148F9">
        <w:rPr>
          <w:rFonts w:ascii="Century Gothic" w:hAnsi="Century Gothic"/>
          <w:sz w:val="20"/>
          <w:lang w:val="en-GB"/>
        </w:rPr>
        <w:t>the external auditor</w:t>
      </w:r>
      <w:r w:rsidRPr="00B148F9">
        <w:rPr>
          <w:rFonts w:ascii="Century Gothic" w:hAnsi="Century Gothic"/>
          <w:sz w:val="20"/>
          <w:lang w:val="en-GB"/>
        </w:rPr>
        <w:t xml:space="preserve"> or their affiliated firms overseas.</w:t>
      </w:r>
    </w:p>
    <w:p w14:paraId="6FC0740B" w14:textId="77777777" w:rsidR="00F81E2C" w:rsidRPr="00B148F9" w:rsidRDefault="00F81E2C" w:rsidP="00F81E2C">
      <w:pPr>
        <w:pStyle w:val="Default"/>
        <w:jc w:val="both"/>
        <w:rPr>
          <w:rFonts w:ascii="Century Gothic" w:hAnsi="Century Gothic"/>
          <w:sz w:val="20"/>
          <w:lang w:val="en-GB"/>
        </w:rPr>
      </w:pPr>
    </w:p>
    <w:p w14:paraId="4530B5BE" w14:textId="51404CEA" w:rsidR="00F81E2C" w:rsidRPr="00B148F9" w:rsidRDefault="00F81E2C" w:rsidP="00F81E2C">
      <w:pPr>
        <w:pStyle w:val="Default"/>
        <w:jc w:val="both"/>
        <w:rPr>
          <w:rFonts w:ascii="Century Gothic" w:hAnsi="Century Gothic"/>
          <w:sz w:val="20"/>
          <w:lang w:val="en-GB"/>
        </w:rPr>
      </w:pPr>
      <w:r w:rsidRPr="00B148F9">
        <w:rPr>
          <w:rFonts w:ascii="Century Gothic" w:hAnsi="Century Gothic"/>
          <w:sz w:val="20"/>
          <w:lang w:val="en-GB"/>
        </w:rPr>
        <w:t xml:space="preserve">The Audit Committee also reviews, considers and, if thought appropriate, recommends for the purposes of the Company's financial statements, valuations prepared by the </w:t>
      </w:r>
      <w:r w:rsidR="003B36BB" w:rsidRPr="00B148F9">
        <w:rPr>
          <w:rFonts w:ascii="Century Gothic" w:hAnsi="Century Gothic"/>
          <w:sz w:val="20"/>
          <w:lang w:val="en-GB"/>
        </w:rPr>
        <w:t>Investment Manager</w:t>
      </w:r>
      <w:r w:rsidRPr="00B148F9">
        <w:rPr>
          <w:rFonts w:ascii="Century Gothic" w:hAnsi="Century Gothic"/>
          <w:sz w:val="20"/>
          <w:lang w:val="en-GB"/>
        </w:rPr>
        <w:t xml:space="preserve">. </w:t>
      </w:r>
    </w:p>
    <w:p w14:paraId="78B91BA7" w14:textId="77777777" w:rsidR="00F81E2C" w:rsidRPr="00B148F9" w:rsidRDefault="00F81E2C" w:rsidP="00F81E2C">
      <w:pPr>
        <w:autoSpaceDE w:val="0"/>
        <w:autoSpaceDN w:val="0"/>
        <w:adjustRightInd w:val="0"/>
        <w:rPr>
          <w:rFonts w:cs="MetaPlusBold-Caps"/>
          <w:b/>
          <w:bCs/>
        </w:rPr>
      </w:pPr>
    </w:p>
    <w:p w14:paraId="7066C981" w14:textId="77777777" w:rsidR="00F81E2C" w:rsidRPr="00B148F9" w:rsidRDefault="00F81E2C" w:rsidP="00F81E2C">
      <w:pPr>
        <w:autoSpaceDE w:val="0"/>
        <w:autoSpaceDN w:val="0"/>
        <w:adjustRightInd w:val="0"/>
        <w:rPr>
          <w:rFonts w:cs="MetaPlusBook-Roman"/>
        </w:rPr>
      </w:pPr>
      <w:r w:rsidRPr="00B148F9">
        <w:rPr>
          <w:rFonts w:cs="MetaPlusBook-Roman"/>
        </w:rPr>
        <w:t>The main duties of the Audit Committee are:</w:t>
      </w:r>
    </w:p>
    <w:p w14:paraId="324D532C" w14:textId="77777777" w:rsidR="00F81E2C" w:rsidRPr="00B148F9" w:rsidRDefault="00F81E2C" w:rsidP="00F81E2C">
      <w:pPr>
        <w:autoSpaceDE w:val="0"/>
        <w:autoSpaceDN w:val="0"/>
        <w:adjustRightInd w:val="0"/>
        <w:rPr>
          <w:rFonts w:cs="MetaPlusBook-Roman"/>
        </w:rPr>
      </w:pPr>
    </w:p>
    <w:p w14:paraId="5B7C9BD2" w14:textId="77777777" w:rsidR="00F81E2C" w:rsidRPr="00B148F9" w:rsidRDefault="00F81E2C" w:rsidP="00A94612">
      <w:pPr>
        <w:pStyle w:val="ListParagraph"/>
        <w:numPr>
          <w:ilvl w:val="0"/>
          <w:numId w:val="4"/>
        </w:numPr>
        <w:autoSpaceDE w:val="0"/>
        <w:autoSpaceDN w:val="0"/>
        <w:adjustRightInd w:val="0"/>
        <w:contextualSpacing/>
        <w:rPr>
          <w:rFonts w:cs="MetaPlusBook-Roman"/>
        </w:rPr>
      </w:pPr>
      <w:r w:rsidRPr="00B148F9">
        <w:rPr>
          <w:rFonts w:cs="MetaPlusBook-Roman"/>
        </w:rPr>
        <w:t>giving full consideration and recommending to the Board for approval</w:t>
      </w:r>
      <w:r w:rsidR="000F6E82" w:rsidRPr="00B148F9">
        <w:rPr>
          <w:rFonts w:cs="MetaPlusBook-Roman"/>
        </w:rPr>
        <w:t xml:space="preserve"> of</w:t>
      </w:r>
      <w:r w:rsidRPr="00B148F9">
        <w:rPr>
          <w:rFonts w:cs="MetaPlusBook-Roman"/>
        </w:rPr>
        <w:t xml:space="preserve"> the contents of the </w:t>
      </w:r>
      <w:r w:rsidR="001D6D09" w:rsidRPr="00B148F9">
        <w:rPr>
          <w:rFonts w:cs="MetaPlusBook-Roman"/>
        </w:rPr>
        <w:t>Interim Report</w:t>
      </w:r>
      <w:r w:rsidRPr="00B148F9">
        <w:rPr>
          <w:rFonts w:cs="MetaPlusBook-Roman"/>
        </w:rPr>
        <w:t xml:space="preserve"> and </w:t>
      </w:r>
      <w:r w:rsidR="001D6D09" w:rsidRPr="00B148F9">
        <w:rPr>
          <w:rFonts w:cs="MetaPlusBook-Roman"/>
        </w:rPr>
        <w:t>Annual Report</w:t>
      </w:r>
      <w:r w:rsidRPr="00B148F9">
        <w:rPr>
          <w:rFonts w:cs="MetaPlusBook-Roman"/>
        </w:rPr>
        <w:t xml:space="preserve"> and reviewing the external auditor’s report thereon;</w:t>
      </w:r>
    </w:p>
    <w:p w14:paraId="5672A326" w14:textId="77777777" w:rsidR="00F81E2C" w:rsidRPr="00B148F9" w:rsidRDefault="00F81E2C" w:rsidP="00A94612">
      <w:pPr>
        <w:pStyle w:val="ListParagraph"/>
        <w:numPr>
          <w:ilvl w:val="0"/>
          <w:numId w:val="4"/>
        </w:numPr>
        <w:autoSpaceDE w:val="0"/>
        <w:autoSpaceDN w:val="0"/>
        <w:adjustRightInd w:val="0"/>
        <w:contextualSpacing/>
        <w:rPr>
          <w:rFonts w:cs="MetaPlusBook-Roman"/>
        </w:rPr>
      </w:pPr>
      <w:r w:rsidRPr="00B148F9">
        <w:rPr>
          <w:rFonts w:cs="MetaPlusBook-Roman"/>
        </w:rPr>
        <w:t>reviewing the scope, results, cost effectiveness, independence and objectivity of the external auditor;</w:t>
      </w:r>
    </w:p>
    <w:p w14:paraId="06E9DD2C" w14:textId="12758E68" w:rsidR="00F81E2C" w:rsidRPr="00B148F9" w:rsidRDefault="00F81E2C" w:rsidP="00A94612">
      <w:pPr>
        <w:pStyle w:val="ListParagraph"/>
        <w:numPr>
          <w:ilvl w:val="0"/>
          <w:numId w:val="4"/>
        </w:numPr>
        <w:autoSpaceDE w:val="0"/>
        <w:autoSpaceDN w:val="0"/>
        <w:adjustRightInd w:val="0"/>
        <w:contextualSpacing/>
        <w:rPr>
          <w:rFonts w:cs="MetaPlusBook-Roman"/>
        </w:rPr>
      </w:pPr>
      <w:r w:rsidRPr="00B148F9">
        <w:rPr>
          <w:rFonts w:cs="MetaPlusBook-Roman"/>
        </w:rPr>
        <w:t>reviewing the draft valuation of the Company’s investments</w:t>
      </w:r>
      <w:r w:rsidR="008B7158" w:rsidRPr="00B148F9">
        <w:rPr>
          <w:rFonts w:cs="MetaPlusBook-Roman"/>
        </w:rPr>
        <w:t xml:space="preserve"> </w:t>
      </w:r>
      <w:r w:rsidRPr="00B148F9">
        <w:rPr>
          <w:rFonts w:cs="MetaPlusBook-Roman"/>
        </w:rPr>
        <w:t xml:space="preserve">prepared by the </w:t>
      </w:r>
      <w:r w:rsidR="0035566A" w:rsidRPr="00B148F9">
        <w:rPr>
          <w:rFonts w:cs="MetaPlusBook-Roman"/>
        </w:rPr>
        <w:t>Investment Manager</w:t>
      </w:r>
      <w:r w:rsidRPr="00B148F9">
        <w:rPr>
          <w:rFonts w:cs="MetaPlusBook-Roman"/>
        </w:rPr>
        <w:t>, and making a recommendation to the Board on the valuati</w:t>
      </w:r>
      <w:r w:rsidR="004C1A07" w:rsidRPr="00B148F9">
        <w:rPr>
          <w:rFonts w:cs="MetaPlusBook-Roman"/>
        </w:rPr>
        <w:t>on of the Company’s investments;</w:t>
      </w:r>
    </w:p>
    <w:p w14:paraId="54D697D5" w14:textId="77777777" w:rsidR="00F81E2C" w:rsidRPr="00B148F9" w:rsidRDefault="00F81E2C" w:rsidP="00A94612">
      <w:pPr>
        <w:pStyle w:val="ListParagraph"/>
        <w:numPr>
          <w:ilvl w:val="0"/>
          <w:numId w:val="4"/>
        </w:numPr>
        <w:autoSpaceDE w:val="0"/>
        <w:autoSpaceDN w:val="0"/>
        <w:adjustRightInd w:val="0"/>
        <w:contextualSpacing/>
        <w:rPr>
          <w:rFonts w:cs="MetaPlusBook-Roman"/>
        </w:rPr>
      </w:pPr>
      <w:r w:rsidRPr="00B148F9">
        <w:rPr>
          <w:rFonts w:cs="MetaPlusBook-Roman"/>
        </w:rPr>
        <w:t>reviewing and recommending to the Board for approval</w:t>
      </w:r>
      <w:r w:rsidR="000F6E82" w:rsidRPr="00B148F9">
        <w:rPr>
          <w:rFonts w:cs="MetaPlusBook-Roman"/>
        </w:rPr>
        <w:t xml:space="preserve"> of</w:t>
      </w:r>
      <w:r w:rsidRPr="00B148F9">
        <w:rPr>
          <w:rFonts w:cs="MetaPlusBook-Roman"/>
        </w:rPr>
        <w:t xml:space="preserve"> the audit, audit related and non-audit fees payable to the external auditor and the terms of their engagement;</w:t>
      </w:r>
    </w:p>
    <w:p w14:paraId="478B9EB8" w14:textId="77777777" w:rsidR="00F81E2C" w:rsidRPr="00B148F9" w:rsidRDefault="00F81E2C" w:rsidP="00A94612">
      <w:pPr>
        <w:pStyle w:val="ListParagraph"/>
        <w:numPr>
          <w:ilvl w:val="0"/>
          <w:numId w:val="4"/>
        </w:numPr>
        <w:autoSpaceDE w:val="0"/>
        <w:autoSpaceDN w:val="0"/>
        <w:adjustRightInd w:val="0"/>
        <w:contextualSpacing/>
        <w:rPr>
          <w:rFonts w:cs="MetaPlusBook-Roman"/>
        </w:rPr>
      </w:pPr>
      <w:r w:rsidRPr="00B148F9">
        <w:rPr>
          <w:rFonts w:cs="MetaPlusBook-Roman"/>
        </w:rPr>
        <w:t>reviewing and approving the external auditor’s plan for the following financial year;</w:t>
      </w:r>
    </w:p>
    <w:p w14:paraId="5254D89A" w14:textId="77777777" w:rsidR="00F81E2C" w:rsidRPr="00B148F9" w:rsidRDefault="00F81E2C" w:rsidP="00A94612">
      <w:pPr>
        <w:pStyle w:val="ListParagraph"/>
        <w:numPr>
          <w:ilvl w:val="0"/>
          <w:numId w:val="4"/>
        </w:numPr>
        <w:autoSpaceDE w:val="0"/>
        <w:autoSpaceDN w:val="0"/>
        <w:adjustRightInd w:val="0"/>
        <w:contextualSpacing/>
        <w:rPr>
          <w:rFonts w:cs="MetaPlusBook-Roman"/>
        </w:rPr>
      </w:pPr>
      <w:r w:rsidRPr="00B148F9">
        <w:rPr>
          <w:rFonts w:cs="MetaPlusBook-Roman"/>
        </w:rPr>
        <w:t xml:space="preserve">reviewing the appropriateness of the Company’s accounting policies; </w:t>
      </w:r>
    </w:p>
    <w:p w14:paraId="1C066B08" w14:textId="6B817647" w:rsidR="00F81E2C" w:rsidRPr="00B148F9" w:rsidRDefault="00F81E2C" w:rsidP="00A94612">
      <w:pPr>
        <w:pStyle w:val="ListParagraph"/>
        <w:numPr>
          <w:ilvl w:val="0"/>
          <w:numId w:val="4"/>
        </w:numPr>
        <w:autoSpaceDE w:val="0"/>
        <w:autoSpaceDN w:val="0"/>
        <w:adjustRightInd w:val="0"/>
        <w:contextualSpacing/>
        <w:rPr>
          <w:rFonts w:cs="MetaPlusBook-Roman"/>
        </w:rPr>
      </w:pPr>
      <w:r w:rsidRPr="00B148F9">
        <w:rPr>
          <w:rFonts w:cs="MetaPlusBook-Roman"/>
        </w:rPr>
        <w:t xml:space="preserve">ensuring the standards and adequacy of the </w:t>
      </w:r>
      <w:r w:rsidR="00D53039" w:rsidRPr="00B148F9">
        <w:rPr>
          <w:rFonts w:cs="MetaPlusBook-Roman"/>
        </w:rPr>
        <w:t>service provider</w:t>
      </w:r>
      <w:r w:rsidR="00C26958" w:rsidRPr="00B148F9">
        <w:rPr>
          <w:rFonts w:cs="MetaPlusBook-Roman"/>
        </w:rPr>
        <w:t>’s</w:t>
      </w:r>
      <w:r w:rsidR="00D53039" w:rsidRPr="00B148F9">
        <w:rPr>
          <w:rFonts w:cs="MetaPlusBook-Roman"/>
        </w:rPr>
        <w:t xml:space="preserve"> </w:t>
      </w:r>
      <w:r w:rsidRPr="00B148F9">
        <w:rPr>
          <w:rFonts w:cs="MetaPlusBook-Roman"/>
        </w:rPr>
        <w:t>control systems</w:t>
      </w:r>
      <w:r w:rsidR="004F3324" w:rsidRPr="00B148F9">
        <w:rPr>
          <w:rFonts w:cs="MetaPlusBook-Roman"/>
        </w:rPr>
        <w:t>;</w:t>
      </w:r>
    </w:p>
    <w:p w14:paraId="3D44D8A4" w14:textId="77777777" w:rsidR="004F3324" w:rsidRPr="00B148F9" w:rsidRDefault="004F3324" w:rsidP="00A94612">
      <w:pPr>
        <w:pStyle w:val="ListParagraph"/>
        <w:numPr>
          <w:ilvl w:val="0"/>
          <w:numId w:val="4"/>
        </w:numPr>
        <w:autoSpaceDE w:val="0"/>
        <w:autoSpaceDN w:val="0"/>
        <w:adjustRightInd w:val="0"/>
        <w:contextualSpacing/>
        <w:rPr>
          <w:rFonts w:cs="MetaPlusBook-Roman"/>
        </w:rPr>
      </w:pPr>
      <w:r w:rsidRPr="00B148F9">
        <w:rPr>
          <w:rFonts w:cs="MetaPlusBook-Roman"/>
        </w:rPr>
        <w:t>reviewing and considering the UK Code, the AIC Code and the FRC Guidance on Audit Committees;</w:t>
      </w:r>
      <w:r w:rsidR="001D6D09" w:rsidRPr="00B148F9">
        <w:rPr>
          <w:rFonts w:cs="MetaPlusBook-Roman"/>
        </w:rPr>
        <w:t xml:space="preserve"> and</w:t>
      </w:r>
    </w:p>
    <w:p w14:paraId="1537D10A" w14:textId="77777777" w:rsidR="004F3324" w:rsidRPr="00B148F9" w:rsidRDefault="004F3324" w:rsidP="00A94612">
      <w:pPr>
        <w:pStyle w:val="ListParagraph"/>
        <w:numPr>
          <w:ilvl w:val="0"/>
          <w:numId w:val="4"/>
        </w:numPr>
        <w:autoSpaceDE w:val="0"/>
        <w:autoSpaceDN w:val="0"/>
        <w:adjustRightInd w:val="0"/>
        <w:contextualSpacing/>
        <w:rPr>
          <w:rFonts w:cs="MetaPlusBook-Roman"/>
        </w:rPr>
      </w:pPr>
      <w:r w:rsidRPr="00B148F9">
        <w:rPr>
          <w:rFonts w:cs="MetaPlusBook-Roman"/>
        </w:rPr>
        <w:t>reviewing the risks facing the Company and monitoring the risk matrix.</w:t>
      </w:r>
    </w:p>
    <w:p w14:paraId="195B2EB9" w14:textId="77777777" w:rsidR="00F81E2C" w:rsidRPr="00B148F9" w:rsidRDefault="00F81E2C" w:rsidP="00F81E2C">
      <w:pPr>
        <w:autoSpaceDE w:val="0"/>
        <w:autoSpaceDN w:val="0"/>
        <w:adjustRightInd w:val="0"/>
        <w:rPr>
          <w:rFonts w:cs="MetaPlusBook-Roman"/>
        </w:rPr>
      </w:pPr>
    </w:p>
    <w:p w14:paraId="5A1C2AA0" w14:textId="77777777" w:rsidR="00D17C23" w:rsidRPr="00B148F9" w:rsidRDefault="00D17C23" w:rsidP="00D17C23">
      <w:pPr>
        <w:autoSpaceDE w:val="0"/>
        <w:autoSpaceDN w:val="0"/>
        <w:adjustRightInd w:val="0"/>
        <w:rPr>
          <w:rFonts w:cs="MetaPlusBook-Roman"/>
        </w:rPr>
      </w:pPr>
      <w:r w:rsidRPr="00B148F9">
        <w:rPr>
          <w:rFonts w:cs="MetaPlusBook-Roman"/>
        </w:rPr>
        <w:t>The Audit Committee is required to report its findings to the Board, identifying any matters on which it considers that action or improvement is needed, and make recommendations on the steps to be taken.</w:t>
      </w:r>
    </w:p>
    <w:p w14:paraId="059C178B" w14:textId="77777777" w:rsidR="00D17C23" w:rsidRPr="00B148F9" w:rsidRDefault="00D17C23" w:rsidP="00D17C23">
      <w:pPr>
        <w:autoSpaceDE w:val="0"/>
        <w:autoSpaceDN w:val="0"/>
        <w:adjustRightInd w:val="0"/>
        <w:rPr>
          <w:rFonts w:cs="MetaPlusBook-Roman"/>
        </w:rPr>
      </w:pPr>
    </w:p>
    <w:p w14:paraId="503FD3B0" w14:textId="7488A9CD" w:rsidR="00F81E2C" w:rsidRPr="00B148F9" w:rsidRDefault="00F81E2C" w:rsidP="00D17C23">
      <w:pPr>
        <w:autoSpaceDE w:val="0"/>
        <w:autoSpaceDN w:val="0"/>
        <w:adjustRightInd w:val="0"/>
        <w:rPr>
          <w:rFonts w:cs="MetaPlusBook-Roman"/>
        </w:rPr>
      </w:pPr>
      <w:r w:rsidRPr="00B148F9">
        <w:rPr>
          <w:rFonts w:cs="MetaPlusBook-Roman"/>
        </w:rPr>
        <w:t xml:space="preserve">The external auditor is invited to attend the Audit Committee meetings at which the </w:t>
      </w:r>
      <w:r w:rsidR="0085468C" w:rsidRPr="00B148F9">
        <w:rPr>
          <w:rFonts w:cs="MetaPlusBook-Roman"/>
        </w:rPr>
        <w:t xml:space="preserve">Interim Reports and </w:t>
      </w:r>
      <w:r w:rsidR="001D6D09" w:rsidRPr="00B148F9">
        <w:rPr>
          <w:rFonts w:cs="MetaPlusBook-Roman"/>
        </w:rPr>
        <w:t xml:space="preserve">Annual Reports </w:t>
      </w:r>
      <w:r w:rsidRPr="00B148F9">
        <w:rPr>
          <w:rFonts w:cs="MetaPlusBook-Roman"/>
        </w:rPr>
        <w:t xml:space="preserve">are considered and at which they have the opportunity to meet </w:t>
      </w:r>
      <w:r w:rsidRPr="00B148F9">
        <w:rPr>
          <w:rFonts w:cs="MetaPlusBook-Roman"/>
        </w:rPr>
        <w:lastRenderedPageBreak/>
        <w:t xml:space="preserve">with the Committee without representatives of </w:t>
      </w:r>
      <w:r w:rsidR="00167043" w:rsidRPr="00B148F9">
        <w:rPr>
          <w:rFonts w:cs="Arial"/>
        </w:rPr>
        <w:t xml:space="preserve">any external consultant as appointed by the </w:t>
      </w:r>
      <w:r w:rsidR="0035566A" w:rsidRPr="00B148F9">
        <w:rPr>
          <w:rFonts w:cs="Arial"/>
        </w:rPr>
        <w:t xml:space="preserve">Investment Manager </w:t>
      </w:r>
      <w:r w:rsidRPr="00B148F9">
        <w:rPr>
          <w:rFonts w:cs="MetaPlusBook-Roman"/>
        </w:rPr>
        <w:t>being present</w:t>
      </w:r>
      <w:r w:rsidR="00911D0D" w:rsidRPr="00B148F9">
        <w:rPr>
          <w:rFonts w:cs="MetaPlusBook-Roman"/>
        </w:rPr>
        <w:t xml:space="preserve"> at least once a year</w:t>
      </w:r>
      <w:r w:rsidRPr="00B148F9">
        <w:rPr>
          <w:rFonts w:cs="MetaPlusBook-Roman"/>
        </w:rPr>
        <w:t>.</w:t>
      </w:r>
    </w:p>
    <w:p w14:paraId="3BA8D683" w14:textId="77777777" w:rsidR="00F81E2C" w:rsidRPr="00B148F9" w:rsidRDefault="00F81E2C" w:rsidP="00F81E2C">
      <w:pPr>
        <w:autoSpaceDE w:val="0"/>
        <w:autoSpaceDN w:val="0"/>
        <w:adjustRightInd w:val="0"/>
        <w:rPr>
          <w:rFonts w:cs="MetaPlusBook-Roman"/>
        </w:rPr>
      </w:pPr>
    </w:p>
    <w:p w14:paraId="573A35AE" w14:textId="77777777" w:rsidR="00911D0D" w:rsidRPr="00B148F9" w:rsidRDefault="00911D0D" w:rsidP="00911D0D">
      <w:pPr>
        <w:autoSpaceDE w:val="0"/>
        <w:autoSpaceDN w:val="0"/>
        <w:adjustRightInd w:val="0"/>
        <w:rPr>
          <w:rFonts w:cs="MetaPlusBook-Roman"/>
          <w:b/>
        </w:rPr>
      </w:pPr>
      <w:r w:rsidRPr="00B148F9">
        <w:rPr>
          <w:rFonts w:cs="MetaPlusBook-Roman"/>
          <w:b/>
        </w:rPr>
        <w:t xml:space="preserve">Financial </w:t>
      </w:r>
      <w:r w:rsidR="004E1106" w:rsidRPr="00B148F9">
        <w:rPr>
          <w:rFonts w:cs="MetaPlusBook-Roman"/>
          <w:b/>
        </w:rPr>
        <w:t>r</w:t>
      </w:r>
      <w:r w:rsidRPr="00B148F9">
        <w:rPr>
          <w:rFonts w:cs="MetaPlusBook-Roman"/>
          <w:b/>
        </w:rPr>
        <w:t>eporting</w:t>
      </w:r>
    </w:p>
    <w:p w14:paraId="6F2A4919" w14:textId="71A88717" w:rsidR="00911D0D" w:rsidRPr="00B148F9" w:rsidRDefault="00911D0D" w:rsidP="00911D0D">
      <w:pPr>
        <w:autoSpaceDE w:val="0"/>
        <w:autoSpaceDN w:val="0"/>
        <w:adjustRightInd w:val="0"/>
        <w:rPr>
          <w:rFonts w:cs="MetaPlusBook-Roman"/>
        </w:rPr>
      </w:pPr>
      <w:r w:rsidRPr="00B148F9">
        <w:rPr>
          <w:rFonts w:cs="MetaPlusBook-Roman"/>
        </w:rPr>
        <w:t xml:space="preserve">The primary role of the Audit Committee in relation to the financial reporting is to review with the Administrator, </w:t>
      </w:r>
      <w:r w:rsidR="00167043" w:rsidRPr="00B148F9">
        <w:rPr>
          <w:rFonts w:cs="Arial"/>
        </w:rPr>
        <w:t xml:space="preserve">any external consultant as appointed by the </w:t>
      </w:r>
      <w:r w:rsidR="0035566A" w:rsidRPr="00B148F9">
        <w:rPr>
          <w:rFonts w:cs="Arial"/>
        </w:rPr>
        <w:t>Investment Manager</w:t>
      </w:r>
      <w:r w:rsidR="0035566A" w:rsidRPr="00B148F9">
        <w:rPr>
          <w:rFonts w:cs="MetaPlusBook-Roman"/>
        </w:rPr>
        <w:t xml:space="preserve"> </w:t>
      </w:r>
      <w:r w:rsidRPr="00B148F9">
        <w:rPr>
          <w:rFonts w:cs="MetaPlusBook-Roman"/>
        </w:rPr>
        <w:t xml:space="preserve">and the </w:t>
      </w:r>
      <w:r w:rsidR="007F5BE2" w:rsidRPr="00B148F9">
        <w:rPr>
          <w:rFonts w:cs="MetaPlusBook-Roman"/>
        </w:rPr>
        <w:t xml:space="preserve">external </w:t>
      </w:r>
      <w:r w:rsidRPr="00B148F9">
        <w:rPr>
          <w:rFonts w:cs="MetaPlusBook-Roman"/>
        </w:rPr>
        <w:t xml:space="preserve">auditor the appropriateness of the </w:t>
      </w:r>
      <w:r w:rsidR="001D6D09" w:rsidRPr="00B148F9">
        <w:rPr>
          <w:rFonts w:cs="MetaPlusBook-Roman"/>
        </w:rPr>
        <w:t>Interim Reports and Annual Reports</w:t>
      </w:r>
      <w:r w:rsidRPr="00B148F9">
        <w:rPr>
          <w:rFonts w:cs="MetaPlusBook-Roman"/>
        </w:rPr>
        <w:t>, concentrating on, amongst other matters:</w:t>
      </w:r>
    </w:p>
    <w:p w14:paraId="44432BB5" w14:textId="77777777" w:rsidR="00911D0D" w:rsidRPr="00B148F9" w:rsidRDefault="00911D0D" w:rsidP="00911D0D">
      <w:pPr>
        <w:pStyle w:val="ListParagraph"/>
        <w:autoSpaceDE w:val="0"/>
        <w:autoSpaceDN w:val="0"/>
        <w:adjustRightInd w:val="0"/>
        <w:rPr>
          <w:rFonts w:cs="MetaPlusBook-Roman"/>
        </w:rPr>
      </w:pPr>
    </w:p>
    <w:p w14:paraId="5FF0A0AF" w14:textId="77777777" w:rsidR="00911D0D" w:rsidRPr="00B148F9" w:rsidRDefault="00911D0D" w:rsidP="00A94612">
      <w:pPr>
        <w:pStyle w:val="ListParagraph"/>
        <w:numPr>
          <w:ilvl w:val="0"/>
          <w:numId w:val="8"/>
        </w:numPr>
        <w:autoSpaceDE w:val="0"/>
        <w:autoSpaceDN w:val="0"/>
        <w:adjustRightInd w:val="0"/>
        <w:rPr>
          <w:rFonts w:cs="MetaPlusBook-Roman"/>
        </w:rPr>
      </w:pPr>
      <w:r w:rsidRPr="00B148F9">
        <w:rPr>
          <w:rFonts w:cs="MetaPlusBook-Roman"/>
        </w:rPr>
        <w:t>the quality and acceptability of accounting policies and practices;</w:t>
      </w:r>
    </w:p>
    <w:p w14:paraId="2D5142ED" w14:textId="77777777" w:rsidR="00911D0D" w:rsidRPr="00B148F9" w:rsidRDefault="00911D0D" w:rsidP="00A94612">
      <w:pPr>
        <w:pStyle w:val="ListParagraph"/>
        <w:numPr>
          <w:ilvl w:val="0"/>
          <w:numId w:val="8"/>
        </w:numPr>
        <w:autoSpaceDE w:val="0"/>
        <w:autoSpaceDN w:val="0"/>
        <w:adjustRightInd w:val="0"/>
        <w:rPr>
          <w:rFonts w:cs="MetaPlusBook-Roman"/>
        </w:rPr>
      </w:pPr>
      <w:r w:rsidRPr="00B148F9">
        <w:rPr>
          <w:rFonts w:cs="MetaPlusBook-Roman"/>
        </w:rPr>
        <w:t>the clarity of the disclosures and compliance with financial reporting standards and relevant financial and governance reporting requirements;</w:t>
      </w:r>
    </w:p>
    <w:p w14:paraId="21814069" w14:textId="1E8ED186" w:rsidR="00911D0D" w:rsidRPr="00B148F9" w:rsidRDefault="00911D0D" w:rsidP="00A94612">
      <w:pPr>
        <w:pStyle w:val="ListParagraph"/>
        <w:numPr>
          <w:ilvl w:val="0"/>
          <w:numId w:val="8"/>
        </w:numPr>
        <w:autoSpaceDE w:val="0"/>
        <w:autoSpaceDN w:val="0"/>
        <w:adjustRightInd w:val="0"/>
        <w:rPr>
          <w:rFonts w:cs="MetaPlusBook-Roman"/>
        </w:rPr>
      </w:pPr>
      <w:r w:rsidRPr="00B148F9">
        <w:rPr>
          <w:rFonts w:cs="MetaPlusBook-Roman"/>
        </w:rPr>
        <w:t xml:space="preserve">material areas in which significant judgements have been applied or there has been discussion with both </w:t>
      </w:r>
      <w:r w:rsidR="00167043" w:rsidRPr="00B148F9">
        <w:rPr>
          <w:rFonts w:cs="Arial"/>
        </w:rPr>
        <w:t xml:space="preserve">any external consultant as appointed by the </w:t>
      </w:r>
      <w:r w:rsidR="0035566A" w:rsidRPr="00B148F9">
        <w:rPr>
          <w:rFonts w:cs="Arial"/>
        </w:rPr>
        <w:t xml:space="preserve">Investment Manager </w:t>
      </w:r>
      <w:r w:rsidRPr="00B148F9">
        <w:rPr>
          <w:rFonts w:cs="MetaPlusBook-Roman"/>
        </w:rPr>
        <w:t xml:space="preserve">and the </w:t>
      </w:r>
      <w:r w:rsidR="007F5BE2" w:rsidRPr="00B148F9">
        <w:rPr>
          <w:rFonts w:cs="MetaPlusBook-Roman"/>
        </w:rPr>
        <w:t xml:space="preserve">external </w:t>
      </w:r>
      <w:r w:rsidRPr="00B148F9">
        <w:rPr>
          <w:rFonts w:cs="MetaPlusBook-Roman"/>
        </w:rPr>
        <w:t>auditor;</w:t>
      </w:r>
    </w:p>
    <w:p w14:paraId="7690CC77" w14:textId="77777777" w:rsidR="00911D0D" w:rsidRPr="00B148F9" w:rsidRDefault="00911D0D" w:rsidP="00A94612">
      <w:pPr>
        <w:pStyle w:val="ListParagraph"/>
        <w:numPr>
          <w:ilvl w:val="0"/>
          <w:numId w:val="8"/>
        </w:numPr>
        <w:autoSpaceDE w:val="0"/>
        <w:autoSpaceDN w:val="0"/>
        <w:adjustRightInd w:val="0"/>
        <w:rPr>
          <w:rFonts w:cs="MetaPlusBook-Roman"/>
        </w:rPr>
      </w:pPr>
      <w:r w:rsidRPr="00B148F9">
        <w:rPr>
          <w:rFonts w:cs="MetaPlusBook-Roman"/>
        </w:rPr>
        <w:t>whether the Annual Report, taken as a whole, is fair, balanced and understandable and provides the information necessary for shareholders to assess the Company’s performance, business model and strategy; and</w:t>
      </w:r>
    </w:p>
    <w:p w14:paraId="2C00E6A5" w14:textId="77777777" w:rsidR="00911D0D" w:rsidRPr="00B148F9" w:rsidRDefault="00911D0D" w:rsidP="00A94612">
      <w:pPr>
        <w:pStyle w:val="ListParagraph"/>
        <w:numPr>
          <w:ilvl w:val="0"/>
          <w:numId w:val="8"/>
        </w:numPr>
        <w:autoSpaceDE w:val="0"/>
        <w:autoSpaceDN w:val="0"/>
        <w:adjustRightInd w:val="0"/>
        <w:rPr>
          <w:rFonts w:cs="MetaPlusBook-Roman"/>
        </w:rPr>
      </w:pPr>
      <w:r w:rsidRPr="00B148F9">
        <w:rPr>
          <w:rFonts w:cs="MetaPlusBook-Roman"/>
        </w:rPr>
        <w:t xml:space="preserve">any correspondence from regulators in relation to </w:t>
      </w:r>
      <w:r w:rsidR="00771853" w:rsidRPr="00B148F9">
        <w:rPr>
          <w:rFonts w:cs="MetaPlusBook-Roman"/>
        </w:rPr>
        <w:t>the Company’s</w:t>
      </w:r>
      <w:r w:rsidRPr="00B148F9">
        <w:rPr>
          <w:rFonts w:cs="MetaPlusBook-Roman"/>
        </w:rPr>
        <w:t xml:space="preserve"> financial reporting.</w:t>
      </w:r>
    </w:p>
    <w:p w14:paraId="399D13B2" w14:textId="77777777" w:rsidR="00911D0D" w:rsidRPr="00B148F9" w:rsidRDefault="00911D0D" w:rsidP="00911D0D">
      <w:pPr>
        <w:autoSpaceDE w:val="0"/>
        <w:autoSpaceDN w:val="0"/>
        <w:adjustRightInd w:val="0"/>
        <w:rPr>
          <w:rFonts w:cs="MetaPlusBook-Roman"/>
        </w:rPr>
      </w:pPr>
    </w:p>
    <w:p w14:paraId="5A095FA4" w14:textId="22987E8C" w:rsidR="00911D0D" w:rsidRPr="00B148F9" w:rsidRDefault="00911D0D" w:rsidP="00911D0D">
      <w:pPr>
        <w:autoSpaceDE w:val="0"/>
        <w:autoSpaceDN w:val="0"/>
        <w:adjustRightInd w:val="0"/>
        <w:rPr>
          <w:rFonts w:cs="MetaPlusBook-Roman"/>
        </w:rPr>
      </w:pPr>
      <w:r w:rsidRPr="00B148F9">
        <w:rPr>
          <w:rFonts w:cs="MetaPlusBook-Roman"/>
        </w:rPr>
        <w:t xml:space="preserve">To aid its review, the Audit Committee considers reports from </w:t>
      </w:r>
      <w:r w:rsidR="0035566A" w:rsidRPr="00B148F9">
        <w:rPr>
          <w:rFonts w:cs="MetaPlusBook-Roman"/>
        </w:rPr>
        <w:t xml:space="preserve">the Investment Manager </w:t>
      </w:r>
      <w:r w:rsidR="00E37EE3" w:rsidRPr="00B148F9">
        <w:rPr>
          <w:rFonts w:cs="MetaPlusBook-Roman"/>
        </w:rPr>
        <w:t xml:space="preserve">and </w:t>
      </w:r>
      <w:r w:rsidR="00167043" w:rsidRPr="00B148F9">
        <w:rPr>
          <w:rFonts w:cs="Arial"/>
        </w:rPr>
        <w:t xml:space="preserve">any external consultant as appointed by </w:t>
      </w:r>
      <w:r w:rsidR="0035566A" w:rsidRPr="00B148F9">
        <w:rPr>
          <w:rFonts w:cs="Arial"/>
        </w:rPr>
        <w:t>the Investment Manager</w:t>
      </w:r>
      <w:r w:rsidRPr="00B148F9">
        <w:rPr>
          <w:rFonts w:cs="MetaPlusBook-Roman"/>
        </w:rPr>
        <w:t xml:space="preserve"> and also reports from the</w:t>
      </w:r>
      <w:r w:rsidR="007F5BE2" w:rsidRPr="00B148F9">
        <w:rPr>
          <w:rFonts w:cs="MetaPlusBook-Roman"/>
        </w:rPr>
        <w:t xml:space="preserve"> external</w:t>
      </w:r>
      <w:r w:rsidRPr="00B148F9">
        <w:rPr>
          <w:rFonts w:cs="MetaPlusBook-Roman"/>
        </w:rPr>
        <w:t xml:space="preserve"> auditor on the outcomes of their </w:t>
      </w:r>
      <w:r w:rsidR="0035566A" w:rsidRPr="00B148F9">
        <w:rPr>
          <w:rFonts w:cs="MetaPlusBook-Roman"/>
        </w:rPr>
        <w:t>interim</w:t>
      </w:r>
      <w:r w:rsidRPr="00B148F9">
        <w:rPr>
          <w:rFonts w:cs="MetaPlusBook-Roman"/>
        </w:rPr>
        <w:t xml:space="preserve"> review and annual audit. </w:t>
      </w:r>
    </w:p>
    <w:p w14:paraId="34A6F776" w14:textId="77777777" w:rsidR="00F81E2C" w:rsidRPr="00B148F9" w:rsidRDefault="00F81E2C" w:rsidP="00F81E2C">
      <w:pPr>
        <w:autoSpaceDE w:val="0"/>
        <w:autoSpaceDN w:val="0"/>
        <w:adjustRightInd w:val="0"/>
        <w:rPr>
          <w:rFonts w:cs="MetaPlusBook-Roman"/>
        </w:rPr>
      </w:pPr>
    </w:p>
    <w:p w14:paraId="04703E64" w14:textId="77777777" w:rsidR="00911D0D" w:rsidRPr="00B148F9" w:rsidRDefault="00911D0D" w:rsidP="00911D0D">
      <w:pPr>
        <w:autoSpaceDE w:val="0"/>
        <w:autoSpaceDN w:val="0"/>
        <w:adjustRightInd w:val="0"/>
        <w:rPr>
          <w:rFonts w:cs="MetaPlusBook-Roman"/>
          <w:b/>
        </w:rPr>
      </w:pPr>
      <w:r w:rsidRPr="00B148F9">
        <w:rPr>
          <w:rFonts w:cs="MetaPlusBook-Roman"/>
          <w:b/>
        </w:rPr>
        <w:t xml:space="preserve">Meetings </w:t>
      </w:r>
    </w:p>
    <w:p w14:paraId="6116319B" w14:textId="26F754D6" w:rsidR="00911D0D" w:rsidRPr="00B148F9" w:rsidRDefault="00911D0D" w:rsidP="00911D0D">
      <w:pPr>
        <w:autoSpaceDE w:val="0"/>
        <w:autoSpaceDN w:val="0"/>
        <w:adjustRightInd w:val="0"/>
        <w:rPr>
          <w:rFonts w:cs="MetaPlusBook-Roman"/>
        </w:rPr>
      </w:pPr>
      <w:r w:rsidRPr="00B148F9">
        <w:rPr>
          <w:rFonts w:cs="MetaPlusBook-Roman"/>
        </w:rPr>
        <w:t xml:space="preserve">The Committee has met on </w:t>
      </w:r>
      <w:r w:rsidR="00186D9C" w:rsidRPr="00B148F9">
        <w:rPr>
          <w:color w:val="000000"/>
        </w:rPr>
        <w:t xml:space="preserve">one </w:t>
      </w:r>
      <w:r w:rsidRPr="00B148F9">
        <w:rPr>
          <w:rFonts w:cs="MetaPlusBook-Roman"/>
        </w:rPr>
        <w:t>occasion during the year. The matters discussed at</w:t>
      </w:r>
      <w:r w:rsidR="00186D9C" w:rsidRPr="00B148F9">
        <w:rPr>
          <w:rFonts w:cs="MetaPlusBook-Roman"/>
        </w:rPr>
        <w:t xml:space="preserve"> </w:t>
      </w:r>
      <w:r w:rsidRPr="00B148F9">
        <w:rPr>
          <w:rFonts w:cs="MetaPlusBook-Roman"/>
        </w:rPr>
        <w:t>th</w:t>
      </w:r>
      <w:r w:rsidR="00186D9C" w:rsidRPr="00B148F9">
        <w:rPr>
          <w:rFonts w:cs="MetaPlusBook-Roman"/>
        </w:rPr>
        <w:t>i</w:t>
      </w:r>
      <w:r w:rsidRPr="00B148F9">
        <w:rPr>
          <w:rFonts w:cs="MetaPlusBook-Roman"/>
        </w:rPr>
        <w:t>s meeting were:</w:t>
      </w:r>
    </w:p>
    <w:p w14:paraId="2B79F8C0" w14:textId="77777777" w:rsidR="004F3324" w:rsidRPr="00B148F9" w:rsidRDefault="004F3324" w:rsidP="00911D0D">
      <w:pPr>
        <w:autoSpaceDE w:val="0"/>
        <w:autoSpaceDN w:val="0"/>
        <w:adjustRightInd w:val="0"/>
        <w:rPr>
          <w:rFonts w:cs="MetaPlusBook-Roman"/>
        </w:rPr>
      </w:pPr>
    </w:p>
    <w:p w14:paraId="0148B7BE" w14:textId="76821233" w:rsidR="004F3324" w:rsidRPr="00B148F9" w:rsidRDefault="001B17CC" w:rsidP="00A94612">
      <w:pPr>
        <w:pStyle w:val="ListParagraph"/>
        <w:numPr>
          <w:ilvl w:val="0"/>
          <w:numId w:val="8"/>
        </w:numPr>
        <w:autoSpaceDE w:val="0"/>
        <w:autoSpaceDN w:val="0"/>
        <w:adjustRightInd w:val="0"/>
        <w:rPr>
          <w:rFonts w:cs="MetaPlusBook-Roman"/>
        </w:rPr>
      </w:pPr>
      <w:r w:rsidRPr="00B148F9">
        <w:rPr>
          <w:rFonts w:cs="MetaPlusBook-Roman"/>
        </w:rPr>
        <w:t>review</w:t>
      </w:r>
      <w:r w:rsidR="004F3324" w:rsidRPr="00B148F9">
        <w:rPr>
          <w:rFonts w:cs="MetaPlusBook-Roman"/>
        </w:rPr>
        <w:t xml:space="preserve"> of the terms of reference of the </w:t>
      </w:r>
      <w:r w:rsidR="003D0C18" w:rsidRPr="00B148F9">
        <w:rPr>
          <w:rFonts w:cs="MetaPlusBook-Roman"/>
        </w:rPr>
        <w:t>Audit C</w:t>
      </w:r>
      <w:r w:rsidR="004F3324" w:rsidRPr="00B148F9">
        <w:rPr>
          <w:rFonts w:cs="MetaPlusBook-Roman"/>
        </w:rPr>
        <w:t>ommittee</w:t>
      </w:r>
      <w:r w:rsidRPr="00B148F9">
        <w:rPr>
          <w:rFonts w:cs="MetaPlusBook-Roman"/>
        </w:rPr>
        <w:t xml:space="preserve"> to confirm that they </w:t>
      </w:r>
      <w:r w:rsidR="00F42C19" w:rsidRPr="00B148F9">
        <w:rPr>
          <w:rFonts w:cs="MetaPlusBook-Roman"/>
        </w:rPr>
        <w:t>are</w:t>
      </w:r>
      <w:r w:rsidRPr="00B148F9">
        <w:rPr>
          <w:rFonts w:cs="MetaPlusBook-Roman"/>
        </w:rPr>
        <w:t xml:space="preserve"> appropriate to the business of the committee and the current regulatory environment in which the Company operates</w:t>
      </w:r>
      <w:r w:rsidR="004F3324" w:rsidRPr="00B148F9">
        <w:rPr>
          <w:rFonts w:cs="MetaPlusBook-Roman"/>
        </w:rPr>
        <w:t>;</w:t>
      </w:r>
    </w:p>
    <w:p w14:paraId="5DBDAD44" w14:textId="77777777" w:rsidR="004F3324" w:rsidRPr="00B148F9" w:rsidRDefault="004F3324" w:rsidP="00A94612">
      <w:pPr>
        <w:pStyle w:val="ListParagraph"/>
        <w:numPr>
          <w:ilvl w:val="0"/>
          <w:numId w:val="8"/>
        </w:numPr>
        <w:autoSpaceDE w:val="0"/>
        <w:autoSpaceDN w:val="0"/>
        <w:adjustRightInd w:val="0"/>
        <w:rPr>
          <w:rFonts w:cs="MetaPlusBook-Roman"/>
        </w:rPr>
      </w:pPr>
      <w:r w:rsidRPr="00B148F9">
        <w:rPr>
          <w:rFonts w:cs="MetaPlusBook-Roman"/>
        </w:rPr>
        <w:t>review of the accounting policies and format of the financial statements;</w:t>
      </w:r>
    </w:p>
    <w:p w14:paraId="1814756C" w14:textId="0538C340" w:rsidR="00911D0D" w:rsidRPr="00B148F9" w:rsidRDefault="00F42C19" w:rsidP="00A94612">
      <w:pPr>
        <w:pStyle w:val="ListParagraph"/>
        <w:numPr>
          <w:ilvl w:val="0"/>
          <w:numId w:val="8"/>
        </w:numPr>
        <w:autoSpaceDE w:val="0"/>
        <w:autoSpaceDN w:val="0"/>
        <w:adjustRightInd w:val="0"/>
        <w:rPr>
          <w:rFonts w:cs="MetaPlusBook-Roman"/>
        </w:rPr>
      </w:pPr>
      <w:r w:rsidRPr="00B148F9">
        <w:rPr>
          <w:rFonts w:cs="MetaPlusBook-Roman"/>
        </w:rPr>
        <w:t>oversee the relationship with</w:t>
      </w:r>
      <w:r w:rsidR="00911D0D" w:rsidRPr="00B148F9">
        <w:rPr>
          <w:rFonts w:cs="MetaPlusBook-Roman"/>
        </w:rPr>
        <w:t xml:space="preserve"> the external auditor;</w:t>
      </w:r>
    </w:p>
    <w:p w14:paraId="63E96CED" w14:textId="77777777" w:rsidR="00911D0D" w:rsidRPr="00B148F9" w:rsidRDefault="00911D0D" w:rsidP="00A94612">
      <w:pPr>
        <w:pStyle w:val="ListParagraph"/>
        <w:numPr>
          <w:ilvl w:val="0"/>
          <w:numId w:val="8"/>
        </w:numPr>
        <w:autoSpaceDE w:val="0"/>
        <w:autoSpaceDN w:val="0"/>
        <w:adjustRightInd w:val="0"/>
        <w:rPr>
          <w:rFonts w:cs="MetaPlusBook-Roman"/>
        </w:rPr>
      </w:pPr>
      <w:r w:rsidRPr="00B148F9">
        <w:rPr>
          <w:rFonts w:cs="MetaPlusBook-Roman"/>
        </w:rPr>
        <w:t>discussion and approval of the fee for the external audit;</w:t>
      </w:r>
    </w:p>
    <w:p w14:paraId="05501554" w14:textId="7797B4B0" w:rsidR="009614B7" w:rsidRPr="00B148F9" w:rsidRDefault="00F42C19" w:rsidP="00A94612">
      <w:pPr>
        <w:pStyle w:val="ListParagraph"/>
        <w:numPr>
          <w:ilvl w:val="0"/>
          <w:numId w:val="8"/>
        </w:numPr>
        <w:autoSpaceDE w:val="0"/>
        <w:autoSpaceDN w:val="0"/>
        <w:adjustRightInd w:val="0"/>
        <w:rPr>
          <w:rFonts w:cs="MetaPlusBook-Roman"/>
        </w:rPr>
      </w:pPr>
      <w:r w:rsidRPr="00B148F9">
        <w:rPr>
          <w:rFonts w:cs="MetaPlusBook-Roman"/>
        </w:rPr>
        <w:t>consideration of the requirement for an internal audit function</w:t>
      </w:r>
      <w:r w:rsidR="00DC0DC2" w:rsidRPr="00B148F9">
        <w:rPr>
          <w:rFonts w:cs="MetaPlusBook-Roman"/>
        </w:rPr>
        <w:t>;</w:t>
      </w:r>
    </w:p>
    <w:p w14:paraId="6C4EE718" w14:textId="51813CD7" w:rsidR="00911D0D" w:rsidRPr="00B148F9" w:rsidRDefault="00B077F4" w:rsidP="00A94612">
      <w:pPr>
        <w:pStyle w:val="ListParagraph"/>
        <w:numPr>
          <w:ilvl w:val="0"/>
          <w:numId w:val="8"/>
        </w:numPr>
        <w:autoSpaceDE w:val="0"/>
        <w:autoSpaceDN w:val="0"/>
        <w:adjustRightInd w:val="0"/>
        <w:rPr>
          <w:rFonts w:cs="MetaPlusBook-Roman"/>
        </w:rPr>
      </w:pPr>
      <w:r w:rsidRPr="00B148F9">
        <w:rPr>
          <w:rFonts w:cs="MetaPlusBook-Roman"/>
        </w:rPr>
        <w:t>consider and make recommendations to the Board regarding the appointment of third party service providers</w:t>
      </w:r>
      <w:r w:rsidR="00F848A3" w:rsidRPr="00B148F9">
        <w:rPr>
          <w:rFonts w:cs="MetaPlusBook-Roman"/>
        </w:rPr>
        <w:t xml:space="preserve"> and the adequacy of their arrangements</w:t>
      </w:r>
      <w:r w:rsidR="00911D0D" w:rsidRPr="00B148F9">
        <w:rPr>
          <w:rFonts w:cs="MetaPlusBook-Roman"/>
        </w:rPr>
        <w:t>;</w:t>
      </w:r>
      <w:r w:rsidR="00480478" w:rsidRPr="00B148F9">
        <w:rPr>
          <w:rFonts w:cs="MetaPlusBook-Roman"/>
        </w:rPr>
        <w:t xml:space="preserve"> and</w:t>
      </w:r>
    </w:p>
    <w:p w14:paraId="2A046AAC" w14:textId="77777777" w:rsidR="00911D0D" w:rsidRPr="00B148F9" w:rsidRDefault="00911D0D" w:rsidP="00A94612">
      <w:pPr>
        <w:pStyle w:val="ListParagraph"/>
        <w:numPr>
          <w:ilvl w:val="0"/>
          <w:numId w:val="8"/>
        </w:numPr>
        <w:autoSpaceDE w:val="0"/>
        <w:autoSpaceDN w:val="0"/>
        <w:adjustRightInd w:val="0"/>
        <w:rPr>
          <w:rFonts w:cs="MetaPlusBook-Roman"/>
        </w:rPr>
      </w:pPr>
      <w:r w:rsidRPr="00B148F9">
        <w:rPr>
          <w:rFonts w:cs="MetaPlusBook-Roman"/>
        </w:rPr>
        <w:t>review of the Company’s key risks and internal controls</w:t>
      </w:r>
      <w:r w:rsidR="00480478" w:rsidRPr="00B148F9">
        <w:rPr>
          <w:rFonts w:cs="MetaPlusBook-Roman"/>
        </w:rPr>
        <w:t>.</w:t>
      </w:r>
    </w:p>
    <w:p w14:paraId="067D1225" w14:textId="77777777" w:rsidR="00911D0D" w:rsidRPr="00B148F9" w:rsidRDefault="00911D0D" w:rsidP="00911D0D">
      <w:pPr>
        <w:autoSpaceDE w:val="0"/>
        <w:autoSpaceDN w:val="0"/>
        <w:adjustRightInd w:val="0"/>
        <w:rPr>
          <w:rFonts w:cs="MetaPlusBook-Roman"/>
        </w:rPr>
      </w:pPr>
    </w:p>
    <w:p w14:paraId="072DB7C3" w14:textId="77777777" w:rsidR="00911D0D" w:rsidRPr="00B148F9" w:rsidRDefault="00911D0D" w:rsidP="00911D0D">
      <w:pPr>
        <w:autoSpaceDE w:val="0"/>
        <w:autoSpaceDN w:val="0"/>
        <w:adjustRightInd w:val="0"/>
        <w:rPr>
          <w:rFonts w:cs="MetaPlusBook-Roman"/>
          <w:b/>
        </w:rPr>
      </w:pPr>
      <w:r w:rsidRPr="00B148F9">
        <w:rPr>
          <w:rFonts w:cs="MetaPlusBook-Roman"/>
          <w:b/>
        </w:rPr>
        <w:t xml:space="preserve">Primary </w:t>
      </w:r>
      <w:r w:rsidR="004E1106" w:rsidRPr="00B148F9">
        <w:rPr>
          <w:rFonts w:cs="MetaPlusBook-Roman"/>
          <w:b/>
        </w:rPr>
        <w:t>a</w:t>
      </w:r>
      <w:r w:rsidRPr="00B148F9">
        <w:rPr>
          <w:rFonts w:cs="MetaPlusBook-Roman"/>
          <w:b/>
        </w:rPr>
        <w:t xml:space="preserve">rea of </w:t>
      </w:r>
      <w:r w:rsidR="004E1106" w:rsidRPr="00B148F9">
        <w:rPr>
          <w:rFonts w:cs="MetaPlusBook-Roman"/>
          <w:b/>
        </w:rPr>
        <w:t>j</w:t>
      </w:r>
      <w:r w:rsidRPr="00B148F9">
        <w:rPr>
          <w:rFonts w:cs="MetaPlusBook-Roman"/>
          <w:b/>
        </w:rPr>
        <w:t>udgement</w:t>
      </w:r>
    </w:p>
    <w:p w14:paraId="7FEF6EA8" w14:textId="5983F67F" w:rsidR="00911D0D" w:rsidRPr="00B148F9" w:rsidRDefault="00911D0D" w:rsidP="00911D0D">
      <w:pPr>
        <w:autoSpaceDE w:val="0"/>
        <w:autoSpaceDN w:val="0"/>
        <w:adjustRightInd w:val="0"/>
        <w:rPr>
          <w:rFonts w:cs="MetaPlusBook-Roman"/>
        </w:rPr>
      </w:pPr>
      <w:r w:rsidRPr="00B148F9">
        <w:rPr>
          <w:rFonts w:cs="MetaPlusBook-Roman"/>
        </w:rPr>
        <w:t>The Audit Committee determined that the key risk of misstatement of the Company’s</w:t>
      </w:r>
      <w:r w:rsidR="00A02D58" w:rsidRPr="00B148F9">
        <w:rPr>
          <w:rFonts w:cs="MetaPlusBook-Roman"/>
        </w:rPr>
        <w:t xml:space="preserve"> </w:t>
      </w:r>
      <w:r w:rsidRPr="00B148F9">
        <w:rPr>
          <w:rFonts w:cs="MetaPlusBook-Roman"/>
        </w:rPr>
        <w:t>financial statements related to the valuation of investment</w:t>
      </w:r>
      <w:r w:rsidR="006940C9" w:rsidRPr="00B148F9">
        <w:rPr>
          <w:rFonts w:cs="MetaPlusBook-Roman"/>
        </w:rPr>
        <w:t xml:space="preserve"> in securities,</w:t>
      </w:r>
      <w:r w:rsidRPr="00B148F9">
        <w:rPr>
          <w:rFonts w:cs="MetaPlusBook-Roman"/>
        </w:rPr>
        <w:t xml:space="preserve"> at fair value, in the context of the judgements necessary to evaluate current </w:t>
      </w:r>
      <w:r w:rsidR="00A02D58" w:rsidRPr="00B148F9">
        <w:rPr>
          <w:rFonts w:cs="MetaPlusBook-Roman"/>
        </w:rPr>
        <w:t xml:space="preserve">fair </w:t>
      </w:r>
      <w:r w:rsidRPr="00B148F9">
        <w:rPr>
          <w:rFonts w:cs="MetaPlusBook-Roman"/>
        </w:rPr>
        <w:t>values.</w:t>
      </w:r>
    </w:p>
    <w:p w14:paraId="1F75136D" w14:textId="77777777" w:rsidR="00911D0D" w:rsidRPr="00B148F9" w:rsidRDefault="00911D0D" w:rsidP="00F81E2C">
      <w:pPr>
        <w:autoSpaceDE w:val="0"/>
        <w:autoSpaceDN w:val="0"/>
        <w:adjustRightInd w:val="0"/>
        <w:rPr>
          <w:rFonts w:cs="MetaPlusBook-Roman"/>
        </w:rPr>
      </w:pPr>
    </w:p>
    <w:p w14:paraId="697701C1" w14:textId="03CBFC92" w:rsidR="00F81E2C" w:rsidRPr="00B148F9" w:rsidRDefault="00F81E2C" w:rsidP="00F81E2C">
      <w:pPr>
        <w:autoSpaceDE w:val="0"/>
        <w:autoSpaceDN w:val="0"/>
        <w:adjustRightInd w:val="0"/>
        <w:rPr>
          <w:rFonts w:cs="MetaPlusBook-Roman"/>
        </w:rPr>
      </w:pPr>
      <w:r w:rsidRPr="00B148F9">
        <w:rPr>
          <w:rFonts w:cs="MetaPlusBook-Roman"/>
        </w:rPr>
        <w:t xml:space="preserve">As outlined in Note </w:t>
      </w:r>
      <w:r w:rsidR="006C5486" w:rsidRPr="00B148F9">
        <w:rPr>
          <w:rFonts w:cs="MetaPlusBook-Caps"/>
        </w:rPr>
        <w:t>2</w:t>
      </w:r>
      <w:r w:rsidR="00CF7815" w:rsidRPr="00B148F9">
        <w:rPr>
          <w:rFonts w:cs="MetaPlusBook-Caps"/>
        </w:rPr>
        <w:t xml:space="preserve"> </w:t>
      </w:r>
      <w:r w:rsidRPr="00B148F9">
        <w:rPr>
          <w:rFonts w:cs="MetaPlusBook-Roman"/>
        </w:rPr>
        <w:t>to the financial statements</w:t>
      </w:r>
      <w:r w:rsidR="001D6D09" w:rsidRPr="00B148F9">
        <w:rPr>
          <w:rFonts w:cs="MetaPlusBook-Roman"/>
        </w:rPr>
        <w:t xml:space="preserve"> of the Company</w:t>
      </w:r>
      <w:r w:rsidRPr="00B148F9">
        <w:rPr>
          <w:rFonts w:cs="MetaPlusBook-Roman"/>
        </w:rPr>
        <w:t xml:space="preserve">, the total carrying value of </w:t>
      </w:r>
      <w:r w:rsidR="001D6D09" w:rsidRPr="00B148F9">
        <w:rPr>
          <w:rFonts w:cs="MetaPlusBook-Roman"/>
        </w:rPr>
        <w:t>the Comp</w:t>
      </w:r>
      <w:r w:rsidR="0085468C" w:rsidRPr="00B148F9">
        <w:rPr>
          <w:rFonts w:cs="MetaPlusBook-Roman"/>
        </w:rPr>
        <w:t>a</w:t>
      </w:r>
      <w:r w:rsidR="001D6D09" w:rsidRPr="00B148F9">
        <w:rPr>
          <w:rFonts w:cs="MetaPlusBook-Roman"/>
        </w:rPr>
        <w:t>ny</w:t>
      </w:r>
      <w:r w:rsidR="00503BFE" w:rsidRPr="00B148F9">
        <w:rPr>
          <w:rFonts w:cs="MetaPlusBook-Roman"/>
        </w:rPr>
        <w:t>’s investments in securities and derivatives</w:t>
      </w:r>
      <w:r w:rsidRPr="00B148F9">
        <w:rPr>
          <w:rFonts w:cs="MetaPlusBook-Roman"/>
        </w:rPr>
        <w:t xml:space="preserve"> at fair value</w:t>
      </w:r>
      <w:r w:rsidR="00503BFE" w:rsidRPr="00B148F9">
        <w:rPr>
          <w:rFonts w:cs="MetaPlusBook-Roman"/>
        </w:rPr>
        <w:t xml:space="preserve"> as</w:t>
      </w:r>
      <w:r w:rsidRPr="00B148F9">
        <w:rPr>
          <w:rFonts w:cs="MetaPlusBook-Roman"/>
        </w:rPr>
        <w:t xml:space="preserve"> at 31 </w:t>
      </w:r>
      <w:r w:rsidR="00BA4C4B" w:rsidRPr="00B148F9">
        <w:rPr>
          <w:rFonts w:cs="MetaPlusBook-Roman"/>
        </w:rPr>
        <w:t>December</w:t>
      </w:r>
      <w:r w:rsidRPr="00B148F9">
        <w:rPr>
          <w:rFonts w:cs="MetaPlusBook-Roman"/>
        </w:rPr>
        <w:t xml:space="preserve"> 201</w:t>
      </w:r>
      <w:r w:rsidR="008511FE" w:rsidRPr="00B148F9">
        <w:rPr>
          <w:rFonts w:cs="MetaPlusBook-Roman"/>
        </w:rPr>
        <w:t>9</w:t>
      </w:r>
      <w:r w:rsidRPr="00B148F9">
        <w:rPr>
          <w:rFonts w:cs="MetaPlusBook-Roman"/>
        </w:rPr>
        <w:t xml:space="preserve"> was </w:t>
      </w:r>
      <w:bookmarkStart w:id="5" w:name="OLE_LINK17"/>
      <w:bookmarkStart w:id="6" w:name="OLE_LINK18"/>
      <w:r w:rsidR="00BE05D5" w:rsidRPr="00B148F9">
        <w:rPr>
          <w:rFonts w:cs="MetaPlusBook-Roman"/>
        </w:rPr>
        <w:t>US$</w:t>
      </w:r>
      <w:r w:rsidR="00A422FF" w:rsidRPr="00B148F9">
        <w:rPr>
          <w:rFonts w:cs="MetaPlusBook-Roman"/>
        </w:rPr>
        <w:t>17</w:t>
      </w:r>
      <w:r w:rsidR="00DC0DC2" w:rsidRPr="00B148F9">
        <w:rPr>
          <w:rFonts w:cs="MetaPlusBook-Roman"/>
        </w:rPr>
        <w:t>2.</w:t>
      </w:r>
      <w:r w:rsidR="00A422FF" w:rsidRPr="00B148F9">
        <w:rPr>
          <w:rFonts w:cs="MetaPlusBook-Roman"/>
        </w:rPr>
        <w:t>0</w:t>
      </w:r>
      <w:r w:rsidR="00DA0204" w:rsidRPr="00B148F9">
        <w:rPr>
          <w:color w:val="000000"/>
        </w:rPr>
        <w:t xml:space="preserve"> </w:t>
      </w:r>
      <w:bookmarkEnd w:id="5"/>
      <w:bookmarkEnd w:id="6"/>
      <w:r w:rsidRPr="00B148F9">
        <w:t>million</w:t>
      </w:r>
      <w:r w:rsidR="00AD64ED" w:rsidRPr="00B148F9">
        <w:t xml:space="preserve"> (201</w:t>
      </w:r>
      <w:r w:rsidR="008511FE" w:rsidRPr="00B148F9">
        <w:t>8</w:t>
      </w:r>
      <w:r w:rsidR="00AD64ED" w:rsidRPr="00B148F9">
        <w:t xml:space="preserve">: </w:t>
      </w:r>
      <w:r w:rsidR="00BE05D5" w:rsidRPr="00B148F9">
        <w:t>US$</w:t>
      </w:r>
      <w:r w:rsidR="00154484" w:rsidRPr="00B148F9">
        <w:t>65.7</w:t>
      </w:r>
      <w:r w:rsidR="00DA0204" w:rsidRPr="00B148F9">
        <w:rPr>
          <w:rFonts w:cs="MetaPlusBook-Roman"/>
        </w:rPr>
        <w:t xml:space="preserve"> </w:t>
      </w:r>
      <w:r w:rsidR="0085468C" w:rsidRPr="00B148F9">
        <w:t>million</w:t>
      </w:r>
      <w:r w:rsidR="00AD64ED" w:rsidRPr="00B148F9">
        <w:t>)</w:t>
      </w:r>
      <w:r w:rsidRPr="00B148F9">
        <w:rPr>
          <w:rFonts w:cs="MetaPlusBook-Roman"/>
        </w:rPr>
        <w:t xml:space="preserve">. Market quotations </w:t>
      </w:r>
      <w:r w:rsidR="00952A75" w:rsidRPr="00B148F9">
        <w:rPr>
          <w:rFonts w:cs="MetaPlusBook-Roman"/>
        </w:rPr>
        <w:t>will be</w:t>
      </w:r>
      <w:r w:rsidRPr="00B148F9">
        <w:rPr>
          <w:rFonts w:cs="MetaPlusBook-Roman"/>
        </w:rPr>
        <w:t xml:space="preserve"> available for </w:t>
      </w:r>
      <w:r w:rsidR="006401EE" w:rsidRPr="00B148F9">
        <w:rPr>
          <w:rFonts w:cs="MetaPlusBook-Roman"/>
        </w:rPr>
        <w:t xml:space="preserve">those </w:t>
      </w:r>
      <w:r w:rsidRPr="00B148F9">
        <w:rPr>
          <w:rFonts w:cs="MetaPlusBook-Roman"/>
        </w:rPr>
        <w:t xml:space="preserve">financial assets </w:t>
      </w:r>
      <w:r w:rsidR="00952A75" w:rsidRPr="00B148F9">
        <w:rPr>
          <w:rFonts w:cs="MetaPlusBook-Roman"/>
        </w:rPr>
        <w:t xml:space="preserve">that are </w:t>
      </w:r>
      <w:r w:rsidR="006401EE" w:rsidRPr="00B148F9">
        <w:rPr>
          <w:rFonts w:cs="MetaPlusBook-Roman"/>
        </w:rPr>
        <w:t xml:space="preserve">listed and traded and have an active market </w:t>
      </w:r>
      <w:r w:rsidR="00952A75" w:rsidRPr="00B148F9">
        <w:rPr>
          <w:rFonts w:cs="MetaPlusBook-Roman"/>
        </w:rPr>
        <w:t xml:space="preserve">quote. For </w:t>
      </w:r>
      <w:r w:rsidR="00D6328B" w:rsidRPr="00B148F9">
        <w:rPr>
          <w:rFonts w:cs="MetaPlusBook-Roman"/>
        </w:rPr>
        <w:t>p</w:t>
      </w:r>
      <w:r w:rsidR="00952A75" w:rsidRPr="00B148F9">
        <w:rPr>
          <w:rFonts w:cs="MetaPlusBook-Roman"/>
        </w:rPr>
        <w:t xml:space="preserve">rivate </w:t>
      </w:r>
      <w:r w:rsidR="00D6328B" w:rsidRPr="00B148F9">
        <w:rPr>
          <w:rFonts w:cs="MetaPlusBook-Roman"/>
        </w:rPr>
        <w:t>c</w:t>
      </w:r>
      <w:r w:rsidR="00952A75" w:rsidRPr="00B148F9">
        <w:rPr>
          <w:rFonts w:cs="MetaPlusBook-Roman"/>
        </w:rPr>
        <w:t>ompany investments,</w:t>
      </w:r>
      <w:r w:rsidRPr="00B148F9">
        <w:rPr>
          <w:rFonts w:cs="MetaPlusBook-Roman"/>
        </w:rPr>
        <w:t xml:space="preserve"> the value of the Company’s investments </w:t>
      </w:r>
      <w:r w:rsidR="0085468C" w:rsidRPr="00B148F9">
        <w:rPr>
          <w:rFonts w:cs="MetaPlusBook-Roman"/>
        </w:rPr>
        <w:t>is</w:t>
      </w:r>
      <w:r w:rsidRPr="00B148F9">
        <w:rPr>
          <w:rFonts w:cs="MetaPlusBook-Roman"/>
        </w:rPr>
        <w:t xml:space="preserve"> based on the value of the relevant underlying investee companies as determined by the </w:t>
      </w:r>
      <w:r w:rsidR="00952A75" w:rsidRPr="00B148F9">
        <w:rPr>
          <w:rFonts w:cs="MetaPlusBook-Roman"/>
        </w:rPr>
        <w:t>Investment Manager</w:t>
      </w:r>
      <w:r w:rsidRPr="00B148F9">
        <w:rPr>
          <w:rFonts w:cs="Arial"/>
        </w:rPr>
        <w:t>.</w:t>
      </w:r>
    </w:p>
    <w:p w14:paraId="158B3C0E" w14:textId="77777777" w:rsidR="00F81E2C" w:rsidRPr="00B148F9" w:rsidRDefault="00F81E2C" w:rsidP="00F81E2C">
      <w:pPr>
        <w:autoSpaceDE w:val="0"/>
        <w:autoSpaceDN w:val="0"/>
        <w:adjustRightInd w:val="0"/>
        <w:rPr>
          <w:rFonts w:cs="MetaPlusBook-Roman"/>
        </w:rPr>
      </w:pPr>
    </w:p>
    <w:p w14:paraId="555919D0" w14:textId="74D953D3" w:rsidR="00EB32B9" w:rsidRPr="00B148F9" w:rsidRDefault="00EB32B9" w:rsidP="00F81E2C">
      <w:pPr>
        <w:autoSpaceDE w:val="0"/>
        <w:autoSpaceDN w:val="0"/>
        <w:adjustRightInd w:val="0"/>
        <w:rPr>
          <w:rFonts w:cs="MetaPlusBook-Roman"/>
        </w:rPr>
      </w:pPr>
      <w:r w:rsidRPr="00B148F9">
        <w:rPr>
          <w:rFonts w:cs="MetaPlusBook-Roman"/>
        </w:rPr>
        <w:t xml:space="preserve">The valuation models of the private company investments that were transferred in as part of the </w:t>
      </w:r>
      <w:r w:rsidR="00B37BAF" w:rsidRPr="00B148F9">
        <w:rPr>
          <w:rFonts w:cs="MetaPlusBook-Roman"/>
        </w:rPr>
        <w:t>C</w:t>
      </w:r>
      <w:r w:rsidRPr="00B148F9">
        <w:rPr>
          <w:rFonts w:cs="MetaPlusBook-Roman"/>
        </w:rPr>
        <w:t>ompany’s initial portfolio were reviewed by the Audit Committee with the Independent Valuer prior to listing. The Committee was satisfied that these positions had been valued fairly. Given the short period of time that elapsed between the Company listing and reporting its financial results</w:t>
      </w:r>
      <w:r w:rsidR="00503BFE" w:rsidRPr="00B148F9">
        <w:rPr>
          <w:rFonts w:cs="MetaPlusBook-Roman"/>
        </w:rPr>
        <w:t>,</w:t>
      </w:r>
      <w:r w:rsidRPr="00B148F9">
        <w:rPr>
          <w:rFonts w:cs="MetaPlusBook-Roman"/>
        </w:rPr>
        <w:t xml:space="preserve"> the valuation of </w:t>
      </w:r>
      <w:r w:rsidR="00D53039" w:rsidRPr="00B148F9">
        <w:rPr>
          <w:rFonts w:cs="MetaPlusBook-Roman"/>
        </w:rPr>
        <w:t xml:space="preserve">the </w:t>
      </w:r>
      <w:r w:rsidRPr="00B148F9">
        <w:rPr>
          <w:rFonts w:cs="MetaPlusBook-Roman"/>
        </w:rPr>
        <w:t>private company portfolio was not materially different at 31 December 2019. The valuation of the Company’s private and restricted investments and the methodology used for the year end valuation and constitution of the Investment Manager’s Valuation Committee was discussed with the Investment Manager</w:t>
      </w:r>
      <w:r w:rsidRPr="00B148F9">
        <w:rPr>
          <w:rFonts w:cs="Arial"/>
        </w:rPr>
        <w:t xml:space="preserve"> </w:t>
      </w:r>
      <w:r w:rsidRPr="00B148F9">
        <w:rPr>
          <w:rFonts w:cs="MetaPlusBook-Roman"/>
        </w:rPr>
        <w:t>and with the external auditor at a Board meeting held on</w:t>
      </w:r>
      <w:r w:rsidRPr="00B148F9">
        <w:t xml:space="preserve"> 5 February</w:t>
      </w:r>
      <w:r w:rsidRPr="00B148F9">
        <w:rPr>
          <w:rFonts w:cs="MetaPlusBook-Roman"/>
        </w:rPr>
        <w:t xml:space="preserve"> 2020. The Independent </w:t>
      </w:r>
      <w:r w:rsidRPr="00B148F9">
        <w:rPr>
          <w:rFonts w:cs="Arial"/>
        </w:rPr>
        <w:t xml:space="preserve">Valuer, as appointed by the Investment Manager, </w:t>
      </w:r>
      <w:r w:rsidRPr="00B148F9">
        <w:rPr>
          <w:rFonts w:cs="MetaPlusBook-Roman"/>
        </w:rPr>
        <w:t xml:space="preserve">carries out a valuation semi-annually on the private company investments.  </w:t>
      </w:r>
    </w:p>
    <w:p w14:paraId="1F11B3D4" w14:textId="77777777" w:rsidR="00F81E2C" w:rsidRPr="00B148F9" w:rsidRDefault="00F81E2C" w:rsidP="00F81E2C">
      <w:pPr>
        <w:autoSpaceDE w:val="0"/>
        <w:autoSpaceDN w:val="0"/>
        <w:adjustRightInd w:val="0"/>
        <w:rPr>
          <w:rFonts w:cs="MetaPlusBook-Roman"/>
        </w:rPr>
      </w:pPr>
    </w:p>
    <w:p w14:paraId="052C7E4C" w14:textId="315C532F" w:rsidR="00F81E2C" w:rsidRPr="00B148F9" w:rsidRDefault="00F81E2C" w:rsidP="00F81E2C">
      <w:pPr>
        <w:autoSpaceDE w:val="0"/>
        <w:autoSpaceDN w:val="0"/>
        <w:adjustRightInd w:val="0"/>
        <w:rPr>
          <w:rFonts w:cs="MetaPlusBook-Roman"/>
        </w:rPr>
      </w:pPr>
      <w:r w:rsidRPr="00B148F9">
        <w:rPr>
          <w:rFonts w:cs="MetaPlusBook-Roman"/>
        </w:rPr>
        <w:t>The Audit Committee</w:t>
      </w:r>
      <w:r w:rsidR="009326CE" w:rsidRPr="00B148F9">
        <w:rPr>
          <w:rFonts w:cs="MetaPlusBook-Roman"/>
        </w:rPr>
        <w:t xml:space="preserve"> has</w:t>
      </w:r>
      <w:r w:rsidRPr="00B148F9">
        <w:rPr>
          <w:rFonts w:cs="MetaPlusBook-Roman"/>
        </w:rPr>
        <w:t xml:space="preserve"> reviewed the </w:t>
      </w:r>
      <w:r w:rsidR="00167043" w:rsidRPr="00B148F9">
        <w:rPr>
          <w:rFonts w:cs="MetaPlusBook-Roman"/>
        </w:rPr>
        <w:t xml:space="preserve">work of </w:t>
      </w:r>
      <w:r w:rsidR="00167043" w:rsidRPr="00B148F9">
        <w:rPr>
          <w:rFonts w:cs="Arial"/>
        </w:rPr>
        <w:t xml:space="preserve">the </w:t>
      </w:r>
      <w:r w:rsidR="007A0634" w:rsidRPr="00B148F9">
        <w:rPr>
          <w:rFonts w:cs="Arial"/>
        </w:rPr>
        <w:t>Investment Manager</w:t>
      </w:r>
      <w:r w:rsidRPr="00B148F9">
        <w:rPr>
          <w:rFonts w:cs="MetaPlusBook-Roman"/>
        </w:rPr>
        <w:t xml:space="preserve">. The </w:t>
      </w:r>
      <w:r w:rsidR="007A0634" w:rsidRPr="00B148F9">
        <w:rPr>
          <w:rFonts w:cs="Arial"/>
        </w:rPr>
        <w:t>Investment Manager</w:t>
      </w:r>
      <w:r w:rsidR="00167043" w:rsidRPr="00B148F9">
        <w:rPr>
          <w:rFonts w:cs="Arial"/>
        </w:rPr>
        <w:t xml:space="preserve"> </w:t>
      </w:r>
      <w:r w:rsidRPr="00B148F9">
        <w:rPr>
          <w:rFonts w:cs="MetaPlusBook-Roman"/>
        </w:rPr>
        <w:t>confirmed to the Audit Committee that the valuation methodology had been applied consistently during the year</w:t>
      </w:r>
      <w:r w:rsidR="002B3BE9" w:rsidRPr="00B148F9">
        <w:rPr>
          <w:rFonts w:cs="MetaPlusBook-Roman"/>
        </w:rPr>
        <w:t>.</w:t>
      </w:r>
      <w:r w:rsidRPr="00B148F9">
        <w:rPr>
          <w:rFonts w:cs="MetaPlusBook-Roman"/>
        </w:rPr>
        <w:t xml:space="preserve"> </w:t>
      </w:r>
      <w:r w:rsidR="002B3BE9" w:rsidRPr="00B148F9">
        <w:rPr>
          <w:rFonts w:cs="MetaPlusBook-Roman"/>
        </w:rPr>
        <w:t xml:space="preserve">After reviewing </w:t>
      </w:r>
      <w:r w:rsidR="006401EE" w:rsidRPr="00B148F9">
        <w:rPr>
          <w:rFonts w:cs="MetaPlusBook-Roman"/>
        </w:rPr>
        <w:t xml:space="preserve">the </w:t>
      </w:r>
      <w:r w:rsidR="006E605C" w:rsidRPr="00B148F9">
        <w:rPr>
          <w:rFonts w:cs="MetaPlusBook-Roman"/>
        </w:rPr>
        <w:t xml:space="preserve">scope and results of </w:t>
      </w:r>
      <w:r w:rsidR="002B3BE9" w:rsidRPr="00B148F9">
        <w:rPr>
          <w:rFonts w:cs="MetaPlusBook-Roman"/>
        </w:rPr>
        <w:t>the work of the</w:t>
      </w:r>
      <w:r w:rsidRPr="00B148F9">
        <w:rPr>
          <w:rFonts w:cs="MetaPlusBook-Roman"/>
        </w:rPr>
        <w:t xml:space="preserve"> </w:t>
      </w:r>
      <w:r w:rsidR="007F5BE2" w:rsidRPr="00B148F9">
        <w:rPr>
          <w:rFonts w:cs="MetaPlusBook-Roman"/>
        </w:rPr>
        <w:t xml:space="preserve">external </w:t>
      </w:r>
      <w:r w:rsidRPr="00B148F9">
        <w:rPr>
          <w:rFonts w:cs="MetaPlusBook-Roman"/>
        </w:rPr>
        <w:t>auditor</w:t>
      </w:r>
      <w:r w:rsidR="002B3BE9" w:rsidRPr="00B148F9">
        <w:rPr>
          <w:rFonts w:cs="MetaPlusBook-Roman"/>
        </w:rPr>
        <w:t xml:space="preserve"> the Audit Committee concluded that </w:t>
      </w:r>
      <w:r w:rsidR="00B3737E" w:rsidRPr="00B148F9">
        <w:rPr>
          <w:rFonts w:cs="MetaPlusBook-Roman"/>
        </w:rPr>
        <w:t xml:space="preserve">they had </w:t>
      </w:r>
      <w:r w:rsidR="004F6D2D" w:rsidRPr="00B148F9">
        <w:rPr>
          <w:rFonts w:cs="MetaPlusBook-Roman"/>
        </w:rPr>
        <w:t>no</w:t>
      </w:r>
      <w:r w:rsidR="00B3737E" w:rsidRPr="00B148F9">
        <w:rPr>
          <w:rFonts w:cs="MetaPlusBook-Roman"/>
        </w:rPr>
        <w:t>t identified any</w:t>
      </w:r>
      <w:r w:rsidR="004F6D2D" w:rsidRPr="00B148F9">
        <w:rPr>
          <w:rFonts w:cs="MetaPlusBook-Roman"/>
        </w:rPr>
        <w:t xml:space="preserve"> material</w:t>
      </w:r>
      <w:r w:rsidRPr="00B148F9">
        <w:rPr>
          <w:rFonts w:cs="MetaPlusBook-Roman"/>
        </w:rPr>
        <w:t xml:space="preserve"> errors or inconsistencies</w:t>
      </w:r>
      <w:r w:rsidR="00B3737E" w:rsidRPr="00B148F9">
        <w:rPr>
          <w:rFonts w:cs="MetaPlusBook-Roman"/>
        </w:rPr>
        <w:t>.</w:t>
      </w:r>
    </w:p>
    <w:p w14:paraId="16F5D884" w14:textId="77777777" w:rsidR="00F81E2C" w:rsidRPr="00B148F9" w:rsidRDefault="00F81E2C" w:rsidP="00F81E2C">
      <w:pPr>
        <w:autoSpaceDE w:val="0"/>
        <w:autoSpaceDN w:val="0"/>
        <w:adjustRightInd w:val="0"/>
        <w:rPr>
          <w:rFonts w:cs="MetaPlusBook-Roman"/>
        </w:rPr>
      </w:pPr>
    </w:p>
    <w:p w14:paraId="70800E8D" w14:textId="1C20C74E" w:rsidR="00F81E2C" w:rsidRPr="00B148F9" w:rsidRDefault="00F81E2C" w:rsidP="00F81E2C">
      <w:pPr>
        <w:autoSpaceDE w:val="0"/>
        <w:autoSpaceDN w:val="0"/>
        <w:adjustRightInd w:val="0"/>
        <w:rPr>
          <w:rFonts w:cs="MetaPlusBook-Roman"/>
        </w:rPr>
      </w:pPr>
      <w:r w:rsidRPr="00B148F9">
        <w:rPr>
          <w:rFonts w:cs="MetaPlusBook-Roman"/>
        </w:rPr>
        <w:t xml:space="preserve">The </w:t>
      </w:r>
      <w:r w:rsidR="007F5BE2" w:rsidRPr="00B148F9">
        <w:rPr>
          <w:rFonts w:cs="MetaPlusBook-Roman"/>
        </w:rPr>
        <w:t xml:space="preserve">external </w:t>
      </w:r>
      <w:r w:rsidRPr="00B148F9">
        <w:rPr>
          <w:rFonts w:cs="MetaPlusBook-Roman"/>
        </w:rPr>
        <w:t>auditor explained the results of their review of the valuations, including their challenge of management’s underlying projections, the economic assumptions</w:t>
      </w:r>
      <w:r w:rsidR="005A1345" w:rsidRPr="00B148F9">
        <w:rPr>
          <w:rFonts w:cs="MetaPlusBook-Roman"/>
        </w:rPr>
        <w:t>, illiquidity discounts</w:t>
      </w:r>
      <w:r w:rsidRPr="00B148F9">
        <w:rPr>
          <w:rFonts w:cs="MetaPlusBook-Roman"/>
        </w:rPr>
        <w:t xml:space="preserve"> and </w:t>
      </w:r>
      <w:r w:rsidR="005A1345" w:rsidRPr="00B148F9">
        <w:rPr>
          <w:rFonts w:cs="MetaPlusBook-Roman"/>
        </w:rPr>
        <w:t xml:space="preserve">prices </w:t>
      </w:r>
      <w:r w:rsidR="00A02D58" w:rsidRPr="00B148F9">
        <w:rPr>
          <w:rFonts w:cs="MetaPlusBook-Roman"/>
        </w:rPr>
        <w:t>used</w:t>
      </w:r>
      <w:r w:rsidRPr="00B148F9">
        <w:rPr>
          <w:rFonts w:cs="MetaPlusBook-Roman"/>
        </w:rPr>
        <w:t>. On the basis of their audit work, there were no</w:t>
      </w:r>
      <w:r w:rsidR="004F6D2D" w:rsidRPr="00B148F9">
        <w:rPr>
          <w:rFonts w:cs="MetaPlusBook-Roman"/>
        </w:rPr>
        <w:t xml:space="preserve"> material</w:t>
      </w:r>
      <w:r w:rsidRPr="00B148F9">
        <w:rPr>
          <w:rFonts w:cs="MetaPlusBook-Roman"/>
        </w:rPr>
        <w:t xml:space="preserve"> adjustments proposed </w:t>
      </w:r>
      <w:r w:rsidR="0043477B" w:rsidRPr="00B148F9">
        <w:rPr>
          <w:rFonts w:cs="MetaPlusBook-Roman"/>
        </w:rPr>
        <w:t xml:space="preserve">to those valuations </w:t>
      </w:r>
      <w:r w:rsidR="004F6D2D" w:rsidRPr="00B148F9">
        <w:rPr>
          <w:rFonts w:cs="MetaPlusBook-Roman"/>
        </w:rPr>
        <w:t xml:space="preserve">as </w:t>
      </w:r>
      <w:r w:rsidR="0043477B" w:rsidRPr="00B148F9">
        <w:rPr>
          <w:rFonts w:cs="MetaPlusBook-Roman"/>
        </w:rPr>
        <w:t>approved by the Audit Committee</w:t>
      </w:r>
      <w:r w:rsidR="005443A0" w:rsidRPr="00B148F9">
        <w:rPr>
          <w:rFonts w:cs="MetaPlusBook-Roman"/>
        </w:rPr>
        <w:t>.</w:t>
      </w:r>
    </w:p>
    <w:p w14:paraId="7BBB25D0" w14:textId="77777777" w:rsidR="00F81E2C" w:rsidRPr="00B148F9" w:rsidRDefault="00F81E2C" w:rsidP="00F81E2C">
      <w:pPr>
        <w:autoSpaceDE w:val="0"/>
        <w:autoSpaceDN w:val="0"/>
        <w:adjustRightInd w:val="0"/>
        <w:rPr>
          <w:rFonts w:cs="MetaPlusBook-Roman"/>
        </w:rPr>
      </w:pPr>
    </w:p>
    <w:p w14:paraId="55A6A0A9" w14:textId="77777777" w:rsidR="00F81E2C" w:rsidRPr="00B148F9" w:rsidRDefault="00F81E2C" w:rsidP="00F81E2C">
      <w:pPr>
        <w:autoSpaceDE w:val="0"/>
        <w:autoSpaceDN w:val="0"/>
        <w:adjustRightInd w:val="0"/>
        <w:rPr>
          <w:rFonts w:cs="Arial"/>
          <w:b/>
          <w:bCs/>
        </w:rPr>
      </w:pPr>
      <w:r w:rsidRPr="00B148F9">
        <w:rPr>
          <w:rFonts w:cs="Arial"/>
          <w:b/>
          <w:bCs/>
        </w:rPr>
        <w:t>Internal audit</w:t>
      </w:r>
    </w:p>
    <w:p w14:paraId="746E5639" w14:textId="6D4FED9A" w:rsidR="00F81E2C" w:rsidRPr="00B148F9" w:rsidRDefault="00F81E2C" w:rsidP="00F81E2C">
      <w:pPr>
        <w:autoSpaceDE w:val="0"/>
        <w:autoSpaceDN w:val="0"/>
        <w:adjustRightInd w:val="0"/>
        <w:rPr>
          <w:rFonts w:cs="Arial"/>
        </w:rPr>
      </w:pPr>
      <w:r w:rsidRPr="00B148F9">
        <w:rPr>
          <w:rFonts w:cs="Arial"/>
        </w:rPr>
        <w:t>The Audit Committee shall consider at least once a year whether there is a need for an internal audit function. Currently, the Audit Committee does not consider there to be a need for an internal audit function, given that there are no employees in the Company and all outsourced functions are with parties who have their own internal controls and procedures.</w:t>
      </w:r>
    </w:p>
    <w:p w14:paraId="2E5B25F5" w14:textId="2ACF5DBF" w:rsidR="00015E1B" w:rsidRPr="00B148F9" w:rsidRDefault="00015E1B" w:rsidP="00F81E2C">
      <w:pPr>
        <w:autoSpaceDE w:val="0"/>
        <w:autoSpaceDN w:val="0"/>
        <w:adjustRightInd w:val="0"/>
        <w:rPr>
          <w:rFonts w:cs="Arial"/>
        </w:rPr>
      </w:pPr>
    </w:p>
    <w:p w14:paraId="1DF834A3" w14:textId="5F376E2F" w:rsidR="00015E1B" w:rsidRPr="00B148F9" w:rsidRDefault="00015E1B" w:rsidP="00015E1B">
      <w:pPr>
        <w:autoSpaceDE w:val="0"/>
        <w:autoSpaceDN w:val="0"/>
        <w:adjustRightInd w:val="0"/>
        <w:rPr>
          <w:rFonts w:cs="Arial"/>
        </w:rPr>
      </w:pPr>
      <w:r w:rsidRPr="00B148F9">
        <w:rPr>
          <w:rFonts w:cs="Arial"/>
        </w:rPr>
        <w:t xml:space="preserve">The Audit Committee worked with the Administrator and the Investment Manager to structure a risk matrix for the Company, which considered the controls applied by the Board, the Investment Manager and key service providers. The matrix was reviewed with the Investment Manager in light of the emerging Covid-19 crisis and was used to form the basis of the Company’s principal risk disclosures in the Strategic report </w:t>
      </w:r>
      <w:r w:rsidR="00D502F5">
        <w:rPr>
          <w:rFonts w:cs="Arial"/>
        </w:rPr>
        <w:t>above.</w:t>
      </w:r>
      <w:r w:rsidRPr="00B148F9">
        <w:rPr>
          <w:rFonts w:cs="Arial"/>
        </w:rPr>
        <w:t xml:space="preserve"> </w:t>
      </w:r>
    </w:p>
    <w:p w14:paraId="560808D0" w14:textId="77777777" w:rsidR="00015E1B" w:rsidRPr="00B148F9" w:rsidRDefault="00015E1B" w:rsidP="00015E1B">
      <w:pPr>
        <w:autoSpaceDE w:val="0"/>
        <w:autoSpaceDN w:val="0"/>
        <w:adjustRightInd w:val="0"/>
        <w:rPr>
          <w:rFonts w:cs="Arial"/>
        </w:rPr>
      </w:pPr>
    </w:p>
    <w:p w14:paraId="0D46E4DD" w14:textId="77777777" w:rsidR="00015E1B" w:rsidRPr="00B148F9" w:rsidRDefault="00015E1B" w:rsidP="00015E1B">
      <w:pPr>
        <w:autoSpaceDE w:val="0"/>
        <w:autoSpaceDN w:val="0"/>
        <w:adjustRightInd w:val="0"/>
        <w:rPr>
          <w:rFonts w:cs="MetaPlusBold-Roman"/>
          <w:b/>
          <w:bCs/>
        </w:rPr>
      </w:pPr>
      <w:r w:rsidRPr="00B148F9">
        <w:rPr>
          <w:rFonts w:cs="Arial"/>
        </w:rPr>
        <w:t>The Committee subsequently reviewed a Covid-19 impact assessment prepared by the Investment Manager as part of the final review process for these financial statements.</w:t>
      </w:r>
    </w:p>
    <w:p w14:paraId="47EEB8F3" w14:textId="77777777" w:rsidR="00F81E2C" w:rsidRPr="00B148F9" w:rsidRDefault="00F81E2C" w:rsidP="00F81E2C">
      <w:pPr>
        <w:autoSpaceDE w:val="0"/>
        <w:autoSpaceDN w:val="0"/>
        <w:adjustRightInd w:val="0"/>
        <w:rPr>
          <w:rFonts w:cs="MetaPlusBold-Roman"/>
          <w:b/>
          <w:bCs/>
        </w:rPr>
      </w:pPr>
    </w:p>
    <w:p w14:paraId="2C3A2004" w14:textId="06ECCFAA" w:rsidR="00F81E2C" w:rsidRPr="00B148F9" w:rsidRDefault="00F81E2C" w:rsidP="00F81E2C">
      <w:pPr>
        <w:autoSpaceDE w:val="0"/>
        <w:autoSpaceDN w:val="0"/>
        <w:adjustRightInd w:val="0"/>
        <w:rPr>
          <w:rFonts w:cs="MetaPlusBold-Roman"/>
          <w:b/>
          <w:bCs/>
        </w:rPr>
      </w:pPr>
      <w:r w:rsidRPr="00B148F9">
        <w:rPr>
          <w:rFonts w:cs="MetaPlusBold-Roman"/>
          <w:b/>
          <w:bCs/>
        </w:rPr>
        <w:t xml:space="preserve">Appointment of the </w:t>
      </w:r>
      <w:r w:rsidR="004E1106" w:rsidRPr="00B148F9">
        <w:rPr>
          <w:rFonts w:cs="MetaPlusBold-Roman"/>
          <w:b/>
          <w:bCs/>
        </w:rPr>
        <w:t>e</w:t>
      </w:r>
      <w:r w:rsidRPr="00B148F9">
        <w:rPr>
          <w:rFonts w:cs="MetaPlusBold-Roman"/>
          <w:b/>
          <w:bCs/>
        </w:rPr>
        <w:t xml:space="preserve">xternal </w:t>
      </w:r>
      <w:r w:rsidR="004E1106" w:rsidRPr="00B148F9">
        <w:rPr>
          <w:rFonts w:cs="MetaPlusBold-Roman"/>
          <w:b/>
          <w:bCs/>
        </w:rPr>
        <w:t>a</w:t>
      </w:r>
      <w:r w:rsidRPr="00B148F9">
        <w:rPr>
          <w:rFonts w:cs="MetaPlusBold-Roman"/>
          <w:b/>
          <w:bCs/>
        </w:rPr>
        <w:t>uditor</w:t>
      </w:r>
    </w:p>
    <w:p w14:paraId="5A77F90B" w14:textId="16512C03" w:rsidR="00AF4FE9" w:rsidRPr="00B148F9" w:rsidRDefault="00AF4FE9" w:rsidP="008C4D46">
      <w:pPr>
        <w:autoSpaceDE w:val="0"/>
        <w:autoSpaceDN w:val="0"/>
        <w:adjustRightInd w:val="0"/>
        <w:rPr>
          <w:rFonts w:cs="MetaPlusBook-Roman"/>
        </w:rPr>
      </w:pPr>
      <w:r w:rsidRPr="00B148F9">
        <w:rPr>
          <w:rFonts w:cs="MetaPlusBook-Roman"/>
        </w:rPr>
        <w:t>Prior to re-domiciliation to Guernsey on 2 October 2019, the Company’s statutory external auditor was KPMG LLP</w:t>
      </w:r>
      <w:r w:rsidR="004A6DA1" w:rsidRPr="00B148F9">
        <w:rPr>
          <w:rFonts w:cs="MetaPlusBook-Roman"/>
        </w:rPr>
        <w:t>, New York</w:t>
      </w:r>
      <w:r w:rsidRPr="00B148F9">
        <w:rPr>
          <w:rFonts w:cs="MetaPlusBook-Roman"/>
        </w:rPr>
        <w:t>.</w:t>
      </w:r>
    </w:p>
    <w:p w14:paraId="1B538620" w14:textId="5A7BCD18" w:rsidR="00AF4FE9" w:rsidRPr="00B148F9" w:rsidRDefault="00AF4FE9" w:rsidP="008C4D46">
      <w:pPr>
        <w:autoSpaceDE w:val="0"/>
        <w:autoSpaceDN w:val="0"/>
        <w:adjustRightInd w:val="0"/>
        <w:rPr>
          <w:rFonts w:cs="MetaPlusBook-Roman"/>
        </w:rPr>
      </w:pPr>
      <w:r w:rsidRPr="00B148F9">
        <w:rPr>
          <w:rFonts w:cs="MetaPlusBook-Roman"/>
        </w:rPr>
        <w:t xml:space="preserve"> </w:t>
      </w:r>
    </w:p>
    <w:p w14:paraId="4CEAF5D8" w14:textId="6FE0BA2F" w:rsidR="00F81E2C" w:rsidRPr="00B148F9" w:rsidRDefault="00244D24" w:rsidP="008C4D46">
      <w:pPr>
        <w:autoSpaceDE w:val="0"/>
        <w:autoSpaceDN w:val="0"/>
        <w:adjustRightInd w:val="0"/>
        <w:rPr>
          <w:rFonts w:cs="MetaPlusBook-Roman"/>
        </w:rPr>
      </w:pPr>
      <w:r w:rsidRPr="00B148F9">
        <w:rPr>
          <w:rFonts w:cs="MetaPlusBook-Roman"/>
        </w:rPr>
        <w:t xml:space="preserve">KPMG </w:t>
      </w:r>
      <w:r w:rsidR="008C4D46" w:rsidRPr="00B148F9">
        <w:rPr>
          <w:rFonts w:cs="MetaPlusBook-Roman"/>
        </w:rPr>
        <w:t xml:space="preserve">has been </w:t>
      </w:r>
      <w:r w:rsidR="00CF7815" w:rsidRPr="00B148F9">
        <w:rPr>
          <w:rFonts w:cs="MetaPlusBook-Roman"/>
        </w:rPr>
        <w:t xml:space="preserve">appointed as the statutory external auditor of </w:t>
      </w:r>
      <w:r w:rsidR="008C4D46" w:rsidRPr="00B148F9">
        <w:rPr>
          <w:rFonts w:cs="MetaPlusBook-Roman"/>
        </w:rPr>
        <w:t xml:space="preserve">the Company since the Company </w:t>
      </w:r>
      <w:r w:rsidR="00CF7815" w:rsidRPr="00B148F9">
        <w:rPr>
          <w:rFonts w:cs="MetaPlusBook-Roman"/>
        </w:rPr>
        <w:t xml:space="preserve">re-domiciled </w:t>
      </w:r>
      <w:r w:rsidRPr="00B148F9">
        <w:rPr>
          <w:rFonts w:cs="MetaPlusBook-Roman"/>
        </w:rPr>
        <w:t>to Guernsey</w:t>
      </w:r>
      <w:r w:rsidR="00CF7815" w:rsidRPr="00B148F9">
        <w:rPr>
          <w:rFonts w:cs="MetaPlusBook-Roman"/>
        </w:rPr>
        <w:t xml:space="preserve"> on 2 October 2019</w:t>
      </w:r>
      <w:r w:rsidRPr="00B148F9">
        <w:rPr>
          <w:rFonts w:cs="MetaPlusBook-Roman"/>
        </w:rPr>
        <w:t>.</w:t>
      </w:r>
      <w:r w:rsidR="00FD57D5" w:rsidRPr="00B148F9">
        <w:rPr>
          <w:rFonts w:cs="MetaPlusBook-Roman"/>
        </w:rPr>
        <w:t xml:space="preserve"> The committee held meetings with KPMG before the start of the audit to discuss formal planning and to discuss any possible issues along with the scope of the audit and appropriate timetable. Informal meetings have also been held with the Chairman of the Audit Committee in order that the Chairman is kept up to date with the progress of the audit and formal reporting requirement by the Committee.</w:t>
      </w:r>
    </w:p>
    <w:p w14:paraId="58811460" w14:textId="77777777" w:rsidR="00F81E2C" w:rsidRPr="00B148F9" w:rsidRDefault="00F81E2C" w:rsidP="00F81E2C">
      <w:pPr>
        <w:autoSpaceDE w:val="0"/>
        <w:autoSpaceDN w:val="0"/>
        <w:adjustRightInd w:val="0"/>
        <w:rPr>
          <w:rFonts w:cs="MetaPlusBook-Roman"/>
        </w:rPr>
      </w:pPr>
    </w:p>
    <w:p w14:paraId="6AF79BE9" w14:textId="21850231" w:rsidR="00F81E2C" w:rsidRPr="00B148F9" w:rsidRDefault="00F81E2C" w:rsidP="00F81E2C">
      <w:pPr>
        <w:autoSpaceDE w:val="0"/>
        <w:autoSpaceDN w:val="0"/>
        <w:adjustRightInd w:val="0"/>
        <w:rPr>
          <w:rFonts w:cs="MetaPlusBook-Roman"/>
        </w:rPr>
      </w:pPr>
      <w:r w:rsidRPr="00B148F9">
        <w:rPr>
          <w:rFonts w:cs="MetaPlusBook-Roman"/>
        </w:rPr>
        <w:t xml:space="preserve">The objectivity of the </w:t>
      </w:r>
      <w:r w:rsidR="007F5BE2" w:rsidRPr="00B148F9">
        <w:rPr>
          <w:rFonts w:cs="MetaPlusBook-Roman"/>
        </w:rPr>
        <w:t xml:space="preserve">external </w:t>
      </w:r>
      <w:r w:rsidRPr="00B148F9">
        <w:rPr>
          <w:rFonts w:cs="MetaPlusBook-Roman"/>
        </w:rPr>
        <w:t xml:space="preserve">auditor is reviewed by the Audit Committee which also reviews the terms under which the external auditor may be appointed to perform non-audit services. The Audit Committee reviews the scope and results of the audit, its cost effectiveness and the independence and objectivity of the </w:t>
      </w:r>
      <w:r w:rsidR="007F5BE2" w:rsidRPr="00B148F9">
        <w:rPr>
          <w:rFonts w:cs="MetaPlusBook-Roman"/>
        </w:rPr>
        <w:t xml:space="preserve">external </w:t>
      </w:r>
      <w:r w:rsidRPr="00B148F9">
        <w:rPr>
          <w:rFonts w:cs="MetaPlusBook-Roman"/>
        </w:rPr>
        <w:t xml:space="preserve">auditor, with particular regard to any non-audit work that the </w:t>
      </w:r>
      <w:r w:rsidR="007F5BE2" w:rsidRPr="00B148F9">
        <w:rPr>
          <w:rFonts w:cs="MetaPlusBook-Roman"/>
        </w:rPr>
        <w:t xml:space="preserve">external </w:t>
      </w:r>
      <w:r w:rsidRPr="00B148F9">
        <w:rPr>
          <w:rFonts w:cs="MetaPlusBook-Roman"/>
        </w:rPr>
        <w:t>auditor may undertake</w:t>
      </w:r>
      <w:r w:rsidR="00254B98" w:rsidRPr="00B148F9">
        <w:rPr>
          <w:rFonts w:cs="MetaPlusBook-Roman"/>
        </w:rPr>
        <w:t xml:space="preserve"> and the level of fees associated to this non-audit work</w:t>
      </w:r>
      <w:r w:rsidRPr="00B148F9">
        <w:rPr>
          <w:rFonts w:cs="MetaPlusBook-Roman"/>
        </w:rPr>
        <w:t xml:space="preserve">. In order to safeguard </w:t>
      </w:r>
      <w:r w:rsidR="007F5BE2" w:rsidRPr="00B148F9">
        <w:rPr>
          <w:rFonts w:cs="MetaPlusBook-Roman"/>
        </w:rPr>
        <w:t xml:space="preserve">external </w:t>
      </w:r>
      <w:r w:rsidRPr="00B148F9">
        <w:rPr>
          <w:rFonts w:cs="MetaPlusBook-Roman"/>
        </w:rPr>
        <w:t xml:space="preserve">auditor independence and objectivity, the Audit Committee ensures that </w:t>
      </w:r>
      <w:r w:rsidR="006401EE" w:rsidRPr="00B148F9">
        <w:rPr>
          <w:rFonts w:cs="MetaPlusBook-Roman"/>
        </w:rPr>
        <w:t>audit related,</w:t>
      </w:r>
      <w:r w:rsidRPr="00B148F9">
        <w:rPr>
          <w:rFonts w:cs="MetaPlusBook-Roman"/>
        </w:rPr>
        <w:t xml:space="preserve"> </w:t>
      </w:r>
      <w:r w:rsidR="00D53039" w:rsidRPr="00B148F9">
        <w:rPr>
          <w:rFonts w:cs="MetaPlusBook-Roman"/>
        </w:rPr>
        <w:t xml:space="preserve">non-audit, or </w:t>
      </w:r>
      <w:r w:rsidRPr="00B148F9">
        <w:rPr>
          <w:rFonts w:cs="MetaPlusBook-Roman"/>
        </w:rPr>
        <w:t xml:space="preserve">advisory services provided by the external auditor do not conflict with its statutory audit responsibilities. </w:t>
      </w:r>
      <w:r w:rsidR="006401EE" w:rsidRPr="00B148F9">
        <w:rPr>
          <w:rFonts w:cs="MetaPlusBook-Roman"/>
        </w:rPr>
        <w:t xml:space="preserve">Audit related, </w:t>
      </w:r>
      <w:r w:rsidR="007734DC" w:rsidRPr="00B148F9">
        <w:rPr>
          <w:rFonts w:cs="MetaPlusBook-Roman"/>
        </w:rPr>
        <w:t>services will generally only cover</w:t>
      </w:r>
      <w:r w:rsidRPr="00B148F9">
        <w:rPr>
          <w:rFonts w:cs="MetaPlusBook-Roman"/>
        </w:rPr>
        <w:t xml:space="preserve"> reviews of interim financial </w:t>
      </w:r>
      <w:r w:rsidR="006928FF" w:rsidRPr="00B148F9">
        <w:rPr>
          <w:rFonts w:cs="MetaPlusBook-Roman"/>
        </w:rPr>
        <w:t>statements and</w:t>
      </w:r>
      <w:r w:rsidRPr="00B148F9">
        <w:rPr>
          <w:rFonts w:cs="MetaPlusBook-Roman"/>
        </w:rPr>
        <w:t xml:space="preserve"> capital raising work. Any non-audit services conducted by the </w:t>
      </w:r>
      <w:r w:rsidR="007F5BE2" w:rsidRPr="00B148F9">
        <w:rPr>
          <w:rFonts w:cs="MetaPlusBook-Roman"/>
        </w:rPr>
        <w:t xml:space="preserve">external </w:t>
      </w:r>
      <w:r w:rsidRPr="00B148F9">
        <w:rPr>
          <w:rFonts w:cs="MetaPlusBook-Roman"/>
        </w:rPr>
        <w:t>auditor outside of these areas require the consent of the Audit Committee before being initiated.</w:t>
      </w:r>
    </w:p>
    <w:p w14:paraId="18FFF0DF" w14:textId="2DC847D2" w:rsidR="00797FFB" w:rsidRPr="00B148F9" w:rsidRDefault="00797FFB" w:rsidP="00F81E2C">
      <w:pPr>
        <w:autoSpaceDE w:val="0"/>
        <w:autoSpaceDN w:val="0"/>
        <w:adjustRightInd w:val="0"/>
        <w:rPr>
          <w:rFonts w:cs="MetaPlusBook-Roman"/>
        </w:rPr>
      </w:pPr>
    </w:p>
    <w:p w14:paraId="77780E97" w14:textId="52FB2583" w:rsidR="00797FFB" w:rsidRPr="00B148F9" w:rsidRDefault="004A6DA1" w:rsidP="00F81E2C">
      <w:pPr>
        <w:autoSpaceDE w:val="0"/>
        <w:autoSpaceDN w:val="0"/>
        <w:adjustRightInd w:val="0"/>
        <w:rPr>
          <w:rFonts w:cs="MetaPlusBook-Roman"/>
        </w:rPr>
      </w:pPr>
      <w:r w:rsidRPr="00B148F9">
        <w:rPr>
          <w:rFonts w:cs="MetaPlusBook-Roman"/>
        </w:rPr>
        <w:t xml:space="preserve">KPMG’s audit fee for the year ended 2019 was </w:t>
      </w:r>
      <w:r w:rsidR="00E04815">
        <w:rPr>
          <w:rFonts w:cs="MetaPlusBook-Roman"/>
        </w:rPr>
        <w:t>£117,500</w:t>
      </w:r>
      <w:r w:rsidRPr="00B148F9">
        <w:rPr>
          <w:rFonts w:cs="MetaPlusBook-Roman"/>
        </w:rPr>
        <w:t xml:space="preserve">. </w:t>
      </w:r>
      <w:r w:rsidR="00797FFB" w:rsidRPr="00B148F9">
        <w:rPr>
          <w:rFonts w:cs="MetaPlusBook-Roman"/>
        </w:rPr>
        <w:t>KPMG was paid a reporting accountant fee of £120,000 by the Investment Manager as part of the Company’s listing expenses.</w:t>
      </w:r>
    </w:p>
    <w:p w14:paraId="38252F35" w14:textId="77777777" w:rsidR="00F81E2C" w:rsidRPr="00B148F9" w:rsidRDefault="00F81E2C" w:rsidP="00F81E2C">
      <w:pPr>
        <w:autoSpaceDE w:val="0"/>
        <w:autoSpaceDN w:val="0"/>
        <w:adjustRightInd w:val="0"/>
        <w:rPr>
          <w:rFonts w:cs="MetaPlusBook-Roman"/>
        </w:rPr>
      </w:pPr>
    </w:p>
    <w:p w14:paraId="0590DDF2" w14:textId="0B0EBE5B" w:rsidR="0085468C" w:rsidRPr="00B148F9" w:rsidRDefault="00F81E2C" w:rsidP="00F81E2C">
      <w:pPr>
        <w:autoSpaceDE w:val="0"/>
        <w:autoSpaceDN w:val="0"/>
        <w:adjustRightInd w:val="0"/>
        <w:rPr>
          <w:rFonts w:cs="MetaPlusBook-Roman"/>
        </w:rPr>
      </w:pPr>
      <w:r w:rsidRPr="00B148F9">
        <w:rPr>
          <w:rFonts w:cs="MetaPlusBook-Roman"/>
        </w:rPr>
        <w:t>The external auditor may not undertake any work for the Company in respect of the following matters – preparation of the financial statements, preparation of valuations used in financial statements, provision of investment advice, taking management decisions or advocacy work in adversarial situations.</w:t>
      </w:r>
      <w:r w:rsidR="0085468C" w:rsidRPr="00B148F9">
        <w:rPr>
          <w:rFonts w:cs="MetaPlusBook-Roman"/>
        </w:rPr>
        <w:t xml:space="preserve"> </w:t>
      </w:r>
    </w:p>
    <w:p w14:paraId="3B9E1A5D" w14:textId="4FB6018D" w:rsidR="007727CE" w:rsidRPr="00B148F9" w:rsidRDefault="007727CE" w:rsidP="00F81E2C">
      <w:pPr>
        <w:autoSpaceDE w:val="0"/>
        <w:autoSpaceDN w:val="0"/>
        <w:adjustRightInd w:val="0"/>
        <w:rPr>
          <w:rFonts w:cs="MetaPlusBook-Roman"/>
        </w:rPr>
      </w:pPr>
    </w:p>
    <w:p w14:paraId="1466657A" w14:textId="38688340" w:rsidR="007727CE" w:rsidRPr="00B148F9" w:rsidRDefault="007727CE" w:rsidP="007727CE">
      <w:pPr>
        <w:autoSpaceDE w:val="0"/>
        <w:autoSpaceDN w:val="0"/>
        <w:adjustRightInd w:val="0"/>
        <w:rPr>
          <w:rFonts w:cs="MetaPlusBook-Roman"/>
        </w:rPr>
      </w:pPr>
      <w:r w:rsidRPr="00B148F9">
        <w:rPr>
          <w:rFonts w:cs="MetaPlusBook-Roman"/>
        </w:rPr>
        <w:t xml:space="preserve">The Committee reviews the scope and results of the audit, its cost effectiveness and the independence and objectivity of the Auditor, with particular regard to the level of non-audit fees. During the year, KPMG was also engaged </w:t>
      </w:r>
      <w:r w:rsidR="00436B09" w:rsidRPr="00B148F9">
        <w:rPr>
          <w:rFonts w:cs="MetaPlusBook-Roman"/>
        </w:rPr>
        <w:t xml:space="preserve">as reporting accountant in connection with </w:t>
      </w:r>
      <w:r w:rsidR="00436B09" w:rsidRPr="00B148F9">
        <w:rPr>
          <w:rFonts w:cs="MetaPlusBook-Roman"/>
        </w:rPr>
        <w:lastRenderedPageBreak/>
        <w:t>the Company’s listing</w:t>
      </w:r>
      <w:r w:rsidR="00173D41" w:rsidRPr="00B148F9">
        <w:rPr>
          <w:rFonts w:cs="MetaPlusBook-Roman"/>
        </w:rPr>
        <w:t xml:space="preserve"> which is a permissible service under the FRC Ethical Standards 2016 for a company’s auditor to undertake</w:t>
      </w:r>
      <w:r w:rsidRPr="00B148F9">
        <w:rPr>
          <w:rFonts w:cs="MetaPlusBook-Roman"/>
        </w:rPr>
        <w:t xml:space="preserve">. </w:t>
      </w:r>
      <w:r w:rsidR="00173D41" w:rsidRPr="00B148F9">
        <w:rPr>
          <w:rFonts w:cs="MetaPlusBook-Roman"/>
        </w:rPr>
        <w:t>T</w:t>
      </w:r>
      <w:r w:rsidRPr="00B148F9">
        <w:rPr>
          <w:rFonts w:cs="MetaPlusBook-Roman"/>
        </w:rPr>
        <w:t>he Audit Committee considers KPMG to be independent of the Company and that the provision of such non-audit services is not a threat to the objectivity and independence of the conduct of the audit as appropriate safeguards are in place.</w:t>
      </w:r>
    </w:p>
    <w:p w14:paraId="219F50A7" w14:textId="77777777" w:rsidR="00F81E2C" w:rsidRPr="00B148F9" w:rsidRDefault="00F81E2C" w:rsidP="00F81E2C">
      <w:pPr>
        <w:autoSpaceDE w:val="0"/>
        <w:autoSpaceDN w:val="0"/>
        <w:adjustRightInd w:val="0"/>
        <w:rPr>
          <w:rFonts w:cs="MetaPlusBook-Roman"/>
        </w:rPr>
      </w:pPr>
    </w:p>
    <w:p w14:paraId="77E5D1EF" w14:textId="77777777" w:rsidR="00F81E2C" w:rsidRPr="00B148F9" w:rsidRDefault="00F81E2C" w:rsidP="00F81E2C">
      <w:pPr>
        <w:autoSpaceDE w:val="0"/>
        <w:autoSpaceDN w:val="0"/>
        <w:adjustRightInd w:val="0"/>
        <w:rPr>
          <w:rFonts w:cs="MetaPlusBook-Roman"/>
        </w:rPr>
      </w:pPr>
      <w:r w:rsidRPr="00B148F9">
        <w:rPr>
          <w:rFonts w:cs="MetaPlusBook-Roman"/>
        </w:rPr>
        <w:t>To fulfil its responsibility regarding the independence of the external auditor, the Audit Committee considered:</w:t>
      </w:r>
    </w:p>
    <w:p w14:paraId="46B3B1AA" w14:textId="77777777" w:rsidR="00F81E2C" w:rsidRPr="00B148F9" w:rsidRDefault="00F81E2C" w:rsidP="00F81E2C">
      <w:pPr>
        <w:autoSpaceDE w:val="0"/>
        <w:autoSpaceDN w:val="0"/>
        <w:adjustRightInd w:val="0"/>
        <w:rPr>
          <w:rFonts w:cs="MetaPlusBook-Roman"/>
        </w:rPr>
      </w:pPr>
    </w:p>
    <w:p w14:paraId="76B399B3" w14:textId="4FA96FB7" w:rsidR="00F81E2C" w:rsidRPr="00B148F9" w:rsidRDefault="00F81E2C" w:rsidP="00A94612">
      <w:pPr>
        <w:pStyle w:val="ListParagraph"/>
        <w:numPr>
          <w:ilvl w:val="0"/>
          <w:numId w:val="6"/>
        </w:numPr>
        <w:autoSpaceDE w:val="0"/>
        <w:autoSpaceDN w:val="0"/>
        <w:adjustRightInd w:val="0"/>
        <w:contextualSpacing/>
        <w:rPr>
          <w:rFonts w:cs="MetaPlusBook-Roman"/>
        </w:rPr>
      </w:pPr>
      <w:r w:rsidRPr="00B148F9">
        <w:rPr>
          <w:rFonts w:cs="MetaPlusBook-Roman"/>
        </w:rPr>
        <w:t xml:space="preserve">audit personnel in the audit plan for the current year; </w:t>
      </w:r>
    </w:p>
    <w:p w14:paraId="631C6B26" w14:textId="77777777" w:rsidR="00F81E2C" w:rsidRPr="00B148F9" w:rsidRDefault="00F81E2C" w:rsidP="00A94612">
      <w:pPr>
        <w:pStyle w:val="ListParagraph"/>
        <w:numPr>
          <w:ilvl w:val="0"/>
          <w:numId w:val="6"/>
        </w:numPr>
        <w:autoSpaceDE w:val="0"/>
        <w:autoSpaceDN w:val="0"/>
        <w:adjustRightInd w:val="0"/>
        <w:contextualSpacing/>
        <w:rPr>
          <w:rFonts w:cs="MetaPlusBook-Roman"/>
        </w:rPr>
      </w:pPr>
      <w:r w:rsidRPr="00B148F9">
        <w:rPr>
          <w:rFonts w:cs="MetaPlusBook-Roman"/>
        </w:rPr>
        <w:t>a report from the external auditor describing its arrangements to identify, report and manage any conflicts of interest; and</w:t>
      </w:r>
    </w:p>
    <w:p w14:paraId="54478C36" w14:textId="77777777" w:rsidR="00F81E2C" w:rsidRPr="00B148F9" w:rsidRDefault="00F81E2C" w:rsidP="00A94612">
      <w:pPr>
        <w:pStyle w:val="ListParagraph"/>
        <w:numPr>
          <w:ilvl w:val="0"/>
          <w:numId w:val="6"/>
        </w:numPr>
        <w:autoSpaceDE w:val="0"/>
        <w:autoSpaceDN w:val="0"/>
        <w:adjustRightInd w:val="0"/>
        <w:contextualSpacing/>
        <w:rPr>
          <w:rFonts w:cs="MetaPlusBook-Roman"/>
        </w:rPr>
      </w:pPr>
      <w:r w:rsidRPr="00B148F9">
        <w:rPr>
          <w:rFonts w:cs="MetaPlusBook-Roman"/>
        </w:rPr>
        <w:t>the extent of non-audit services provided by the external auditor.</w:t>
      </w:r>
    </w:p>
    <w:p w14:paraId="57DAD3AD" w14:textId="77777777" w:rsidR="00F81E2C" w:rsidRPr="00B148F9" w:rsidRDefault="00F81E2C" w:rsidP="00F81E2C">
      <w:pPr>
        <w:autoSpaceDE w:val="0"/>
        <w:autoSpaceDN w:val="0"/>
        <w:adjustRightInd w:val="0"/>
        <w:rPr>
          <w:rFonts w:cs="MetaPlusBook-Roman"/>
        </w:rPr>
      </w:pPr>
    </w:p>
    <w:p w14:paraId="00F76872" w14:textId="77777777" w:rsidR="00F81E2C" w:rsidRPr="00B148F9" w:rsidRDefault="00F81E2C" w:rsidP="00F81E2C">
      <w:pPr>
        <w:autoSpaceDE w:val="0"/>
        <w:autoSpaceDN w:val="0"/>
        <w:adjustRightInd w:val="0"/>
        <w:rPr>
          <w:rFonts w:cs="MetaPlusBook-Roman"/>
        </w:rPr>
      </w:pPr>
      <w:r w:rsidRPr="00B148F9">
        <w:rPr>
          <w:rFonts w:cs="MetaPlusBook-Roman"/>
        </w:rPr>
        <w:t>To assess the effectiveness of the external auditor, the committee reviewed:</w:t>
      </w:r>
    </w:p>
    <w:p w14:paraId="2E6E93AA" w14:textId="77777777" w:rsidR="00F81E2C" w:rsidRPr="00B148F9" w:rsidRDefault="00F81E2C" w:rsidP="00F81E2C">
      <w:pPr>
        <w:autoSpaceDE w:val="0"/>
        <w:autoSpaceDN w:val="0"/>
        <w:adjustRightInd w:val="0"/>
        <w:rPr>
          <w:rFonts w:cs="MetaPlusBook-Roman"/>
        </w:rPr>
      </w:pPr>
    </w:p>
    <w:p w14:paraId="6323A7B7" w14:textId="77777777" w:rsidR="00F81E2C" w:rsidRPr="00B148F9" w:rsidRDefault="00F81E2C" w:rsidP="00A94612">
      <w:pPr>
        <w:pStyle w:val="ListParagraph"/>
        <w:numPr>
          <w:ilvl w:val="0"/>
          <w:numId w:val="5"/>
        </w:numPr>
        <w:autoSpaceDE w:val="0"/>
        <w:autoSpaceDN w:val="0"/>
        <w:adjustRightInd w:val="0"/>
        <w:contextualSpacing/>
        <w:rPr>
          <w:rFonts w:cs="MetaPlusBook-Roman"/>
        </w:rPr>
      </w:pPr>
      <w:r w:rsidRPr="00B148F9">
        <w:rPr>
          <w:rFonts w:cs="MetaPlusBook-Roman"/>
        </w:rPr>
        <w:t>the external auditor’s fulfilment of the agreed audit plan and variations from it;</w:t>
      </w:r>
    </w:p>
    <w:p w14:paraId="69E5FD58" w14:textId="1C7FF24A" w:rsidR="00F81E2C" w:rsidRPr="00B148F9" w:rsidRDefault="00F81E2C" w:rsidP="00A94612">
      <w:pPr>
        <w:pStyle w:val="ListParagraph"/>
        <w:numPr>
          <w:ilvl w:val="0"/>
          <w:numId w:val="5"/>
        </w:numPr>
        <w:autoSpaceDE w:val="0"/>
        <w:autoSpaceDN w:val="0"/>
        <w:adjustRightInd w:val="0"/>
        <w:contextualSpacing/>
        <w:rPr>
          <w:rFonts w:cs="MetaPlusBook-Roman"/>
        </w:rPr>
      </w:pPr>
      <w:r w:rsidRPr="00B148F9">
        <w:rPr>
          <w:rFonts w:cs="MetaPlusBook-Roman"/>
        </w:rPr>
        <w:t xml:space="preserve">reports highlighting the </w:t>
      </w:r>
      <w:r w:rsidR="00173D41" w:rsidRPr="00B148F9">
        <w:rPr>
          <w:rFonts w:cs="MetaPlusBook-Roman"/>
        </w:rPr>
        <w:t xml:space="preserve">findings </w:t>
      </w:r>
      <w:r w:rsidRPr="00B148F9">
        <w:rPr>
          <w:rFonts w:cs="MetaPlusBook-Roman"/>
        </w:rPr>
        <w:t>that arose during the course of the audit; and</w:t>
      </w:r>
    </w:p>
    <w:p w14:paraId="373503AB" w14:textId="68BBD17F" w:rsidR="00F81E2C" w:rsidRPr="00B148F9" w:rsidRDefault="00F81E2C" w:rsidP="00A94612">
      <w:pPr>
        <w:pStyle w:val="ListParagraph"/>
        <w:numPr>
          <w:ilvl w:val="0"/>
          <w:numId w:val="5"/>
        </w:numPr>
        <w:autoSpaceDE w:val="0"/>
        <w:autoSpaceDN w:val="0"/>
        <w:adjustRightInd w:val="0"/>
        <w:contextualSpacing/>
        <w:rPr>
          <w:rFonts w:cs="MetaPlusBook-Roman"/>
        </w:rPr>
      </w:pPr>
      <w:r w:rsidRPr="00B148F9">
        <w:rPr>
          <w:rFonts w:cs="MetaPlusBook-Roman"/>
        </w:rPr>
        <w:t>feedback from the</w:t>
      </w:r>
      <w:r w:rsidR="00254B98" w:rsidRPr="00B148F9">
        <w:rPr>
          <w:rFonts w:cs="MetaPlusBook-Roman"/>
        </w:rPr>
        <w:t xml:space="preserve"> </w:t>
      </w:r>
      <w:r w:rsidR="006D44AC" w:rsidRPr="00B148F9">
        <w:rPr>
          <w:rFonts w:cs="MetaPlusBook-Roman"/>
        </w:rPr>
        <w:t xml:space="preserve">Investment Manager </w:t>
      </w:r>
      <w:r w:rsidR="00254B98" w:rsidRPr="00B148F9">
        <w:rPr>
          <w:rFonts w:cs="MetaPlusBook-Roman"/>
        </w:rPr>
        <w:t xml:space="preserve">and </w:t>
      </w:r>
      <w:r w:rsidR="00AB02E2" w:rsidRPr="00B148F9">
        <w:rPr>
          <w:rFonts w:cs="Arial"/>
        </w:rPr>
        <w:t xml:space="preserve">any external consultant as appointed by the </w:t>
      </w:r>
      <w:r w:rsidR="006D44AC" w:rsidRPr="00B148F9">
        <w:rPr>
          <w:rFonts w:cs="Arial"/>
        </w:rPr>
        <w:t xml:space="preserve">Investment Manager in </w:t>
      </w:r>
      <w:r w:rsidRPr="00B148F9">
        <w:rPr>
          <w:rFonts w:cs="MetaPlusBook-Roman"/>
        </w:rPr>
        <w:t>evaluating the performance of the audit team.</w:t>
      </w:r>
    </w:p>
    <w:p w14:paraId="07DA83C7" w14:textId="77777777" w:rsidR="00F81E2C" w:rsidRPr="00B148F9" w:rsidRDefault="00F81E2C" w:rsidP="00F81E2C">
      <w:pPr>
        <w:autoSpaceDE w:val="0"/>
        <w:autoSpaceDN w:val="0"/>
        <w:adjustRightInd w:val="0"/>
        <w:rPr>
          <w:rFonts w:cs="MetaPlusBook-Roman"/>
        </w:rPr>
      </w:pPr>
    </w:p>
    <w:p w14:paraId="64FE15CC" w14:textId="738D7960" w:rsidR="00F81E2C" w:rsidRPr="00B148F9" w:rsidRDefault="00F81E2C" w:rsidP="00F81E2C">
      <w:pPr>
        <w:autoSpaceDE w:val="0"/>
        <w:autoSpaceDN w:val="0"/>
        <w:adjustRightInd w:val="0"/>
        <w:rPr>
          <w:rFonts w:cs="MetaPlusBook-Roman"/>
        </w:rPr>
      </w:pPr>
      <w:r w:rsidRPr="00B148F9">
        <w:rPr>
          <w:rFonts w:cs="MetaPlusBook-Roman"/>
        </w:rPr>
        <w:t xml:space="preserve">The Audit Committee is satisfied with </w:t>
      </w:r>
      <w:r w:rsidR="006D44AC" w:rsidRPr="00B148F9">
        <w:rPr>
          <w:rFonts w:cs="MetaPlusBook-Roman"/>
        </w:rPr>
        <w:t>KPMG</w:t>
      </w:r>
      <w:r w:rsidR="00173D41" w:rsidRPr="00B148F9">
        <w:rPr>
          <w:rFonts w:cs="MetaPlusBook-Roman"/>
        </w:rPr>
        <w:t>’s</w:t>
      </w:r>
      <w:r w:rsidR="006D44AC" w:rsidRPr="00B148F9">
        <w:rPr>
          <w:rFonts w:cs="MetaPlusBook-Roman"/>
        </w:rPr>
        <w:t xml:space="preserve"> </w:t>
      </w:r>
      <w:r w:rsidRPr="00B148F9">
        <w:rPr>
          <w:rFonts w:cs="MetaPlusBook-Roman"/>
        </w:rPr>
        <w:t xml:space="preserve">effectiveness and independence as </w:t>
      </w:r>
      <w:r w:rsidR="007F5BE2" w:rsidRPr="00B148F9">
        <w:rPr>
          <w:rFonts w:cs="MetaPlusBook-Roman"/>
        </w:rPr>
        <w:t xml:space="preserve">external </w:t>
      </w:r>
      <w:r w:rsidRPr="00B148F9">
        <w:rPr>
          <w:rFonts w:cs="MetaPlusBook-Roman"/>
        </w:rPr>
        <w:t xml:space="preserve">auditor having considered the degree of diligence and professional scepticism demonstrated by them. Having carried out the review described above and having satisfied itself that the external auditor remains independent and effective, the Audit Committee has recommended to the Board that </w:t>
      </w:r>
      <w:r w:rsidR="006D44AC" w:rsidRPr="00B148F9">
        <w:rPr>
          <w:rFonts w:cs="MetaPlusBook-Roman"/>
        </w:rPr>
        <w:t xml:space="preserve">KPMG </w:t>
      </w:r>
      <w:r w:rsidRPr="00B148F9">
        <w:rPr>
          <w:rFonts w:cs="MetaPlusBook-Roman"/>
        </w:rPr>
        <w:t xml:space="preserve">be reappointed as </w:t>
      </w:r>
      <w:r w:rsidR="007F5BE2" w:rsidRPr="00B148F9">
        <w:rPr>
          <w:rFonts w:cs="MetaPlusBook-Roman"/>
        </w:rPr>
        <w:t xml:space="preserve">external </w:t>
      </w:r>
      <w:r w:rsidRPr="00B148F9">
        <w:rPr>
          <w:rFonts w:cs="MetaPlusBook-Roman"/>
        </w:rPr>
        <w:t xml:space="preserve">auditor for the year ending </w:t>
      </w:r>
      <w:r w:rsidRPr="00B148F9">
        <w:rPr>
          <w:rFonts w:cs="MetaPlusBook-Caps"/>
        </w:rPr>
        <w:t xml:space="preserve">31 </w:t>
      </w:r>
      <w:r w:rsidR="00BA4C4B" w:rsidRPr="00B148F9">
        <w:rPr>
          <w:rFonts w:cs="MetaPlusBook-Roman"/>
        </w:rPr>
        <w:t>December</w:t>
      </w:r>
      <w:r w:rsidRPr="00B148F9">
        <w:rPr>
          <w:rFonts w:cs="MetaPlusBook-Roman"/>
        </w:rPr>
        <w:t xml:space="preserve"> </w:t>
      </w:r>
      <w:r w:rsidR="00674A67" w:rsidRPr="00B148F9">
        <w:rPr>
          <w:rFonts w:cs="MetaPlusBook-Caps"/>
        </w:rPr>
        <w:t>20</w:t>
      </w:r>
      <w:r w:rsidR="00EF5A52" w:rsidRPr="00B148F9">
        <w:rPr>
          <w:rFonts w:cs="MetaPlusBook-Caps"/>
        </w:rPr>
        <w:t>20</w:t>
      </w:r>
      <w:r w:rsidRPr="00B148F9">
        <w:rPr>
          <w:rFonts w:cs="MetaPlusBook-Roman"/>
        </w:rPr>
        <w:t>.</w:t>
      </w:r>
    </w:p>
    <w:p w14:paraId="5BAAE2F3" w14:textId="10F51787" w:rsidR="00173D41" w:rsidRPr="00B148F9" w:rsidRDefault="00173D41" w:rsidP="00F81E2C">
      <w:pPr>
        <w:autoSpaceDE w:val="0"/>
        <w:autoSpaceDN w:val="0"/>
        <w:adjustRightInd w:val="0"/>
        <w:rPr>
          <w:rFonts w:cs="MetaPlusBook-Roman"/>
        </w:rPr>
      </w:pPr>
    </w:p>
    <w:p w14:paraId="1B667656" w14:textId="77777777" w:rsidR="00173D41" w:rsidRPr="00B148F9" w:rsidRDefault="00173D41" w:rsidP="00F81E2C">
      <w:pPr>
        <w:autoSpaceDE w:val="0"/>
        <w:autoSpaceDN w:val="0"/>
        <w:adjustRightInd w:val="0"/>
        <w:rPr>
          <w:rFonts w:cs="MetaPlusBold-Roman"/>
          <w:b/>
          <w:bCs/>
        </w:rPr>
      </w:pPr>
      <w:r w:rsidRPr="00B148F9">
        <w:rPr>
          <w:rFonts w:cs="MetaPlusBold-Roman"/>
          <w:b/>
          <w:bCs/>
        </w:rPr>
        <w:t>Annual Report</w:t>
      </w:r>
    </w:p>
    <w:p w14:paraId="25944FAA" w14:textId="444E5D2B" w:rsidR="00173D41" w:rsidRPr="00B148F9" w:rsidRDefault="00173D41" w:rsidP="00F81E2C">
      <w:pPr>
        <w:autoSpaceDE w:val="0"/>
        <w:autoSpaceDN w:val="0"/>
        <w:adjustRightInd w:val="0"/>
        <w:rPr>
          <w:rFonts w:cs="MetaPlusBook-Roman"/>
        </w:rPr>
      </w:pPr>
      <w:r w:rsidRPr="00B148F9">
        <w:rPr>
          <w:rFonts w:cs="MetaPlusBook-Roman"/>
        </w:rPr>
        <w:t xml:space="preserve">The Audit Committee members have each reviewed this annual report and earlier drafts of it in detail, comparing its content with their own knowledge of the Company, reporting requirements and shareholder expectations. Formal meetings of the Audit Committee have also reviewed the report and its content and have received reports and explanations from the Company’s service providers about the content and the financial results. The Audit Committee has concluded that the annual report, taken as a whole, is fair, balanced and understandable, and that the Board can reasonably and with justification make the statement of Directors’ responsibilities </w:t>
      </w:r>
      <w:r w:rsidR="00D502F5">
        <w:rPr>
          <w:rFonts w:cs="MetaPlusBook-Roman"/>
        </w:rPr>
        <w:t>above.</w:t>
      </w:r>
    </w:p>
    <w:p w14:paraId="02972F45" w14:textId="2056F7A9" w:rsidR="00F81E2C" w:rsidRPr="00B148F9" w:rsidRDefault="00F81E2C" w:rsidP="00F81E2C">
      <w:pPr>
        <w:autoSpaceDE w:val="0"/>
        <w:autoSpaceDN w:val="0"/>
        <w:adjustRightInd w:val="0"/>
        <w:rPr>
          <w:rFonts w:cs="MetaPlusBook-Roman"/>
        </w:rPr>
      </w:pPr>
    </w:p>
    <w:p w14:paraId="4367D6A0" w14:textId="33BBD5B0" w:rsidR="00173D41" w:rsidRPr="00B148F9" w:rsidRDefault="00173D41" w:rsidP="00F81E2C">
      <w:pPr>
        <w:autoSpaceDE w:val="0"/>
        <w:autoSpaceDN w:val="0"/>
        <w:adjustRightInd w:val="0"/>
        <w:rPr>
          <w:rFonts w:cs="MetaPlusBook-Roman"/>
        </w:rPr>
      </w:pPr>
    </w:p>
    <w:p w14:paraId="48019006" w14:textId="77777777" w:rsidR="00173D41" w:rsidRPr="00B148F9" w:rsidRDefault="00173D41" w:rsidP="00F81E2C">
      <w:pPr>
        <w:autoSpaceDE w:val="0"/>
        <w:autoSpaceDN w:val="0"/>
        <w:adjustRightInd w:val="0"/>
        <w:rPr>
          <w:rFonts w:cs="MetaPlusBook-Roman"/>
        </w:rPr>
      </w:pPr>
    </w:p>
    <w:p w14:paraId="7CFD1CB7" w14:textId="77777777" w:rsidR="00F81E2C" w:rsidRPr="00B148F9" w:rsidRDefault="00F81E2C" w:rsidP="00F81E2C">
      <w:pPr>
        <w:autoSpaceDE w:val="0"/>
        <w:autoSpaceDN w:val="0"/>
        <w:adjustRightInd w:val="0"/>
        <w:rPr>
          <w:rFonts w:cs="MetaPlusBook-Roman"/>
        </w:rPr>
      </w:pPr>
      <w:r w:rsidRPr="00B148F9">
        <w:rPr>
          <w:rFonts w:cs="MetaPlusBook-Roman"/>
        </w:rPr>
        <w:t>On behalf of the Audit Committee</w:t>
      </w:r>
      <w:r w:rsidR="00490ED5" w:rsidRPr="00B148F9">
        <w:rPr>
          <w:rFonts w:cs="MetaPlusBook-Roman"/>
        </w:rPr>
        <w:t>,</w:t>
      </w:r>
    </w:p>
    <w:p w14:paraId="15439099" w14:textId="77777777" w:rsidR="00F81E2C" w:rsidRPr="00B148F9" w:rsidRDefault="00F81E2C" w:rsidP="00F81E2C">
      <w:pPr>
        <w:autoSpaceDE w:val="0"/>
        <w:autoSpaceDN w:val="0"/>
        <w:adjustRightInd w:val="0"/>
        <w:rPr>
          <w:rFonts w:cs="MetaPlusBook-Roman"/>
        </w:rPr>
      </w:pPr>
    </w:p>
    <w:p w14:paraId="5C0EE837" w14:textId="77777777" w:rsidR="00F81E2C" w:rsidRPr="00B148F9" w:rsidRDefault="00F81E2C" w:rsidP="00F81E2C">
      <w:pPr>
        <w:autoSpaceDE w:val="0"/>
        <w:autoSpaceDN w:val="0"/>
        <w:adjustRightInd w:val="0"/>
        <w:rPr>
          <w:rFonts w:cs="MetaPlusBook-Roman"/>
        </w:rPr>
      </w:pPr>
    </w:p>
    <w:p w14:paraId="42EF6D62" w14:textId="77777777" w:rsidR="00F81E2C" w:rsidRPr="00B148F9" w:rsidRDefault="00F81E2C" w:rsidP="00F81E2C">
      <w:pPr>
        <w:autoSpaceDE w:val="0"/>
        <w:autoSpaceDN w:val="0"/>
        <w:adjustRightInd w:val="0"/>
        <w:rPr>
          <w:rFonts w:cs="MetaPlusBook-Roman"/>
        </w:rPr>
      </w:pPr>
    </w:p>
    <w:p w14:paraId="7644158D" w14:textId="456E5563" w:rsidR="00F81E2C" w:rsidRPr="00B148F9" w:rsidRDefault="006D44AC" w:rsidP="00F81E2C">
      <w:pPr>
        <w:autoSpaceDE w:val="0"/>
        <w:autoSpaceDN w:val="0"/>
        <w:adjustRightInd w:val="0"/>
        <w:rPr>
          <w:rFonts w:cs="MetaPlusBook-Roman"/>
          <w:b/>
        </w:rPr>
      </w:pPr>
      <w:r w:rsidRPr="00B148F9">
        <w:rPr>
          <w:rFonts w:cs="MetaPlusBook-Roman"/>
          <w:b/>
        </w:rPr>
        <w:t>Paul Le Page</w:t>
      </w:r>
    </w:p>
    <w:p w14:paraId="2CFBB0F8" w14:textId="77777777" w:rsidR="00F81E2C" w:rsidRPr="00B148F9" w:rsidRDefault="00F81E2C" w:rsidP="00F81E2C">
      <w:pPr>
        <w:autoSpaceDE w:val="0"/>
        <w:autoSpaceDN w:val="0"/>
        <w:adjustRightInd w:val="0"/>
        <w:rPr>
          <w:rFonts w:cs="MetaPlusBook-Roman"/>
        </w:rPr>
      </w:pPr>
      <w:r w:rsidRPr="00B148F9">
        <w:rPr>
          <w:rFonts w:cs="MetaPlusBook-Roman"/>
        </w:rPr>
        <w:t>Chairman of the Audit Committee</w:t>
      </w:r>
    </w:p>
    <w:p w14:paraId="4EC0DF8D" w14:textId="1DC53E97" w:rsidR="00F81E2C" w:rsidRPr="00B148F9" w:rsidRDefault="009E4CA7" w:rsidP="00F81E2C">
      <w:pPr>
        <w:autoSpaceDE w:val="0"/>
        <w:autoSpaceDN w:val="0"/>
        <w:adjustRightInd w:val="0"/>
        <w:rPr>
          <w:rFonts w:cs="MetaPlusBook-Roman"/>
        </w:rPr>
      </w:pPr>
      <w:r w:rsidRPr="009E4CA7">
        <w:t>21</w:t>
      </w:r>
      <w:r w:rsidR="00376598" w:rsidRPr="009E4CA7">
        <w:t xml:space="preserve"> April</w:t>
      </w:r>
      <w:r w:rsidR="00F81E2C" w:rsidRPr="009E4CA7">
        <w:rPr>
          <w:rFonts w:cs="MetaPlusBook-Roman"/>
        </w:rPr>
        <w:t xml:space="preserve"> </w:t>
      </w:r>
      <w:r w:rsidR="00376598" w:rsidRPr="009E4CA7">
        <w:rPr>
          <w:rFonts w:cs="MetaPlusBook-Roman"/>
        </w:rPr>
        <w:t>2020</w:t>
      </w:r>
    </w:p>
    <w:bookmarkEnd w:id="3"/>
    <w:bookmarkEnd w:id="4"/>
    <w:p w14:paraId="584D0CAC" w14:textId="77777777" w:rsidR="00F81E2C" w:rsidRPr="00B148F9" w:rsidRDefault="00F81E2C" w:rsidP="00F81E2C"/>
    <w:p w14:paraId="1EEC0445" w14:textId="77777777" w:rsidR="00747C9C" w:rsidRPr="00B148F9" w:rsidRDefault="000C1FDD" w:rsidP="00B961FE">
      <w:pPr>
        <w:pStyle w:val="Heading1"/>
        <w:rPr>
          <w:sz w:val="20"/>
        </w:rPr>
      </w:pPr>
      <w:r w:rsidRPr="00B148F9">
        <w:rPr>
          <w:rFonts w:cs="Arial"/>
          <w:sz w:val="20"/>
        </w:rPr>
        <w:br w:type="page"/>
      </w:r>
      <w:r w:rsidR="00747C9C" w:rsidRPr="00B148F9">
        <w:rPr>
          <w:sz w:val="20"/>
        </w:rPr>
        <w:lastRenderedPageBreak/>
        <w:t>INDEPENDENT AUDITOR'S REPORT TO THE MEMBERS OF</w:t>
      </w:r>
    </w:p>
    <w:p w14:paraId="5F6C801D" w14:textId="6954F9F6" w:rsidR="00747C9C" w:rsidRPr="00B148F9" w:rsidRDefault="00627D8F" w:rsidP="00710FFD">
      <w:pPr>
        <w:jc w:val="center"/>
        <w:rPr>
          <w:rFonts w:cs="Trebuchet MS"/>
          <w:b/>
          <w:bCs/>
        </w:rPr>
      </w:pPr>
      <w:r w:rsidRPr="00B148F9">
        <w:rPr>
          <w:rFonts w:cs="Trebuchet MS"/>
          <w:b/>
          <w:bCs/>
        </w:rPr>
        <w:t>RTW VENTURE FUND</w:t>
      </w:r>
      <w:r w:rsidR="00747C9C" w:rsidRPr="00B148F9">
        <w:rPr>
          <w:rFonts w:cs="Trebuchet MS"/>
          <w:b/>
          <w:bCs/>
        </w:rPr>
        <w:t xml:space="preserve"> LIMITED</w:t>
      </w:r>
    </w:p>
    <w:p w14:paraId="7F80E4ED" w14:textId="77777777" w:rsidR="004834C0" w:rsidRPr="00B148F9" w:rsidRDefault="004834C0" w:rsidP="004834C0">
      <w:pPr>
        <w:autoSpaceDE w:val="0"/>
        <w:autoSpaceDN w:val="0"/>
        <w:adjustRightInd w:val="0"/>
        <w:rPr>
          <w:rFonts w:cs="Arial"/>
          <w:color w:val="000000"/>
          <w:highlight w:val="yellow"/>
        </w:rPr>
      </w:pPr>
    </w:p>
    <w:p w14:paraId="77B88528" w14:textId="77777777" w:rsidR="007D3A96" w:rsidRPr="00B148F9" w:rsidRDefault="007D3A96" w:rsidP="007D3A96">
      <w:pPr>
        <w:pStyle w:val="Heading1"/>
        <w:keepNext/>
        <w:jc w:val="both"/>
      </w:pPr>
      <w:r w:rsidRPr="00B148F9">
        <w:rPr>
          <w:rStyle w:val="clmsitalic-charstyles-46b4289e-0109-58fc-3470-e3c8dc13e2b4"/>
          <w:i w:val="0"/>
        </w:rPr>
        <w:t>Our opinion is unmodified</w:t>
      </w:r>
    </w:p>
    <w:p w14:paraId="7CD93B6D"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We have audited the financial statements of RTW Venture Fund Limited (the “Company”), which comprise the Statement of Assets and Liabilities including the condensed schedule of investments as at 31 December 2019, the Statements of Operations, Changes in Net Assets and Cash Flows for the year then ended, and notes, comprising significant accounting policies and other explanatory information.</w:t>
      </w:r>
    </w:p>
    <w:p w14:paraId="34C9B404" w14:textId="77777777" w:rsidR="007D3A96" w:rsidRPr="00B148F9" w:rsidRDefault="007D3A96" w:rsidP="007D3A96">
      <w:pPr>
        <w:pStyle w:val="Heading2"/>
        <w:keepNext/>
        <w:numPr>
          <w:ilvl w:val="1"/>
          <w:numId w:val="0"/>
        </w:numPr>
      </w:pPr>
      <w:r w:rsidRPr="00B148F9">
        <w:t>In our opinion, the accompanying financial statements:</w:t>
      </w:r>
    </w:p>
    <w:p w14:paraId="390BDB30" w14:textId="77777777" w:rsidR="007D3A96" w:rsidRPr="00B148F9" w:rsidRDefault="007D3A96" w:rsidP="00A94612">
      <w:pPr>
        <w:pStyle w:val="clmsbullet-level1styles-46b4289e-0109-58fc-3470-e3c8dc13e2b4"/>
        <w:numPr>
          <w:ilvl w:val="0"/>
          <w:numId w:val="38"/>
        </w:numPr>
        <w:rPr>
          <w:rFonts w:ascii="Century Gothic" w:hAnsi="Century Gothic"/>
          <w:lang w:val="en-GB"/>
        </w:rPr>
      </w:pPr>
      <w:r w:rsidRPr="00B148F9">
        <w:rPr>
          <w:rFonts w:ascii="Century Gothic" w:hAnsi="Century Gothic"/>
          <w:lang w:val="en-GB"/>
        </w:rPr>
        <w:t>give a true and fair view of the financial position of the Company as at 31 December 2019, and of the Company’s financial performance and cash flows for the year then ended;</w:t>
      </w:r>
    </w:p>
    <w:p w14:paraId="16E4A332" w14:textId="77777777" w:rsidR="007D3A96" w:rsidRPr="00B148F9" w:rsidRDefault="007D3A96" w:rsidP="00A94612">
      <w:pPr>
        <w:pStyle w:val="clmsbullet-level1styles-46b4289e-0109-58fc-3470-e3c8dc13e2b4"/>
        <w:numPr>
          <w:ilvl w:val="0"/>
          <w:numId w:val="39"/>
        </w:numPr>
        <w:rPr>
          <w:rFonts w:ascii="Century Gothic" w:hAnsi="Century Gothic"/>
          <w:lang w:val="en-GB"/>
        </w:rPr>
      </w:pPr>
      <w:r w:rsidRPr="00B148F9">
        <w:rPr>
          <w:rFonts w:ascii="Century Gothic" w:hAnsi="Century Gothic"/>
          <w:lang w:val="en-GB"/>
        </w:rPr>
        <w:t>are prepared in conformity with U.S. generally accepted accounting principles; and</w:t>
      </w:r>
    </w:p>
    <w:p w14:paraId="5C557813" w14:textId="77777777" w:rsidR="007D3A96" w:rsidRPr="00B148F9" w:rsidRDefault="007D3A96" w:rsidP="007D3A96">
      <w:pPr>
        <w:pStyle w:val="clmsbullet-level1styles-46b4289e-0109-58fc-3470-e3c8dc13e2b4"/>
        <w:rPr>
          <w:rFonts w:ascii="Century Gothic" w:hAnsi="Century Gothic"/>
          <w:lang w:val="en-GB"/>
        </w:rPr>
      </w:pPr>
      <w:r w:rsidRPr="00B148F9">
        <w:rPr>
          <w:rFonts w:ascii="Century Gothic" w:hAnsi="Century Gothic"/>
          <w:lang w:val="en-GB"/>
        </w:rPr>
        <w:t>comply with the Companies (Guernsey) Law, 2008.</w:t>
      </w:r>
    </w:p>
    <w:p w14:paraId="55EC529C" w14:textId="77777777" w:rsidR="007D3A96" w:rsidRPr="00B148F9" w:rsidRDefault="007D3A96" w:rsidP="007D3A96">
      <w:pPr>
        <w:pStyle w:val="Heading1"/>
        <w:keepNext/>
        <w:jc w:val="both"/>
      </w:pPr>
      <w:r w:rsidRPr="00B148F9">
        <w:t>Basis for opinion</w:t>
      </w:r>
    </w:p>
    <w:p w14:paraId="6629FF1D"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We conducted our audit in accordance with International Standards on Auditing (UK) (“ISAs (UK)”) and applicable law. Our responsibilities are described below. We have fulfilled our ethical responsibilities under, and are independent of the Company in accordance with, UK ethical requirements including FRC Ethical Standards, as applied to listed entities. We believe that the audit evidence we have obtained is a sufficient and appropriate basis for our opinion.</w:t>
      </w:r>
    </w:p>
    <w:p w14:paraId="742CF092" w14:textId="77777777" w:rsidR="007D3A96" w:rsidRPr="00B148F9" w:rsidRDefault="007D3A96" w:rsidP="007D3A96">
      <w:pPr>
        <w:pStyle w:val="Heading1"/>
        <w:keepNext/>
        <w:jc w:val="both"/>
      </w:pPr>
      <w:r w:rsidRPr="00B148F9">
        <w:rPr>
          <w:rStyle w:val="clmsitalic-charstyles-46b4289e-0109-58fc-3470-e3c8dc13e2b4"/>
          <w:i w:val="0"/>
        </w:rPr>
        <w:t>Key audit matters: our assessment of the risks of material misstatement</w:t>
      </w:r>
    </w:p>
    <w:p w14:paraId="7B160699"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Key audit matters are those matters that, in our professional judgment, were of most significance in the audit of the financial statements and include the most significant assessed risks of material misstatement (whether or not due to fraud) identified by us, including those which had the greatest effect on: the overall audit strategy; the allocation of resources in the audit; and directing the efforts of the engagement team. These matters were addressed in the context of our audit of the financial statements as a whole, and in forming our opinion thereon, and we do not provide a separate opinion on these matters.  In arriving at our audit opinion above, the key audit matter was as follows:</w:t>
      </w:r>
    </w:p>
    <w:p w14:paraId="17081BA3" w14:textId="77777777" w:rsidR="007D3A96" w:rsidRPr="00B148F9" w:rsidRDefault="007D3A96" w:rsidP="007D3A96">
      <w:pPr>
        <w:keepNext/>
        <w:spacing w:line="1" w:lineRule="auto"/>
        <w:rPr>
          <w:vanish/>
        </w:rPr>
      </w:pPr>
    </w:p>
    <w:tbl>
      <w:tblPr>
        <w:tblStyle w:val="clmsbordered-tablestyles-46b4289e-0109-58fc-3470-e3c8dc13e2b4"/>
        <w:tblW w:w="5000" w:type="pct"/>
        <w:tblLayout w:type="fixed"/>
        <w:tblLook w:val="0620" w:firstRow="1" w:lastRow="0" w:firstColumn="0" w:lastColumn="0" w:noHBand="1" w:noVBand="1"/>
      </w:tblPr>
      <w:tblGrid>
        <w:gridCol w:w="2994"/>
        <w:gridCol w:w="2994"/>
        <w:gridCol w:w="3084"/>
      </w:tblGrid>
      <w:tr w:rsidR="007D3A96" w:rsidRPr="00B148F9" w14:paraId="5CCB7E42" w14:textId="77777777" w:rsidTr="007D3A96">
        <w:trPr>
          <w:cnfStyle w:val="100000000000" w:firstRow="1" w:lastRow="0" w:firstColumn="0" w:lastColumn="0" w:oddVBand="0" w:evenVBand="0" w:oddHBand="0" w:evenHBand="0" w:firstRowFirstColumn="0" w:firstRowLastColumn="0" w:lastRowFirstColumn="0" w:lastRowLastColumn="0"/>
          <w:tblHeader/>
        </w:trPr>
        <w:tc>
          <w:tcPr>
            <w:tcW w:w="1650" w:type="pct"/>
          </w:tcPr>
          <w:p w14:paraId="2D190007" w14:textId="77777777" w:rsidR="007D3A96" w:rsidRPr="00B148F9" w:rsidRDefault="007D3A96" w:rsidP="007D3A96">
            <w:pPr>
              <w:pStyle w:val="clmsnormaltable-bordered-firstrowstyles-46b4289e-0109-58fc-3470-e3c8dc13e2b4"/>
              <w:jc w:val="left"/>
              <w:rPr>
                <w:rFonts w:ascii="Century Gothic" w:hAnsi="Century Gothic"/>
                <w:lang w:val="en-GB"/>
              </w:rPr>
            </w:pPr>
            <w:r w:rsidRPr="00B148F9">
              <w:rPr>
                <w:rFonts w:ascii="Century Gothic" w:hAnsi="Century Gothic"/>
                <w:lang w:val="en-GB"/>
              </w:rPr>
              <w:t>Valuation of investment in securities, at fair value</w:t>
            </w:r>
          </w:p>
        </w:tc>
        <w:tc>
          <w:tcPr>
            <w:tcW w:w="1650" w:type="pct"/>
          </w:tcPr>
          <w:p w14:paraId="3322CEC8" w14:textId="77777777" w:rsidR="007D3A96" w:rsidRPr="00B148F9" w:rsidRDefault="007D3A96" w:rsidP="007D3A96">
            <w:pPr>
              <w:pStyle w:val="clmsnormaltable-bordered-firstrowstyles-46b4289e-0109-58fc-3470-e3c8dc13e2b4"/>
              <w:rPr>
                <w:rFonts w:ascii="Century Gothic" w:hAnsi="Century Gothic"/>
                <w:lang w:val="en-GB"/>
              </w:rPr>
            </w:pPr>
            <w:r w:rsidRPr="00B148F9">
              <w:rPr>
                <w:rStyle w:val="clmsitalic-charstyles-46b4289e-0109-58fc-3470-e3c8dc13e2b4"/>
                <w:rFonts w:ascii="Century Gothic" w:hAnsi="Century Gothic"/>
                <w:lang w:val="en-GB"/>
              </w:rPr>
              <w:t>The risk</w:t>
            </w:r>
          </w:p>
        </w:tc>
        <w:tc>
          <w:tcPr>
            <w:tcW w:w="1700" w:type="pct"/>
          </w:tcPr>
          <w:p w14:paraId="59639803" w14:textId="77777777" w:rsidR="007D3A96" w:rsidRPr="00B148F9" w:rsidRDefault="007D3A96" w:rsidP="007D3A96">
            <w:pPr>
              <w:pStyle w:val="clmsnormaltable-bordered-firstrowstyles-46b4289e-0109-58fc-3470-e3c8dc13e2b4"/>
              <w:rPr>
                <w:rFonts w:ascii="Century Gothic" w:hAnsi="Century Gothic"/>
                <w:lang w:val="en-GB"/>
              </w:rPr>
            </w:pPr>
            <w:r w:rsidRPr="00B148F9">
              <w:rPr>
                <w:rStyle w:val="clmsitalic-charstyles-46b4289e-0109-58fc-3470-e3c8dc13e2b4"/>
                <w:rFonts w:ascii="Century Gothic" w:hAnsi="Century Gothic"/>
                <w:lang w:val="en-GB"/>
              </w:rPr>
              <w:t>Our response</w:t>
            </w:r>
          </w:p>
        </w:tc>
      </w:tr>
      <w:tr w:rsidR="007D3A96" w:rsidRPr="00B148F9" w14:paraId="5214E4D9" w14:textId="77777777" w:rsidTr="007D3A96">
        <w:tc>
          <w:tcPr>
            <w:tcW w:w="1650" w:type="pct"/>
          </w:tcPr>
          <w:p w14:paraId="05B79BA6" w14:textId="77777777"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t>$170,653,009; (2018: $65,721,557)</w:t>
            </w:r>
          </w:p>
          <w:p w14:paraId="6FDAD178" w14:textId="21A554D5"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t xml:space="preserve">Refer to </w:t>
            </w:r>
            <w:r w:rsidR="00D502F5">
              <w:rPr>
                <w:rFonts w:ascii="Century Gothic" w:hAnsi="Century Gothic"/>
                <w:lang w:val="en-GB"/>
              </w:rPr>
              <w:t>above</w:t>
            </w:r>
            <w:r w:rsidRPr="00B148F9">
              <w:rPr>
                <w:rFonts w:ascii="Century Gothic" w:hAnsi="Century Gothic"/>
                <w:lang w:val="en-GB"/>
              </w:rPr>
              <w:t xml:space="preserve"> - Audit Committee Report, </w:t>
            </w:r>
            <w:r w:rsidR="00D502F5">
              <w:rPr>
                <w:rFonts w:ascii="Century Gothic" w:hAnsi="Century Gothic"/>
                <w:lang w:val="en-GB"/>
              </w:rPr>
              <w:t>below</w:t>
            </w:r>
            <w:r w:rsidRPr="00B148F9">
              <w:rPr>
                <w:rFonts w:ascii="Century Gothic" w:hAnsi="Century Gothic"/>
                <w:lang w:val="en-GB"/>
              </w:rPr>
              <w:t> condensed schedule of investments, Note 1 significant accounting policies and Note 2 Fair Value measurement disclosures</w:t>
            </w:r>
          </w:p>
          <w:p w14:paraId="38A2E234" w14:textId="77777777"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br/>
            </w:r>
            <w:r w:rsidRPr="00B148F9">
              <w:rPr>
                <w:rFonts w:ascii="Century Gothic" w:hAnsi="Century Gothic"/>
                <w:lang w:val="en-GB"/>
              </w:rPr>
              <w:br/>
            </w:r>
          </w:p>
        </w:tc>
        <w:tc>
          <w:tcPr>
            <w:tcW w:w="1650" w:type="pct"/>
          </w:tcPr>
          <w:p w14:paraId="5BCCB73C" w14:textId="77777777" w:rsidR="007D3A96" w:rsidRPr="00B148F9" w:rsidRDefault="007D3A96" w:rsidP="007D3A96">
            <w:pPr>
              <w:pStyle w:val="clmsnormaltable-borderedstyles-46b4289e-0109-58fc-3470-e3c8dc13e2b4"/>
              <w:rPr>
                <w:rFonts w:ascii="Century Gothic" w:hAnsi="Century Gothic"/>
                <w:lang w:val="en-GB"/>
              </w:rPr>
            </w:pPr>
            <w:r w:rsidRPr="00B148F9">
              <w:rPr>
                <w:rStyle w:val="clmsbolditalic-charstyles-46b4289e-0109-58fc-3470-e3c8dc13e2b4"/>
                <w:rFonts w:ascii="Century Gothic" w:hAnsi="Century Gothic"/>
                <w:i w:val="0"/>
                <w:lang w:val="en-GB"/>
              </w:rPr>
              <w:t>Basis:</w:t>
            </w:r>
          </w:p>
          <w:p w14:paraId="579E6A89" w14:textId="77777777"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t>The Company’s investment portfolio represents the most significant balance on the statement of assets and liabilities and is the principal driver of the Company’s net asset value (2019: 80%; 2018: 100%). The investment portfolio is composed of publicly quoted and private unquoted life science investments (together the “Investments”).</w:t>
            </w:r>
          </w:p>
          <w:p w14:paraId="7369FFA1" w14:textId="5D87D84B"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t>Publicly quoted life science investments, representing 8</w:t>
            </w:r>
            <w:r w:rsidR="009C381E">
              <w:rPr>
                <w:rFonts w:ascii="Century Gothic" w:hAnsi="Century Gothic"/>
                <w:lang w:val="en-GB"/>
              </w:rPr>
              <w:t>5</w:t>
            </w:r>
            <w:r w:rsidRPr="00B148F9">
              <w:rPr>
                <w:rFonts w:ascii="Century Gothic" w:hAnsi="Century Gothic"/>
                <w:lang w:val="en-GB"/>
              </w:rPr>
              <w:t>% of the fair value of Investments, are valued using third party data sources.</w:t>
            </w:r>
          </w:p>
          <w:p w14:paraId="4480B8FA" w14:textId="3F81A258"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t>Private unquoted life science investments, representing 1</w:t>
            </w:r>
            <w:r w:rsidR="009C381E">
              <w:rPr>
                <w:rFonts w:ascii="Century Gothic" w:hAnsi="Century Gothic"/>
                <w:lang w:val="en-GB"/>
              </w:rPr>
              <w:t>5</w:t>
            </w:r>
            <w:r w:rsidRPr="00B148F9">
              <w:rPr>
                <w:rFonts w:ascii="Century Gothic" w:hAnsi="Century Gothic"/>
                <w:lang w:val="en-GB"/>
              </w:rPr>
              <w:t>% of the fair value of Investments, are valued by using recognised valuation methodologies including an option price model.</w:t>
            </w:r>
          </w:p>
          <w:p w14:paraId="19452178" w14:textId="77777777"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lastRenderedPageBreak/>
              <w:t>The Investment manager utilises an Independent Valuer to assist them in their determination of the fair value of private unquoted life science investments.</w:t>
            </w:r>
          </w:p>
          <w:p w14:paraId="0C21B97C" w14:textId="77777777" w:rsidR="007D3A96" w:rsidRPr="00B148F9" w:rsidRDefault="007D3A96" w:rsidP="007D3A96">
            <w:pPr>
              <w:pStyle w:val="clmsnormaltable-borderedstyles-46b4289e-0109-58fc-3470-e3c8dc13e2b4"/>
              <w:rPr>
                <w:rFonts w:ascii="Century Gothic" w:hAnsi="Century Gothic"/>
                <w:lang w:val="en-GB"/>
              </w:rPr>
            </w:pPr>
            <w:r w:rsidRPr="00B148F9">
              <w:rPr>
                <w:rStyle w:val="clmsbold-charstyles-46b4289e-0109-58fc-3470-e3c8dc13e2b4"/>
                <w:rFonts w:ascii="Century Gothic" w:hAnsi="Century Gothic"/>
                <w:lang w:val="en-GB"/>
              </w:rPr>
              <w:t>Risk:</w:t>
            </w:r>
          </w:p>
          <w:p w14:paraId="04D58911" w14:textId="77777777"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t>The valuation of the Company’s investments is considered a significant area of our audit, given that it represents the majority of the net assets of the Company and in view of the significance of estimates and judgments that are involved in the determination of fair value of the unquoted investments.</w:t>
            </w:r>
          </w:p>
        </w:tc>
        <w:tc>
          <w:tcPr>
            <w:tcW w:w="360" w:type="dxa"/>
          </w:tcPr>
          <w:p w14:paraId="0EF7FB70" w14:textId="77777777" w:rsidR="007D3A96" w:rsidRPr="00B148F9" w:rsidRDefault="007D3A96" w:rsidP="007D3A96">
            <w:pPr>
              <w:pStyle w:val="clmsnormaltable-borderedstyles-46b4289e-0109-58fc-3470-e3c8dc13e2b4"/>
              <w:rPr>
                <w:rFonts w:ascii="Century Gothic" w:hAnsi="Century Gothic"/>
                <w:lang w:val="en-GB"/>
              </w:rPr>
            </w:pPr>
            <w:r w:rsidRPr="00B148F9">
              <w:rPr>
                <w:rStyle w:val="clmsbolditalic-charstyles-46b4289e-0109-58fc-3470-e3c8dc13e2b4"/>
                <w:rFonts w:ascii="Century Gothic" w:hAnsi="Century Gothic"/>
                <w:i w:val="0"/>
                <w:lang w:val="en-GB"/>
              </w:rPr>
              <w:lastRenderedPageBreak/>
              <w:t>Controls evaluation:</w:t>
            </w:r>
          </w:p>
          <w:p w14:paraId="5A75BC3F" w14:textId="77777777" w:rsidR="007D3A96" w:rsidRPr="00B148F9" w:rsidRDefault="007D3A96" w:rsidP="007D3A96">
            <w:pPr>
              <w:pStyle w:val="clmsnormaltable-borderedstyles-46b4289e-0109-58fc-3470-e3c8dc13e2b4"/>
              <w:rPr>
                <w:rFonts w:ascii="Century Gothic" w:hAnsi="Century Gothic"/>
                <w:lang w:val="en-GB"/>
              </w:rPr>
            </w:pPr>
            <w:r w:rsidRPr="00B148F9">
              <w:rPr>
                <w:rFonts w:ascii="Century Gothic" w:hAnsi="Century Gothic"/>
                <w:lang w:val="en-GB"/>
              </w:rPr>
              <w:t>We assessed the design and implementation of the Investment Manager’s review control in relation to the valuation of investments.</w:t>
            </w:r>
          </w:p>
          <w:p w14:paraId="73421BED" w14:textId="03B6FC31" w:rsidR="00EC1D51" w:rsidRPr="00B148F9" w:rsidRDefault="00EC1D51" w:rsidP="007D3A96">
            <w:pPr>
              <w:pStyle w:val="clmsnormaltable-borderedstyles-46b4289e-0109-58fc-3470-e3c8dc13e2b4"/>
              <w:rPr>
                <w:rFonts w:ascii="Century Gothic" w:hAnsi="Century Gothic"/>
                <w:lang w:val="en-GB"/>
              </w:rPr>
            </w:pPr>
            <w:r w:rsidRPr="00B148F9">
              <w:rPr>
                <w:rStyle w:val="clmsbolditalic-charstyles-46b4289e-0109-58fc-3470-e3c8dc13e2b4"/>
                <w:i w:val="0"/>
              </w:rPr>
              <w:t>Challenging managements’ Investments valuation including the use of our KPMG valuation specialists:</w:t>
            </w:r>
          </w:p>
          <w:p w14:paraId="493BC51C" w14:textId="77777777" w:rsidR="00EC1D51" w:rsidRPr="00C60076" w:rsidRDefault="00EC1D51" w:rsidP="00EC1D51">
            <w:pPr>
              <w:pStyle w:val="clmsnormaltable-borderedstyles-46b4289e-0109-58fc-3470-e3c8dc13e2b4"/>
              <w:rPr>
                <w:rFonts w:ascii="Century Gothic" w:hAnsi="Century Gothic"/>
                <w:lang w:val="en-GB"/>
              </w:rPr>
            </w:pPr>
            <w:r w:rsidRPr="00C60076">
              <w:rPr>
                <w:rFonts w:ascii="Century Gothic" w:hAnsi="Century Gothic"/>
                <w:lang w:val="en-GB"/>
              </w:rPr>
              <w:t>For all Investments we assessed the appropriateness of the valuation methodology used to estimate fair value.</w:t>
            </w:r>
          </w:p>
          <w:p w14:paraId="1505AAE0" w14:textId="77777777" w:rsidR="00EC1D51" w:rsidRPr="00C60076" w:rsidRDefault="00EC1D51" w:rsidP="00EC1D51">
            <w:pPr>
              <w:pStyle w:val="clmsnormaltable-borderedstyles-46b4289e-0109-58fc-3470-e3c8dc13e2b4"/>
              <w:rPr>
                <w:rFonts w:ascii="Century Gothic" w:hAnsi="Century Gothic"/>
                <w:lang w:val="en-GB"/>
              </w:rPr>
            </w:pPr>
            <w:r w:rsidRPr="00C60076">
              <w:rPr>
                <w:rFonts w:ascii="Century Gothic" w:hAnsi="Century Gothic"/>
                <w:lang w:val="en-GB"/>
              </w:rPr>
              <w:t>For publicly quoted life science investments we used our KPMG valuation specialist to independently price 100% by fair value to third party data sources.</w:t>
            </w:r>
          </w:p>
          <w:p w14:paraId="157915D7" w14:textId="77777777" w:rsidR="00EC1D51" w:rsidRPr="00C60076" w:rsidRDefault="00EC1D51" w:rsidP="00EC1D51">
            <w:pPr>
              <w:pStyle w:val="clmsnormaltable-borderedstyles-46b4289e-0109-58fc-3470-e3c8dc13e2b4"/>
              <w:rPr>
                <w:rFonts w:ascii="Century Gothic" w:hAnsi="Century Gothic"/>
                <w:lang w:val="en-GB"/>
              </w:rPr>
            </w:pPr>
            <w:r w:rsidRPr="00C60076">
              <w:rPr>
                <w:rFonts w:ascii="Century Gothic" w:hAnsi="Century Gothic"/>
                <w:lang w:val="en-GB"/>
              </w:rPr>
              <w:t>For a value driven selection of private unquoted life science investments we:</w:t>
            </w:r>
          </w:p>
          <w:p w14:paraId="3A94A938" w14:textId="77777777" w:rsidR="00EC1D51" w:rsidRPr="00C60076" w:rsidRDefault="00EC1D51" w:rsidP="00C60076">
            <w:pPr>
              <w:pStyle w:val="clmsbullet-level1styles-46b4289e-0109-58fc-3470-e3c8dc13e2b4"/>
              <w:numPr>
                <w:ilvl w:val="0"/>
                <w:numId w:val="46"/>
              </w:numPr>
              <w:spacing w:after="240" w:line="252" w:lineRule="auto"/>
              <w:ind w:left="431" w:hanging="425"/>
              <w:jc w:val="left"/>
              <w:rPr>
                <w:rFonts w:ascii="Century Gothic" w:hAnsi="Century Gothic"/>
                <w:lang w:val="en-GB"/>
              </w:rPr>
            </w:pPr>
            <w:r w:rsidRPr="00C60076">
              <w:rPr>
                <w:rFonts w:ascii="Century Gothic" w:hAnsi="Century Gothic"/>
                <w:lang w:val="en-GB"/>
              </w:rPr>
              <w:t>Obtained and read the valuation memorandums produced by the Investment Manager</w:t>
            </w:r>
          </w:p>
          <w:p w14:paraId="742C8D27" w14:textId="77777777" w:rsidR="00EC1D51" w:rsidRPr="00C60076" w:rsidRDefault="00EC1D51" w:rsidP="00EC1D51">
            <w:pPr>
              <w:pStyle w:val="clmsbullet-level1styles-46b4289e-0109-58fc-3470-e3c8dc13e2b4"/>
              <w:numPr>
                <w:ilvl w:val="0"/>
                <w:numId w:val="43"/>
              </w:numPr>
              <w:spacing w:after="240" w:line="252" w:lineRule="auto"/>
              <w:ind w:left="357" w:hanging="357"/>
              <w:jc w:val="left"/>
              <w:rPr>
                <w:rFonts w:ascii="Century Gothic" w:hAnsi="Century Gothic"/>
                <w:lang w:val="en-GB"/>
              </w:rPr>
            </w:pPr>
            <w:r w:rsidRPr="00C60076">
              <w:rPr>
                <w:rFonts w:ascii="Century Gothic" w:hAnsi="Century Gothic"/>
                <w:lang w:val="en-GB"/>
              </w:rPr>
              <w:lastRenderedPageBreak/>
              <w:t>Agreed the price of these investments to supporting documentation such as purchase agreements, funding drawdown requests and bank statements. We further considered the participation of external investors in any funding round either at, or subsequent to, the transaction date</w:t>
            </w:r>
          </w:p>
          <w:p w14:paraId="6C2FF9C4" w14:textId="77777777" w:rsidR="00EC1D51" w:rsidRPr="00C60076" w:rsidRDefault="00EC1D51" w:rsidP="00EC1D51">
            <w:pPr>
              <w:pStyle w:val="clmsbullet-level1styles-46b4289e-0109-58fc-3470-e3c8dc13e2b4"/>
              <w:numPr>
                <w:ilvl w:val="0"/>
                <w:numId w:val="43"/>
              </w:numPr>
              <w:spacing w:after="240" w:line="252" w:lineRule="auto"/>
              <w:ind w:left="357" w:hanging="357"/>
              <w:jc w:val="left"/>
              <w:rPr>
                <w:rFonts w:ascii="Century Gothic" w:hAnsi="Century Gothic"/>
                <w:lang w:val="en-GB"/>
              </w:rPr>
            </w:pPr>
            <w:r w:rsidRPr="00C60076">
              <w:rPr>
                <w:rFonts w:ascii="Century Gothic" w:hAnsi="Century Gothic"/>
                <w:lang w:val="en-GB"/>
              </w:rPr>
              <w:t>Assessed the objectivity, capabilities and competency of the Independent Valuer. We considered the scope of work and methodology applied by the Independent Valuer in performing their work. We obtained and assessed their findings and considered the impact, if any, on our audit work</w:t>
            </w:r>
          </w:p>
          <w:p w14:paraId="078DC3ED" w14:textId="77777777" w:rsidR="00EC1D51" w:rsidRPr="00C60076" w:rsidRDefault="00EC1D51" w:rsidP="00EC1D51">
            <w:pPr>
              <w:pStyle w:val="clmsbullet-level1styles-46b4289e-0109-58fc-3470-e3c8dc13e2b4"/>
              <w:numPr>
                <w:ilvl w:val="0"/>
                <w:numId w:val="43"/>
              </w:numPr>
              <w:spacing w:after="240" w:line="252" w:lineRule="auto"/>
              <w:ind w:left="357" w:hanging="357"/>
              <w:jc w:val="left"/>
              <w:rPr>
                <w:rFonts w:ascii="Century Gothic" w:hAnsi="Century Gothic"/>
                <w:lang w:val="en-GB"/>
              </w:rPr>
            </w:pPr>
            <w:r w:rsidRPr="00C60076">
              <w:rPr>
                <w:rFonts w:ascii="Century Gothic" w:hAnsi="Century Gothic"/>
                <w:lang w:val="en-GB"/>
              </w:rPr>
              <w:t>Utilised our own KPMG valuation specialists to assist us in assessing and challenging the appropriateness of the valuation methodology. This included assessing the information used in the valuation model, in the context of our own industry knowledge and external data</w:t>
            </w:r>
          </w:p>
          <w:p w14:paraId="64A207FA" w14:textId="77777777" w:rsidR="00EC1D51" w:rsidRPr="00C60076" w:rsidRDefault="00EC1D51" w:rsidP="00EC1D51">
            <w:pPr>
              <w:pStyle w:val="clmsbullet-level1styles-46b4289e-0109-58fc-3470-e3c8dc13e2b4"/>
              <w:numPr>
                <w:ilvl w:val="0"/>
                <w:numId w:val="43"/>
              </w:numPr>
              <w:spacing w:after="240" w:line="252" w:lineRule="auto"/>
              <w:ind w:left="357" w:hanging="357"/>
              <w:jc w:val="left"/>
              <w:rPr>
                <w:rFonts w:ascii="Century Gothic" w:hAnsi="Century Gothic"/>
                <w:lang w:val="en-GB"/>
              </w:rPr>
            </w:pPr>
            <w:r w:rsidRPr="00C60076">
              <w:rPr>
                <w:rFonts w:ascii="Century Gothic" w:hAnsi="Century Gothic"/>
                <w:lang w:val="en-GB"/>
              </w:rPr>
              <w:t>Challenged the Investment Manager on key judgements affecting investee companies valuations, such as events since the last funding round, probability of achieving milestone achievements and discount rate used where applicable. We performed public searches for contradictory or dis-confirming evidence</w:t>
            </w:r>
          </w:p>
          <w:p w14:paraId="3718FA75" w14:textId="77777777" w:rsidR="00EC1D51" w:rsidRPr="00C60076" w:rsidRDefault="00EC1D51" w:rsidP="00EC1D51">
            <w:pPr>
              <w:pStyle w:val="clmsbullet-level1styles-46b4289e-0109-58fc-3470-e3c8dc13e2b4"/>
              <w:numPr>
                <w:ilvl w:val="0"/>
                <w:numId w:val="43"/>
              </w:numPr>
              <w:spacing w:line="252" w:lineRule="auto"/>
              <w:ind w:left="357" w:hanging="357"/>
              <w:jc w:val="left"/>
              <w:rPr>
                <w:rFonts w:ascii="Century Gothic" w:hAnsi="Century Gothic"/>
                <w:lang w:val="en-GB"/>
              </w:rPr>
            </w:pPr>
            <w:r w:rsidRPr="00C60076">
              <w:rPr>
                <w:rFonts w:ascii="Century Gothic" w:hAnsi="Century Gothic"/>
                <w:lang w:val="en-GB"/>
              </w:rPr>
              <w:t>Considered market transactions in close proximity to the year end and assessed their appropriateness as being representative of fair value</w:t>
            </w:r>
          </w:p>
          <w:p w14:paraId="6D056187" w14:textId="77777777" w:rsidR="007D3A96" w:rsidRPr="00B148F9" w:rsidRDefault="007D3A96" w:rsidP="007D3A96">
            <w:pPr>
              <w:pStyle w:val="clmsnormaltable-borderedstyles-46b4289e-0109-58fc-3470-e3c8dc13e2b4"/>
              <w:rPr>
                <w:rFonts w:ascii="Century Gothic" w:hAnsi="Century Gothic"/>
                <w:lang w:val="en-GB"/>
              </w:rPr>
            </w:pPr>
            <w:r w:rsidRPr="00B148F9">
              <w:rPr>
                <w:rStyle w:val="clmsbolditalic-charstyles-46b4289e-0109-58fc-3470-e3c8dc13e2b4"/>
                <w:rFonts w:ascii="Century Gothic" w:hAnsi="Century Gothic"/>
                <w:i w:val="0"/>
                <w:lang w:val="en-GB"/>
              </w:rPr>
              <w:t>Assessing transparency:</w:t>
            </w:r>
          </w:p>
          <w:p w14:paraId="027B5FBF" w14:textId="43414715" w:rsidR="007D3A96" w:rsidRPr="00B148F9" w:rsidRDefault="00EC1D51" w:rsidP="007D3A96">
            <w:pPr>
              <w:pStyle w:val="clmsnormaltable-borderedstyles-46b4289e-0109-58fc-3470-e3c8dc13e2b4"/>
              <w:rPr>
                <w:rFonts w:ascii="Century Gothic" w:hAnsi="Century Gothic"/>
                <w:lang w:val="en-GB"/>
              </w:rPr>
            </w:pPr>
            <w:r w:rsidRPr="00B148F9">
              <w:rPr>
                <w:rFonts w:ascii="Century Gothic" w:hAnsi="Century Gothic"/>
                <w:lang w:val="en-GB"/>
              </w:rPr>
              <w:t xml:space="preserve">We also considered the Company’s disclosures (see Note 2) in relation to the use of estimates and judgements regarding the fair value of </w:t>
            </w:r>
            <w:r w:rsidRPr="00B148F9">
              <w:rPr>
                <w:rFonts w:ascii="Century Gothic" w:hAnsi="Century Gothic"/>
                <w:lang w:val="en-GB"/>
              </w:rPr>
              <w:lastRenderedPageBreak/>
              <w:t>investments in securities and the Company’s investment valuation policies adopted and the fair value disclosures in Note 1 and Note 2 for conformity with US GAAP.</w:t>
            </w:r>
          </w:p>
        </w:tc>
      </w:tr>
      <w:tr w:rsidR="007D3A96" w:rsidRPr="00B148F9" w14:paraId="539C115B" w14:textId="77777777" w:rsidTr="007D3A96">
        <w:tc>
          <w:tcPr>
            <w:tcW w:w="1650" w:type="pct"/>
          </w:tcPr>
          <w:p w14:paraId="069C3719" w14:textId="77777777" w:rsidR="007D3A96" w:rsidRPr="00B148F9" w:rsidRDefault="007D3A96" w:rsidP="007D3A96">
            <w:pPr>
              <w:pStyle w:val="clmsnormaltable-borderedstyles-46b4289e-0109-58fc-3470-e3c8dc13e2b4"/>
              <w:rPr>
                <w:rFonts w:ascii="Century Gothic" w:hAnsi="Century Gothic"/>
                <w:lang w:val="en-GB"/>
              </w:rPr>
            </w:pPr>
          </w:p>
        </w:tc>
        <w:tc>
          <w:tcPr>
            <w:tcW w:w="1650" w:type="pct"/>
          </w:tcPr>
          <w:p w14:paraId="31FA7188" w14:textId="77777777" w:rsidR="007D3A96" w:rsidRPr="00B148F9" w:rsidRDefault="007D3A96" w:rsidP="007D3A96">
            <w:pPr>
              <w:pStyle w:val="clmsnormaltable-borderedstyles-46b4289e-0109-58fc-3470-e3c8dc13e2b4"/>
              <w:rPr>
                <w:rFonts w:ascii="Century Gothic" w:hAnsi="Century Gothic"/>
                <w:lang w:val="en-GB"/>
              </w:rPr>
            </w:pPr>
          </w:p>
        </w:tc>
        <w:tc>
          <w:tcPr>
            <w:tcW w:w="360" w:type="dxa"/>
          </w:tcPr>
          <w:p w14:paraId="6FE231C4" w14:textId="77777777" w:rsidR="007D3A96" w:rsidRPr="00B148F9" w:rsidRDefault="007D3A96" w:rsidP="007D3A96">
            <w:pPr>
              <w:pStyle w:val="clmsnormaltable-borderedstyles-46b4289e-0109-58fc-3470-e3c8dc13e2b4"/>
              <w:rPr>
                <w:rFonts w:ascii="Century Gothic" w:hAnsi="Century Gothic"/>
                <w:lang w:val="en-GB"/>
              </w:rPr>
            </w:pPr>
          </w:p>
        </w:tc>
      </w:tr>
    </w:tbl>
    <w:p w14:paraId="2552B24B" w14:textId="41E4AF90" w:rsidR="007D3A96" w:rsidRPr="00B148F9" w:rsidRDefault="007D3A96" w:rsidP="007D3A96">
      <w:pPr>
        <w:pStyle w:val="clmsnormalstyles-46b4289e-0109-58fc-3470-e3c8dc13e2b4"/>
        <w:spacing w:after="0"/>
        <w:rPr>
          <w:rFonts w:ascii="Century Gothic" w:hAnsi="Century Gothic"/>
          <w:lang w:val="en-GB"/>
        </w:rPr>
      </w:pPr>
    </w:p>
    <w:p w14:paraId="708E9FBD" w14:textId="77777777" w:rsidR="007D3A96" w:rsidRPr="00B148F9" w:rsidRDefault="007D3A96" w:rsidP="007D3A96">
      <w:pPr>
        <w:pStyle w:val="Heading1"/>
        <w:keepNext/>
        <w:jc w:val="both"/>
      </w:pPr>
      <w:r w:rsidRPr="00B148F9">
        <w:rPr>
          <w:rStyle w:val="clmsitalic-charstyles-46b4289e-0109-58fc-3470-e3c8dc13e2b4"/>
          <w:i w:val="0"/>
        </w:rPr>
        <w:t>Our application of materiality and an overview of the scope of our audit</w:t>
      </w:r>
    </w:p>
    <w:p w14:paraId="2A931437"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Materiality for the financial statements as a whole was set at $4.1 million, determined with reference to a benchmark of net assets of $214.4 million, of which it represents approximately 2.0%.</w:t>
      </w:r>
    </w:p>
    <w:p w14:paraId="677B53E0"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We reported to the Audit Committee any corrected or uncorrected identified misstatements exceeding $0.2 million, in addition to other identified misstatements that warranted reporting on qualitative grounds. </w:t>
      </w:r>
    </w:p>
    <w:p w14:paraId="014DA6AC"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Our audit of the Company was undertaken to the materiality level specified above, which has informed our identification of significant risks of material misstatement and the associated audit procedures performed in those areas as detailed above. </w:t>
      </w:r>
    </w:p>
    <w:p w14:paraId="1AFFD659" w14:textId="77777777" w:rsidR="007D3A96" w:rsidRPr="00B148F9" w:rsidRDefault="007D3A96" w:rsidP="007D3A96">
      <w:pPr>
        <w:pStyle w:val="Heading1"/>
        <w:keepNext/>
        <w:jc w:val="both"/>
      </w:pPr>
      <w:r w:rsidRPr="00B148F9">
        <w:rPr>
          <w:rStyle w:val="clmsitalic-charstyles-46b4289e-0109-58fc-3470-e3c8dc13e2b4"/>
          <w:i w:val="0"/>
        </w:rPr>
        <w:t>We have nothing to report on going concern</w:t>
      </w:r>
    </w:p>
    <w:p w14:paraId="63CEE135"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We are required to report to you if we have anything material to add or draw attention to in relation to the directors’ statement in note 2 to the financial statements on the use of the going concern basis of accounting with no material uncertainties that may cast significant doubt over the Company’s use of that basis for a period of at least twelve months from the date of approval of the financial statements.  We have nothing to report in this respect.</w:t>
      </w:r>
    </w:p>
    <w:p w14:paraId="12A2A189" w14:textId="77777777" w:rsidR="007D3A96" w:rsidRPr="00B148F9" w:rsidRDefault="007D3A96" w:rsidP="007D3A96">
      <w:pPr>
        <w:pStyle w:val="Heading1"/>
        <w:keepNext/>
        <w:jc w:val="both"/>
      </w:pPr>
      <w:r w:rsidRPr="00B148F9">
        <w:rPr>
          <w:rStyle w:val="clmsitalic-charstyles-46b4289e-0109-58fc-3470-e3c8dc13e2b4"/>
          <w:i w:val="0"/>
        </w:rPr>
        <w:t>Other information</w:t>
      </w:r>
    </w:p>
    <w:p w14:paraId="041BB687"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The directors are responsible for the other information. The other information comprises the information included in the annual report and audited financial statements but does not include the financial statements and our auditor's report thereon. Our opinion on the financial statements does not cover the other information and we do not express an audit opinion or any form of assurance conclusion thereon.</w:t>
      </w:r>
    </w:p>
    <w:p w14:paraId="3635FD89"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based on the work we have performed, we conclude that there is a material misstatement of this other information, we are required to report that fact. We have nothing to report in this regard.</w:t>
      </w:r>
    </w:p>
    <w:p w14:paraId="504C35DA" w14:textId="77777777" w:rsidR="007D3A96" w:rsidRPr="00B148F9" w:rsidRDefault="007D3A96" w:rsidP="007D3A96">
      <w:pPr>
        <w:pStyle w:val="Heading1"/>
        <w:keepNext/>
        <w:jc w:val="both"/>
      </w:pPr>
      <w:r w:rsidRPr="00B148F9">
        <w:rPr>
          <w:rStyle w:val="clmsitalic-charstyles-46b4289e-0109-58fc-3470-e3c8dc13e2b4"/>
          <w:i w:val="0"/>
        </w:rPr>
        <w:t>We have nothing to report on other matters on which we are required to report by exception</w:t>
      </w:r>
    </w:p>
    <w:p w14:paraId="16BAD82B"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We have nothing to report in respect of the following matters where the Companies (Guernsey) Law, 2008 requires us to report to you if, in our opinion:</w:t>
      </w:r>
    </w:p>
    <w:p w14:paraId="1903B9A6" w14:textId="77777777" w:rsidR="007D3A96" w:rsidRPr="00B148F9" w:rsidRDefault="007D3A96" w:rsidP="00A94612">
      <w:pPr>
        <w:pStyle w:val="clmsbullet-level1styles-46b4289e-0109-58fc-3470-e3c8dc13e2b4"/>
        <w:numPr>
          <w:ilvl w:val="0"/>
          <w:numId w:val="41"/>
        </w:numPr>
        <w:rPr>
          <w:rFonts w:ascii="Century Gothic" w:hAnsi="Century Gothic"/>
          <w:lang w:val="en-GB"/>
        </w:rPr>
      </w:pPr>
      <w:r w:rsidRPr="00B148F9">
        <w:rPr>
          <w:rFonts w:ascii="Century Gothic" w:hAnsi="Century Gothic"/>
          <w:lang w:val="en-GB"/>
        </w:rPr>
        <w:t>the Company has not kept proper accounting records; or</w:t>
      </w:r>
    </w:p>
    <w:p w14:paraId="3EF5C87B" w14:textId="77777777" w:rsidR="007D3A96" w:rsidRPr="00B148F9" w:rsidRDefault="007D3A96" w:rsidP="007D3A96">
      <w:pPr>
        <w:pStyle w:val="clmsbullet-level1styles-46b4289e-0109-58fc-3470-e3c8dc13e2b4"/>
        <w:rPr>
          <w:rFonts w:ascii="Century Gothic" w:hAnsi="Century Gothic"/>
          <w:lang w:val="en-GB"/>
        </w:rPr>
      </w:pPr>
      <w:r w:rsidRPr="00B148F9">
        <w:rPr>
          <w:rFonts w:ascii="Century Gothic" w:hAnsi="Century Gothic"/>
          <w:lang w:val="en-GB"/>
        </w:rPr>
        <w:t>the financial statements are not in agreement with the accounting records; or</w:t>
      </w:r>
    </w:p>
    <w:p w14:paraId="7618F2D8" w14:textId="77777777" w:rsidR="007D3A96" w:rsidRPr="00B148F9" w:rsidRDefault="007D3A96" w:rsidP="007D3A96">
      <w:pPr>
        <w:pStyle w:val="clmsbullet-level1styles-46b4289e-0109-58fc-3470-e3c8dc13e2b4"/>
        <w:rPr>
          <w:rFonts w:ascii="Century Gothic" w:hAnsi="Century Gothic"/>
          <w:lang w:val="en-GB"/>
        </w:rPr>
      </w:pPr>
      <w:r w:rsidRPr="00B148F9">
        <w:rPr>
          <w:rFonts w:ascii="Century Gothic" w:hAnsi="Century Gothic"/>
          <w:lang w:val="en-GB"/>
        </w:rPr>
        <w:t>we have not received all the information and explanations, which to the best of our knowledge and belief are necessary for the purpose of our audit.</w:t>
      </w:r>
    </w:p>
    <w:p w14:paraId="36293258" w14:textId="77777777" w:rsidR="007D3A96" w:rsidRPr="00B148F9" w:rsidRDefault="007D3A96" w:rsidP="007D3A96">
      <w:pPr>
        <w:pStyle w:val="Heading1"/>
        <w:keepNext/>
        <w:jc w:val="both"/>
      </w:pPr>
      <w:r w:rsidRPr="00B148F9">
        <w:rPr>
          <w:rStyle w:val="clmsitalic-charstyles-46b4289e-0109-58fc-3470-e3c8dc13e2b4"/>
          <w:i w:val="0"/>
        </w:rPr>
        <w:t>Respective responsibilities</w:t>
      </w:r>
    </w:p>
    <w:p w14:paraId="657D26C5" w14:textId="77777777" w:rsidR="007D3A96" w:rsidRPr="00B148F9" w:rsidRDefault="007D3A96" w:rsidP="007D3A96">
      <w:pPr>
        <w:pStyle w:val="Heading2"/>
        <w:keepNext/>
        <w:numPr>
          <w:ilvl w:val="1"/>
          <w:numId w:val="0"/>
        </w:numPr>
      </w:pPr>
      <w:r w:rsidRPr="00B148F9">
        <w:rPr>
          <w:rStyle w:val="clmsitalic-charstyles-46b4289e-0109-58fc-3470-e3c8dc13e2b4"/>
          <w:i w:val="0"/>
        </w:rPr>
        <w:t>Directors' responsibilities</w:t>
      </w:r>
    </w:p>
    <w:p w14:paraId="0D453461" w14:textId="16F53668"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 xml:space="preserve">As explained more fully in their statement set out </w:t>
      </w:r>
      <w:r w:rsidR="00D502F5">
        <w:rPr>
          <w:rFonts w:ascii="Century Gothic" w:hAnsi="Century Gothic"/>
          <w:lang w:val="en-GB"/>
        </w:rPr>
        <w:t>above</w:t>
      </w:r>
      <w:r w:rsidRPr="00B148F9">
        <w:rPr>
          <w:rFonts w:ascii="Century Gothic" w:hAnsi="Century Gothic"/>
          <w:lang w:val="en-GB"/>
        </w:rPr>
        <w:t>, the directors are responsible for: the preparation of the financial statements including being satisfied that they give a true and fair view; such internal control as they determine is necessary to enable the preparation of financial statements that are free from material misstatement, whether due to fraud or error; assessing the Company’s ability to continue as a going concern, disclosing, as applicable, matters related to going concern; and using the going concern basis of accounting unless liquidation is imminent.</w:t>
      </w:r>
    </w:p>
    <w:p w14:paraId="32F7146D" w14:textId="77777777" w:rsidR="007D3A96" w:rsidRPr="00B148F9" w:rsidRDefault="007D3A96" w:rsidP="007D3A96">
      <w:pPr>
        <w:pStyle w:val="Heading2"/>
        <w:keepNext/>
        <w:numPr>
          <w:ilvl w:val="1"/>
          <w:numId w:val="0"/>
        </w:numPr>
      </w:pPr>
      <w:r w:rsidRPr="00B148F9">
        <w:rPr>
          <w:rStyle w:val="clmsitalic-charstyles-46b4289e-0109-58fc-3470-e3c8dc13e2b4"/>
          <w:i w:val="0"/>
        </w:rPr>
        <w:t>Auditor's responsibilities</w:t>
      </w:r>
    </w:p>
    <w:p w14:paraId="4BD7735D" w14:textId="77777777" w:rsidR="007D3A96" w:rsidRPr="00B148F9" w:rsidRDefault="007D3A96" w:rsidP="007D3A96">
      <w:pPr>
        <w:pStyle w:val="clmsnormalstyles-46b4289e-0109-58fc-3470-e3c8dc13e2b4"/>
        <w:spacing w:after="0"/>
        <w:rPr>
          <w:rFonts w:ascii="Century Gothic" w:hAnsi="Century Gothic"/>
          <w:lang w:val="en-GB"/>
        </w:rPr>
      </w:pPr>
      <w:r w:rsidRPr="00B148F9">
        <w:rPr>
          <w:rFonts w:ascii="Century Gothic" w:hAnsi="Century Gothic"/>
          <w:lang w:val="en-GB"/>
        </w:rPr>
        <w:t xml:space="preserve">Our objectives are to obtain reasonable assurance about whether the financial statements as a whole are free from material misstatement, whether due to fraud or error, and to issue our opinion in an auditor’s report. Reasonable assurance is a high level of assurance, but does not guarantee that an audit </w:t>
      </w:r>
      <w:r w:rsidRPr="00B148F9">
        <w:rPr>
          <w:rFonts w:ascii="Century Gothic" w:hAnsi="Century Gothic"/>
          <w:lang w:val="en-GB"/>
        </w:rPr>
        <w:lastRenderedPageBreak/>
        <w:t>conducted in accordance with ISAs (UK) will always detect a material misstatement when it exists. Misstatements can arise from fraud or error and are considered material if, individually or in aggregate, they could reasonably be expected to influence the economic decisions of users taken on the basis of the financial statements. </w:t>
      </w:r>
    </w:p>
    <w:p w14:paraId="2371817E" w14:textId="77777777" w:rsidR="007D3A96" w:rsidRPr="00251CF4"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br/>
        <w:t xml:space="preserve">A fuller description of our responsibilities is provided on the FRC’s website at </w:t>
      </w:r>
      <w:hyperlink r:id="rId348">
        <w:r w:rsidRPr="00B148F9">
          <w:rPr>
            <w:rStyle w:val="Hyperlink"/>
            <w:rFonts w:ascii="Century Gothic" w:hAnsi="Century Gothic"/>
            <w:lang w:val="en-GB"/>
          </w:rPr>
          <w:t>www.frc.org.uk/auditorsresponsibilities</w:t>
        </w:r>
      </w:hyperlink>
      <w:r w:rsidRPr="00251CF4">
        <w:rPr>
          <w:rFonts w:ascii="Century Gothic" w:hAnsi="Century Gothic"/>
          <w:lang w:val="en-GB"/>
        </w:rPr>
        <w:t>.</w:t>
      </w:r>
    </w:p>
    <w:p w14:paraId="548175EB" w14:textId="77777777" w:rsidR="007D3A96" w:rsidRPr="00B148F9" w:rsidRDefault="007D3A96" w:rsidP="007D3A96">
      <w:pPr>
        <w:pStyle w:val="Heading1"/>
        <w:keepNext/>
        <w:jc w:val="both"/>
      </w:pPr>
      <w:r w:rsidRPr="00B148F9">
        <w:rPr>
          <w:rStyle w:val="clmsitalic-charstyles-46b4289e-0109-58fc-3470-e3c8dc13e2b4"/>
          <w:i w:val="0"/>
        </w:rPr>
        <w:t>The purpose of this report and restrictions on its use by persons other than the Company's members as a body</w:t>
      </w:r>
    </w:p>
    <w:p w14:paraId="0595AC97" w14:textId="77777777" w:rsidR="007D3A96" w:rsidRPr="00B148F9" w:rsidRDefault="007D3A96" w:rsidP="007D3A96">
      <w:pPr>
        <w:pStyle w:val="clmsnormalstyles-46b4289e-0109-58fc-3470-e3c8dc13e2b4"/>
        <w:rPr>
          <w:rFonts w:ascii="Century Gothic" w:hAnsi="Century Gothic"/>
          <w:lang w:val="en-GB"/>
        </w:rPr>
      </w:pPr>
      <w:r w:rsidRPr="00B148F9">
        <w:rPr>
          <w:rFonts w:ascii="Century Gothic" w:hAnsi="Century Gothic"/>
          <w:lang w:val="en-GB"/>
        </w:rPr>
        <w:t>This report is made solely to the Company’s members, as a body, in accordance with section 262 of the Companies (Guernsey) Law, 2008.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4FB646A7" w14:textId="77777777" w:rsidR="007D3A96" w:rsidRPr="00B148F9" w:rsidRDefault="007D3A96" w:rsidP="007D3A96">
      <w:pPr>
        <w:pStyle w:val="clmsnormalstyles-46b4289e-0109-58fc-3470-e3c8dc13e2b4"/>
        <w:rPr>
          <w:rStyle w:val="clmsbold-charstyles-46b4289e-0109-58fc-3470-e3c8dc13e2b4"/>
          <w:rFonts w:ascii="Century Gothic" w:hAnsi="Century Gothic"/>
          <w:b w:val="0"/>
          <w:lang w:val="en-GB"/>
        </w:rPr>
      </w:pPr>
    </w:p>
    <w:p w14:paraId="5FC38E07" w14:textId="6BB667BA" w:rsidR="007D3A96" w:rsidRPr="00B148F9" w:rsidRDefault="007D3A96" w:rsidP="007D3A96">
      <w:pPr>
        <w:pStyle w:val="clmsnormalstyles-46b4289e-0109-58fc-3470-e3c8dc13e2b4"/>
        <w:rPr>
          <w:rFonts w:ascii="Century Gothic" w:hAnsi="Century Gothic"/>
          <w:lang w:val="en-GB"/>
        </w:rPr>
      </w:pPr>
      <w:r w:rsidRPr="00B148F9">
        <w:rPr>
          <w:rStyle w:val="clmsbold-charstyles-46b4289e-0109-58fc-3470-e3c8dc13e2b4"/>
          <w:rFonts w:ascii="Century Gothic" w:hAnsi="Century Gothic"/>
          <w:lang w:val="en-GB"/>
        </w:rPr>
        <w:t>Dermot Dempsey</w:t>
      </w:r>
    </w:p>
    <w:p w14:paraId="6C2C88AB" w14:textId="77777777" w:rsidR="007D3A96" w:rsidRPr="00B148F9" w:rsidRDefault="007D3A96" w:rsidP="007D3A96">
      <w:pPr>
        <w:pStyle w:val="clmsnormalstyles-46b4289e-0109-58fc-3470-e3c8dc13e2b4"/>
        <w:rPr>
          <w:rFonts w:ascii="Century Gothic" w:hAnsi="Century Gothic"/>
          <w:lang w:val="en-GB"/>
        </w:rPr>
      </w:pPr>
      <w:r w:rsidRPr="00B148F9">
        <w:rPr>
          <w:rStyle w:val="clmsbold-charstyles-46b4289e-0109-58fc-3470-e3c8dc13e2b4"/>
          <w:rFonts w:ascii="Century Gothic" w:hAnsi="Century Gothic"/>
          <w:lang w:val="en-GB"/>
        </w:rPr>
        <w:t>For and on behalf of KPMG Channel Islands Limited</w:t>
      </w:r>
    </w:p>
    <w:p w14:paraId="0383F811" w14:textId="77777777" w:rsidR="007D3A96" w:rsidRPr="00B148F9" w:rsidRDefault="007D3A96" w:rsidP="007D3A96">
      <w:pPr>
        <w:pStyle w:val="clmsnormalstyles-46b4289e-0109-58fc-3470-e3c8dc13e2b4"/>
        <w:rPr>
          <w:rFonts w:ascii="Century Gothic" w:hAnsi="Century Gothic"/>
          <w:lang w:val="en-GB"/>
        </w:rPr>
      </w:pPr>
      <w:r w:rsidRPr="00B148F9">
        <w:rPr>
          <w:rStyle w:val="clmsitalic-charstyles-46b4289e-0109-58fc-3470-e3c8dc13e2b4"/>
          <w:rFonts w:ascii="Century Gothic" w:hAnsi="Century Gothic"/>
          <w:i w:val="0"/>
          <w:lang w:val="en-GB"/>
        </w:rPr>
        <w:t>Chartered Accountants and Recognised Auditors</w:t>
      </w:r>
    </w:p>
    <w:p w14:paraId="78D06609" w14:textId="77777777" w:rsidR="007D3A96" w:rsidRPr="009E4CA7" w:rsidRDefault="007D3A96" w:rsidP="007D3A96">
      <w:pPr>
        <w:pStyle w:val="clmsnormalstyles-46b4289e-0109-58fc-3470-e3c8dc13e2b4"/>
        <w:rPr>
          <w:rFonts w:ascii="Century Gothic" w:hAnsi="Century Gothic"/>
          <w:lang w:val="en-GB"/>
        </w:rPr>
      </w:pPr>
      <w:r w:rsidRPr="009E4CA7">
        <w:rPr>
          <w:rStyle w:val="clmsitalic-charstyles-46b4289e-0109-58fc-3470-e3c8dc13e2b4"/>
          <w:rFonts w:ascii="Century Gothic" w:hAnsi="Century Gothic"/>
          <w:i w:val="0"/>
          <w:lang w:val="en-GB"/>
        </w:rPr>
        <w:t>Guernsey</w:t>
      </w:r>
    </w:p>
    <w:p w14:paraId="32BC8A95" w14:textId="77777777" w:rsidR="009E4CA7" w:rsidRDefault="009E4CA7" w:rsidP="009E4CA7">
      <w:pPr>
        <w:pStyle w:val="clmsnormalstyles-46b4289e-0109-58fc-3470-e3c8dc13e2b4"/>
        <w:rPr>
          <w:rFonts w:ascii="Century Gothic" w:hAnsi="Century Gothic"/>
          <w:lang w:val="en-GB"/>
        </w:rPr>
      </w:pPr>
      <w:r w:rsidRPr="009E4CA7">
        <w:rPr>
          <w:rFonts w:ascii="Century Gothic" w:hAnsi="Century Gothic"/>
          <w:lang w:val="en-GB"/>
        </w:rPr>
        <w:t>21</w:t>
      </w:r>
      <w:r w:rsidR="007D3A96" w:rsidRPr="009E4CA7">
        <w:rPr>
          <w:rFonts w:ascii="Century Gothic" w:hAnsi="Century Gothic"/>
          <w:lang w:val="en-GB"/>
        </w:rPr>
        <w:t xml:space="preserve"> April 2020</w:t>
      </w:r>
    </w:p>
    <w:p w14:paraId="1C44E3FB" w14:textId="77777777" w:rsidR="009E4CA7" w:rsidRDefault="009E4CA7" w:rsidP="009E4CA7">
      <w:pPr>
        <w:pStyle w:val="clmsnormalstyles-46b4289e-0109-58fc-3470-e3c8dc13e2b4"/>
        <w:jc w:val="center"/>
        <w:rPr>
          <w:rFonts w:ascii="Century Gothic" w:eastAsia="Times New Roman" w:hAnsi="Century Gothic"/>
          <w:b/>
          <w:bCs/>
          <w:sz w:val="20"/>
          <w:szCs w:val="20"/>
          <w:lang w:val="en-GB"/>
        </w:rPr>
      </w:pPr>
    </w:p>
    <w:p w14:paraId="43C3A3FA" w14:textId="59B5532E" w:rsidR="006002C4" w:rsidRPr="009E4CA7" w:rsidRDefault="006002C4" w:rsidP="009E4CA7">
      <w:pPr>
        <w:pStyle w:val="clmsnormalstyles-46b4289e-0109-58fc-3470-e3c8dc13e2b4"/>
        <w:jc w:val="center"/>
        <w:rPr>
          <w:rFonts w:ascii="Century Gothic" w:eastAsia="Times New Roman" w:hAnsi="Century Gothic"/>
          <w:b/>
          <w:bCs/>
          <w:sz w:val="20"/>
          <w:szCs w:val="20"/>
          <w:lang w:val="en-GB"/>
        </w:rPr>
      </w:pPr>
      <w:r w:rsidRPr="009E4CA7">
        <w:rPr>
          <w:rFonts w:ascii="Century Gothic" w:eastAsia="Times New Roman" w:hAnsi="Century Gothic"/>
          <w:b/>
          <w:bCs/>
          <w:sz w:val="20"/>
          <w:szCs w:val="20"/>
          <w:lang w:val="en-GB"/>
        </w:rPr>
        <w:t xml:space="preserve">Statement of </w:t>
      </w:r>
      <w:r w:rsidR="00E65A2A" w:rsidRPr="009E4CA7">
        <w:rPr>
          <w:rFonts w:ascii="Century Gothic" w:eastAsia="Times New Roman" w:hAnsi="Century Gothic"/>
          <w:b/>
          <w:bCs/>
          <w:sz w:val="20"/>
          <w:szCs w:val="20"/>
          <w:lang w:val="en-GB"/>
        </w:rPr>
        <w:t>Assets and Liabilities</w:t>
      </w:r>
    </w:p>
    <w:p w14:paraId="4376815E" w14:textId="3CAF7B18" w:rsidR="006002C4" w:rsidRPr="00B148F9" w:rsidRDefault="00466D2D" w:rsidP="00326CD3">
      <w:pPr>
        <w:jc w:val="center"/>
        <w:rPr>
          <w:rFonts w:cs="Arial"/>
          <w:b/>
          <w:bCs/>
        </w:rPr>
      </w:pPr>
      <w:r w:rsidRPr="00B148F9">
        <w:rPr>
          <w:rFonts w:cs="Arial"/>
          <w:b/>
          <w:bCs/>
        </w:rPr>
        <w:t>a</w:t>
      </w:r>
      <w:r w:rsidR="008D148F" w:rsidRPr="00B148F9">
        <w:rPr>
          <w:rFonts w:cs="Arial"/>
          <w:b/>
          <w:bCs/>
        </w:rPr>
        <w:t xml:space="preserve">s at 31 </w:t>
      </w:r>
      <w:r w:rsidR="00BA4C4B" w:rsidRPr="00B148F9">
        <w:rPr>
          <w:rFonts w:cs="Arial"/>
          <w:b/>
          <w:bCs/>
        </w:rPr>
        <w:t>December</w:t>
      </w:r>
      <w:r w:rsidR="008D148F" w:rsidRPr="00B148F9">
        <w:rPr>
          <w:rFonts w:cs="Arial"/>
          <w:b/>
          <w:bCs/>
        </w:rPr>
        <w:t xml:space="preserve"> 201</w:t>
      </w:r>
      <w:r w:rsidR="00EF5A52" w:rsidRPr="00B148F9">
        <w:rPr>
          <w:rFonts w:cs="Arial"/>
          <w:b/>
          <w:bCs/>
        </w:rPr>
        <w:t>9</w:t>
      </w:r>
      <w:r w:rsidRPr="00B148F9">
        <w:rPr>
          <w:rFonts w:cs="Arial"/>
          <w:b/>
          <w:bCs/>
        </w:rPr>
        <w:t xml:space="preserve"> and 31 December 2018</w:t>
      </w:r>
    </w:p>
    <w:p w14:paraId="1A57457B" w14:textId="24DCF130" w:rsidR="002E7F22" w:rsidRPr="00B148F9" w:rsidRDefault="00945CE0" w:rsidP="00326CD3">
      <w:pPr>
        <w:jc w:val="center"/>
        <w:rPr>
          <w:rFonts w:cs="Arial"/>
          <w:bCs/>
        </w:rPr>
      </w:pPr>
      <w:r w:rsidRPr="00B148F9">
        <w:rPr>
          <w:rFonts w:cs="Arial"/>
          <w:bCs/>
        </w:rPr>
        <w:t>(</w:t>
      </w:r>
      <w:r w:rsidR="002E7F22" w:rsidRPr="00B148F9">
        <w:rPr>
          <w:rFonts w:cs="Arial"/>
          <w:bCs/>
        </w:rPr>
        <w:t>Expressed in United States Dollars</w:t>
      </w:r>
      <w:r w:rsidRPr="00B148F9">
        <w:rPr>
          <w:rFonts w:cs="Arial"/>
          <w:bCs/>
        </w:rPr>
        <w:t>)</w:t>
      </w:r>
    </w:p>
    <w:tbl>
      <w:tblPr>
        <w:tblW w:w="4930" w:type="pct"/>
        <w:tblLayout w:type="fixed"/>
        <w:tblLook w:val="04A0" w:firstRow="1" w:lastRow="0" w:firstColumn="1" w:lastColumn="0" w:noHBand="0" w:noVBand="1"/>
      </w:tblPr>
      <w:tblGrid>
        <w:gridCol w:w="3935"/>
        <w:gridCol w:w="283"/>
        <w:gridCol w:w="460"/>
        <w:gridCol w:w="564"/>
        <w:gridCol w:w="1569"/>
        <w:gridCol w:w="565"/>
        <w:gridCol w:w="1569"/>
      </w:tblGrid>
      <w:tr w:rsidR="00751945" w:rsidRPr="00B148F9" w14:paraId="005246B2" w14:textId="77777777" w:rsidTr="00EE53BF">
        <w:trPr>
          <w:trHeight w:val="285"/>
        </w:trPr>
        <w:tc>
          <w:tcPr>
            <w:tcW w:w="2200" w:type="pct"/>
            <w:tcBorders>
              <w:top w:val="nil"/>
              <w:left w:val="nil"/>
              <w:bottom w:val="nil"/>
              <w:right w:val="nil"/>
            </w:tcBorders>
            <w:shd w:val="clear" w:color="auto" w:fill="auto"/>
            <w:noWrap/>
            <w:vAlign w:val="bottom"/>
            <w:hideMark/>
          </w:tcPr>
          <w:p w14:paraId="344DBAEE" w14:textId="77777777" w:rsidR="00C02C33" w:rsidRPr="00B148F9" w:rsidRDefault="00C02C33" w:rsidP="00326CD3">
            <w:pPr>
              <w:rPr>
                <w:rFonts w:cs="Arial"/>
                <w:lang w:eastAsia="en-GB"/>
              </w:rPr>
            </w:pPr>
          </w:p>
        </w:tc>
        <w:tc>
          <w:tcPr>
            <w:tcW w:w="158" w:type="pct"/>
            <w:tcBorders>
              <w:top w:val="nil"/>
              <w:left w:val="nil"/>
              <w:bottom w:val="nil"/>
              <w:right w:val="nil"/>
            </w:tcBorders>
            <w:shd w:val="clear" w:color="auto" w:fill="auto"/>
            <w:noWrap/>
            <w:vAlign w:val="bottom"/>
            <w:hideMark/>
          </w:tcPr>
          <w:p w14:paraId="250916C0" w14:textId="77777777" w:rsidR="00C02C33" w:rsidRPr="00B148F9" w:rsidRDefault="00C02C33" w:rsidP="00326CD3">
            <w:pPr>
              <w:rPr>
                <w:rFonts w:cs="Arial"/>
                <w:lang w:eastAsia="en-GB"/>
              </w:rPr>
            </w:pPr>
          </w:p>
        </w:tc>
        <w:tc>
          <w:tcPr>
            <w:tcW w:w="257" w:type="pct"/>
            <w:tcBorders>
              <w:top w:val="nil"/>
              <w:left w:val="nil"/>
              <w:bottom w:val="nil"/>
              <w:right w:val="nil"/>
            </w:tcBorders>
            <w:shd w:val="clear" w:color="auto" w:fill="auto"/>
            <w:noWrap/>
            <w:vAlign w:val="bottom"/>
            <w:hideMark/>
          </w:tcPr>
          <w:p w14:paraId="68BA98DE" w14:textId="77777777" w:rsidR="00C02C33" w:rsidRPr="00B148F9" w:rsidRDefault="00C02C33" w:rsidP="00326CD3">
            <w:pPr>
              <w:rPr>
                <w:rFonts w:cs="Arial"/>
                <w:i/>
                <w:lang w:eastAsia="en-GB"/>
              </w:rPr>
            </w:pPr>
          </w:p>
        </w:tc>
        <w:tc>
          <w:tcPr>
            <w:tcW w:w="315" w:type="pct"/>
            <w:tcBorders>
              <w:top w:val="nil"/>
              <w:left w:val="nil"/>
              <w:bottom w:val="nil"/>
              <w:right w:val="nil"/>
            </w:tcBorders>
            <w:shd w:val="clear" w:color="auto" w:fill="auto"/>
            <w:noWrap/>
            <w:vAlign w:val="bottom"/>
            <w:hideMark/>
          </w:tcPr>
          <w:p w14:paraId="598763AC" w14:textId="77777777" w:rsidR="00C02C33" w:rsidRPr="00B148F9" w:rsidRDefault="00C02C33" w:rsidP="00326CD3">
            <w:pPr>
              <w:jc w:val="right"/>
              <w:rPr>
                <w:rFonts w:cs="Arial"/>
                <w:b/>
                <w:bCs/>
                <w:lang w:eastAsia="en-GB"/>
              </w:rPr>
            </w:pPr>
          </w:p>
        </w:tc>
        <w:tc>
          <w:tcPr>
            <w:tcW w:w="877" w:type="pct"/>
            <w:tcBorders>
              <w:top w:val="nil"/>
              <w:left w:val="nil"/>
              <w:bottom w:val="single" w:sz="4" w:space="0" w:color="auto"/>
              <w:right w:val="nil"/>
            </w:tcBorders>
            <w:shd w:val="clear" w:color="auto" w:fill="auto"/>
            <w:noWrap/>
            <w:vAlign w:val="bottom"/>
            <w:hideMark/>
          </w:tcPr>
          <w:p w14:paraId="3A07B452" w14:textId="77777777" w:rsidR="00C02C33" w:rsidRPr="00B148F9" w:rsidRDefault="00C02C33" w:rsidP="00EF5A52">
            <w:pPr>
              <w:jc w:val="right"/>
              <w:rPr>
                <w:rFonts w:cs="Arial"/>
                <w:b/>
                <w:bCs/>
                <w:lang w:eastAsia="en-GB"/>
              </w:rPr>
            </w:pPr>
            <w:r w:rsidRPr="00B148F9">
              <w:rPr>
                <w:rFonts w:cs="Arial"/>
                <w:b/>
                <w:bCs/>
                <w:lang w:eastAsia="en-GB"/>
              </w:rPr>
              <w:t>201</w:t>
            </w:r>
            <w:r w:rsidR="00EF5A52" w:rsidRPr="00B148F9">
              <w:rPr>
                <w:rFonts w:cs="Arial"/>
                <w:b/>
                <w:bCs/>
                <w:lang w:eastAsia="en-GB"/>
              </w:rPr>
              <w:t>9</w:t>
            </w:r>
          </w:p>
        </w:tc>
        <w:tc>
          <w:tcPr>
            <w:tcW w:w="316" w:type="pct"/>
            <w:tcBorders>
              <w:top w:val="nil"/>
              <w:left w:val="nil"/>
              <w:bottom w:val="nil"/>
              <w:right w:val="nil"/>
            </w:tcBorders>
            <w:shd w:val="clear" w:color="auto" w:fill="auto"/>
            <w:noWrap/>
            <w:vAlign w:val="bottom"/>
            <w:hideMark/>
          </w:tcPr>
          <w:p w14:paraId="549D8AC6" w14:textId="77777777" w:rsidR="00C02C33" w:rsidRPr="00B148F9" w:rsidRDefault="00C02C33" w:rsidP="00326CD3">
            <w:pPr>
              <w:jc w:val="right"/>
              <w:rPr>
                <w:rFonts w:cs="Arial"/>
                <w:b/>
                <w:bCs/>
                <w:lang w:eastAsia="en-GB"/>
              </w:rPr>
            </w:pPr>
          </w:p>
        </w:tc>
        <w:tc>
          <w:tcPr>
            <w:tcW w:w="877" w:type="pct"/>
            <w:tcBorders>
              <w:top w:val="nil"/>
              <w:left w:val="nil"/>
              <w:bottom w:val="single" w:sz="4" w:space="0" w:color="auto"/>
              <w:right w:val="nil"/>
            </w:tcBorders>
            <w:shd w:val="clear" w:color="auto" w:fill="auto"/>
            <w:noWrap/>
            <w:vAlign w:val="bottom"/>
            <w:hideMark/>
          </w:tcPr>
          <w:p w14:paraId="3AE1B7BB" w14:textId="77777777" w:rsidR="00C02C33" w:rsidRPr="00B148F9" w:rsidRDefault="006C7D72" w:rsidP="00EF5A52">
            <w:pPr>
              <w:jc w:val="right"/>
              <w:rPr>
                <w:rFonts w:cs="Arial"/>
                <w:b/>
                <w:bCs/>
                <w:lang w:eastAsia="en-GB"/>
              </w:rPr>
            </w:pPr>
            <w:r w:rsidRPr="00B148F9">
              <w:rPr>
                <w:rFonts w:cs="Arial"/>
                <w:b/>
                <w:bCs/>
                <w:lang w:eastAsia="en-GB"/>
              </w:rPr>
              <w:t>201</w:t>
            </w:r>
            <w:r w:rsidR="00EF5A52" w:rsidRPr="00B148F9">
              <w:rPr>
                <w:rFonts w:cs="Arial"/>
                <w:b/>
                <w:bCs/>
                <w:lang w:eastAsia="en-GB"/>
              </w:rPr>
              <w:t>8</w:t>
            </w:r>
          </w:p>
        </w:tc>
      </w:tr>
      <w:tr w:rsidR="00751945" w:rsidRPr="00B148F9" w14:paraId="5B240352" w14:textId="77777777" w:rsidTr="00EE53BF">
        <w:trPr>
          <w:trHeight w:val="270"/>
        </w:trPr>
        <w:tc>
          <w:tcPr>
            <w:tcW w:w="2200" w:type="pct"/>
            <w:tcBorders>
              <w:top w:val="nil"/>
              <w:left w:val="nil"/>
              <w:bottom w:val="nil"/>
              <w:right w:val="nil"/>
            </w:tcBorders>
            <w:shd w:val="clear" w:color="auto" w:fill="auto"/>
            <w:noWrap/>
            <w:vAlign w:val="bottom"/>
            <w:hideMark/>
          </w:tcPr>
          <w:p w14:paraId="6A53D989" w14:textId="77777777" w:rsidR="002E7F22" w:rsidRPr="00B148F9" w:rsidRDefault="002E7F22" w:rsidP="00326CD3">
            <w:pPr>
              <w:rPr>
                <w:rFonts w:cs="Arial"/>
                <w:b/>
                <w:bCs/>
                <w:lang w:eastAsia="en-GB"/>
              </w:rPr>
            </w:pPr>
          </w:p>
        </w:tc>
        <w:tc>
          <w:tcPr>
            <w:tcW w:w="158" w:type="pct"/>
            <w:tcBorders>
              <w:top w:val="nil"/>
              <w:left w:val="nil"/>
              <w:bottom w:val="nil"/>
              <w:right w:val="nil"/>
            </w:tcBorders>
            <w:shd w:val="clear" w:color="auto" w:fill="auto"/>
            <w:noWrap/>
            <w:vAlign w:val="bottom"/>
            <w:hideMark/>
          </w:tcPr>
          <w:p w14:paraId="2DCD48F8" w14:textId="77777777" w:rsidR="002E7F22" w:rsidRPr="00B148F9" w:rsidRDefault="002E7F22" w:rsidP="00326CD3">
            <w:pPr>
              <w:rPr>
                <w:rFonts w:cs="Arial"/>
                <w:lang w:eastAsia="en-GB"/>
              </w:rPr>
            </w:pPr>
          </w:p>
        </w:tc>
        <w:tc>
          <w:tcPr>
            <w:tcW w:w="257" w:type="pct"/>
            <w:tcBorders>
              <w:top w:val="nil"/>
              <w:left w:val="nil"/>
              <w:bottom w:val="nil"/>
              <w:right w:val="nil"/>
            </w:tcBorders>
            <w:shd w:val="clear" w:color="auto" w:fill="auto"/>
            <w:noWrap/>
            <w:vAlign w:val="bottom"/>
            <w:hideMark/>
          </w:tcPr>
          <w:p w14:paraId="377510A9" w14:textId="17FF225C" w:rsidR="002E7F22" w:rsidRPr="00B148F9" w:rsidRDefault="002E7F22" w:rsidP="00326CD3">
            <w:pPr>
              <w:jc w:val="center"/>
              <w:rPr>
                <w:rFonts w:cs="Arial"/>
                <w:b/>
                <w:bCs/>
                <w:lang w:eastAsia="en-GB"/>
              </w:rPr>
            </w:pPr>
          </w:p>
        </w:tc>
        <w:tc>
          <w:tcPr>
            <w:tcW w:w="315" w:type="pct"/>
            <w:tcBorders>
              <w:top w:val="nil"/>
              <w:left w:val="nil"/>
              <w:bottom w:val="nil"/>
              <w:right w:val="nil"/>
            </w:tcBorders>
            <w:shd w:val="clear" w:color="auto" w:fill="auto"/>
            <w:noWrap/>
            <w:vAlign w:val="bottom"/>
            <w:hideMark/>
          </w:tcPr>
          <w:p w14:paraId="210CF093" w14:textId="77777777" w:rsidR="002E7F22" w:rsidRPr="00B148F9" w:rsidRDefault="002E7F22" w:rsidP="00326CD3">
            <w:pPr>
              <w:jc w:val="right"/>
              <w:rPr>
                <w:rFonts w:cs="Arial"/>
                <w:b/>
                <w:bCs/>
                <w:lang w:eastAsia="en-GB"/>
              </w:rPr>
            </w:pPr>
          </w:p>
        </w:tc>
        <w:tc>
          <w:tcPr>
            <w:tcW w:w="877" w:type="pct"/>
            <w:tcBorders>
              <w:top w:val="single" w:sz="4" w:space="0" w:color="auto"/>
              <w:left w:val="nil"/>
              <w:bottom w:val="nil"/>
              <w:right w:val="nil"/>
            </w:tcBorders>
            <w:shd w:val="clear" w:color="auto" w:fill="auto"/>
            <w:noWrap/>
            <w:vAlign w:val="bottom"/>
            <w:hideMark/>
          </w:tcPr>
          <w:p w14:paraId="36100397" w14:textId="3312192B" w:rsidR="002E7F22" w:rsidRPr="00B148F9" w:rsidRDefault="002E7F22" w:rsidP="00B746FC">
            <w:pPr>
              <w:jc w:val="center"/>
              <w:rPr>
                <w:rFonts w:cs="Arial"/>
                <w:b/>
                <w:bCs/>
                <w:lang w:eastAsia="en-GB"/>
              </w:rPr>
            </w:pPr>
          </w:p>
        </w:tc>
        <w:tc>
          <w:tcPr>
            <w:tcW w:w="316" w:type="pct"/>
            <w:tcBorders>
              <w:top w:val="nil"/>
              <w:left w:val="nil"/>
              <w:bottom w:val="nil"/>
              <w:right w:val="nil"/>
            </w:tcBorders>
            <w:shd w:val="clear" w:color="auto" w:fill="auto"/>
            <w:vAlign w:val="bottom"/>
          </w:tcPr>
          <w:p w14:paraId="1F669452" w14:textId="77777777" w:rsidR="002E7F22" w:rsidRPr="00B148F9" w:rsidRDefault="002E7F22" w:rsidP="00B746FC">
            <w:pPr>
              <w:jc w:val="center"/>
              <w:rPr>
                <w:rFonts w:cs="Arial"/>
                <w:b/>
                <w:bCs/>
                <w:lang w:eastAsia="en-GB"/>
              </w:rPr>
            </w:pPr>
          </w:p>
        </w:tc>
        <w:tc>
          <w:tcPr>
            <w:tcW w:w="877" w:type="pct"/>
            <w:tcBorders>
              <w:top w:val="single" w:sz="4" w:space="0" w:color="auto"/>
              <w:left w:val="nil"/>
              <w:bottom w:val="nil"/>
              <w:right w:val="nil"/>
            </w:tcBorders>
            <w:shd w:val="clear" w:color="auto" w:fill="auto"/>
            <w:vAlign w:val="bottom"/>
          </w:tcPr>
          <w:p w14:paraId="7C581B80" w14:textId="4E693B2D" w:rsidR="002E7F22" w:rsidRPr="00B148F9" w:rsidRDefault="002E7F22" w:rsidP="00B746FC">
            <w:pPr>
              <w:jc w:val="center"/>
              <w:rPr>
                <w:rFonts w:cs="Arial"/>
                <w:b/>
                <w:bCs/>
                <w:lang w:eastAsia="en-GB"/>
              </w:rPr>
            </w:pPr>
          </w:p>
        </w:tc>
      </w:tr>
      <w:tr w:rsidR="00751945" w:rsidRPr="00B148F9" w14:paraId="44EE4934" w14:textId="77777777" w:rsidTr="00EE53BF">
        <w:trPr>
          <w:trHeight w:val="270"/>
        </w:trPr>
        <w:tc>
          <w:tcPr>
            <w:tcW w:w="2200" w:type="pct"/>
            <w:tcBorders>
              <w:top w:val="nil"/>
              <w:left w:val="nil"/>
              <w:bottom w:val="nil"/>
              <w:right w:val="nil"/>
            </w:tcBorders>
            <w:shd w:val="clear" w:color="auto" w:fill="auto"/>
            <w:noWrap/>
            <w:vAlign w:val="bottom"/>
            <w:hideMark/>
          </w:tcPr>
          <w:p w14:paraId="0FA04A84" w14:textId="77777777" w:rsidR="00B3585A" w:rsidRPr="00B148F9" w:rsidRDefault="00B3585A" w:rsidP="00326CD3">
            <w:pPr>
              <w:rPr>
                <w:rFonts w:cs="Arial"/>
                <w:b/>
                <w:bCs/>
                <w:lang w:eastAsia="en-GB"/>
              </w:rPr>
            </w:pPr>
            <w:r w:rsidRPr="00B148F9">
              <w:rPr>
                <w:rFonts w:cs="Arial"/>
                <w:b/>
                <w:bCs/>
                <w:lang w:eastAsia="en-GB"/>
              </w:rPr>
              <w:t>ASSETS:</w:t>
            </w:r>
          </w:p>
        </w:tc>
        <w:tc>
          <w:tcPr>
            <w:tcW w:w="158" w:type="pct"/>
            <w:tcBorders>
              <w:top w:val="nil"/>
              <w:left w:val="nil"/>
              <w:bottom w:val="nil"/>
              <w:right w:val="nil"/>
            </w:tcBorders>
            <w:shd w:val="clear" w:color="auto" w:fill="auto"/>
            <w:noWrap/>
            <w:vAlign w:val="bottom"/>
            <w:hideMark/>
          </w:tcPr>
          <w:p w14:paraId="135768BF" w14:textId="77777777" w:rsidR="00B3585A" w:rsidRPr="00B148F9" w:rsidRDefault="00B3585A" w:rsidP="00326CD3">
            <w:pPr>
              <w:rPr>
                <w:rFonts w:cs="Arial"/>
                <w:lang w:eastAsia="en-GB"/>
              </w:rPr>
            </w:pPr>
          </w:p>
        </w:tc>
        <w:tc>
          <w:tcPr>
            <w:tcW w:w="257" w:type="pct"/>
            <w:tcBorders>
              <w:top w:val="nil"/>
              <w:left w:val="nil"/>
              <w:bottom w:val="nil"/>
              <w:right w:val="nil"/>
            </w:tcBorders>
            <w:shd w:val="clear" w:color="auto" w:fill="auto"/>
            <w:noWrap/>
            <w:vAlign w:val="bottom"/>
            <w:hideMark/>
          </w:tcPr>
          <w:p w14:paraId="1B5A231B" w14:textId="77777777" w:rsidR="00B3585A" w:rsidRPr="00B148F9" w:rsidRDefault="00B3585A" w:rsidP="00326CD3">
            <w:pPr>
              <w:jc w:val="center"/>
              <w:rPr>
                <w:rFonts w:cs="Arial"/>
                <w:b/>
                <w:bCs/>
                <w:i/>
                <w:lang w:eastAsia="en-GB"/>
              </w:rPr>
            </w:pPr>
          </w:p>
        </w:tc>
        <w:tc>
          <w:tcPr>
            <w:tcW w:w="315" w:type="pct"/>
            <w:tcBorders>
              <w:top w:val="nil"/>
              <w:left w:val="nil"/>
              <w:bottom w:val="nil"/>
              <w:right w:val="nil"/>
            </w:tcBorders>
            <w:shd w:val="clear" w:color="auto" w:fill="auto"/>
            <w:noWrap/>
            <w:vAlign w:val="bottom"/>
            <w:hideMark/>
          </w:tcPr>
          <w:p w14:paraId="6C0193BB" w14:textId="77777777" w:rsidR="00B3585A" w:rsidRPr="00B148F9" w:rsidRDefault="00B3585A" w:rsidP="00326CD3">
            <w:pPr>
              <w:jc w:val="right"/>
              <w:rPr>
                <w:rFonts w:cs="Arial"/>
                <w:b/>
                <w:bCs/>
                <w:lang w:eastAsia="en-GB"/>
              </w:rPr>
            </w:pPr>
          </w:p>
        </w:tc>
        <w:tc>
          <w:tcPr>
            <w:tcW w:w="877" w:type="pct"/>
            <w:tcBorders>
              <w:top w:val="nil"/>
              <w:left w:val="nil"/>
              <w:bottom w:val="nil"/>
              <w:right w:val="nil"/>
            </w:tcBorders>
            <w:shd w:val="clear" w:color="auto" w:fill="auto"/>
            <w:noWrap/>
            <w:vAlign w:val="bottom"/>
            <w:hideMark/>
          </w:tcPr>
          <w:p w14:paraId="138D4D5F" w14:textId="77777777" w:rsidR="00B3585A" w:rsidRPr="00B148F9" w:rsidRDefault="00B3585A" w:rsidP="00326CD3">
            <w:pPr>
              <w:jc w:val="right"/>
              <w:rPr>
                <w:rFonts w:cs="Arial"/>
                <w:b/>
                <w:bCs/>
                <w:lang w:eastAsia="en-GB"/>
              </w:rPr>
            </w:pPr>
          </w:p>
        </w:tc>
        <w:tc>
          <w:tcPr>
            <w:tcW w:w="316" w:type="pct"/>
            <w:tcBorders>
              <w:top w:val="nil"/>
              <w:left w:val="nil"/>
              <w:bottom w:val="nil"/>
              <w:right w:val="nil"/>
            </w:tcBorders>
            <w:shd w:val="clear" w:color="auto" w:fill="auto"/>
            <w:noWrap/>
            <w:vAlign w:val="bottom"/>
            <w:hideMark/>
          </w:tcPr>
          <w:p w14:paraId="2EDDE04C" w14:textId="77777777" w:rsidR="00B3585A" w:rsidRPr="00B148F9" w:rsidRDefault="00B3585A" w:rsidP="00326CD3">
            <w:pPr>
              <w:jc w:val="right"/>
              <w:rPr>
                <w:rFonts w:cs="Arial"/>
                <w:b/>
                <w:bCs/>
                <w:lang w:eastAsia="en-GB"/>
              </w:rPr>
            </w:pPr>
          </w:p>
        </w:tc>
        <w:tc>
          <w:tcPr>
            <w:tcW w:w="877" w:type="pct"/>
            <w:tcBorders>
              <w:top w:val="nil"/>
              <w:left w:val="nil"/>
              <w:bottom w:val="nil"/>
              <w:right w:val="nil"/>
            </w:tcBorders>
            <w:shd w:val="clear" w:color="auto" w:fill="auto"/>
            <w:noWrap/>
            <w:vAlign w:val="bottom"/>
            <w:hideMark/>
          </w:tcPr>
          <w:p w14:paraId="10F29296" w14:textId="77777777" w:rsidR="00B3585A" w:rsidRPr="00B148F9" w:rsidRDefault="00B3585A" w:rsidP="00B3585A">
            <w:pPr>
              <w:jc w:val="right"/>
              <w:rPr>
                <w:rFonts w:cs="Arial"/>
                <w:b/>
                <w:bCs/>
                <w:lang w:eastAsia="en-GB"/>
              </w:rPr>
            </w:pPr>
          </w:p>
        </w:tc>
      </w:tr>
      <w:tr w:rsidR="00751945" w:rsidRPr="00B148F9" w14:paraId="190FE20A" w14:textId="77777777" w:rsidTr="00EE53BF">
        <w:trPr>
          <w:trHeight w:val="270"/>
        </w:trPr>
        <w:tc>
          <w:tcPr>
            <w:tcW w:w="2200" w:type="pct"/>
            <w:tcBorders>
              <w:top w:val="nil"/>
              <w:left w:val="nil"/>
              <w:bottom w:val="nil"/>
              <w:right w:val="nil"/>
            </w:tcBorders>
            <w:shd w:val="clear" w:color="auto" w:fill="auto"/>
            <w:noWrap/>
            <w:vAlign w:val="bottom"/>
            <w:hideMark/>
          </w:tcPr>
          <w:p w14:paraId="62AC0B4F" w14:textId="1F93CE2C" w:rsidR="003565B2" w:rsidRPr="00B148F9" w:rsidRDefault="003565B2">
            <w:pPr>
              <w:jc w:val="left"/>
              <w:rPr>
                <w:rFonts w:cs="Arial"/>
                <w:lang w:eastAsia="en-GB"/>
              </w:rPr>
            </w:pPr>
            <w:r w:rsidRPr="00B148F9">
              <w:rPr>
                <w:rFonts w:cs="Arial"/>
                <w:lang w:eastAsia="en-GB"/>
              </w:rPr>
              <w:t>Investment in securities, at fair value (cost at 31 December 2019:US$</w:t>
            </w:r>
            <w:r w:rsidR="00992885" w:rsidRPr="00B148F9">
              <w:rPr>
                <w:rFonts w:cs="Arial"/>
                <w:lang w:eastAsia="en-GB"/>
              </w:rPr>
              <w:t>92,446,333</w:t>
            </w:r>
            <w:r w:rsidRPr="00B148F9">
              <w:rPr>
                <w:rFonts w:cs="Arial"/>
                <w:lang w:eastAsia="en-GB"/>
              </w:rPr>
              <w:t>; cost at 31 December 2018: US$</w:t>
            </w:r>
            <w:r w:rsidR="00373B69" w:rsidRPr="00B148F9">
              <w:rPr>
                <w:rFonts w:cs="Arial"/>
                <w:lang w:eastAsia="en-GB"/>
              </w:rPr>
              <w:t>11,670,904</w:t>
            </w:r>
            <w:r w:rsidR="00A422FF" w:rsidRPr="00B148F9">
              <w:rPr>
                <w:rFonts w:cs="Arial"/>
                <w:lang w:eastAsia="en-GB"/>
              </w:rPr>
              <w:t>)</w:t>
            </w:r>
          </w:p>
        </w:tc>
        <w:tc>
          <w:tcPr>
            <w:tcW w:w="158" w:type="pct"/>
            <w:tcBorders>
              <w:top w:val="nil"/>
              <w:left w:val="nil"/>
              <w:bottom w:val="nil"/>
              <w:right w:val="nil"/>
            </w:tcBorders>
            <w:shd w:val="clear" w:color="auto" w:fill="auto"/>
            <w:noWrap/>
            <w:vAlign w:val="bottom"/>
            <w:hideMark/>
          </w:tcPr>
          <w:p w14:paraId="7D3AB9E0" w14:textId="77777777" w:rsidR="003565B2" w:rsidRPr="00B148F9" w:rsidRDefault="003565B2" w:rsidP="003565B2">
            <w:pPr>
              <w:rPr>
                <w:rFonts w:cs="Arial"/>
                <w:lang w:eastAsia="en-GB"/>
              </w:rPr>
            </w:pPr>
          </w:p>
        </w:tc>
        <w:tc>
          <w:tcPr>
            <w:tcW w:w="257" w:type="pct"/>
            <w:tcBorders>
              <w:top w:val="nil"/>
              <w:left w:val="nil"/>
              <w:bottom w:val="nil"/>
              <w:right w:val="nil"/>
            </w:tcBorders>
            <w:shd w:val="clear" w:color="auto" w:fill="auto"/>
            <w:noWrap/>
            <w:vAlign w:val="bottom"/>
            <w:hideMark/>
          </w:tcPr>
          <w:p w14:paraId="50F9C0F5" w14:textId="3CAFA03E" w:rsidR="003565B2" w:rsidRPr="00B148F9" w:rsidRDefault="003565B2" w:rsidP="003565B2">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186C5724" w14:textId="0085E422" w:rsidR="003565B2" w:rsidRPr="00B148F9" w:rsidRDefault="003565B2" w:rsidP="003565B2">
            <w:pPr>
              <w:rPr>
                <w:rFonts w:cs="Arial"/>
                <w:lang w:eastAsia="en-GB"/>
              </w:rPr>
            </w:pPr>
            <w:r w:rsidRPr="00B148F9">
              <w:rPr>
                <w:rFonts w:cs="Arial"/>
                <w:lang w:eastAsia="en-GB"/>
              </w:rPr>
              <w:t>US$</w:t>
            </w:r>
          </w:p>
        </w:tc>
        <w:tc>
          <w:tcPr>
            <w:tcW w:w="877" w:type="pct"/>
            <w:tcBorders>
              <w:top w:val="nil"/>
              <w:left w:val="nil"/>
              <w:bottom w:val="nil"/>
              <w:right w:val="nil"/>
            </w:tcBorders>
            <w:shd w:val="clear" w:color="auto" w:fill="auto"/>
            <w:noWrap/>
            <w:vAlign w:val="bottom"/>
          </w:tcPr>
          <w:p w14:paraId="0F57B548" w14:textId="247C0E50" w:rsidR="003565B2" w:rsidRPr="00B148F9" w:rsidRDefault="00F05197" w:rsidP="003565B2">
            <w:pPr>
              <w:jc w:val="right"/>
            </w:pPr>
            <w:r w:rsidRPr="00B148F9">
              <w:t>170,653,009</w:t>
            </w:r>
          </w:p>
        </w:tc>
        <w:tc>
          <w:tcPr>
            <w:tcW w:w="316" w:type="pct"/>
            <w:tcBorders>
              <w:top w:val="nil"/>
              <w:left w:val="nil"/>
              <w:bottom w:val="nil"/>
              <w:right w:val="nil"/>
            </w:tcBorders>
            <w:shd w:val="clear" w:color="auto" w:fill="auto"/>
            <w:noWrap/>
            <w:vAlign w:val="bottom"/>
            <w:hideMark/>
          </w:tcPr>
          <w:p w14:paraId="32D23D49" w14:textId="43FB6A36" w:rsidR="003565B2" w:rsidRPr="00B148F9" w:rsidRDefault="003565B2" w:rsidP="003565B2">
            <w:pPr>
              <w:jc w:val="right"/>
              <w:rPr>
                <w:rFonts w:cs="Arial"/>
                <w:lang w:eastAsia="en-GB"/>
              </w:rPr>
            </w:pPr>
            <w:r w:rsidRPr="00B148F9">
              <w:rPr>
                <w:rFonts w:cs="Arial"/>
                <w:lang w:eastAsia="en-GB"/>
              </w:rPr>
              <w:t>US$</w:t>
            </w:r>
          </w:p>
        </w:tc>
        <w:tc>
          <w:tcPr>
            <w:tcW w:w="877" w:type="pct"/>
            <w:tcBorders>
              <w:top w:val="nil"/>
              <w:left w:val="nil"/>
              <w:bottom w:val="nil"/>
              <w:right w:val="nil"/>
            </w:tcBorders>
            <w:shd w:val="clear" w:color="auto" w:fill="auto"/>
            <w:noWrap/>
            <w:vAlign w:val="bottom"/>
          </w:tcPr>
          <w:p w14:paraId="4685E0DA" w14:textId="04592044" w:rsidR="003565B2" w:rsidRPr="00B148F9" w:rsidRDefault="003565B2" w:rsidP="003565B2">
            <w:pPr>
              <w:jc w:val="right"/>
            </w:pPr>
            <w:r w:rsidRPr="00B148F9">
              <w:t>65,721,557</w:t>
            </w:r>
          </w:p>
        </w:tc>
      </w:tr>
      <w:tr w:rsidR="00751945" w:rsidRPr="00B148F9" w14:paraId="1F104F59" w14:textId="77777777" w:rsidTr="00EE53BF">
        <w:trPr>
          <w:trHeight w:val="270"/>
        </w:trPr>
        <w:tc>
          <w:tcPr>
            <w:tcW w:w="2200" w:type="pct"/>
            <w:tcBorders>
              <w:top w:val="nil"/>
              <w:left w:val="nil"/>
              <w:bottom w:val="nil"/>
              <w:right w:val="nil"/>
            </w:tcBorders>
            <w:shd w:val="clear" w:color="auto" w:fill="auto"/>
            <w:noWrap/>
            <w:vAlign w:val="bottom"/>
          </w:tcPr>
          <w:p w14:paraId="097BE968" w14:textId="01D1372F" w:rsidR="003565B2" w:rsidRPr="00B148F9" w:rsidRDefault="003565B2" w:rsidP="003565B2">
            <w:pPr>
              <w:jc w:val="left"/>
              <w:rPr>
                <w:rFonts w:cs="Arial"/>
                <w:lang w:eastAsia="en-GB"/>
              </w:rPr>
            </w:pPr>
            <w:r w:rsidRPr="00B148F9">
              <w:rPr>
                <w:rFonts w:cs="Arial"/>
                <w:lang w:eastAsia="en-GB"/>
              </w:rPr>
              <w:t xml:space="preserve">Derivative contracts, at fair value (cost </w:t>
            </w:r>
            <w:r w:rsidR="00A422FF" w:rsidRPr="00B148F9">
              <w:rPr>
                <w:rFonts w:cs="Arial"/>
                <w:lang w:eastAsia="en-GB"/>
              </w:rPr>
              <w:t>at 31 December 2019:</w:t>
            </w:r>
            <w:r w:rsidRPr="00B148F9">
              <w:rPr>
                <w:rFonts w:cs="Arial"/>
                <w:lang w:eastAsia="en-GB"/>
              </w:rPr>
              <w:t>US$</w:t>
            </w:r>
            <w:r w:rsidR="002D4E84" w:rsidRPr="00B148F9">
              <w:t>10,930</w:t>
            </w:r>
            <w:r w:rsidR="007D3A96" w:rsidRPr="00B148F9">
              <w:t>; cost at 31 December 2018 US$-</w:t>
            </w:r>
            <w:r w:rsidRPr="00B148F9">
              <w:rPr>
                <w:rFonts w:cs="Arial"/>
                <w:lang w:eastAsia="en-GB"/>
              </w:rPr>
              <w:t>)</w:t>
            </w:r>
          </w:p>
        </w:tc>
        <w:tc>
          <w:tcPr>
            <w:tcW w:w="158" w:type="pct"/>
            <w:tcBorders>
              <w:top w:val="nil"/>
              <w:left w:val="nil"/>
              <w:bottom w:val="nil"/>
              <w:right w:val="nil"/>
            </w:tcBorders>
            <w:shd w:val="clear" w:color="auto" w:fill="auto"/>
            <w:noWrap/>
            <w:vAlign w:val="bottom"/>
          </w:tcPr>
          <w:p w14:paraId="71B5E005" w14:textId="77777777" w:rsidR="003565B2" w:rsidRPr="00B148F9" w:rsidRDefault="003565B2" w:rsidP="003565B2">
            <w:pPr>
              <w:rPr>
                <w:rFonts w:cs="Arial"/>
                <w:lang w:eastAsia="en-GB"/>
              </w:rPr>
            </w:pPr>
          </w:p>
        </w:tc>
        <w:tc>
          <w:tcPr>
            <w:tcW w:w="257" w:type="pct"/>
            <w:tcBorders>
              <w:top w:val="nil"/>
              <w:left w:val="nil"/>
              <w:bottom w:val="nil"/>
              <w:right w:val="nil"/>
            </w:tcBorders>
            <w:shd w:val="clear" w:color="auto" w:fill="auto"/>
            <w:noWrap/>
            <w:vAlign w:val="bottom"/>
          </w:tcPr>
          <w:p w14:paraId="69600438" w14:textId="77777777" w:rsidR="003565B2" w:rsidRPr="00B148F9" w:rsidRDefault="003565B2" w:rsidP="003565B2">
            <w:pPr>
              <w:jc w:val="right"/>
              <w:rPr>
                <w:rFonts w:cs="Arial"/>
                <w:b/>
                <w:bCs/>
                <w:lang w:eastAsia="en-GB"/>
              </w:rPr>
            </w:pPr>
          </w:p>
        </w:tc>
        <w:tc>
          <w:tcPr>
            <w:tcW w:w="315" w:type="pct"/>
            <w:tcBorders>
              <w:top w:val="nil"/>
              <w:left w:val="nil"/>
              <w:bottom w:val="nil"/>
              <w:right w:val="nil"/>
            </w:tcBorders>
            <w:shd w:val="clear" w:color="auto" w:fill="auto"/>
            <w:noWrap/>
            <w:vAlign w:val="bottom"/>
          </w:tcPr>
          <w:p w14:paraId="238EC178" w14:textId="77777777" w:rsidR="003565B2" w:rsidRPr="00B148F9" w:rsidRDefault="003565B2" w:rsidP="003565B2">
            <w:pPr>
              <w:rPr>
                <w:rFonts w:cs="Arial"/>
                <w:lang w:eastAsia="en-GB"/>
              </w:rPr>
            </w:pPr>
          </w:p>
        </w:tc>
        <w:tc>
          <w:tcPr>
            <w:tcW w:w="877" w:type="pct"/>
            <w:tcBorders>
              <w:top w:val="nil"/>
              <w:left w:val="nil"/>
              <w:bottom w:val="nil"/>
              <w:right w:val="nil"/>
            </w:tcBorders>
            <w:shd w:val="clear" w:color="auto" w:fill="auto"/>
            <w:noWrap/>
            <w:vAlign w:val="bottom"/>
          </w:tcPr>
          <w:p w14:paraId="36A0EC5D" w14:textId="77B869EF" w:rsidR="003565B2" w:rsidRPr="00B148F9" w:rsidRDefault="00F05197" w:rsidP="003565B2">
            <w:pPr>
              <w:jc w:val="right"/>
            </w:pPr>
            <w:r w:rsidRPr="00B148F9">
              <w:t>1,326,441</w:t>
            </w:r>
          </w:p>
        </w:tc>
        <w:tc>
          <w:tcPr>
            <w:tcW w:w="316" w:type="pct"/>
            <w:tcBorders>
              <w:top w:val="nil"/>
              <w:left w:val="nil"/>
              <w:bottom w:val="nil"/>
              <w:right w:val="nil"/>
            </w:tcBorders>
            <w:shd w:val="clear" w:color="auto" w:fill="auto"/>
            <w:noWrap/>
            <w:vAlign w:val="bottom"/>
          </w:tcPr>
          <w:p w14:paraId="56988878" w14:textId="77777777" w:rsidR="003565B2" w:rsidRPr="00B148F9" w:rsidRDefault="003565B2" w:rsidP="003565B2">
            <w:pPr>
              <w:jc w:val="right"/>
              <w:rPr>
                <w:rFonts w:cs="Arial"/>
                <w:lang w:eastAsia="en-GB"/>
              </w:rPr>
            </w:pPr>
          </w:p>
        </w:tc>
        <w:tc>
          <w:tcPr>
            <w:tcW w:w="877" w:type="pct"/>
            <w:tcBorders>
              <w:top w:val="nil"/>
              <w:left w:val="nil"/>
              <w:bottom w:val="nil"/>
              <w:right w:val="nil"/>
            </w:tcBorders>
            <w:shd w:val="clear" w:color="auto" w:fill="auto"/>
            <w:noWrap/>
            <w:vAlign w:val="bottom"/>
          </w:tcPr>
          <w:p w14:paraId="34B857E2" w14:textId="449DF98C" w:rsidR="003565B2" w:rsidRPr="00B148F9" w:rsidRDefault="00F05197" w:rsidP="003565B2">
            <w:pPr>
              <w:jc w:val="right"/>
            </w:pPr>
            <w:r w:rsidRPr="00B148F9">
              <w:t>-</w:t>
            </w:r>
          </w:p>
        </w:tc>
      </w:tr>
      <w:tr w:rsidR="0064234E" w:rsidRPr="00B148F9" w14:paraId="28B7E836" w14:textId="77777777" w:rsidTr="0064234E">
        <w:trPr>
          <w:trHeight w:val="270"/>
        </w:trPr>
        <w:tc>
          <w:tcPr>
            <w:tcW w:w="2200" w:type="pct"/>
            <w:tcBorders>
              <w:top w:val="nil"/>
              <w:left w:val="nil"/>
              <w:bottom w:val="nil"/>
              <w:right w:val="nil"/>
            </w:tcBorders>
            <w:shd w:val="clear" w:color="auto" w:fill="auto"/>
            <w:noWrap/>
            <w:vAlign w:val="bottom"/>
          </w:tcPr>
          <w:p w14:paraId="4A0EB782" w14:textId="77934012" w:rsidR="0064234E" w:rsidRPr="00B148F9" w:rsidRDefault="0064234E" w:rsidP="0064234E">
            <w:pPr>
              <w:jc w:val="left"/>
              <w:rPr>
                <w:rFonts w:cs="Arial"/>
                <w:lang w:eastAsia="en-GB"/>
              </w:rPr>
            </w:pPr>
            <w:r w:rsidRPr="00B148F9">
              <w:rPr>
                <w:rFonts w:cs="Arial"/>
                <w:lang w:eastAsia="en-GB"/>
              </w:rPr>
              <w:t>Cash and cash equivalents</w:t>
            </w:r>
          </w:p>
        </w:tc>
        <w:tc>
          <w:tcPr>
            <w:tcW w:w="158" w:type="pct"/>
            <w:tcBorders>
              <w:top w:val="nil"/>
              <w:left w:val="nil"/>
              <w:bottom w:val="nil"/>
              <w:right w:val="nil"/>
            </w:tcBorders>
            <w:shd w:val="clear" w:color="auto" w:fill="auto"/>
            <w:noWrap/>
            <w:vAlign w:val="bottom"/>
          </w:tcPr>
          <w:p w14:paraId="31A2CF3E"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tcPr>
          <w:p w14:paraId="4DF54F45"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56EEEA6C" w14:textId="77777777" w:rsidR="0064234E" w:rsidRPr="00B148F9" w:rsidRDefault="0064234E" w:rsidP="0064234E">
            <w:pPr>
              <w:rPr>
                <w:rFonts w:cs="Arial"/>
                <w:lang w:eastAsia="en-GB"/>
              </w:rPr>
            </w:pPr>
          </w:p>
        </w:tc>
        <w:tc>
          <w:tcPr>
            <w:tcW w:w="877" w:type="pct"/>
            <w:tcBorders>
              <w:top w:val="nil"/>
              <w:left w:val="nil"/>
              <w:right w:val="nil"/>
            </w:tcBorders>
            <w:shd w:val="clear" w:color="auto" w:fill="auto"/>
            <w:noWrap/>
            <w:vAlign w:val="bottom"/>
          </w:tcPr>
          <w:p w14:paraId="26A421B4" w14:textId="670DEACC" w:rsidR="0064234E" w:rsidRPr="00B148F9" w:rsidRDefault="0064234E" w:rsidP="0064234E">
            <w:pPr>
              <w:jc w:val="right"/>
            </w:pPr>
            <w:r w:rsidRPr="00B148F9">
              <w:t>10,731,354</w:t>
            </w:r>
          </w:p>
        </w:tc>
        <w:tc>
          <w:tcPr>
            <w:tcW w:w="316" w:type="pct"/>
            <w:tcBorders>
              <w:top w:val="nil"/>
              <w:left w:val="nil"/>
              <w:right w:val="nil"/>
            </w:tcBorders>
            <w:shd w:val="clear" w:color="auto" w:fill="auto"/>
            <w:noWrap/>
            <w:vAlign w:val="bottom"/>
          </w:tcPr>
          <w:p w14:paraId="01ADC286" w14:textId="77777777" w:rsidR="0064234E" w:rsidRPr="00B148F9" w:rsidRDefault="0064234E" w:rsidP="0064234E">
            <w:pPr>
              <w:jc w:val="right"/>
              <w:rPr>
                <w:rFonts w:cs="Arial"/>
                <w:lang w:eastAsia="en-GB"/>
              </w:rPr>
            </w:pPr>
          </w:p>
        </w:tc>
        <w:tc>
          <w:tcPr>
            <w:tcW w:w="877" w:type="pct"/>
            <w:tcBorders>
              <w:top w:val="nil"/>
              <w:left w:val="nil"/>
              <w:right w:val="nil"/>
            </w:tcBorders>
            <w:shd w:val="clear" w:color="auto" w:fill="auto"/>
            <w:noWrap/>
            <w:vAlign w:val="bottom"/>
          </w:tcPr>
          <w:p w14:paraId="020C30C7" w14:textId="1BF5827B" w:rsidR="0064234E" w:rsidRPr="00B148F9" w:rsidRDefault="0064234E" w:rsidP="0064234E">
            <w:pPr>
              <w:jc w:val="right"/>
            </w:pPr>
            <w:r w:rsidRPr="00B148F9">
              <w:t>31,324</w:t>
            </w:r>
          </w:p>
        </w:tc>
      </w:tr>
      <w:tr w:rsidR="0064234E" w:rsidRPr="00B148F9" w14:paraId="32ECAC7E" w14:textId="77777777" w:rsidTr="00EE53BF">
        <w:trPr>
          <w:trHeight w:val="270"/>
        </w:trPr>
        <w:tc>
          <w:tcPr>
            <w:tcW w:w="2200" w:type="pct"/>
            <w:tcBorders>
              <w:top w:val="nil"/>
              <w:left w:val="nil"/>
              <w:bottom w:val="nil"/>
              <w:right w:val="nil"/>
            </w:tcBorders>
            <w:shd w:val="clear" w:color="auto" w:fill="auto"/>
            <w:noWrap/>
            <w:vAlign w:val="bottom"/>
          </w:tcPr>
          <w:p w14:paraId="496E8AFD" w14:textId="585C4B1B" w:rsidR="0064234E" w:rsidRPr="00B148F9" w:rsidRDefault="0064234E" w:rsidP="0064234E">
            <w:pPr>
              <w:jc w:val="left"/>
              <w:rPr>
                <w:rFonts w:cs="Arial"/>
                <w:lang w:eastAsia="en-GB"/>
              </w:rPr>
            </w:pPr>
            <w:r w:rsidRPr="00B148F9">
              <w:rPr>
                <w:rFonts w:cs="Arial"/>
                <w:lang w:eastAsia="en-GB"/>
              </w:rPr>
              <w:t xml:space="preserve">Due from </w:t>
            </w:r>
            <w:r w:rsidR="00466D2D" w:rsidRPr="00B148F9">
              <w:rPr>
                <w:rFonts w:cs="Arial"/>
                <w:lang w:eastAsia="en-GB"/>
              </w:rPr>
              <w:t>b</w:t>
            </w:r>
            <w:r w:rsidRPr="00B148F9">
              <w:rPr>
                <w:rFonts w:cs="Arial"/>
                <w:lang w:eastAsia="en-GB"/>
              </w:rPr>
              <w:t>rokers</w:t>
            </w:r>
          </w:p>
        </w:tc>
        <w:tc>
          <w:tcPr>
            <w:tcW w:w="158" w:type="pct"/>
            <w:tcBorders>
              <w:top w:val="nil"/>
              <w:left w:val="nil"/>
              <w:bottom w:val="nil"/>
              <w:right w:val="nil"/>
            </w:tcBorders>
            <w:shd w:val="clear" w:color="auto" w:fill="auto"/>
            <w:noWrap/>
            <w:vAlign w:val="bottom"/>
          </w:tcPr>
          <w:p w14:paraId="30D6F15E"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tcPr>
          <w:p w14:paraId="40F65FD7"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46C799E4" w14:textId="77777777" w:rsidR="0064234E" w:rsidRPr="00B148F9" w:rsidRDefault="0064234E" w:rsidP="0064234E">
            <w:pPr>
              <w:rPr>
                <w:rFonts w:cs="Arial"/>
                <w:lang w:eastAsia="en-GB"/>
              </w:rPr>
            </w:pPr>
          </w:p>
        </w:tc>
        <w:tc>
          <w:tcPr>
            <w:tcW w:w="877" w:type="pct"/>
            <w:tcBorders>
              <w:top w:val="nil"/>
              <w:left w:val="nil"/>
              <w:right w:val="nil"/>
            </w:tcBorders>
            <w:shd w:val="clear" w:color="auto" w:fill="auto"/>
            <w:noWrap/>
            <w:vAlign w:val="bottom"/>
          </w:tcPr>
          <w:p w14:paraId="7267910C" w14:textId="3D45A20E" w:rsidR="0064234E" w:rsidRPr="00B148F9" w:rsidRDefault="0064234E" w:rsidP="0064234E">
            <w:pPr>
              <w:jc w:val="right"/>
            </w:pPr>
            <w:r w:rsidRPr="00B148F9">
              <w:t>33,083,714</w:t>
            </w:r>
          </w:p>
        </w:tc>
        <w:tc>
          <w:tcPr>
            <w:tcW w:w="316" w:type="pct"/>
            <w:tcBorders>
              <w:top w:val="nil"/>
              <w:left w:val="nil"/>
              <w:right w:val="nil"/>
            </w:tcBorders>
            <w:shd w:val="clear" w:color="auto" w:fill="auto"/>
            <w:noWrap/>
            <w:vAlign w:val="bottom"/>
          </w:tcPr>
          <w:p w14:paraId="0A3475AB" w14:textId="77777777" w:rsidR="0064234E" w:rsidRPr="00B148F9" w:rsidRDefault="0064234E" w:rsidP="0064234E">
            <w:pPr>
              <w:jc w:val="right"/>
              <w:rPr>
                <w:rFonts w:cs="Arial"/>
                <w:lang w:eastAsia="en-GB"/>
              </w:rPr>
            </w:pPr>
          </w:p>
        </w:tc>
        <w:tc>
          <w:tcPr>
            <w:tcW w:w="877" w:type="pct"/>
            <w:tcBorders>
              <w:top w:val="nil"/>
              <w:left w:val="nil"/>
              <w:right w:val="nil"/>
            </w:tcBorders>
            <w:shd w:val="clear" w:color="auto" w:fill="auto"/>
            <w:noWrap/>
            <w:vAlign w:val="bottom"/>
          </w:tcPr>
          <w:p w14:paraId="1992E1C9" w14:textId="3508FE86" w:rsidR="0064234E" w:rsidRPr="00B148F9" w:rsidRDefault="0064234E" w:rsidP="0064234E">
            <w:pPr>
              <w:jc w:val="right"/>
            </w:pPr>
            <w:r w:rsidRPr="00B148F9">
              <w:t>-</w:t>
            </w:r>
          </w:p>
        </w:tc>
      </w:tr>
      <w:tr w:rsidR="0064234E" w:rsidRPr="00B148F9" w14:paraId="2E43EB48" w14:textId="77777777" w:rsidTr="00EE53BF">
        <w:trPr>
          <w:trHeight w:val="270"/>
        </w:trPr>
        <w:tc>
          <w:tcPr>
            <w:tcW w:w="2200" w:type="pct"/>
            <w:tcBorders>
              <w:top w:val="nil"/>
              <w:left w:val="nil"/>
              <w:bottom w:val="nil"/>
              <w:right w:val="nil"/>
            </w:tcBorders>
            <w:shd w:val="clear" w:color="auto" w:fill="auto"/>
            <w:noWrap/>
            <w:vAlign w:val="bottom"/>
          </w:tcPr>
          <w:p w14:paraId="1026E101" w14:textId="67BA2565" w:rsidR="0064234E" w:rsidRPr="00B148F9" w:rsidRDefault="0064234E" w:rsidP="00780DC6">
            <w:pPr>
              <w:jc w:val="left"/>
              <w:rPr>
                <w:rFonts w:cs="Arial"/>
                <w:lang w:eastAsia="en-GB"/>
              </w:rPr>
            </w:pPr>
            <w:r w:rsidRPr="00B148F9">
              <w:rPr>
                <w:rFonts w:cs="Arial"/>
                <w:lang w:eastAsia="en-GB"/>
              </w:rPr>
              <w:t xml:space="preserve">Other </w:t>
            </w:r>
            <w:r w:rsidR="00466D2D" w:rsidRPr="00B148F9">
              <w:rPr>
                <w:rFonts w:cs="Arial"/>
                <w:lang w:eastAsia="en-GB"/>
              </w:rPr>
              <w:t>a</w:t>
            </w:r>
            <w:r w:rsidRPr="00B148F9">
              <w:rPr>
                <w:rFonts w:cs="Arial"/>
                <w:lang w:eastAsia="en-GB"/>
              </w:rPr>
              <w:t>ssets</w:t>
            </w:r>
          </w:p>
        </w:tc>
        <w:tc>
          <w:tcPr>
            <w:tcW w:w="158" w:type="pct"/>
            <w:tcBorders>
              <w:top w:val="nil"/>
              <w:left w:val="nil"/>
              <w:bottom w:val="nil"/>
              <w:right w:val="nil"/>
            </w:tcBorders>
            <w:shd w:val="clear" w:color="auto" w:fill="auto"/>
            <w:noWrap/>
            <w:vAlign w:val="bottom"/>
          </w:tcPr>
          <w:p w14:paraId="3E92A7B3"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tcPr>
          <w:p w14:paraId="1B38562F"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5B4F0444" w14:textId="77777777" w:rsidR="0064234E" w:rsidRPr="00B148F9" w:rsidRDefault="0064234E" w:rsidP="0064234E">
            <w:pPr>
              <w:rPr>
                <w:rFonts w:cs="Arial"/>
                <w:lang w:eastAsia="en-GB"/>
              </w:rPr>
            </w:pPr>
          </w:p>
        </w:tc>
        <w:tc>
          <w:tcPr>
            <w:tcW w:w="877" w:type="pct"/>
            <w:tcBorders>
              <w:top w:val="nil"/>
              <w:left w:val="nil"/>
              <w:bottom w:val="nil"/>
              <w:right w:val="nil"/>
            </w:tcBorders>
            <w:shd w:val="clear" w:color="auto" w:fill="auto"/>
            <w:noWrap/>
            <w:vAlign w:val="bottom"/>
          </w:tcPr>
          <w:p w14:paraId="01639194" w14:textId="6E164DC8" w:rsidR="0064234E" w:rsidRPr="00B148F9" w:rsidRDefault="00B37BAF">
            <w:pPr>
              <w:jc w:val="right"/>
            </w:pPr>
            <w:r w:rsidRPr="00B148F9">
              <w:t>5</w:t>
            </w:r>
            <w:r w:rsidR="0064234E" w:rsidRPr="00B148F9">
              <w:t>,</w:t>
            </w:r>
            <w:r w:rsidRPr="00B148F9">
              <w:t>808</w:t>
            </w:r>
          </w:p>
        </w:tc>
        <w:tc>
          <w:tcPr>
            <w:tcW w:w="316" w:type="pct"/>
            <w:tcBorders>
              <w:top w:val="nil"/>
              <w:left w:val="nil"/>
              <w:bottom w:val="nil"/>
              <w:right w:val="nil"/>
            </w:tcBorders>
            <w:shd w:val="clear" w:color="auto" w:fill="auto"/>
            <w:noWrap/>
            <w:vAlign w:val="bottom"/>
          </w:tcPr>
          <w:p w14:paraId="63D48B51" w14:textId="77777777" w:rsidR="0064234E" w:rsidRPr="00B148F9" w:rsidRDefault="0064234E" w:rsidP="0064234E">
            <w:pPr>
              <w:jc w:val="right"/>
              <w:rPr>
                <w:rFonts w:cs="Arial"/>
                <w:lang w:eastAsia="en-GB"/>
              </w:rPr>
            </w:pPr>
          </w:p>
        </w:tc>
        <w:tc>
          <w:tcPr>
            <w:tcW w:w="877" w:type="pct"/>
            <w:tcBorders>
              <w:top w:val="nil"/>
              <w:left w:val="nil"/>
              <w:bottom w:val="nil"/>
              <w:right w:val="nil"/>
            </w:tcBorders>
            <w:shd w:val="clear" w:color="auto" w:fill="auto"/>
            <w:noWrap/>
            <w:vAlign w:val="bottom"/>
          </w:tcPr>
          <w:p w14:paraId="6BF1973D" w14:textId="5561DB51" w:rsidR="0064234E" w:rsidRPr="00B148F9" w:rsidRDefault="0064234E" w:rsidP="0064234E">
            <w:pPr>
              <w:jc w:val="right"/>
            </w:pPr>
            <w:r w:rsidRPr="00B148F9">
              <w:t>2,859</w:t>
            </w:r>
          </w:p>
        </w:tc>
      </w:tr>
      <w:tr w:rsidR="0064234E" w:rsidRPr="00B148F9" w14:paraId="4071F6A0" w14:textId="77777777" w:rsidTr="00EE53BF">
        <w:trPr>
          <w:trHeight w:val="150"/>
        </w:trPr>
        <w:tc>
          <w:tcPr>
            <w:tcW w:w="2200" w:type="pct"/>
            <w:tcBorders>
              <w:top w:val="nil"/>
              <w:left w:val="nil"/>
              <w:bottom w:val="nil"/>
              <w:right w:val="nil"/>
            </w:tcBorders>
            <w:shd w:val="clear" w:color="auto" w:fill="auto"/>
            <w:noWrap/>
            <w:vAlign w:val="bottom"/>
            <w:hideMark/>
          </w:tcPr>
          <w:p w14:paraId="2D135467" w14:textId="77777777" w:rsidR="0064234E" w:rsidRPr="00B148F9" w:rsidRDefault="0064234E" w:rsidP="0064234E">
            <w:pPr>
              <w:rPr>
                <w:rFonts w:cs="Arial"/>
                <w:lang w:eastAsia="en-GB"/>
              </w:rPr>
            </w:pPr>
          </w:p>
        </w:tc>
        <w:tc>
          <w:tcPr>
            <w:tcW w:w="158" w:type="pct"/>
            <w:tcBorders>
              <w:top w:val="nil"/>
              <w:left w:val="nil"/>
              <w:bottom w:val="nil"/>
              <w:right w:val="nil"/>
            </w:tcBorders>
            <w:shd w:val="clear" w:color="auto" w:fill="auto"/>
            <w:noWrap/>
            <w:vAlign w:val="bottom"/>
            <w:hideMark/>
          </w:tcPr>
          <w:p w14:paraId="5999CEAE"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7C9ACC30"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59984B9E" w14:textId="77777777" w:rsidR="0064234E" w:rsidRPr="00B148F9" w:rsidRDefault="0064234E" w:rsidP="0064234E">
            <w:pPr>
              <w:rPr>
                <w:rFonts w:cs="Arial"/>
                <w:lang w:eastAsia="en-GB"/>
              </w:rPr>
            </w:pPr>
          </w:p>
        </w:tc>
        <w:tc>
          <w:tcPr>
            <w:tcW w:w="877" w:type="pct"/>
            <w:tcBorders>
              <w:top w:val="nil"/>
              <w:left w:val="nil"/>
              <w:bottom w:val="nil"/>
              <w:right w:val="nil"/>
            </w:tcBorders>
            <w:shd w:val="clear" w:color="auto" w:fill="auto"/>
            <w:noWrap/>
            <w:vAlign w:val="bottom"/>
          </w:tcPr>
          <w:p w14:paraId="4299C1BE" w14:textId="77777777" w:rsidR="0064234E" w:rsidRPr="00B148F9" w:rsidRDefault="0064234E" w:rsidP="0064234E">
            <w:pPr>
              <w:jc w:val="right"/>
              <w:rPr>
                <w:rFonts w:cs="Arial"/>
                <w:lang w:eastAsia="en-GB"/>
              </w:rPr>
            </w:pPr>
          </w:p>
        </w:tc>
        <w:tc>
          <w:tcPr>
            <w:tcW w:w="316" w:type="pct"/>
            <w:tcBorders>
              <w:top w:val="nil"/>
              <w:left w:val="nil"/>
              <w:bottom w:val="nil"/>
              <w:right w:val="nil"/>
            </w:tcBorders>
            <w:shd w:val="clear" w:color="auto" w:fill="auto"/>
            <w:noWrap/>
            <w:vAlign w:val="bottom"/>
            <w:hideMark/>
          </w:tcPr>
          <w:p w14:paraId="1FAA6B98" w14:textId="77777777" w:rsidR="0064234E" w:rsidRPr="00B148F9" w:rsidRDefault="0064234E" w:rsidP="0064234E">
            <w:pPr>
              <w:jc w:val="right"/>
              <w:rPr>
                <w:rFonts w:cs="Arial"/>
                <w:lang w:eastAsia="en-GB"/>
              </w:rPr>
            </w:pPr>
          </w:p>
        </w:tc>
        <w:tc>
          <w:tcPr>
            <w:tcW w:w="877" w:type="pct"/>
            <w:tcBorders>
              <w:top w:val="nil"/>
              <w:left w:val="nil"/>
              <w:bottom w:val="nil"/>
              <w:right w:val="nil"/>
            </w:tcBorders>
            <w:shd w:val="clear" w:color="auto" w:fill="auto"/>
            <w:noWrap/>
            <w:vAlign w:val="bottom"/>
          </w:tcPr>
          <w:p w14:paraId="67EE6A54" w14:textId="77777777" w:rsidR="0064234E" w:rsidRPr="00B148F9" w:rsidRDefault="0064234E" w:rsidP="0064234E">
            <w:pPr>
              <w:jc w:val="right"/>
              <w:rPr>
                <w:rFonts w:cs="Arial"/>
                <w:lang w:eastAsia="en-GB"/>
              </w:rPr>
            </w:pPr>
          </w:p>
        </w:tc>
      </w:tr>
      <w:tr w:rsidR="0064234E" w:rsidRPr="00B148F9" w14:paraId="5E4FA7F1" w14:textId="77777777" w:rsidTr="00EE53BF">
        <w:trPr>
          <w:trHeight w:val="270"/>
        </w:trPr>
        <w:tc>
          <w:tcPr>
            <w:tcW w:w="2200" w:type="pct"/>
            <w:tcBorders>
              <w:top w:val="nil"/>
              <w:left w:val="nil"/>
              <w:bottom w:val="nil"/>
              <w:right w:val="nil"/>
            </w:tcBorders>
            <w:shd w:val="clear" w:color="auto" w:fill="auto"/>
            <w:noWrap/>
            <w:vAlign w:val="bottom"/>
            <w:hideMark/>
          </w:tcPr>
          <w:p w14:paraId="6F0F375B" w14:textId="77777777" w:rsidR="0064234E" w:rsidRPr="00B148F9" w:rsidRDefault="0064234E" w:rsidP="0064234E">
            <w:pPr>
              <w:rPr>
                <w:rFonts w:cs="Arial"/>
                <w:b/>
                <w:bCs/>
                <w:lang w:eastAsia="en-GB"/>
              </w:rPr>
            </w:pPr>
            <w:r w:rsidRPr="00B148F9">
              <w:rPr>
                <w:rFonts w:cs="Arial"/>
                <w:b/>
                <w:bCs/>
                <w:lang w:eastAsia="en-GB"/>
              </w:rPr>
              <w:t>TOTAL ASSETS</w:t>
            </w:r>
          </w:p>
        </w:tc>
        <w:tc>
          <w:tcPr>
            <w:tcW w:w="158" w:type="pct"/>
            <w:tcBorders>
              <w:top w:val="nil"/>
              <w:left w:val="nil"/>
              <w:bottom w:val="nil"/>
              <w:right w:val="nil"/>
            </w:tcBorders>
            <w:shd w:val="clear" w:color="auto" w:fill="auto"/>
            <w:noWrap/>
            <w:vAlign w:val="bottom"/>
            <w:hideMark/>
          </w:tcPr>
          <w:p w14:paraId="35CB9918"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5EBCEB15"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10937BC5" w14:textId="2B8D9890" w:rsidR="0064234E" w:rsidRPr="00B148F9" w:rsidRDefault="0064234E" w:rsidP="0064234E">
            <w:pPr>
              <w:rPr>
                <w:rFonts w:cs="Arial"/>
                <w:lang w:eastAsia="en-GB"/>
              </w:rPr>
            </w:pPr>
            <w:r w:rsidRPr="00B148F9">
              <w:rPr>
                <w:rFonts w:cs="Arial"/>
                <w:b/>
                <w:lang w:eastAsia="en-GB"/>
              </w:rPr>
              <w:t>US$</w:t>
            </w:r>
          </w:p>
        </w:tc>
        <w:tc>
          <w:tcPr>
            <w:tcW w:w="877" w:type="pct"/>
            <w:tcBorders>
              <w:top w:val="single" w:sz="4" w:space="0" w:color="auto"/>
              <w:left w:val="nil"/>
              <w:bottom w:val="single" w:sz="4" w:space="0" w:color="auto"/>
              <w:right w:val="nil"/>
            </w:tcBorders>
            <w:shd w:val="clear" w:color="auto" w:fill="auto"/>
            <w:noWrap/>
            <w:vAlign w:val="bottom"/>
          </w:tcPr>
          <w:p w14:paraId="04FFE0B4" w14:textId="1DE2A1EC" w:rsidR="0064234E" w:rsidRPr="00B148F9" w:rsidRDefault="0064234E" w:rsidP="0064234E">
            <w:pPr>
              <w:jc w:val="right"/>
              <w:rPr>
                <w:b/>
              </w:rPr>
            </w:pPr>
            <w:r w:rsidRPr="00B148F9">
              <w:rPr>
                <w:b/>
              </w:rPr>
              <w:t>215,800,326</w:t>
            </w:r>
          </w:p>
        </w:tc>
        <w:tc>
          <w:tcPr>
            <w:tcW w:w="316" w:type="pct"/>
            <w:tcBorders>
              <w:top w:val="nil"/>
              <w:left w:val="nil"/>
              <w:bottom w:val="nil"/>
              <w:right w:val="nil"/>
            </w:tcBorders>
            <w:shd w:val="clear" w:color="auto" w:fill="auto"/>
            <w:noWrap/>
            <w:vAlign w:val="bottom"/>
            <w:hideMark/>
          </w:tcPr>
          <w:p w14:paraId="675C0C57" w14:textId="2ED567E1" w:rsidR="0064234E" w:rsidRPr="00B148F9" w:rsidRDefault="0064234E" w:rsidP="0064234E">
            <w:pPr>
              <w:jc w:val="right"/>
              <w:rPr>
                <w:rFonts w:cs="Arial"/>
                <w:b/>
                <w:lang w:eastAsia="en-GB"/>
              </w:rPr>
            </w:pPr>
            <w:r w:rsidRPr="00B148F9">
              <w:rPr>
                <w:rFonts w:cs="Arial"/>
                <w:b/>
                <w:lang w:eastAsia="en-GB"/>
              </w:rPr>
              <w:t>US$</w:t>
            </w:r>
          </w:p>
        </w:tc>
        <w:tc>
          <w:tcPr>
            <w:tcW w:w="877" w:type="pct"/>
            <w:tcBorders>
              <w:top w:val="single" w:sz="4" w:space="0" w:color="auto"/>
              <w:left w:val="nil"/>
              <w:bottom w:val="single" w:sz="4" w:space="0" w:color="auto"/>
              <w:right w:val="nil"/>
            </w:tcBorders>
            <w:shd w:val="clear" w:color="auto" w:fill="auto"/>
            <w:noWrap/>
            <w:vAlign w:val="bottom"/>
          </w:tcPr>
          <w:p w14:paraId="5152533A" w14:textId="6E275245" w:rsidR="0064234E" w:rsidRPr="00B148F9" w:rsidRDefault="0064234E" w:rsidP="0064234E">
            <w:pPr>
              <w:jc w:val="right"/>
              <w:rPr>
                <w:b/>
              </w:rPr>
            </w:pPr>
            <w:r w:rsidRPr="00B148F9">
              <w:rPr>
                <w:b/>
              </w:rPr>
              <w:t>65,755,740</w:t>
            </w:r>
          </w:p>
        </w:tc>
      </w:tr>
      <w:tr w:rsidR="0064234E" w:rsidRPr="00B148F9" w14:paraId="6503DCD9" w14:textId="77777777" w:rsidTr="00EE53BF">
        <w:trPr>
          <w:trHeight w:val="150"/>
        </w:trPr>
        <w:tc>
          <w:tcPr>
            <w:tcW w:w="2200" w:type="pct"/>
            <w:tcBorders>
              <w:top w:val="nil"/>
              <w:left w:val="nil"/>
              <w:bottom w:val="nil"/>
              <w:right w:val="nil"/>
            </w:tcBorders>
            <w:shd w:val="clear" w:color="auto" w:fill="auto"/>
            <w:noWrap/>
            <w:vAlign w:val="bottom"/>
            <w:hideMark/>
          </w:tcPr>
          <w:p w14:paraId="30EABA85" w14:textId="77777777" w:rsidR="0064234E" w:rsidRPr="00B148F9" w:rsidRDefault="0064234E" w:rsidP="0064234E">
            <w:pPr>
              <w:rPr>
                <w:rFonts w:cs="Arial"/>
                <w:lang w:eastAsia="en-GB"/>
              </w:rPr>
            </w:pPr>
          </w:p>
        </w:tc>
        <w:tc>
          <w:tcPr>
            <w:tcW w:w="158" w:type="pct"/>
            <w:tcBorders>
              <w:top w:val="nil"/>
              <w:left w:val="nil"/>
              <w:bottom w:val="nil"/>
              <w:right w:val="nil"/>
            </w:tcBorders>
            <w:shd w:val="clear" w:color="auto" w:fill="auto"/>
            <w:noWrap/>
            <w:vAlign w:val="bottom"/>
            <w:hideMark/>
          </w:tcPr>
          <w:p w14:paraId="38023E5C"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491F122F"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480968D8" w14:textId="77777777" w:rsidR="0064234E" w:rsidRPr="00B148F9" w:rsidRDefault="0064234E" w:rsidP="0064234E">
            <w:pPr>
              <w:rPr>
                <w:rFonts w:cs="Arial"/>
                <w:lang w:eastAsia="en-GB"/>
              </w:rPr>
            </w:pPr>
          </w:p>
        </w:tc>
        <w:tc>
          <w:tcPr>
            <w:tcW w:w="877" w:type="pct"/>
            <w:tcBorders>
              <w:top w:val="nil"/>
              <w:left w:val="nil"/>
              <w:bottom w:val="nil"/>
              <w:right w:val="nil"/>
            </w:tcBorders>
            <w:shd w:val="clear" w:color="auto" w:fill="auto"/>
            <w:noWrap/>
            <w:vAlign w:val="bottom"/>
          </w:tcPr>
          <w:p w14:paraId="2C080328" w14:textId="77777777" w:rsidR="0064234E" w:rsidRPr="00B148F9" w:rsidRDefault="0064234E" w:rsidP="0064234E">
            <w:pPr>
              <w:jc w:val="right"/>
              <w:rPr>
                <w:rFonts w:cs="Arial"/>
                <w:lang w:eastAsia="en-GB"/>
              </w:rPr>
            </w:pPr>
          </w:p>
        </w:tc>
        <w:tc>
          <w:tcPr>
            <w:tcW w:w="316" w:type="pct"/>
            <w:tcBorders>
              <w:top w:val="nil"/>
              <w:left w:val="nil"/>
              <w:bottom w:val="nil"/>
              <w:right w:val="nil"/>
            </w:tcBorders>
            <w:shd w:val="clear" w:color="auto" w:fill="auto"/>
            <w:noWrap/>
            <w:vAlign w:val="bottom"/>
            <w:hideMark/>
          </w:tcPr>
          <w:p w14:paraId="4A6DE375" w14:textId="77777777" w:rsidR="0064234E" w:rsidRPr="00B148F9" w:rsidRDefault="0064234E" w:rsidP="0064234E">
            <w:pPr>
              <w:jc w:val="right"/>
              <w:rPr>
                <w:rFonts w:cs="Arial"/>
                <w:lang w:eastAsia="en-GB"/>
              </w:rPr>
            </w:pPr>
          </w:p>
        </w:tc>
        <w:tc>
          <w:tcPr>
            <w:tcW w:w="877" w:type="pct"/>
            <w:tcBorders>
              <w:top w:val="nil"/>
              <w:left w:val="nil"/>
              <w:bottom w:val="nil"/>
              <w:right w:val="nil"/>
            </w:tcBorders>
            <w:shd w:val="clear" w:color="auto" w:fill="auto"/>
            <w:noWrap/>
            <w:vAlign w:val="bottom"/>
          </w:tcPr>
          <w:p w14:paraId="74BBD5BE" w14:textId="77777777" w:rsidR="0064234E" w:rsidRPr="00B148F9" w:rsidRDefault="0064234E" w:rsidP="0064234E">
            <w:pPr>
              <w:jc w:val="right"/>
              <w:rPr>
                <w:rFonts w:cs="Arial"/>
                <w:lang w:eastAsia="en-GB"/>
              </w:rPr>
            </w:pPr>
          </w:p>
        </w:tc>
      </w:tr>
      <w:tr w:rsidR="0064234E" w:rsidRPr="00B148F9" w14:paraId="0494B7AD" w14:textId="77777777" w:rsidTr="00EE53BF">
        <w:trPr>
          <w:trHeight w:val="150"/>
        </w:trPr>
        <w:tc>
          <w:tcPr>
            <w:tcW w:w="2200" w:type="pct"/>
            <w:tcBorders>
              <w:top w:val="nil"/>
              <w:left w:val="nil"/>
              <w:bottom w:val="nil"/>
              <w:right w:val="nil"/>
            </w:tcBorders>
            <w:shd w:val="clear" w:color="auto" w:fill="auto"/>
            <w:noWrap/>
            <w:vAlign w:val="bottom"/>
          </w:tcPr>
          <w:p w14:paraId="603C505D" w14:textId="77777777" w:rsidR="0064234E" w:rsidRPr="00B148F9" w:rsidRDefault="0064234E" w:rsidP="0064234E">
            <w:pPr>
              <w:rPr>
                <w:rFonts w:cs="Arial"/>
                <w:b/>
                <w:lang w:eastAsia="en-GB"/>
              </w:rPr>
            </w:pPr>
            <w:r w:rsidRPr="00B148F9">
              <w:rPr>
                <w:rFonts w:cs="Arial"/>
                <w:b/>
                <w:lang w:eastAsia="en-GB"/>
              </w:rPr>
              <w:t>LIABILITIES:</w:t>
            </w:r>
          </w:p>
        </w:tc>
        <w:tc>
          <w:tcPr>
            <w:tcW w:w="158" w:type="pct"/>
            <w:tcBorders>
              <w:top w:val="nil"/>
              <w:left w:val="nil"/>
              <w:bottom w:val="nil"/>
              <w:right w:val="nil"/>
            </w:tcBorders>
            <w:shd w:val="clear" w:color="auto" w:fill="auto"/>
            <w:noWrap/>
            <w:vAlign w:val="bottom"/>
          </w:tcPr>
          <w:p w14:paraId="04E3F055"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tcPr>
          <w:p w14:paraId="3787999D"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681CE05E" w14:textId="77777777" w:rsidR="0064234E" w:rsidRPr="00B148F9" w:rsidRDefault="0064234E" w:rsidP="0064234E">
            <w:pPr>
              <w:rPr>
                <w:rFonts w:cs="Arial"/>
                <w:lang w:eastAsia="en-GB"/>
              </w:rPr>
            </w:pPr>
          </w:p>
        </w:tc>
        <w:tc>
          <w:tcPr>
            <w:tcW w:w="877" w:type="pct"/>
            <w:tcBorders>
              <w:top w:val="nil"/>
              <w:left w:val="nil"/>
              <w:bottom w:val="nil"/>
              <w:right w:val="nil"/>
            </w:tcBorders>
            <w:shd w:val="clear" w:color="auto" w:fill="auto"/>
            <w:noWrap/>
            <w:vAlign w:val="bottom"/>
          </w:tcPr>
          <w:p w14:paraId="36D8692A" w14:textId="77777777" w:rsidR="0064234E" w:rsidRPr="00B148F9" w:rsidRDefault="0064234E" w:rsidP="0064234E">
            <w:pPr>
              <w:jc w:val="right"/>
              <w:rPr>
                <w:rFonts w:cs="Arial"/>
                <w:lang w:eastAsia="en-GB"/>
              </w:rPr>
            </w:pPr>
          </w:p>
        </w:tc>
        <w:tc>
          <w:tcPr>
            <w:tcW w:w="316" w:type="pct"/>
            <w:tcBorders>
              <w:top w:val="nil"/>
              <w:left w:val="nil"/>
              <w:bottom w:val="nil"/>
              <w:right w:val="nil"/>
            </w:tcBorders>
            <w:shd w:val="clear" w:color="auto" w:fill="auto"/>
            <w:noWrap/>
            <w:vAlign w:val="bottom"/>
          </w:tcPr>
          <w:p w14:paraId="27474321" w14:textId="77777777" w:rsidR="0064234E" w:rsidRPr="00B148F9" w:rsidRDefault="0064234E" w:rsidP="0064234E">
            <w:pPr>
              <w:jc w:val="right"/>
              <w:rPr>
                <w:rFonts w:cs="Arial"/>
                <w:lang w:eastAsia="en-GB"/>
              </w:rPr>
            </w:pPr>
          </w:p>
        </w:tc>
        <w:tc>
          <w:tcPr>
            <w:tcW w:w="877" w:type="pct"/>
            <w:tcBorders>
              <w:top w:val="nil"/>
              <w:left w:val="nil"/>
              <w:bottom w:val="nil"/>
              <w:right w:val="nil"/>
            </w:tcBorders>
            <w:shd w:val="clear" w:color="auto" w:fill="auto"/>
            <w:noWrap/>
            <w:vAlign w:val="bottom"/>
          </w:tcPr>
          <w:p w14:paraId="73E71EC7" w14:textId="77777777" w:rsidR="0064234E" w:rsidRPr="00B148F9" w:rsidRDefault="0064234E" w:rsidP="0064234E">
            <w:pPr>
              <w:jc w:val="right"/>
              <w:rPr>
                <w:rFonts w:cs="Arial"/>
                <w:lang w:eastAsia="en-GB"/>
              </w:rPr>
            </w:pPr>
          </w:p>
        </w:tc>
      </w:tr>
      <w:tr w:rsidR="0064234E" w:rsidRPr="00B148F9" w14:paraId="44671485" w14:textId="77777777" w:rsidTr="00EE53BF">
        <w:trPr>
          <w:trHeight w:val="270"/>
        </w:trPr>
        <w:tc>
          <w:tcPr>
            <w:tcW w:w="2200" w:type="pct"/>
            <w:tcBorders>
              <w:top w:val="nil"/>
              <w:left w:val="nil"/>
              <w:bottom w:val="nil"/>
              <w:right w:val="nil"/>
            </w:tcBorders>
            <w:shd w:val="clear" w:color="auto" w:fill="auto"/>
            <w:noWrap/>
            <w:vAlign w:val="bottom"/>
            <w:hideMark/>
          </w:tcPr>
          <w:p w14:paraId="5857133B" w14:textId="77777777" w:rsidR="0064234E" w:rsidRPr="00B148F9" w:rsidRDefault="0064234E" w:rsidP="0064234E">
            <w:pPr>
              <w:rPr>
                <w:rFonts w:cs="Arial"/>
                <w:b/>
                <w:bCs/>
                <w:lang w:eastAsia="en-GB"/>
              </w:rPr>
            </w:pPr>
            <w:r w:rsidRPr="00B148F9">
              <w:rPr>
                <w:rFonts w:cs="Arial"/>
                <w:b/>
                <w:bCs/>
                <w:lang w:eastAsia="en-GB"/>
              </w:rPr>
              <w:t>Current liabilities</w:t>
            </w:r>
          </w:p>
        </w:tc>
        <w:tc>
          <w:tcPr>
            <w:tcW w:w="158" w:type="pct"/>
            <w:tcBorders>
              <w:top w:val="nil"/>
              <w:left w:val="nil"/>
              <w:bottom w:val="nil"/>
              <w:right w:val="nil"/>
            </w:tcBorders>
            <w:shd w:val="clear" w:color="auto" w:fill="auto"/>
            <w:noWrap/>
            <w:vAlign w:val="bottom"/>
            <w:hideMark/>
          </w:tcPr>
          <w:p w14:paraId="1F899ECB"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7D9D9BD9"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2270C653" w14:textId="77777777" w:rsidR="0064234E" w:rsidRPr="00B148F9" w:rsidRDefault="0064234E" w:rsidP="0064234E">
            <w:pPr>
              <w:rPr>
                <w:rFonts w:cs="Arial"/>
                <w:lang w:eastAsia="en-GB"/>
              </w:rPr>
            </w:pPr>
          </w:p>
        </w:tc>
        <w:tc>
          <w:tcPr>
            <w:tcW w:w="877" w:type="pct"/>
            <w:tcBorders>
              <w:top w:val="nil"/>
              <w:left w:val="nil"/>
              <w:right w:val="nil"/>
            </w:tcBorders>
            <w:shd w:val="clear" w:color="auto" w:fill="auto"/>
            <w:noWrap/>
            <w:vAlign w:val="bottom"/>
          </w:tcPr>
          <w:p w14:paraId="5B75269B" w14:textId="77777777" w:rsidR="0064234E" w:rsidRPr="00B148F9" w:rsidRDefault="0064234E" w:rsidP="0064234E">
            <w:pPr>
              <w:jc w:val="right"/>
              <w:rPr>
                <w:rFonts w:cs="Arial"/>
                <w:lang w:eastAsia="en-GB"/>
              </w:rPr>
            </w:pPr>
          </w:p>
        </w:tc>
        <w:tc>
          <w:tcPr>
            <w:tcW w:w="316" w:type="pct"/>
            <w:tcBorders>
              <w:top w:val="nil"/>
              <w:left w:val="nil"/>
              <w:right w:val="nil"/>
            </w:tcBorders>
            <w:shd w:val="clear" w:color="auto" w:fill="auto"/>
            <w:noWrap/>
            <w:vAlign w:val="bottom"/>
            <w:hideMark/>
          </w:tcPr>
          <w:p w14:paraId="3856FAF3" w14:textId="77777777" w:rsidR="0064234E" w:rsidRPr="00B148F9" w:rsidRDefault="0064234E" w:rsidP="0064234E">
            <w:pPr>
              <w:jc w:val="right"/>
              <w:rPr>
                <w:rFonts w:cs="Arial"/>
                <w:lang w:eastAsia="en-GB"/>
              </w:rPr>
            </w:pPr>
          </w:p>
        </w:tc>
        <w:tc>
          <w:tcPr>
            <w:tcW w:w="877" w:type="pct"/>
            <w:tcBorders>
              <w:top w:val="nil"/>
              <w:left w:val="nil"/>
              <w:right w:val="nil"/>
            </w:tcBorders>
            <w:shd w:val="clear" w:color="auto" w:fill="auto"/>
            <w:noWrap/>
            <w:vAlign w:val="bottom"/>
          </w:tcPr>
          <w:p w14:paraId="7BE612AB" w14:textId="77777777" w:rsidR="0064234E" w:rsidRPr="00B148F9" w:rsidRDefault="0064234E" w:rsidP="0064234E">
            <w:pPr>
              <w:jc w:val="right"/>
              <w:rPr>
                <w:rFonts w:cs="Arial"/>
                <w:lang w:eastAsia="en-GB"/>
              </w:rPr>
            </w:pPr>
          </w:p>
        </w:tc>
      </w:tr>
      <w:tr w:rsidR="0064234E" w:rsidRPr="00B148F9" w14:paraId="10E9F333" w14:textId="77777777" w:rsidTr="00EE53BF">
        <w:trPr>
          <w:trHeight w:val="270"/>
        </w:trPr>
        <w:tc>
          <w:tcPr>
            <w:tcW w:w="2200" w:type="pct"/>
            <w:tcBorders>
              <w:top w:val="nil"/>
              <w:left w:val="nil"/>
              <w:bottom w:val="nil"/>
              <w:right w:val="nil"/>
            </w:tcBorders>
            <w:shd w:val="clear" w:color="auto" w:fill="auto"/>
            <w:noWrap/>
            <w:vAlign w:val="bottom"/>
            <w:hideMark/>
          </w:tcPr>
          <w:p w14:paraId="418B0975" w14:textId="63606639" w:rsidR="0064234E" w:rsidRPr="00B148F9" w:rsidRDefault="0064234E" w:rsidP="0064234E">
            <w:pPr>
              <w:rPr>
                <w:rFonts w:cs="Arial"/>
                <w:lang w:eastAsia="en-GB"/>
              </w:rPr>
            </w:pPr>
            <w:r w:rsidRPr="00B148F9">
              <w:rPr>
                <w:rFonts w:cs="Arial"/>
                <w:lang w:eastAsia="en-GB"/>
              </w:rPr>
              <w:t>Securities sold short, at fair value (proceeds at 31 December 2019:US$</w:t>
            </w:r>
            <w:r w:rsidRPr="00B148F9">
              <w:t>193,650</w:t>
            </w:r>
            <w:r w:rsidR="007D3A96" w:rsidRPr="00B148F9">
              <w:t>; proceeds at 31 December 2018 US$-</w:t>
            </w:r>
            <w:r w:rsidRPr="00B148F9">
              <w:rPr>
                <w:rFonts w:cs="Arial"/>
                <w:lang w:eastAsia="en-GB"/>
              </w:rPr>
              <w:t>)</w:t>
            </w:r>
          </w:p>
        </w:tc>
        <w:tc>
          <w:tcPr>
            <w:tcW w:w="158" w:type="pct"/>
            <w:tcBorders>
              <w:top w:val="nil"/>
              <w:left w:val="nil"/>
              <w:bottom w:val="nil"/>
              <w:right w:val="nil"/>
            </w:tcBorders>
            <w:shd w:val="clear" w:color="auto" w:fill="auto"/>
            <w:noWrap/>
            <w:vAlign w:val="bottom"/>
            <w:hideMark/>
          </w:tcPr>
          <w:p w14:paraId="0DF6B0DD"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4BEBBC37"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2DA07115" w14:textId="77777777" w:rsidR="0064234E" w:rsidRPr="00B148F9" w:rsidRDefault="0064234E" w:rsidP="0064234E">
            <w:pPr>
              <w:rPr>
                <w:rFonts w:cs="Arial"/>
                <w:lang w:eastAsia="en-GB"/>
              </w:rPr>
            </w:pPr>
          </w:p>
        </w:tc>
        <w:tc>
          <w:tcPr>
            <w:tcW w:w="877" w:type="pct"/>
            <w:tcBorders>
              <w:top w:val="nil"/>
              <w:left w:val="nil"/>
              <w:bottom w:val="nil"/>
              <w:right w:val="nil"/>
            </w:tcBorders>
            <w:shd w:val="clear" w:color="auto" w:fill="auto"/>
            <w:noWrap/>
            <w:vAlign w:val="bottom"/>
          </w:tcPr>
          <w:p w14:paraId="7F1F0A11" w14:textId="43D44CBD" w:rsidR="0064234E" w:rsidRPr="00B148F9" w:rsidRDefault="0064234E" w:rsidP="0064234E">
            <w:pPr>
              <w:jc w:val="right"/>
              <w:rPr>
                <w:rFonts w:cs="Arial"/>
                <w:lang w:eastAsia="en-GB"/>
              </w:rPr>
            </w:pPr>
            <w:r w:rsidRPr="00B148F9">
              <w:rPr>
                <w:rFonts w:cs="Arial"/>
                <w:lang w:eastAsia="en-GB"/>
              </w:rPr>
              <w:t>202,933</w:t>
            </w:r>
          </w:p>
        </w:tc>
        <w:tc>
          <w:tcPr>
            <w:tcW w:w="316" w:type="pct"/>
            <w:tcBorders>
              <w:top w:val="nil"/>
              <w:left w:val="nil"/>
              <w:bottom w:val="nil"/>
              <w:right w:val="nil"/>
            </w:tcBorders>
            <w:shd w:val="clear" w:color="auto" w:fill="auto"/>
            <w:noWrap/>
            <w:vAlign w:val="bottom"/>
            <w:hideMark/>
          </w:tcPr>
          <w:p w14:paraId="64D22D67" w14:textId="77777777" w:rsidR="0064234E" w:rsidRPr="00B148F9" w:rsidRDefault="0064234E" w:rsidP="0064234E">
            <w:pPr>
              <w:jc w:val="right"/>
              <w:rPr>
                <w:rFonts w:cs="Arial"/>
                <w:lang w:eastAsia="en-GB"/>
              </w:rPr>
            </w:pPr>
          </w:p>
        </w:tc>
        <w:tc>
          <w:tcPr>
            <w:tcW w:w="877" w:type="pct"/>
            <w:tcBorders>
              <w:top w:val="nil"/>
              <w:left w:val="nil"/>
              <w:bottom w:val="nil"/>
              <w:right w:val="nil"/>
            </w:tcBorders>
            <w:shd w:val="clear" w:color="auto" w:fill="auto"/>
            <w:noWrap/>
            <w:vAlign w:val="bottom"/>
          </w:tcPr>
          <w:p w14:paraId="6E24B2BD" w14:textId="231DF38A" w:rsidR="0064234E" w:rsidRPr="00B148F9" w:rsidRDefault="0064234E" w:rsidP="0064234E">
            <w:pPr>
              <w:jc w:val="right"/>
              <w:rPr>
                <w:rFonts w:cs="Arial"/>
                <w:lang w:eastAsia="en-GB"/>
              </w:rPr>
            </w:pPr>
            <w:r w:rsidRPr="00B148F9">
              <w:rPr>
                <w:rFonts w:cs="Arial"/>
                <w:lang w:eastAsia="en-GB"/>
              </w:rPr>
              <w:t>-</w:t>
            </w:r>
          </w:p>
        </w:tc>
      </w:tr>
      <w:tr w:rsidR="0064234E" w:rsidRPr="00B148F9" w14:paraId="79642A3C" w14:textId="77777777" w:rsidTr="00EE53BF">
        <w:trPr>
          <w:trHeight w:val="270"/>
        </w:trPr>
        <w:tc>
          <w:tcPr>
            <w:tcW w:w="2200" w:type="pct"/>
            <w:tcBorders>
              <w:top w:val="nil"/>
              <w:left w:val="nil"/>
              <w:bottom w:val="nil"/>
              <w:right w:val="nil"/>
            </w:tcBorders>
            <w:shd w:val="clear" w:color="auto" w:fill="auto"/>
            <w:noWrap/>
            <w:vAlign w:val="bottom"/>
          </w:tcPr>
          <w:p w14:paraId="385599FF" w14:textId="23B779D4" w:rsidR="0064234E" w:rsidRPr="00B148F9" w:rsidRDefault="0064234E" w:rsidP="0064234E">
            <w:pPr>
              <w:rPr>
                <w:rFonts w:cs="Arial"/>
                <w:bCs/>
                <w:lang w:eastAsia="en-GB"/>
              </w:rPr>
            </w:pPr>
            <w:r w:rsidRPr="00B148F9">
              <w:rPr>
                <w:rFonts w:cs="Arial"/>
                <w:bCs/>
                <w:lang w:eastAsia="en-GB"/>
              </w:rPr>
              <w:t>Due to brokers</w:t>
            </w:r>
          </w:p>
        </w:tc>
        <w:tc>
          <w:tcPr>
            <w:tcW w:w="158" w:type="pct"/>
            <w:tcBorders>
              <w:top w:val="nil"/>
              <w:left w:val="nil"/>
              <w:bottom w:val="nil"/>
              <w:right w:val="nil"/>
            </w:tcBorders>
            <w:shd w:val="clear" w:color="auto" w:fill="auto"/>
            <w:noWrap/>
            <w:vAlign w:val="bottom"/>
          </w:tcPr>
          <w:p w14:paraId="47019298"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tcPr>
          <w:p w14:paraId="2261AB96"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18004F38" w14:textId="77777777" w:rsidR="0064234E" w:rsidRPr="00B148F9" w:rsidRDefault="0064234E" w:rsidP="0064234E">
            <w:pPr>
              <w:rPr>
                <w:rFonts w:cs="Arial"/>
                <w:lang w:eastAsia="en-GB"/>
              </w:rPr>
            </w:pPr>
          </w:p>
        </w:tc>
        <w:tc>
          <w:tcPr>
            <w:tcW w:w="877" w:type="pct"/>
            <w:tcBorders>
              <w:left w:val="nil"/>
              <w:right w:val="nil"/>
            </w:tcBorders>
            <w:shd w:val="clear" w:color="auto" w:fill="auto"/>
            <w:noWrap/>
            <w:vAlign w:val="bottom"/>
          </w:tcPr>
          <w:p w14:paraId="5EEBD3E2" w14:textId="09534097" w:rsidR="0064234E" w:rsidRPr="00B148F9" w:rsidRDefault="0064234E" w:rsidP="0064234E">
            <w:pPr>
              <w:jc w:val="right"/>
              <w:rPr>
                <w:rFonts w:cs="Arial"/>
                <w:bCs/>
                <w:lang w:eastAsia="en-GB"/>
              </w:rPr>
            </w:pPr>
            <w:r w:rsidRPr="00B148F9">
              <w:rPr>
                <w:rFonts w:cs="Arial"/>
                <w:bCs/>
                <w:lang w:eastAsia="en-GB"/>
              </w:rPr>
              <w:t>550,186</w:t>
            </w:r>
          </w:p>
        </w:tc>
        <w:tc>
          <w:tcPr>
            <w:tcW w:w="316" w:type="pct"/>
            <w:tcBorders>
              <w:left w:val="nil"/>
              <w:right w:val="nil"/>
            </w:tcBorders>
            <w:shd w:val="clear" w:color="auto" w:fill="auto"/>
            <w:noWrap/>
            <w:vAlign w:val="bottom"/>
          </w:tcPr>
          <w:p w14:paraId="182C7C51" w14:textId="77777777" w:rsidR="0064234E" w:rsidRPr="00B148F9" w:rsidRDefault="0064234E" w:rsidP="0064234E">
            <w:pPr>
              <w:jc w:val="right"/>
              <w:rPr>
                <w:rFonts w:cs="Arial"/>
                <w:lang w:eastAsia="en-GB"/>
              </w:rPr>
            </w:pPr>
          </w:p>
        </w:tc>
        <w:tc>
          <w:tcPr>
            <w:tcW w:w="877" w:type="pct"/>
            <w:tcBorders>
              <w:left w:val="nil"/>
              <w:right w:val="nil"/>
            </w:tcBorders>
            <w:shd w:val="clear" w:color="auto" w:fill="auto"/>
            <w:noWrap/>
            <w:vAlign w:val="bottom"/>
          </w:tcPr>
          <w:p w14:paraId="7DA9E286" w14:textId="427B542C" w:rsidR="0064234E" w:rsidRPr="00B148F9" w:rsidRDefault="0064234E" w:rsidP="0064234E">
            <w:pPr>
              <w:jc w:val="right"/>
              <w:rPr>
                <w:rFonts w:cs="Arial"/>
                <w:bCs/>
                <w:lang w:eastAsia="en-GB"/>
              </w:rPr>
            </w:pPr>
            <w:r w:rsidRPr="00B148F9">
              <w:rPr>
                <w:rFonts w:cs="Arial"/>
                <w:bCs/>
                <w:lang w:eastAsia="en-GB"/>
              </w:rPr>
              <w:t>-</w:t>
            </w:r>
          </w:p>
        </w:tc>
      </w:tr>
      <w:tr w:rsidR="0064234E" w:rsidRPr="00B148F9" w14:paraId="18223F31" w14:textId="77777777" w:rsidTr="00EE53BF">
        <w:trPr>
          <w:trHeight w:val="150"/>
        </w:trPr>
        <w:tc>
          <w:tcPr>
            <w:tcW w:w="2200" w:type="pct"/>
            <w:tcBorders>
              <w:top w:val="nil"/>
              <w:left w:val="nil"/>
              <w:bottom w:val="nil"/>
              <w:right w:val="nil"/>
            </w:tcBorders>
            <w:shd w:val="clear" w:color="auto" w:fill="auto"/>
            <w:noWrap/>
            <w:vAlign w:val="bottom"/>
          </w:tcPr>
          <w:p w14:paraId="47D5A9D9" w14:textId="28461D11" w:rsidR="0064234E" w:rsidRPr="00B148F9" w:rsidRDefault="0064234E" w:rsidP="0064234E">
            <w:pPr>
              <w:rPr>
                <w:rFonts w:cs="Arial"/>
                <w:bCs/>
                <w:lang w:eastAsia="en-GB"/>
              </w:rPr>
            </w:pPr>
            <w:r w:rsidRPr="00B148F9">
              <w:rPr>
                <w:rFonts w:cs="Arial"/>
                <w:bCs/>
                <w:lang w:eastAsia="en-GB"/>
              </w:rPr>
              <w:t>Accrued expenses</w:t>
            </w:r>
          </w:p>
        </w:tc>
        <w:tc>
          <w:tcPr>
            <w:tcW w:w="158" w:type="pct"/>
            <w:tcBorders>
              <w:top w:val="nil"/>
              <w:left w:val="nil"/>
              <w:bottom w:val="nil"/>
              <w:right w:val="nil"/>
            </w:tcBorders>
            <w:shd w:val="clear" w:color="auto" w:fill="auto"/>
            <w:noWrap/>
            <w:vAlign w:val="bottom"/>
          </w:tcPr>
          <w:p w14:paraId="6AE1D3B4"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tcPr>
          <w:p w14:paraId="7483937A"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76BDAF85" w14:textId="77777777" w:rsidR="0064234E" w:rsidRPr="00B148F9" w:rsidRDefault="0064234E" w:rsidP="0064234E">
            <w:pPr>
              <w:rPr>
                <w:rFonts w:cs="Arial"/>
                <w:lang w:eastAsia="en-GB"/>
              </w:rPr>
            </w:pPr>
          </w:p>
        </w:tc>
        <w:tc>
          <w:tcPr>
            <w:tcW w:w="877" w:type="pct"/>
            <w:tcBorders>
              <w:left w:val="nil"/>
              <w:bottom w:val="nil"/>
              <w:right w:val="nil"/>
            </w:tcBorders>
            <w:shd w:val="clear" w:color="auto" w:fill="auto"/>
            <w:noWrap/>
            <w:vAlign w:val="bottom"/>
          </w:tcPr>
          <w:p w14:paraId="6603796D" w14:textId="2E6CF619" w:rsidR="0064234E" w:rsidRPr="00B148F9" w:rsidRDefault="0064234E" w:rsidP="0064234E">
            <w:pPr>
              <w:jc w:val="right"/>
              <w:rPr>
                <w:rFonts w:cs="Arial"/>
                <w:lang w:eastAsia="en-GB"/>
              </w:rPr>
            </w:pPr>
            <w:r w:rsidRPr="00B148F9">
              <w:rPr>
                <w:rFonts w:cs="Arial"/>
                <w:lang w:eastAsia="en-GB"/>
              </w:rPr>
              <w:t>660,232</w:t>
            </w:r>
          </w:p>
        </w:tc>
        <w:tc>
          <w:tcPr>
            <w:tcW w:w="316" w:type="pct"/>
            <w:tcBorders>
              <w:left w:val="nil"/>
              <w:bottom w:val="nil"/>
              <w:right w:val="nil"/>
            </w:tcBorders>
            <w:shd w:val="clear" w:color="auto" w:fill="auto"/>
            <w:noWrap/>
            <w:vAlign w:val="bottom"/>
          </w:tcPr>
          <w:p w14:paraId="2E562B08" w14:textId="77777777" w:rsidR="0064234E" w:rsidRPr="00B148F9" w:rsidRDefault="0064234E" w:rsidP="0064234E">
            <w:pPr>
              <w:jc w:val="right"/>
              <w:rPr>
                <w:rFonts w:cs="Arial"/>
                <w:lang w:eastAsia="en-GB"/>
              </w:rPr>
            </w:pPr>
          </w:p>
        </w:tc>
        <w:tc>
          <w:tcPr>
            <w:tcW w:w="877" w:type="pct"/>
            <w:tcBorders>
              <w:left w:val="nil"/>
              <w:bottom w:val="nil"/>
              <w:right w:val="nil"/>
            </w:tcBorders>
            <w:shd w:val="clear" w:color="auto" w:fill="auto"/>
            <w:noWrap/>
            <w:vAlign w:val="bottom"/>
          </w:tcPr>
          <w:p w14:paraId="3ABDA2FB" w14:textId="29728372" w:rsidR="0064234E" w:rsidRPr="00B148F9" w:rsidRDefault="0064234E" w:rsidP="0064234E">
            <w:pPr>
              <w:jc w:val="right"/>
              <w:rPr>
                <w:rFonts w:cs="Arial"/>
                <w:lang w:eastAsia="en-GB"/>
              </w:rPr>
            </w:pPr>
            <w:r w:rsidRPr="00B148F9">
              <w:rPr>
                <w:rFonts w:cs="Arial"/>
                <w:lang w:eastAsia="en-GB"/>
              </w:rPr>
              <w:t>32,237</w:t>
            </w:r>
          </w:p>
        </w:tc>
      </w:tr>
      <w:tr w:rsidR="0064234E" w:rsidRPr="00B148F9" w14:paraId="0F957501" w14:textId="77777777" w:rsidTr="00EE53BF">
        <w:trPr>
          <w:trHeight w:val="150"/>
        </w:trPr>
        <w:tc>
          <w:tcPr>
            <w:tcW w:w="2200" w:type="pct"/>
            <w:tcBorders>
              <w:top w:val="nil"/>
              <w:left w:val="nil"/>
              <w:bottom w:val="nil"/>
              <w:right w:val="nil"/>
            </w:tcBorders>
            <w:shd w:val="clear" w:color="auto" w:fill="auto"/>
            <w:noWrap/>
            <w:vAlign w:val="bottom"/>
            <w:hideMark/>
          </w:tcPr>
          <w:p w14:paraId="3926D5C6" w14:textId="77777777" w:rsidR="0064234E" w:rsidRPr="00B148F9" w:rsidRDefault="0064234E" w:rsidP="0064234E">
            <w:pPr>
              <w:rPr>
                <w:rFonts w:cs="Arial"/>
                <w:bCs/>
                <w:lang w:eastAsia="en-GB"/>
              </w:rPr>
            </w:pPr>
          </w:p>
        </w:tc>
        <w:tc>
          <w:tcPr>
            <w:tcW w:w="158" w:type="pct"/>
            <w:tcBorders>
              <w:top w:val="nil"/>
              <w:left w:val="nil"/>
              <w:bottom w:val="nil"/>
              <w:right w:val="nil"/>
            </w:tcBorders>
            <w:shd w:val="clear" w:color="auto" w:fill="auto"/>
            <w:noWrap/>
            <w:vAlign w:val="bottom"/>
            <w:hideMark/>
          </w:tcPr>
          <w:p w14:paraId="21E3D131"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3BDD0A7C"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29E80E0A" w14:textId="77777777" w:rsidR="0064234E" w:rsidRPr="00B148F9" w:rsidRDefault="0064234E" w:rsidP="0064234E">
            <w:pPr>
              <w:rPr>
                <w:rFonts w:cs="Arial"/>
                <w:lang w:eastAsia="en-GB"/>
              </w:rPr>
            </w:pPr>
          </w:p>
        </w:tc>
        <w:tc>
          <w:tcPr>
            <w:tcW w:w="877" w:type="pct"/>
            <w:tcBorders>
              <w:left w:val="nil"/>
              <w:bottom w:val="nil"/>
              <w:right w:val="nil"/>
            </w:tcBorders>
            <w:shd w:val="clear" w:color="auto" w:fill="auto"/>
            <w:noWrap/>
            <w:vAlign w:val="bottom"/>
          </w:tcPr>
          <w:p w14:paraId="466F6B0D" w14:textId="77777777" w:rsidR="0064234E" w:rsidRPr="00B148F9" w:rsidRDefault="0064234E" w:rsidP="0064234E">
            <w:pPr>
              <w:jc w:val="right"/>
              <w:rPr>
                <w:rFonts w:cs="Arial"/>
                <w:lang w:eastAsia="en-GB"/>
              </w:rPr>
            </w:pPr>
          </w:p>
        </w:tc>
        <w:tc>
          <w:tcPr>
            <w:tcW w:w="316" w:type="pct"/>
            <w:tcBorders>
              <w:left w:val="nil"/>
              <w:bottom w:val="nil"/>
              <w:right w:val="nil"/>
            </w:tcBorders>
            <w:shd w:val="clear" w:color="auto" w:fill="auto"/>
            <w:noWrap/>
            <w:vAlign w:val="bottom"/>
            <w:hideMark/>
          </w:tcPr>
          <w:p w14:paraId="3B6AAE42" w14:textId="77777777" w:rsidR="0064234E" w:rsidRPr="00B148F9" w:rsidRDefault="0064234E" w:rsidP="0064234E">
            <w:pPr>
              <w:jc w:val="right"/>
              <w:rPr>
                <w:rFonts w:cs="Arial"/>
                <w:lang w:eastAsia="en-GB"/>
              </w:rPr>
            </w:pPr>
          </w:p>
        </w:tc>
        <w:tc>
          <w:tcPr>
            <w:tcW w:w="877" w:type="pct"/>
            <w:tcBorders>
              <w:left w:val="nil"/>
              <w:bottom w:val="nil"/>
              <w:right w:val="nil"/>
            </w:tcBorders>
            <w:shd w:val="clear" w:color="auto" w:fill="auto"/>
            <w:noWrap/>
            <w:vAlign w:val="bottom"/>
          </w:tcPr>
          <w:p w14:paraId="06AC0055" w14:textId="77777777" w:rsidR="0064234E" w:rsidRPr="00B148F9" w:rsidRDefault="0064234E" w:rsidP="0064234E">
            <w:pPr>
              <w:jc w:val="right"/>
              <w:rPr>
                <w:rFonts w:cs="Arial"/>
                <w:lang w:eastAsia="en-GB"/>
              </w:rPr>
            </w:pPr>
          </w:p>
        </w:tc>
      </w:tr>
      <w:tr w:rsidR="0064234E" w:rsidRPr="00B148F9" w14:paraId="155C2008" w14:textId="77777777" w:rsidTr="00EE53BF">
        <w:trPr>
          <w:trHeight w:val="270"/>
        </w:trPr>
        <w:tc>
          <w:tcPr>
            <w:tcW w:w="2200" w:type="pct"/>
            <w:tcBorders>
              <w:top w:val="nil"/>
              <w:left w:val="nil"/>
              <w:bottom w:val="nil"/>
              <w:right w:val="nil"/>
            </w:tcBorders>
            <w:shd w:val="clear" w:color="auto" w:fill="auto"/>
            <w:noWrap/>
            <w:vAlign w:val="bottom"/>
            <w:hideMark/>
          </w:tcPr>
          <w:p w14:paraId="73B65CB6" w14:textId="77777777" w:rsidR="0064234E" w:rsidRPr="00B148F9" w:rsidRDefault="0064234E" w:rsidP="0064234E">
            <w:pPr>
              <w:rPr>
                <w:rFonts w:cs="Arial"/>
                <w:b/>
                <w:bCs/>
                <w:lang w:eastAsia="en-GB"/>
              </w:rPr>
            </w:pPr>
            <w:r w:rsidRPr="00B148F9">
              <w:rPr>
                <w:rFonts w:cs="Arial"/>
                <w:b/>
                <w:bCs/>
                <w:lang w:eastAsia="en-GB"/>
              </w:rPr>
              <w:t>TOTAL LIABILITIES</w:t>
            </w:r>
          </w:p>
        </w:tc>
        <w:tc>
          <w:tcPr>
            <w:tcW w:w="158" w:type="pct"/>
            <w:tcBorders>
              <w:top w:val="nil"/>
              <w:left w:val="nil"/>
              <w:bottom w:val="nil"/>
              <w:right w:val="nil"/>
            </w:tcBorders>
            <w:shd w:val="clear" w:color="auto" w:fill="auto"/>
            <w:noWrap/>
            <w:vAlign w:val="bottom"/>
            <w:hideMark/>
          </w:tcPr>
          <w:p w14:paraId="360F988C"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0F5BF207"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5560AEBD" w14:textId="77777777" w:rsidR="0064234E" w:rsidRPr="00B148F9" w:rsidRDefault="0064234E" w:rsidP="0064234E">
            <w:pPr>
              <w:rPr>
                <w:rFonts w:cs="Arial"/>
                <w:lang w:eastAsia="en-GB"/>
              </w:rPr>
            </w:pPr>
          </w:p>
        </w:tc>
        <w:tc>
          <w:tcPr>
            <w:tcW w:w="877" w:type="pct"/>
            <w:tcBorders>
              <w:top w:val="single" w:sz="4" w:space="0" w:color="auto"/>
              <w:left w:val="nil"/>
              <w:bottom w:val="single" w:sz="4" w:space="0" w:color="auto"/>
              <w:right w:val="nil"/>
            </w:tcBorders>
            <w:shd w:val="clear" w:color="auto" w:fill="auto"/>
            <w:noWrap/>
            <w:vAlign w:val="bottom"/>
          </w:tcPr>
          <w:p w14:paraId="791C6B56" w14:textId="68B2D1A3" w:rsidR="0064234E" w:rsidRPr="00B148F9" w:rsidRDefault="00466D2D" w:rsidP="0064234E">
            <w:pPr>
              <w:jc w:val="right"/>
              <w:rPr>
                <w:rFonts w:cs="Arial"/>
                <w:b/>
                <w:bCs/>
                <w:lang w:eastAsia="en-GB"/>
              </w:rPr>
            </w:pPr>
            <w:r w:rsidRPr="00B148F9">
              <w:rPr>
                <w:rFonts w:cs="Arial"/>
                <w:b/>
                <w:bCs/>
                <w:lang w:eastAsia="en-GB"/>
              </w:rPr>
              <w:t>1,413,351</w:t>
            </w:r>
          </w:p>
        </w:tc>
        <w:tc>
          <w:tcPr>
            <w:tcW w:w="316" w:type="pct"/>
            <w:tcBorders>
              <w:top w:val="nil"/>
              <w:left w:val="nil"/>
              <w:bottom w:val="nil"/>
              <w:right w:val="nil"/>
            </w:tcBorders>
            <w:shd w:val="clear" w:color="auto" w:fill="auto"/>
            <w:noWrap/>
            <w:vAlign w:val="bottom"/>
            <w:hideMark/>
          </w:tcPr>
          <w:p w14:paraId="524ECAE9" w14:textId="77777777" w:rsidR="0064234E" w:rsidRPr="00B148F9" w:rsidRDefault="0064234E" w:rsidP="0064234E">
            <w:pPr>
              <w:jc w:val="right"/>
              <w:rPr>
                <w:rFonts w:cs="Arial"/>
                <w:lang w:eastAsia="en-GB"/>
              </w:rPr>
            </w:pPr>
          </w:p>
        </w:tc>
        <w:tc>
          <w:tcPr>
            <w:tcW w:w="877" w:type="pct"/>
            <w:tcBorders>
              <w:top w:val="single" w:sz="4" w:space="0" w:color="auto"/>
              <w:left w:val="nil"/>
              <w:bottom w:val="single" w:sz="4" w:space="0" w:color="auto"/>
              <w:right w:val="nil"/>
            </w:tcBorders>
            <w:shd w:val="clear" w:color="auto" w:fill="auto"/>
            <w:noWrap/>
            <w:vAlign w:val="bottom"/>
          </w:tcPr>
          <w:p w14:paraId="33CB3279" w14:textId="5FE87E9B" w:rsidR="0064234E" w:rsidRPr="00B148F9" w:rsidRDefault="0064234E" w:rsidP="0064234E">
            <w:pPr>
              <w:jc w:val="right"/>
              <w:rPr>
                <w:rFonts w:cs="Arial"/>
                <w:b/>
                <w:bCs/>
                <w:lang w:eastAsia="en-GB"/>
              </w:rPr>
            </w:pPr>
            <w:r w:rsidRPr="00B148F9">
              <w:rPr>
                <w:rFonts w:cs="Arial"/>
                <w:b/>
                <w:bCs/>
                <w:lang w:eastAsia="en-GB"/>
              </w:rPr>
              <w:t>32,237</w:t>
            </w:r>
          </w:p>
        </w:tc>
      </w:tr>
      <w:tr w:rsidR="0064234E" w:rsidRPr="00B148F9" w14:paraId="27762BB2" w14:textId="77777777" w:rsidTr="00EE53BF">
        <w:trPr>
          <w:trHeight w:val="150"/>
        </w:trPr>
        <w:tc>
          <w:tcPr>
            <w:tcW w:w="2200" w:type="pct"/>
            <w:tcBorders>
              <w:top w:val="nil"/>
              <w:left w:val="nil"/>
              <w:bottom w:val="nil"/>
              <w:right w:val="nil"/>
            </w:tcBorders>
            <w:shd w:val="clear" w:color="auto" w:fill="auto"/>
            <w:noWrap/>
            <w:vAlign w:val="bottom"/>
            <w:hideMark/>
          </w:tcPr>
          <w:p w14:paraId="0A457EBE" w14:textId="77777777" w:rsidR="0064234E" w:rsidRPr="00B148F9" w:rsidRDefault="0064234E" w:rsidP="0064234E">
            <w:pPr>
              <w:rPr>
                <w:rFonts w:cs="Arial"/>
                <w:b/>
                <w:bCs/>
                <w:lang w:eastAsia="en-GB"/>
              </w:rPr>
            </w:pPr>
          </w:p>
        </w:tc>
        <w:tc>
          <w:tcPr>
            <w:tcW w:w="158" w:type="pct"/>
            <w:tcBorders>
              <w:top w:val="nil"/>
              <w:left w:val="nil"/>
              <w:bottom w:val="nil"/>
              <w:right w:val="nil"/>
            </w:tcBorders>
            <w:shd w:val="clear" w:color="auto" w:fill="auto"/>
            <w:noWrap/>
            <w:vAlign w:val="bottom"/>
            <w:hideMark/>
          </w:tcPr>
          <w:p w14:paraId="271BFC77"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77B138F8"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64E376D5" w14:textId="77777777" w:rsidR="0064234E" w:rsidRPr="00B148F9" w:rsidRDefault="0064234E" w:rsidP="0064234E">
            <w:pPr>
              <w:rPr>
                <w:rFonts w:cs="Arial"/>
                <w:lang w:eastAsia="en-GB"/>
              </w:rPr>
            </w:pPr>
          </w:p>
        </w:tc>
        <w:tc>
          <w:tcPr>
            <w:tcW w:w="877" w:type="pct"/>
            <w:tcBorders>
              <w:top w:val="nil"/>
              <w:left w:val="nil"/>
              <w:bottom w:val="nil"/>
              <w:right w:val="nil"/>
            </w:tcBorders>
            <w:shd w:val="clear" w:color="auto" w:fill="auto"/>
            <w:noWrap/>
            <w:vAlign w:val="bottom"/>
          </w:tcPr>
          <w:p w14:paraId="0552A339" w14:textId="77777777" w:rsidR="0064234E" w:rsidRPr="00B148F9" w:rsidRDefault="0064234E" w:rsidP="0064234E">
            <w:pPr>
              <w:jc w:val="right"/>
              <w:rPr>
                <w:rFonts w:cs="Arial"/>
                <w:lang w:eastAsia="en-GB"/>
              </w:rPr>
            </w:pPr>
          </w:p>
        </w:tc>
        <w:tc>
          <w:tcPr>
            <w:tcW w:w="316" w:type="pct"/>
            <w:tcBorders>
              <w:top w:val="nil"/>
              <w:left w:val="nil"/>
              <w:bottom w:val="nil"/>
              <w:right w:val="nil"/>
            </w:tcBorders>
            <w:shd w:val="clear" w:color="auto" w:fill="auto"/>
            <w:noWrap/>
            <w:vAlign w:val="bottom"/>
            <w:hideMark/>
          </w:tcPr>
          <w:p w14:paraId="4E4C6D04" w14:textId="77777777" w:rsidR="0064234E" w:rsidRPr="00B148F9" w:rsidRDefault="0064234E" w:rsidP="0064234E">
            <w:pPr>
              <w:jc w:val="right"/>
              <w:rPr>
                <w:rFonts w:cs="Arial"/>
                <w:lang w:eastAsia="en-GB"/>
              </w:rPr>
            </w:pPr>
          </w:p>
        </w:tc>
        <w:tc>
          <w:tcPr>
            <w:tcW w:w="877" w:type="pct"/>
            <w:tcBorders>
              <w:top w:val="nil"/>
              <w:left w:val="nil"/>
              <w:bottom w:val="nil"/>
              <w:right w:val="nil"/>
            </w:tcBorders>
            <w:shd w:val="clear" w:color="auto" w:fill="auto"/>
            <w:noWrap/>
            <w:vAlign w:val="bottom"/>
          </w:tcPr>
          <w:p w14:paraId="64FF0BD7" w14:textId="77777777" w:rsidR="0064234E" w:rsidRPr="00B148F9" w:rsidRDefault="0064234E" w:rsidP="0064234E">
            <w:pPr>
              <w:jc w:val="right"/>
              <w:rPr>
                <w:rFonts w:cs="Arial"/>
                <w:highlight w:val="yellow"/>
                <w:lang w:eastAsia="en-GB"/>
              </w:rPr>
            </w:pPr>
          </w:p>
        </w:tc>
      </w:tr>
      <w:tr w:rsidR="006B30AC" w:rsidRPr="00B148F9" w14:paraId="7D2FCD2A" w14:textId="77777777" w:rsidTr="00EE53BF">
        <w:trPr>
          <w:trHeight w:val="285"/>
        </w:trPr>
        <w:tc>
          <w:tcPr>
            <w:tcW w:w="2200" w:type="pct"/>
            <w:tcBorders>
              <w:top w:val="nil"/>
              <w:left w:val="nil"/>
              <w:bottom w:val="nil"/>
              <w:right w:val="nil"/>
            </w:tcBorders>
            <w:shd w:val="clear" w:color="auto" w:fill="auto"/>
            <w:noWrap/>
            <w:vAlign w:val="bottom"/>
          </w:tcPr>
          <w:p w14:paraId="2C2DF661" w14:textId="05BCBD25" w:rsidR="006B30AC" w:rsidRPr="00B148F9" w:rsidRDefault="006B30AC" w:rsidP="0064234E">
            <w:pPr>
              <w:rPr>
                <w:rFonts w:cs="Arial"/>
                <w:b/>
                <w:bCs/>
                <w:lang w:eastAsia="en-GB"/>
              </w:rPr>
            </w:pPr>
            <w:r w:rsidRPr="00B148F9">
              <w:rPr>
                <w:rFonts w:cs="Arial"/>
                <w:b/>
                <w:bCs/>
                <w:lang w:eastAsia="en-GB"/>
              </w:rPr>
              <w:t>TOTAL NET ASSETS</w:t>
            </w:r>
            <w:r w:rsidR="007D3A96" w:rsidRPr="00B148F9">
              <w:rPr>
                <w:rFonts w:cs="Arial"/>
                <w:b/>
                <w:bCs/>
                <w:lang w:eastAsia="en-GB"/>
              </w:rPr>
              <w:t>/MEMBER</w:t>
            </w:r>
            <w:r w:rsidR="003A034F" w:rsidRPr="00B148F9">
              <w:rPr>
                <w:rFonts w:cs="Arial"/>
                <w:b/>
                <w:bCs/>
                <w:lang w:eastAsia="en-GB"/>
              </w:rPr>
              <w:t>’</w:t>
            </w:r>
            <w:r w:rsidR="007D3A96" w:rsidRPr="00B148F9">
              <w:rPr>
                <w:rFonts w:cs="Arial"/>
                <w:b/>
                <w:bCs/>
                <w:lang w:eastAsia="en-GB"/>
              </w:rPr>
              <w:t>S EQUITY</w:t>
            </w:r>
          </w:p>
        </w:tc>
        <w:tc>
          <w:tcPr>
            <w:tcW w:w="158" w:type="pct"/>
            <w:tcBorders>
              <w:top w:val="nil"/>
              <w:left w:val="nil"/>
              <w:bottom w:val="nil"/>
              <w:right w:val="nil"/>
            </w:tcBorders>
            <w:shd w:val="clear" w:color="auto" w:fill="auto"/>
            <w:noWrap/>
            <w:vAlign w:val="bottom"/>
          </w:tcPr>
          <w:p w14:paraId="7A51A520" w14:textId="77777777" w:rsidR="006B30AC" w:rsidRPr="00B148F9" w:rsidRDefault="006B30AC" w:rsidP="0064234E">
            <w:pPr>
              <w:rPr>
                <w:rFonts w:cs="Arial"/>
                <w:lang w:eastAsia="en-GB"/>
              </w:rPr>
            </w:pPr>
          </w:p>
        </w:tc>
        <w:tc>
          <w:tcPr>
            <w:tcW w:w="257" w:type="pct"/>
            <w:tcBorders>
              <w:top w:val="nil"/>
              <w:left w:val="nil"/>
              <w:bottom w:val="nil"/>
              <w:right w:val="nil"/>
            </w:tcBorders>
            <w:shd w:val="clear" w:color="auto" w:fill="auto"/>
            <w:noWrap/>
            <w:vAlign w:val="bottom"/>
          </w:tcPr>
          <w:p w14:paraId="2938BE2E" w14:textId="77777777" w:rsidR="006B30AC" w:rsidRPr="00B148F9" w:rsidRDefault="006B30AC"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00E4A070" w14:textId="77777777" w:rsidR="006B30AC" w:rsidRPr="00B148F9" w:rsidRDefault="006B30AC" w:rsidP="0064234E">
            <w:pPr>
              <w:rPr>
                <w:rFonts w:cs="Arial"/>
                <w:b/>
                <w:lang w:eastAsia="en-GB"/>
              </w:rPr>
            </w:pPr>
          </w:p>
        </w:tc>
        <w:tc>
          <w:tcPr>
            <w:tcW w:w="877" w:type="pct"/>
            <w:tcBorders>
              <w:top w:val="nil"/>
              <w:left w:val="nil"/>
              <w:bottom w:val="double" w:sz="6" w:space="0" w:color="auto"/>
              <w:right w:val="nil"/>
            </w:tcBorders>
            <w:shd w:val="clear" w:color="auto" w:fill="auto"/>
            <w:noWrap/>
            <w:vAlign w:val="bottom"/>
          </w:tcPr>
          <w:p w14:paraId="5DEBA53A" w14:textId="13BA00F0" w:rsidR="006B30AC" w:rsidRPr="00B148F9" w:rsidRDefault="006B30AC" w:rsidP="0064234E">
            <w:pPr>
              <w:jc w:val="right"/>
              <w:rPr>
                <w:b/>
              </w:rPr>
            </w:pPr>
            <w:r w:rsidRPr="00B148F9">
              <w:rPr>
                <w:b/>
              </w:rPr>
              <w:t>214,386,975</w:t>
            </w:r>
          </w:p>
        </w:tc>
        <w:tc>
          <w:tcPr>
            <w:tcW w:w="316" w:type="pct"/>
            <w:tcBorders>
              <w:top w:val="nil"/>
              <w:left w:val="nil"/>
              <w:bottom w:val="nil"/>
              <w:right w:val="nil"/>
            </w:tcBorders>
            <w:shd w:val="clear" w:color="auto" w:fill="auto"/>
            <w:noWrap/>
            <w:vAlign w:val="bottom"/>
          </w:tcPr>
          <w:p w14:paraId="342E9949" w14:textId="77777777" w:rsidR="006B30AC" w:rsidRPr="00B148F9" w:rsidRDefault="006B30AC" w:rsidP="0064234E">
            <w:pPr>
              <w:jc w:val="right"/>
              <w:rPr>
                <w:rFonts w:cs="Arial"/>
                <w:b/>
                <w:lang w:eastAsia="en-GB"/>
              </w:rPr>
            </w:pPr>
          </w:p>
        </w:tc>
        <w:tc>
          <w:tcPr>
            <w:tcW w:w="877" w:type="pct"/>
            <w:tcBorders>
              <w:top w:val="nil"/>
              <w:left w:val="nil"/>
              <w:bottom w:val="double" w:sz="6" w:space="0" w:color="auto"/>
              <w:right w:val="nil"/>
            </w:tcBorders>
            <w:shd w:val="clear" w:color="auto" w:fill="auto"/>
            <w:noWrap/>
            <w:vAlign w:val="bottom"/>
          </w:tcPr>
          <w:p w14:paraId="7ABB4415" w14:textId="0594940C" w:rsidR="006B30AC" w:rsidRPr="00B148F9" w:rsidRDefault="006B30AC" w:rsidP="0064234E">
            <w:pPr>
              <w:jc w:val="right"/>
              <w:rPr>
                <w:b/>
              </w:rPr>
            </w:pPr>
            <w:r w:rsidRPr="00B148F9">
              <w:rPr>
                <w:b/>
              </w:rPr>
              <w:t>65,723,503</w:t>
            </w:r>
          </w:p>
        </w:tc>
      </w:tr>
      <w:tr w:rsidR="006B30AC" w:rsidRPr="00B148F9" w14:paraId="3F95BFB9" w14:textId="77777777" w:rsidTr="00EE53BF">
        <w:trPr>
          <w:trHeight w:val="285"/>
        </w:trPr>
        <w:tc>
          <w:tcPr>
            <w:tcW w:w="2200" w:type="pct"/>
            <w:tcBorders>
              <w:top w:val="nil"/>
              <w:left w:val="nil"/>
              <w:bottom w:val="nil"/>
              <w:right w:val="nil"/>
            </w:tcBorders>
            <w:shd w:val="clear" w:color="auto" w:fill="auto"/>
            <w:noWrap/>
            <w:vAlign w:val="bottom"/>
          </w:tcPr>
          <w:p w14:paraId="5A5385C5" w14:textId="77777777" w:rsidR="006B30AC" w:rsidRPr="00B148F9" w:rsidRDefault="006B30AC" w:rsidP="0064234E">
            <w:pPr>
              <w:rPr>
                <w:rFonts w:cs="Arial"/>
                <w:b/>
                <w:bCs/>
                <w:lang w:eastAsia="en-GB"/>
              </w:rPr>
            </w:pPr>
          </w:p>
        </w:tc>
        <w:tc>
          <w:tcPr>
            <w:tcW w:w="158" w:type="pct"/>
            <w:tcBorders>
              <w:top w:val="nil"/>
              <w:left w:val="nil"/>
              <w:bottom w:val="nil"/>
              <w:right w:val="nil"/>
            </w:tcBorders>
            <w:shd w:val="clear" w:color="auto" w:fill="auto"/>
            <w:noWrap/>
            <w:vAlign w:val="bottom"/>
          </w:tcPr>
          <w:p w14:paraId="513FCE27" w14:textId="77777777" w:rsidR="006B30AC" w:rsidRPr="00B148F9" w:rsidRDefault="006B30AC" w:rsidP="0064234E">
            <w:pPr>
              <w:rPr>
                <w:rFonts w:cs="Arial"/>
                <w:lang w:eastAsia="en-GB"/>
              </w:rPr>
            </w:pPr>
          </w:p>
        </w:tc>
        <w:tc>
          <w:tcPr>
            <w:tcW w:w="257" w:type="pct"/>
            <w:tcBorders>
              <w:top w:val="nil"/>
              <w:left w:val="nil"/>
              <w:bottom w:val="nil"/>
              <w:right w:val="nil"/>
            </w:tcBorders>
            <w:shd w:val="clear" w:color="auto" w:fill="auto"/>
            <w:noWrap/>
            <w:vAlign w:val="bottom"/>
          </w:tcPr>
          <w:p w14:paraId="17D4841D" w14:textId="77777777" w:rsidR="006B30AC" w:rsidRPr="00B148F9" w:rsidRDefault="006B30AC" w:rsidP="0064234E">
            <w:pPr>
              <w:jc w:val="right"/>
              <w:rPr>
                <w:rFonts w:cs="Arial"/>
                <w:b/>
                <w:bCs/>
                <w:lang w:eastAsia="en-GB"/>
              </w:rPr>
            </w:pPr>
          </w:p>
        </w:tc>
        <w:tc>
          <w:tcPr>
            <w:tcW w:w="315" w:type="pct"/>
            <w:tcBorders>
              <w:top w:val="nil"/>
              <w:left w:val="nil"/>
              <w:bottom w:val="nil"/>
              <w:right w:val="nil"/>
            </w:tcBorders>
            <w:shd w:val="clear" w:color="auto" w:fill="auto"/>
            <w:noWrap/>
            <w:vAlign w:val="bottom"/>
          </w:tcPr>
          <w:p w14:paraId="4EDD0D1F" w14:textId="77777777" w:rsidR="006B30AC" w:rsidRPr="00B148F9" w:rsidRDefault="006B30AC" w:rsidP="0064234E">
            <w:pPr>
              <w:rPr>
                <w:rFonts w:cs="Arial"/>
                <w:b/>
                <w:lang w:eastAsia="en-GB"/>
              </w:rPr>
            </w:pPr>
          </w:p>
        </w:tc>
        <w:tc>
          <w:tcPr>
            <w:tcW w:w="877" w:type="pct"/>
            <w:tcBorders>
              <w:top w:val="double" w:sz="6" w:space="0" w:color="auto"/>
              <w:left w:val="nil"/>
              <w:right w:val="nil"/>
            </w:tcBorders>
            <w:shd w:val="clear" w:color="auto" w:fill="auto"/>
            <w:noWrap/>
            <w:vAlign w:val="bottom"/>
          </w:tcPr>
          <w:p w14:paraId="114D4E22" w14:textId="77777777" w:rsidR="006B30AC" w:rsidRPr="00B148F9" w:rsidRDefault="006B30AC" w:rsidP="0064234E">
            <w:pPr>
              <w:jc w:val="right"/>
              <w:rPr>
                <w:b/>
              </w:rPr>
            </w:pPr>
          </w:p>
        </w:tc>
        <w:tc>
          <w:tcPr>
            <w:tcW w:w="316" w:type="pct"/>
            <w:tcBorders>
              <w:top w:val="nil"/>
              <w:left w:val="nil"/>
              <w:bottom w:val="nil"/>
              <w:right w:val="nil"/>
            </w:tcBorders>
            <w:shd w:val="clear" w:color="auto" w:fill="auto"/>
            <w:noWrap/>
            <w:vAlign w:val="bottom"/>
          </w:tcPr>
          <w:p w14:paraId="5DBB2918" w14:textId="77777777" w:rsidR="006B30AC" w:rsidRPr="00B148F9" w:rsidRDefault="006B30AC" w:rsidP="0064234E">
            <w:pPr>
              <w:jc w:val="right"/>
              <w:rPr>
                <w:rFonts w:cs="Arial"/>
                <w:b/>
                <w:lang w:eastAsia="en-GB"/>
              </w:rPr>
            </w:pPr>
          </w:p>
        </w:tc>
        <w:tc>
          <w:tcPr>
            <w:tcW w:w="877" w:type="pct"/>
            <w:tcBorders>
              <w:top w:val="double" w:sz="6" w:space="0" w:color="auto"/>
              <w:left w:val="nil"/>
              <w:right w:val="nil"/>
            </w:tcBorders>
            <w:shd w:val="clear" w:color="auto" w:fill="auto"/>
            <w:noWrap/>
            <w:vAlign w:val="bottom"/>
          </w:tcPr>
          <w:p w14:paraId="70246724" w14:textId="77777777" w:rsidR="006B30AC" w:rsidRPr="00B148F9" w:rsidRDefault="006B30AC" w:rsidP="0064234E">
            <w:pPr>
              <w:jc w:val="right"/>
              <w:rPr>
                <w:b/>
              </w:rPr>
            </w:pPr>
          </w:p>
        </w:tc>
      </w:tr>
      <w:tr w:rsidR="0064234E" w:rsidRPr="00B148F9" w14:paraId="1A129843" w14:textId="77777777" w:rsidTr="00EE53BF">
        <w:trPr>
          <w:trHeight w:val="285"/>
        </w:trPr>
        <w:tc>
          <w:tcPr>
            <w:tcW w:w="2200" w:type="pct"/>
            <w:tcBorders>
              <w:top w:val="nil"/>
              <w:left w:val="nil"/>
              <w:bottom w:val="nil"/>
              <w:right w:val="nil"/>
            </w:tcBorders>
            <w:shd w:val="clear" w:color="auto" w:fill="auto"/>
            <w:noWrap/>
            <w:vAlign w:val="bottom"/>
            <w:hideMark/>
          </w:tcPr>
          <w:p w14:paraId="7B77176A" w14:textId="7D8ABBCF" w:rsidR="0064234E" w:rsidRPr="00B148F9" w:rsidRDefault="0064234E" w:rsidP="0064234E">
            <w:pPr>
              <w:rPr>
                <w:rFonts w:cs="Arial"/>
                <w:b/>
                <w:bCs/>
                <w:lang w:eastAsia="en-GB"/>
              </w:rPr>
            </w:pPr>
            <w:r w:rsidRPr="00B148F9">
              <w:rPr>
                <w:rFonts w:cs="Arial"/>
                <w:b/>
                <w:bCs/>
                <w:lang w:eastAsia="en-GB"/>
              </w:rPr>
              <w:lastRenderedPageBreak/>
              <w:t>NET ASSETS attributable to Ordinary Shares</w:t>
            </w:r>
            <w:r w:rsidR="007D3A96" w:rsidRPr="00B148F9">
              <w:rPr>
                <w:rFonts w:cs="Arial"/>
                <w:b/>
                <w:bCs/>
                <w:lang w:eastAsia="en-GB"/>
              </w:rPr>
              <w:t>/MEMBER</w:t>
            </w:r>
            <w:r w:rsidR="003A034F" w:rsidRPr="00B148F9">
              <w:rPr>
                <w:rFonts w:cs="Arial"/>
                <w:b/>
                <w:bCs/>
                <w:lang w:eastAsia="en-GB"/>
              </w:rPr>
              <w:t>’</w:t>
            </w:r>
            <w:r w:rsidR="007D3A96" w:rsidRPr="00B148F9">
              <w:rPr>
                <w:rFonts w:cs="Arial"/>
                <w:b/>
                <w:bCs/>
                <w:lang w:eastAsia="en-GB"/>
              </w:rPr>
              <w:t>S EQUITY</w:t>
            </w:r>
            <w:r w:rsidRPr="00B148F9">
              <w:rPr>
                <w:rFonts w:cs="Arial"/>
                <w:b/>
                <w:bCs/>
                <w:lang w:eastAsia="en-GB"/>
              </w:rPr>
              <w:t xml:space="preserve"> (shares at 31 December 2019: 161,544,695; shares at 31 December 2018: N/A)</w:t>
            </w:r>
          </w:p>
        </w:tc>
        <w:tc>
          <w:tcPr>
            <w:tcW w:w="158" w:type="pct"/>
            <w:tcBorders>
              <w:top w:val="nil"/>
              <w:left w:val="nil"/>
              <w:bottom w:val="nil"/>
              <w:right w:val="nil"/>
            </w:tcBorders>
            <w:shd w:val="clear" w:color="auto" w:fill="auto"/>
            <w:noWrap/>
            <w:vAlign w:val="bottom"/>
            <w:hideMark/>
          </w:tcPr>
          <w:p w14:paraId="22CA2FDA"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419A78DD"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5E1B98BD" w14:textId="7222863B" w:rsidR="0064234E" w:rsidRPr="00B148F9" w:rsidRDefault="0064234E" w:rsidP="0064234E">
            <w:pPr>
              <w:rPr>
                <w:rFonts w:cs="Arial"/>
                <w:lang w:eastAsia="en-GB"/>
              </w:rPr>
            </w:pPr>
            <w:r w:rsidRPr="00B148F9">
              <w:rPr>
                <w:rFonts w:cs="Arial"/>
                <w:b/>
                <w:lang w:eastAsia="en-GB"/>
              </w:rPr>
              <w:t>US$</w:t>
            </w:r>
          </w:p>
        </w:tc>
        <w:tc>
          <w:tcPr>
            <w:tcW w:w="877" w:type="pct"/>
            <w:tcBorders>
              <w:left w:val="nil"/>
              <w:bottom w:val="double" w:sz="6" w:space="0" w:color="auto"/>
              <w:right w:val="nil"/>
            </w:tcBorders>
            <w:shd w:val="clear" w:color="auto" w:fill="auto"/>
            <w:noWrap/>
            <w:vAlign w:val="bottom"/>
          </w:tcPr>
          <w:p w14:paraId="63BF7E6C" w14:textId="2F214E48" w:rsidR="0064234E" w:rsidRPr="00B148F9" w:rsidRDefault="0064234E" w:rsidP="007D51FF">
            <w:pPr>
              <w:jc w:val="right"/>
              <w:rPr>
                <w:b/>
              </w:rPr>
            </w:pPr>
            <w:r w:rsidRPr="00B148F9">
              <w:rPr>
                <w:b/>
              </w:rPr>
              <w:t>205,695,8</w:t>
            </w:r>
            <w:r w:rsidR="006B30AC" w:rsidRPr="00B148F9">
              <w:rPr>
                <w:b/>
              </w:rPr>
              <w:t>69</w:t>
            </w:r>
          </w:p>
        </w:tc>
        <w:tc>
          <w:tcPr>
            <w:tcW w:w="316" w:type="pct"/>
            <w:tcBorders>
              <w:top w:val="nil"/>
              <w:left w:val="nil"/>
              <w:bottom w:val="nil"/>
              <w:right w:val="nil"/>
            </w:tcBorders>
            <w:shd w:val="clear" w:color="auto" w:fill="auto"/>
            <w:noWrap/>
            <w:vAlign w:val="bottom"/>
            <w:hideMark/>
          </w:tcPr>
          <w:p w14:paraId="4461E76D" w14:textId="4B5400A6" w:rsidR="0064234E" w:rsidRPr="00B148F9" w:rsidRDefault="0064234E" w:rsidP="0064234E">
            <w:pPr>
              <w:jc w:val="right"/>
              <w:rPr>
                <w:rFonts w:cs="Arial"/>
                <w:b/>
                <w:lang w:eastAsia="en-GB"/>
              </w:rPr>
            </w:pPr>
            <w:r w:rsidRPr="00B148F9">
              <w:rPr>
                <w:rFonts w:cs="Arial"/>
                <w:b/>
                <w:lang w:eastAsia="en-GB"/>
              </w:rPr>
              <w:t>US$</w:t>
            </w:r>
          </w:p>
        </w:tc>
        <w:tc>
          <w:tcPr>
            <w:tcW w:w="877" w:type="pct"/>
            <w:tcBorders>
              <w:left w:val="nil"/>
              <w:bottom w:val="double" w:sz="6" w:space="0" w:color="auto"/>
              <w:right w:val="nil"/>
            </w:tcBorders>
            <w:shd w:val="clear" w:color="auto" w:fill="auto"/>
            <w:noWrap/>
            <w:vAlign w:val="bottom"/>
          </w:tcPr>
          <w:p w14:paraId="7AF8138A" w14:textId="50F7CB0E" w:rsidR="0064234E" w:rsidRPr="00B148F9" w:rsidRDefault="0064234E" w:rsidP="0064234E">
            <w:pPr>
              <w:jc w:val="right"/>
              <w:rPr>
                <w:b/>
                <w:highlight w:val="yellow"/>
              </w:rPr>
            </w:pPr>
            <w:r w:rsidRPr="00B148F9">
              <w:rPr>
                <w:b/>
              </w:rPr>
              <w:t>65,723,503</w:t>
            </w:r>
          </w:p>
        </w:tc>
      </w:tr>
      <w:tr w:rsidR="0064234E" w:rsidRPr="00B148F9" w14:paraId="298872D8" w14:textId="77777777" w:rsidTr="00EE53BF">
        <w:trPr>
          <w:trHeight w:val="150"/>
        </w:trPr>
        <w:tc>
          <w:tcPr>
            <w:tcW w:w="2200" w:type="pct"/>
            <w:tcBorders>
              <w:top w:val="nil"/>
              <w:left w:val="nil"/>
              <w:bottom w:val="nil"/>
              <w:right w:val="nil"/>
            </w:tcBorders>
            <w:shd w:val="clear" w:color="auto" w:fill="auto"/>
            <w:noWrap/>
            <w:vAlign w:val="bottom"/>
            <w:hideMark/>
          </w:tcPr>
          <w:p w14:paraId="5667F105" w14:textId="77777777" w:rsidR="0064234E" w:rsidRPr="00B148F9" w:rsidRDefault="0064234E" w:rsidP="0064234E">
            <w:pPr>
              <w:rPr>
                <w:rFonts w:cs="Arial"/>
                <w:lang w:eastAsia="en-GB"/>
              </w:rPr>
            </w:pPr>
          </w:p>
        </w:tc>
        <w:tc>
          <w:tcPr>
            <w:tcW w:w="158" w:type="pct"/>
            <w:tcBorders>
              <w:top w:val="nil"/>
              <w:left w:val="nil"/>
              <w:bottom w:val="nil"/>
              <w:right w:val="nil"/>
            </w:tcBorders>
            <w:shd w:val="clear" w:color="auto" w:fill="auto"/>
            <w:noWrap/>
            <w:vAlign w:val="bottom"/>
            <w:hideMark/>
          </w:tcPr>
          <w:p w14:paraId="6C962CDF" w14:textId="77777777" w:rsidR="0064234E" w:rsidRPr="00B148F9" w:rsidRDefault="0064234E" w:rsidP="0064234E">
            <w:pPr>
              <w:rPr>
                <w:rFonts w:cs="Arial"/>
                <w:lang w:eastAsia="en-GB"/>
              </w:rPr>
            </w:pPr>
          </w:p>
        </w:tc>
        <w:tc>
          <w:tcPr>
            <w:tcW w:w="257" w:type="pct"/>
            <w:tcBorders>
              <w:top w:val="nil"/>
              <w:left w:val="nil"/>
              <w:bottom w:val="nil"/>
              <w:right w:val="nil"/>
            </w:tcBorders>
            <w:shd w:val="clear" w:color="auto" w:fill="auto"/>
            <w:noWrap/>
            <w:vAlign w:val="bottom"/>
            <w:hideMark/>
          </w:tcPr>
          <w:p w14:paraId="584461F8" w14:textId="77777777" w:rsidR="0064234E" w:rsidRPr="00B148F9" w:rsidRDefault="0064234E" w:rsidP="0064234E">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526F43C7" w14:textId="77777777" w:rsidR="0064234E" w:rsidRPr="00B148F9" w:rsidRDefault="0064234E" w:rsidP="0064234E">
            <w:pPr>
              <w:rPr>
                <w:rFonts w:cs="Arial"/>
                <w:lang w:eastAsia="en-GB"/>
              </w:rPr>
            </w:pPr>
          </w:p>
        </w:tc>
        <w:tc>
          <w:tcPr>
            <w:tcW w:w="877" w:type="pct"/>
            <w:tcBorders>
              <w:top w:val="nil"/>
              <w:left w:val="nil"/>
              <w:right w:val="nil"/>
            </w:tcBorders>
            <w:shd w:val="clear" w:color="auto" w:fill="auto"/>
            <w:noWrap/>
            <w:vAlign w:val="bottom"/>
          </w:tcPr>
          <w:p w14:paraId="11881D96" w14:textId="77777777" w:rsidR="0064234E" w:rsidRPr="00B148F9" w:rsidRDefault="0064234E" w:rsidP="0064234E">
            <w:pPr>
              <w:jc w:val="right"/>
              <w:rPr>
                <w:rFonts w:cs="Arial"/>
                <w:lang w:eastAsia="en-GB"/>
              </w:rPr>
            </w:pPr>
          </w:p>
        </w:tc>
        <w:tc>
          <w:tcPr>
            <w:tcW w:w="316" w:type="pct"/>
            <w:tcBorders>
              <w:top w:val="nil"/>
              <w:left w:val="nil"/>
              <w:bottom w:val="nil"/>
              <w:right w:val="nil"/>
            </w:tcBorders>
            <w:shd w:val="clear" w:color="auto" w:fill="auto"/>
            <w:noWrap/>
            <w:vAlign w:val="bottom"/>
            <w:hideMark/>
          </w:tcPr>
          <w:p w14:paraId="2DE3B35F" w14:textId="77777777" w:rsidR="0064234E" w:rsidRPr="00B148F9" w:rsidRDefault="0064234E" w:rsidP="0064234E">
            <w:pPr>
              <w:jc w:val="right"/>
              <w:rPr>
                <w:rFonts w:cs="Arial"/>
                <w:lang w:eastAsia="en-GB"/>
              </w:rPr>
            </w:pPr>
          </w:p>
        </w:tc>
        <w:tc>
          <w:tcPr>
            <w:tcW w:w="877" w:type="pct"/>
            <w:tcBorders>
              <w:top w:val="nil"/>
              <w:left w:val="nil"/>
              <w:bottom w:val="nil"/>
              <w:right w:val="nil"/>
            </w:tcBorders>
            <w:shd w:val="clear" w:color="auto" w:fill="auto"/>
            <w:noWrap/>
            <w:vAlign w:val="bottom"/>
          </w:tcPr>
          <w:p w14:paraId="13651FFA" w14:textId="77777777" w:rsidR="0064234E" w:rsidRPr="00B148F9" w:rsidRDefault="0064234E" w:rsidP="0064234E">
            <w:pPr>
              <w:jc w:val="right"/>
              <w:rPr>
                <w:rFonts w:cs="Arial"/>
                <w:highlight w:val="yellow"/>
                <w:lang w:eastAsia="en-GB"/>
              </w:rPr>
            </w:pPr>
          </w:p>
        </w:tc>
      </w:tr>
      <w:tr w:rsidR="00466D2D" w:rsidRPr="00B148F9" w14:paraId="2FBC512C" w14:textId="77777777" w:rsidTr="00EE53BF">
        <w:trPr>
          <w:trHeight w:val="270"/>
        </w:trPr>
        <w:tc>
          <w:tcPr>
            <w:tcW w:w="2200" w:type="pct"/>
            <w:tcBorders>
              <w:top w:val="nil"/>
              <w:left w:val="nil"/>
              <w:bottom w:val="nil"/>
              <w:right w:val="nil"/>
            </w:tcBorders>
            <w:shd w:val="clear" w:color="auto" w:fill="auto"/>
            <w:noWrap/>
            <w:vAlign w:val="bottom"/>
            <w:hideMark/>
          </w:tcPr>
          <w:p w14:paraId="72AA84B5" w14:textId="5AFF7770" w:rsidR="00466D2D" w:rsidRPr="00B148F9" w:rsidRDefault="00466D2D" w:rsidP="00780DC6">
            <w:pPr>
              <w:rPr>
                <w:rFonts w:cs="Arial"/>
                <w:b/>
                <w:bCs/>
                <w:lang w:eastAsia="en-GB"/>
              </w:rPr>
            </w:pPr>
            <w:r w:rsidRPr="00B148F9">
              <w:rPr>
                <w:rFonts w:cs="Arial"/>
                <w:b/>
                <w:bCs/>
                <w:lang w:eastAsia="en-GB"/>
              </w:rPr>
              <w:t>NET ASSETS attributable to Performance Allocation Shares (shares at 31 December 2019: 1; shares at 31 December 2018: N/A)</w:t>
            </w:r>
          </w:p>
        </w:tc>
        <w:tc>
          <w:tcPr>
            <w:tcW w:w="158" w:type="pct"/>
            <w:tcBorders>
              <w:top w:val="nil"/>
              <w:left w:val="nil"/>
              <w:bottom w:val="nil"/>
              <w:right w:val="nil"/>
            </w:tcBorders>
            <w:shd w:val="clear" w:color="auto" w:fill="auto"/>
            <w:noWrap/>
            <w:vAlign w:val="bottom"/>
            <w:hideMark/>
          </w:tcPr>
          <w:p w14:paraId="12B21575" w14:textId="77777777" w:rsidR="00466D2D" w:rsidRPr="00B148F9" w:rsidRDefault="00466D2D" w:rsidP="00466D2D">
            <w:pPr>
              <w:rPr>
                <w:rFonts w:cs="Arial"/>
                <w:lang w:eastAsia="en-GB"/>
              </w:rPr>
            </w:pPr>
          </w:p>
        </w:tc>
        <w:tc>
          <w:tcPr>
            <w:tcW w:w="257" w:type="pct"/>
            <w:tcBorders>
              <w:top w:val="nil"/>
              <w:left w:val="nil"/>
              <w:bottom w:val="nil"/>
              <w:right w:val="nil"/>
            </w:tcBorders>
            <w:shd w:val="clear" w:color="auto" w:fill="auto"/>
            <w:noWrap/>
            <w:vAlign w:val="bottom"/>
            <w:hideMark/>
          </w:tcPr>
          <w:p w14:paraId="54EDED2A" w14:textId="77777777" w:rsidR="00466D2D" w:rsidRPr="00B148F9" w:rsidRDefault="00466D2D" w:rsidP="00466D2D">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46B03EEC" w14:textId="764DC9E9" w:rsidR="00466D2D" w:rsidRPr="00B148F9" w:rsidRDefault="00466D2D" w:rsidP="00466D2D">
            <w:pPr>
              <w:rPr>
                <w:rFonts w:cs="Arial"/>
                <w:lang w:eastAsia="en-GB"/>
              </w:rPr>
            </w:pPr>
            <w:r w:rsidRPr="00B148F9">
              <w:rPr>
                <w:rFonts w:cs="Arial"/>
                <w:b/>
                <w:lang w:eastAsia="en-GB"/>
              </w:rPr>
              <w:t>US$</w:t>
            </w:r>
          </w:p>
        </w:tc>
        <w:tc>
          <w:tcPr>
            <w:tcW w:w="877" w:type="pct"/>
            <w:tcBorders>
              <w:top w:val="nil"/>
              <w:left w:val="nil"/>
              <w:bottom w:val="double" w:sz="4" w:space="0" w:color="auto"/>
              <w:right w:val="nil"/>
            </w:tcBorders>
            <w:shd w:val="clear" w:color="auto" w:fill="auto"/>
            <w:noWrap/>
            <w:vAlign w:val="bottom"/>
          </w:tcPr>
          <w:p w14:paraId="726AB554" w14:textId="016B04DB" w:rsidR="00466D2D" w:rsidRPr="00B148F9" w:rsidRDefault="00466D2D" w:rsidP="007D51FF">
            <w:pPr>
              <w:jc w:val="right"/>
              <w:rPr>
                <w:rFonts w:cs="Arial"/>
                <w:lang w:eastAsia="en-GB"/>
              </w:rPr>
            </w:pPr>
            <w:r w:rsidRPr="00B148F9">
              <w:rPr>
                <w:b/>
              </w:rPr>
              <w:t>8,691,10</w:t>
            </w:r>
            <w:r w:rsidR="006B30AC" w:rsidRPr="00B148F9">
              <w:rPr>
                <w:b/>
              </w:rPr>
              <w:t>6</w:t>
            </w:r>
          </w:p>
        </w:tc>
        <w:tc>
          <w:tcPr>
            <w:tcW w:w="316" w:type="pct"/>
            <w:tcBorders>
              <w:top w:val="nil"/>
              <w:left w:val="nil"/>
              <w:bottom w:val="nil"/>
              <w:right w:val="nil"/>
            </w:tcBorders>
            <w:shd w:val="clear" w:color="auto" w:fill="auto"/>
            <w:noWrap/>
            <w:vAlign w:val="bottom"/>
            <w:hideMark/>
          </w:tcPr>
          <w:p w14:paraId="02BB504E" w14:textId="5C5F50E4" w:rsidR="00466D2D" w:rsidRPr="00B148F9" w:rsidRDefault="00466D2D" w:rsidP="00466D2D">
            <w:pPr>
              <w:jc w:val="right"/>
              <w:rPr>
                <w:rFonts w:cs="Arial"/>
                <w:lang w:eastAsia="en-GB"/>
              </w:rPr>
            </w:pPr>
            <w:r w:rsidRPr="00B148F9">
              <w:rPr>
                <w:rFonts w:cs="Arial"/>
                <w:b/>
                <w:lang w:eastAsia="en-GB"/>
              </w:rPr>
              <w:t>US$</w:t>
            </w:r>
          </w:p>
        </w:tc>
        <w:tc>
          <w:tcPr>
            <w:tcW w:w="877" w:type="pct"/>
            <w:tcBorders>
              <w:top w:val="nil"/>
              <w:left w:val="nil"/>
              <w:bottom w:val="double" w:sz="4" w:space="0" w:color="auto"/>
              <w:right w:val="nil"/>
            </w:tcBorders>
            <w:shd w:val="clear" w:color="auto" w:fill="auto"/>
            <w:noWrap/>
            <w:vAlign w:val="bottom"/>
          </w:tcPr>
          <w:p w14:paraId="67046C51" w14:textId="3F0620D9" w:rsidR="00466D2D" w:rsidRPr="00B148F9" w:rsidRDefault="00466D2D" w:rsidP="00466D2D">
            <w:pPr>
              <w:jc w:val="right"/>
              <w:rPr>
                <w:rFonts w:cs="Arial"/>
                <w:highlight w:val="yellow"/>
                <w:lang w:eastAsia="en-GB"/>
              </w:rPr>
            </w:pPr>
            <w:r w:rsidRPr="00B148F9">
              <w:rPr>
                <w:b/>
              </w:rPr>
              <w:t>-</w:t>
            </w:r>
          </w:p>
        </w:tc>
      </w:tr>
      <w:tr w:rsidR="00466D2D" w:rsidRPr="00B148F9" w14:paraId="35E376A3" w14:textId="77777777" w:rsidTr="00EE53BF">
        <w:trPr>
          <w:trHeight w:val="270"/>
        </w:trPr>
        <w:tc>
          <w:tcPr>
            <w:tcW w:w="2200" w:type="pct"/>
            <w:tcBorders>
              <w:top w:val="nil"/>
              <w:left w:val="nil"/>
              <w:bottom w:val="nil"/>
              <w:right w:val="nil"/>
            </w:tcBorders>
            <w:shd w:val="clear" w:color="auto" w:fill="auto"/>
            <w:noWrap/>
            <w:vAlign w:val="bottom"/>
          </w:tcPr>
          <w:p w14:paraId="4C3250B8" w14:textId="77777777" w:rsidR="00466D2D" w:rsidRPr="00B148F9" w:rsidRDefault="00466D2D" w:rsidP="00466D2D">
            <w:pPr>
              <w:rPr>
                <w:rFonts w:cs="Arial"/>
                <w:b/>
                <w:bCs/>
                <w:lang w:eastAsia="en-GB"/>
              </w:rPr>
            </w:pPr>
          </w:p>
        </w:tc>
        <w:tc>
          <w:tcPr>
            <w:tcW w:w="158" w:type="pct"/>
            <w:tcBorders>
              <w:top w:val="nil"/>
              <w:left w:val="nil"/>
              <w:bottom w:val="nil"/>
              <w:right w:val="nil"/>
            </w:tcBorders>
            <w:shd w:val="clear" w:color="auto" w:fill="auto"/>
            <w:noWrap/>
            <w:vAlign w:val="bottom"/>
          </w:tcPr>
          <w:p w14:paraId="414F8513" w14:textId="77777777" w:rsidR="00466D2D" w:rsidRPr="00B148F9" w:rsidRDefault="00466D2D" w:rsidP="00466D2D">
            <w:pPr>
              <w:rPr>
                <w:rFonts w:cs="Arial"/>
                <w:lang w:eastAsia="en-GB"/>
              </w:rPr>
            </w:pPr>
          </w:p>
        </w:tc>
        <w:tc>
          <w:tcPr>
            <w:tcW w:w="257" w:type="pct"/>
            <w:tcBorders>
              <w:top w:val="nil"/>
              <w:left w:val="nil"/>
              <w:bottom w:val="nil"/>
              <w:right w:val="nil"/>
            </w:tcBorders>
            <w:shd w:val="clear" w:color="auto" w:fill="auto"/>
            <w:noWrap/>
            <w:vAlign w:val="bottom"/>
          </w:tcPr>
          <w:p w14:paraId="22B108C4" w14:textId="77777777" w:rsidR="00466D2D" w:rsidRPr="00B148F9" w:rsidRDefault="00466D2D" w:rsidP="00466D2D">
            <w:pPr>
              <w:jc w:val="right"/>
              <w:rPr>
                <w:rFonts w:cs="Arial"/>
                <w:b/>
                <w:bCs/>
                <w:lang w:eastAsia="en-GB"/>
              </w:rPr>
            </w:pPr>
          </w:p>
        </w:tc>
        <w:tc>
          <w:tcPr>
            <w:tcW w:w="315" w:type="pct"/>
            <w:tcBorders>
              <w:top w:val="nil"/>
              <w:left w:val="nil"/>
              <w:bottom w:val="nil"/>
              <w:right w:val="nil"/>
            </w:tcBorders>
            <w:shd w:val="clear" w:color="auto" w:fill="auto"/>
            <w:noWrap/>
            <w:vAlign w:val="bottom"/>
          </w:tcPr>
          <w:p w14:paraId="7CA9F907" w14:textId="77777777" w:rsidR="00466D2D" w:rsidRPr="00B148F9" w:rsidRDefault="00466D2D" w:rsidP="00466D2D">
            <w:pPr>
              <w:rPr>
                <w:rFonts w:cs="Arial"/>
                <w:lang w:eastAsia="en-GB"/>
              </w:rPr>
            </w:pPr>
          </w:p>
        </w:tc>
        <w:tc>
          <w:tcPr>
            <w:tcW w:w="877" w:type="pct"/>
            <w:tcBorders>
              <w:top w:val="double" w:sz="4" w:space="0" w:color="auto"/>
              <w:left w:val="nil"/>
              <w:bottom w:val="nil"/>
              <w:right w:val="nil"/>
            </w:tcBorders>
            <w:shd w:val="clear" w:color="auto" w:fill="auto"/>
            <w:noWrap/>
            <w:vAlign w:val="bottom"/>
          </w:tcPr>
          <w:p w14:paraId="1FC379BB" w14:textId="77777777" w:rsidR="00466D2D" w:rsidRPr="00B148F9" w:rsidRDefault="00466D2D" w:rsidP="00466D2D">
            <w:pPr>
              <w:jc w:val="right"/>
              <w:rPr>
                <w:rFonts w:cs="Arial"/>
                <w:lang w:eastAsia="en-GB"/>
              </w:rPr>
            </w:pPr>
          </w:p>
        </w:tc>
        <w:tc>
          <w:tcPr>
            <w:tcW w:w="316" w:type="pct"/>
            <w:tcBorders>
              <w:top w:val="nil"/>
              <w:left w:val="nil"/>
              <w:bottom w:val="nil"/>
              <w:right w:val="nil"/>
            </w:tcBorders>
            <w:shd w:val="clear" w:color="auto" w:fill="auto"/>
            <w:noWrap/>
            <w:vAlign w:val="bottom"/>
          </w:tcPr>
          <w:p w14:paraId="2921BBE6" w14:textId="77777777" w:rsidR="00466D2D" w:rsidRPr="00B148F9" w:rsidRDefault="00466D2D" w:rsidP="00466D2D">
            <w:pPr>
              <w:jc w:val="right"/>
              <w:rPr>
                <w:rFonts w:cs="Arial"/>
                <w:lang w:eastAsia="en-GB"/>
              </w:rPr>
            </w:pPr>
          </w:p>
        </w:tc>
        <w:tc>
          <w:tcPr>
            <w:tcW w:w="877" w:type="pct"/>
            <w:tcBorders>
              <w:top w:val="double" w:sz="4" w:space="0" w:color="auto"/>
              <w:left w:val="nil"/>
              <w:bottom w:val="nil"/>
              <w:right w:val="nil"/>
            </w:tcBorders>
            <w:shd w:val="clear" w:color="auto" w:fill="auto"/>
            <w:noWrap/>
            <w:vAlign w:val="bottom"/>
          </w:tcPr>
          <w:p w14:paraId="0E322C8B" w14:textId="77777777" w:rsidR="00466D2D" w:rsidRPr="00B148F9" w:rsidRDefault="00466D2D" w:rsidP="00466D2D">
            <w:pPr>
              <w:jc w:val="right"/>
              <w:rPr>
                <w:rFonts w:cs="Arial"/>
                <w:highlight w:val="yellow"/>
                <w:lang w:eastAsia="en-GB"/>
              </w:rPr>
            </w:pPr>
          </w:p>
        </w:tc>
      </w:tr>
      <w:tr w:rsidR="00466D2D" w:rsidRPr="00B148F9" w14:paraId="576AF20E" w14:textId="77777777" w:rsidTr="00EE53BF">
        <w:trPr>
          <w:trHeight w:val="525"/>
        </w:trPr>
        <w:tc>
          <w:tcPr>
            <w:tcW w:w="2200" w:type="pct"/>
            <w:tcBorders>
              <w:top w:val="nil"/>
              <w:left w:val="nil"/>
              <w:bottom w:val="nil"/>
              <w:right w:val="nil"/>
            </w:tcBorders>
            <w:shd w:val="clear" w:color="auto" w:fill="auto"/>
            <w:vAlign w:val="center"/>
            <w:hideMark/>
          </w:tcPr>
          <w:p w14:paraId="25D31FD4" w14:textId="77777777" w:rsidR="00466D2D" w:rsidRPr="00B148F9" w:rsidRDefault="00466D2D" w:rsidP="00466D2D">
            <w:pPr>
              <w:rPr>
                <w:rFonts w:cs="Arial"/>
                <w:b/>
                <w:bCs/>
                <w:lang w:eastAsia="en-GB"/>
              </w:rPr>
            </w:pPr>
          </w:p>
          <w:p w14:paraId="2F78D39F" w14:textId="270E0BFE" w:rsidR="00466D2D" w:rsidRPr="00B148F9" w:rsidRDefault="00466D2D" w:rsidP="00466D2D">
            <w:pPr>
              <w:rPr>
                <w:rFonts w:cs="Arial"/>
                <w:b/>
                <w:bCs/>
                <w:lang w:eastAsia="en-GB"/>
              </w:rPr>
            </w:pPr>
            <w:r w:rsidRPr="00B148F9">
              <w:rPr>
                <w:rFonts w:cs="Arial"/>
                <w:b/>
                <w:bCs/>
                <w:lang w:eastAsia="en-GB"/>
              </w:rPr>
              <w:t xml:space="preserve">NAV per Ordinary Share </w:t>
            </w:r>
          </w:p>
        </w:tc>
        <w:tc>
          <w:tcPr>
            <w:tcW w:w="158" w:type="pct"/>
            <w:tcBorders>
              <w:top w:val="nil"/>
              <w:left w:val="nil"/>
              <w:bottom w:val="nil"/>
              <w:right w:val="nil"/>
            </w:tcBorders>
            <w:shd w:val="clear" w:color="auto" w:fill="auto"/>
            <w:noWrap/>
            <w:vAlign w:val="bottom"/>
            <w:hideMark/>
          </w:tcPr>
          <w:p w14:paraId="495B38CD" w14:textId="77777777" w:rsidR="00466D2D" w:rsidRPr="00B148F9" w:rsidRDefault="00466D2D" w:rsidP="00466D2D">
            <w:pPr>
              <w:rPr>
                <w:rFonts w:cs="Arial"/>
                <w:lang w:eastAsia="en-GB"/>
              </w:rPr>
            </w:pPr>
          </w:p>
        </w:tc>
        <w:tc>
          <w:tcPr>
            <w:tcW w:w="257" w:type="pct"/>
            <w:tcBorders>
              <w:top w:val="nil"/>
              <w:left w:val="nil"/>
              <w:bottom w:val="nil"/>
              <w:right w:val="nil"/>
            </w:tcBorders>
            <w:shd w:val="clear" w:color="auto" w:fill="auto"/>
            <w:noWrap/>
            <w:vAlign w:val="bottom"/>
            <w:hideMark/>
          </w:tcPr>
          <w:p w14:paraId="4B9EF999" w14:textId="3FCB3F89" w:rsidR="00466D2D" w:rsidRPr="00B148F9" w:rsidRDefault="00466D2D" w:rsidP="00466D2D">
            <w:pPr>
              <w:jc w:val="right"/>
              <w:rPr>
                <w:rFonts w:cs="Arial"/>
                <w:b/>
                <w:bCs/>
                <w:lang w:eastAsia="en-GB"/>
              </w:rPr>
            </w:pPr>
          </w:p>
        </w:tc>
        <w:tc>
          <w:tcPr>
            <w:tcW w:w="315" w:type="pct"/>
            <w:tcBorders>
              <w:top w:val="nil"/>
              <w:left w:val="nil"/>
              <w:bottom w:val="nil"/>
              <w:right w:val="nil"/>
            </w:tcBorders>
            <w:shd w:val="clear" w:color="auto" w:fill="auto"/>
            <w:noWrap/>
            <w:vAlign w:val="bottom"/>
            <w:hideMark/>
          </w:tcPr>
          <w:p w14:paraId="2CDA365A" w14:textId="77777777" w:rsidR="00466D2D" w:rsidRPr="00B148F9" w:rsidRDefault="00466D2D" w:rsidP="00466D2D">
            <w:pPr>
              <w:rPr>
                <w:rFonts w:cs="Arial"/>
                <w:lang w:eastAsia="en-GB"/>
              </w:rPr>
            </w:pPr>
          </w:p>
        </w:tc>
        <w:tc>
          <w:tcPr>
            <w:tcW w:w="877" w:type="pct"/>
            <w:tcBorders>
              <w:left w:val="nil"/>
              <w:right w:val="nil"/>
            </w:tcBorders>
            <w:shd w:val="clear" w:color="auto" w:fill="auto"/>
            <w:noWrap/>
            <w:vAlign w:val="bottom"/>
          </w:tcPr>
          <w:p w14:paraId="4A63F762" w14:textId="27793297" w:rsidR="00466D2D" w:rsidRPr="00B148F9" w:rsidRDefault="00466D2D" w:rsidP="00466D2D">
            <w:pPr>
              <w:jc w:val="right"/>
              <w:rPr>
                <w:b/>
              </w:rPr>
            </w:pPr>
            <w:r w:rsidRPr="00B148F9">
              <w:rPr>
                <w:b/>
              </w:rPr>
              <w:t>1.2733</w:t>
            </w:r>
          </w:p>
        </w:tc>
        <w:tc>
          <w:tcPr>
            <w:tcW w:w="316" w:type="pct"/>
            <w:tcBorders>
              <w:left w:val="nil"/>
              <w:right w:val="nil"/>
            </w:tcBorders>
            <w:shd w:val="clear" w:color="auto" w:fill="auto"/>
            <w:noWrap/>
            <w:vAlign w:val="bottom"/>
            <w:hideMark/>
          </w:tcPr>
          <w:p w14:paraId="78163886" w14:textId="77777777" w:rsidR="00466D2D" w:rsidRPr="00B148F9" w:rsidRDefault="00466D2D" w:rsidP="00466D2D">
            <w:pPr>
              <w:jc w:val="right"/>
              <w:rPr>
                <w:rFonts w:cs="Arial"/>
                <w:lang w:eastAsia="en-GB"/>
              </w:rPr>
            </w:pPr>
          </w:p>
        </w:tc>
        <w:tc>
          <w:tcPr>
            <w:tcW w:w="877" w:type="pct"/>
            <w:tcBorders>
              <w:left w:val="nil"/>
              <w:right w:val="nil"/>
            </w:tcBorders>
            <w:shd w:val="clear" w:color="auto" w:fill="auto"/>
            <w:noWrap/>
            <w:vAlign w:val="bottom"/>
          </w:tcPr>
          <w:p w14:paraId="0783694A" w14:textId="2DB788B5" w:rsidR="00466D2D" w:rsidRPr="00B148F9" w:rsidRDefault="00466D2D" w:rsidP="00466D2D">
            <w:pPr>
              <w:jc w:val="right"/>
              <w:rPr>
                <w:b/>
              </w:rPr>
            </w:pPr>
            <w:r w:rsidRPr="00B148F9">
              <w:rPr>
                <w:b/>
              </w:rPr>
              <w:t>N/A</w:t>
            </w:r>
          </w:p>
        </w:tc>
      </w:tr>
    </w:tbl>
    <w:p w14:paraId="305095CA" w14:textId="77777777" w:rsidR="006002C4" w:rsidRPr="00B148F9" w:rsidRDefault="006002C4" w:rsidP="00326CD3">
      <w:pPr>
        <w:rPr>
          <w:rFonts w:cs="Arial"/>
        </w:rPr>
      </w:pPr>
    </w:p>
    <w:p w14:paraId="1E8F2FAA" w14:textId="21A45597" w:rsidR="006002C4" w:rsidRPr="00B148F9" w:rsidRDefault="006002C4" w:rsidP="00326CD3">
      <w:pPr>
        <w:rPr>
          <w:rFonts w:cs="Arial"/>
        </w:rPr>
      </w:pPr>
      <w:r w:rsidRPr="00B148F9">
        <w:rPr>
          <w:rFonts w:cs="Arial"/>
        </w:rPr>
        <w:t>The audited financial statements</w:t>
      </w:r>
      <w:r w:rsidR="007F213C" w:rsidRPr="00B148F9">
        <w:rPr>
          <w:rFonts w:cs="Arial"/>
        </w:rPr>
        <w:t xml:space="preserve"> of the Company</w:t>
      </w:r>
      <w:r w:rsidRPr="00B148F9">
        <w:rPr>
          <w:rFonts w:cs="Arial"/>
        </w:rPr>
        <w:t xml:space="preserve"> were approved and authorised for issue by the Board of Directors on</w:t>
      </w:r>
      <w:r w:rsidR="009E4CA7">
        <w:rPr>
          <w:rFonts w:cs="Arial"/>
        </w:rPr>
        <w:t xml:space="preserve"> 21</w:t>
      </w:r>
      <w:r w:rsidR="004968F9" w:rsidRPr="00B148F9">
        <w:rPr>
          <w:rFonts w:cs="Arial"/>
        </w:rPr>
        <w:t xml:space="preserve"> </w:t>
      </w:r>
      <w:r w:rsidR="00A079FF" w:rsidRPr="00B148F9">
        <w:rPr>
          <w:rFonts w:cs="Arial"/>
        </w:rPr>
        <w:t>April</w:t>
      </w:r>
      <w:r w:rsidR="00515633" w:rsidRPr="00B148F9">
        <w:rPr>
          <w:rFonts w:cs="Arial"/>
        </w:rPr>
        <w:t xml:space="preserve"> 2020</w:t>
      </w:r>
      <w:r w:rsidRPr="00B148F9">
        <w:rPr>
          <w:rFonts w:cs="Arial"/>
        </w:rPr>
        <w:t xml:space="preserve"> and signed on </w:t>
      </w:r>
      <w:r w:rsidR="00464CE1" w:rsidRPr="00B148F9">
        <w:rPr>
          <w:rFonts w:cs="Arial"/>
        </w:rPr>
        <w:t>its</w:t>
      </w:r>
      <w:r w:rsidRPr="00B148F9">
        <w:rPr>
          <w:rFonts w:cs="Arial"/>
        </w:rPr>
        <w:t xml:space="preserve"> behalf by:</w:t>
      </w:r>
    </w:p>
    <w:p w14:paraId="762458F5" w14:textId="77777777" w:rsidR="001B3E2E" w:rsidRPr="00B148F9" w:rsidRDefault="001B3E2E" w:rsidP="00326CD3">
      <w:pPr>
        <w:rPr>
          <w:rFonts w:cs="Arial"/>
        </w:rPr>
      </w:pPr>
    </w:p>
    <w:p w14:paraId="6B75A4CA" w14:textId="77777777" w:rsidR="00420715" w:rsidRPr="00B148F9" w:rsidRDefault="00420715" w:rsidP="00326CD3">
      <w:pPr>
        <w:rPr>
          <w:rFonts w:cs="Arial"/>
        </w:rPr>
      </w:pPr>
    </w:p>
    <w:p w14:paraId="5595ABC4" w14:textId="77777777" w:rsidR="00436B09" w:rsidRPr="00B148F9" w:rsidRDefault="00436B09" w:rsidP="00326CD3">
      <w:pPr>
        <w:rPr>
          <w:rFonts w:cs="Arial"/>
          <w:b/>
        </w:rPr>
      </w:pPr>
    </w:p>
    <w:p w14:paraId="1B3FC7E8" w14:textId="6D5AF5D4" w:rsidR="006002C4" w:rsidRPr="00B148F9" w:rsidRDefault="00515633" w:rsidP="00326CD3">
      <w:pPr>
        <w:rPr>
          <w:rFonts w:cs="Arial"/>
        </w:rPr>
      </w:pPr>
      <w:r w:rsidRPr="00B148F9">
        <w:rPr>
          <w:rFonts w:cs="Arial"/>
          <w:b/>
        </w:rPr>
        <w:t>William Simpson</w:t>
      </w:r>
      <w:r w:rsidR="006002C4" w:rsidRPr="00B148F9">
        <w:rPr>
          <w:rFonts w:cs="Arial"/>
        </w:rPr>
        <w:t xml:space="preserve">                              </w:t>
      </w:r>
      <w:r w:rsidR="003555A6" w:rsidRPr="00B148F9">
        <w:rPr>
          <w:rFonts w:cs="Arial"/>
        </w:rPr>
        <w:tab/>
      </w:r>
      <w:r w:rsidR="003555A6" w:rsidRPr="00B148F9">
        <w:rPr>
          <w:rFonts w:cs="Arial"/>
        </w:rPr>
        <w:tab/>
      </w:r>
      <w:r w:rsidRPr="00B148F9">
        <w:rPr>
          <w:rFonts w:cs="Arial"/>
          <w:b/>
        </w:rPr>
        <w:t>Paul Le Page</w:t>
      </w:r>
    </w:p>
    <w:p w14:paraId="78E4BFC2" w14:textId="77777777" w:rsidR="00633F9A" w:rsidRPr="00B148F9" w:rsidRDefault="006002C4" w:rsidP="00326CD3">
      <w:pPr>
        <w:rPr>
          <w:rFonts w:cs="Arial"/>
          <w:i/>
        </w:rPr>
      </w:pPr>
      <w:r w:rsidRPr="00B148F9">
        <w:rPr>
          <w:rFonts w:cs="Arial"/>
          <w:i/>
        </w:rPr>
        <w:t>Chairman</w:t>
      </w:r>
      <w:r w:rsidRPr="00B148F9">
        <w:rPr>
          <w:rFonts w:cs="Arial"/>
        </w:rPr>
        <w:t xml:space="preserve">                                          </w:t>
      </w:r>
      <w:r w:rsidR="003555A6" w:rsidRPr="00B148F9">
        <w:rPr>
          <w:rFonts w:cs="Arial"/>
        </w:rPr>
        <w:tab/>
      </w:r>
      <w:r w:rsidR="003555A6" w:rsidRPr="00B148F9">
        <w:rPr>
          <w:rFonts w:cs="Arial"/>
        </w:rPr>
        <w:tab/>
      </w:r>
      <w:r w:rsidR="003555A6" w:rsidRPr="00B148F9">
        <w:rPr>
          <w:rFonts w:cs="Arial"/>
          <w:i/>
        </w:rPr>
        <w:t>D</w:t>
      </w:r>
      <w:r w:rsidRPr="00B148F9">
        <w:rPr>
          <w:rFonts w:cs="Arial"/>
          <w:i/>
        </w:rPr>
        <w:t>irector</w:t>
      </w:r>
    </w:p>
    <w:p w14:paraId="7A9D6351" w14:textId="77777777" w:rsidR="001B3E2E" w:rsidRPr="00B148F9" w:rsidRDefault="001B3E2E" w:rsidP="00326CD3">
      <w:pPr>
        <w:rPr>
          <w:rFonts w:cs="Arial"/>
        </w:rPr>
      </w:pPr>
    </w:p>
    <w:p w14:paraId="134A0C46" w14:textId="77777777" w:rsidR="009E4CA7" w:rsidRDefault="00515633" w:rsidP="009E4CA7">
      <w:pPr>
        <w:rPr>
          <w:rFonts w:cs="Arial"/>
        </w:rPr>
      </w:pPr>
      <w:r w:rsidRPr="00B148F9">
        <w:rPr>
          <w:rFonts w:cs="Arial"/>
        </w:rPr>
        <w:t>See accompanying notes to the financial statements.</w:t>
      </w:r>
    </w:p>
    <w:p w14:paraId="28006EDA" w14:textId="77777777" w:rsidR="009E4CA7" w:rsidRDefault="009E4CA7" w:rsidP="009E4CA7">
      <w:pPr>
        <w:rPr>
          <w:rFonts w:cs="Arial"/>
        </w:rPr>
      </w:pPr>
    </w:p>
    <w:p w14:paraId="04CBD119" w14:textId="1AC58EB5" w:rsidR="006002C4" w:rsidRPr="009E4CA7" w:rsidRDefault="006002C4" w:rsidP="009E4CA7">
      <w:pPr>
        <w:jc w:val="center"/>
        <w:rPr>
          <w:rFonts w:cs="Arial"/>
          <w:b/>
          <w:bCs/>
        </w:rPr>
      </w:pPr>
      <w:r w:rsidRPr="009E4CA7">
        <w:rPr>
          <w:rFonts w:cs="Arial"/>
          <w:b/>
          <w:bCs/>
        </w:rPr>
        <w:t xml:space="preserve">Statement of </w:t>
      </w:r>
      <w:r w:rsidR="00580E07" w:rsidRPr="009E4CA7">
        <w:rPr>
          <w:rFonts w:cs="Arial"/>
          <w:b/>
          <w:bCs/>
        </w:rPr>
        <w:t>Operations</w:t>
      </w:r>
    </w:p>
    <w:p w14:paraId="1A2169FA" w14:textId="561C3DF4" w:rsidR="006002C4" w:rsidRPr="00B148F9" w:rsidRDefault="006002C4" w:rsidP="00326CD3">
      <w:pPr>
        <w:jc w:val="center"/>
        <w:rPr>
          <w:rFonts w:cs="Arial"/>
          <w:b/>
          <w:bCs/>
        </w:rPr>
      </w:pPr>
      <w:r w:rsidRPr="00B148F9">
        <w:rPr>
          <w:rFonts w:cs="Arial"/>
          <w:b/>
          <w:bCs/>
        </w:rPr>
        <w:t xml:space="preserve">For the </w:t>
      </w:r>
      <w:r w:rsidR="003A2DEB" w:rsidRPr="00B148F9">
        <w:rPr>
          <w:rFonts w:cs="Arial"/>
          <w:b/>
          <w:bCs/>
        </w:rPr>
        <w:t>year ended</w:t>
      </w:r>
      <w:r w:rsidR="008D148F" w:rsidRPr="00B148F9">
        <w:rPr>
          <w:rFonts w:cs="Arial"/>
          <w:b/>
          <w:bCs/>
        </w:rPr>
        <w:t xml:space="preserve"> 31 </w:t>
      </w:r>
      <w:r w:rsidR="00BA4C4B" w:rsidRPr="00B148F9">
        <w:rPr>
          <w:rFonts w:cs="Arial"/>
          <w:b/>
          <w:bCs/>
        </w:rPr>
        <w:t>December</w:t>
      </w:r>
      <w:r w:rsidR="008D148F" w:rsidRPr="00B148F9">
        <w:rPr>
          <w:rFonts w:cs="Arial"/>
          <w:b/>
          <w:bCs/>
        </w:rPr>
        <w:t xml:space="preserve"> 201</w:t>
      </w:r>
      <w:r w:rsidR="004968F9" w:rsidRPr="00B148F9">
        <w:rPr>
          <w:rFonts w:cs="Arial"/>
          <w:b/>
          <w:bCs/>
        </w:rPr>
        <w:t>9</w:t>
      </w:r>
      <w:r w:rsidR="00466D2D" w:rsidRPr="00B148F9">
        <w:rPr>
          <w:rFonts w:cs="Arial"/>
          <w:b/>
          <w:bCs/>
        </w:rPr>
        <w:t xml:space="preserve"> and 31 December 2018</w:t>
      </w:r>
    </w:p>
    <w:p w14:paraId="392E4EBA" w14:textId="371D724D" w:rsidR="002E7F22" w:rsidRPr="00B148F9" w:rsidRDefault="00945CE0" w:rsidP="00326CD3">
      <w:pPr>
        <w:jc w:val="center"/>
        <w:rPr>
          <w:rFonts w:cs="Arial"/>
          <w:bCs/>
        </w:rPr>
      </w:pPr>
      <w:r w:rsidRPr="00B148F9">
        <w:rPr>
          <w:rFonts w:cs="Arial"/>
          <w:bCs/>
        </w:rPr>
        <w:t>(</w:t>
      </w:r>
      <w:r w:rsidR="002E7F22" w:rsidRPr="00B148F9">
        <w:rPr>
          <w:rFonts w:cs="Arial"/>
          <w:bCs/>
        </w:rPr>
        <w:t>Expressed in United States Dollars</w:t>
      </w:r>
      <w:r w:rsidRPr="00B148F9">
        <w:rPr>
          <w:rFonts w:cs="Arial"/>
          <w:bCs/>
        </w:rPr>
        <w:t>)</w:t>
      </w:r>
    </w:p>
    <w:p w14:paraId="0EEB67A4" w14:textId="77777777" w:rsidR="008D148F" w:rsidRPr="00B148F9" w:rsidRDefault="008D148F" w:rsidP="00326CD3">
      <w:pPr>
        <w:jc w:val="center"/>
        <w:rPr>
          <w:rFonts w:cs="Arial"/>
          <w:b/>
          <w:bCs/>
        </w:rPr>
      </w:pPr>
    </w:p>
    <w:tbl>
      <w:tblPr>
        <w:tblW w:w="5283" w:type="pct"/>
        <w:tblLayout w:type="fixed"/>
        <w:tblLook w:val="04A0" w:firstRow="1" w:lastRow="0" w:firstColumn="1" w:lastColumn="0" w:noHBand="0" w:noVBand="1"/>
      </w:tblPr>
      <w:tblGrid>
        <w:gridCol w:w="4540"/>
        <w:gridCol w:w="739"/>
        <w:gridCol w:w="567"/>
        <w:gridCol w:w="1587"/>
        <w:gridCol w:w="567"/>
        <w:gridCol w:w="1585"/>
      </w:tblGrid>
      <w:tr w:rsidR="00DE7179" w:rsidRPr="00B148F9" w14:paraId="73AC2183" w14:textId="77777777" w:rsidTr="00EE53BF">
        <w:trPr>
          <w:trHeight w:val="270"/>
        </w:trPr>
        <w:tc>
          <w:tcPr>
            <w:tcW w:w="2368" w:type="pct"/>
            <w:tcBorders>
              <w:top w:val="nil"/>
              <w:left w:val="nil"/>
              <w:bottom w:val="nil"/>
              <w:right w:val="nil"/>
            </w:tcBorders>
            <w:shd w:val="clear" w:color="auto" w:fill="auto"/>
            <w:noWrap/>
            <w:vAlign w:val="bottom"/>
            <w:hideMark/>
          </w:tcPr>
          <w:p w14:paraId="77F3C246" w14:textId="77777777" w:rsidR="003A2D87" w:rsidRPr="00B148F9" w:rsidRDefault="003A2D87" w:rsidP="00326CD3">
            <w:pPr>
              <w:rPr>
                <w:rFonts w:cs="Arial"/>
                <w:lang w:eastAsia="en-GB"/>
              </w:rPr>
            </w:pPr>
          </w:p>
        </w:tc>
        <w:tc>
          <w:tcPr>
            <w:tcW w:w="385" w:type="pct"/>
            <w:tcBorders>
              <w:top w:val="nil"/>
              <w:left w:val="nil"/>
              <w:bottom w:val="nil"/>
              <w:right w:val="nil"/>
            </w:tcBorders>
            <w:shd w:val="clear" w:color="auto" w:fill="auto"/>
            <w:noWrap/>
            <w:vAlign w:val="bottom"/>
            <w:hideMark/>
          </w:tcPr>
          <w:p w14:paraId="5D70E8C2" w14:textId="77777777" w:rsidR="003A2D87" w:rsidRPr="00B148F9" w:rsidRDefault="003A2D87" w:rsidP="00326CD3">
            <w:pPr>
              <w:rPr>
                <w:rFonts w:cs="Arial"/>
                <w:lang w:eastAsia="en-GB"/>
              </w:rPr>
            </w:pPr>
          </w:p>
        </w:tc>
        <w:tc>
          <w:tcPr>
            <w:tcW w:w="296" w:type="pct"/>
            <w:tcBorders>
              <w:top w:val="nil"/>
              <w:left w:val="nil"/>
              <w:bottom w:val="nil"/>
              <w:right w:val="nil"/>
            </w:tcBorders>
          </w:tcPr>
          <w:p w14:paraId="118D7612" w14:textId="77777777" w:rsidR="003A2D87" w:rsidRPr="00B148F9" w:rsidRDefault="003A2D87" w:rsidP="004968F9">
            <w:pPr>
              <w:jc w:val="right"/>
              <w:rPr>
                <w:rFonts w:cs="Arial"/>
                <w:b/>
                <w:bCs/>
                <w:lang w:eastAsia="en-GB"/>
              </w:rPr>
            </w:pPr>
          </w:p>
        </w:tc>
        <w:tc>
          <w:tcPr>
            <w:tcW w:w="828" w:type="pct"/>
            <w:tcBorders>
              <w:top w:val="nil"/>
              <w:left w:val="nil"/>
              <w:bottom w:val="single" w:sz="4" w:space="0" w:color="auto"/>
              <w:right w:val="nil"/>
            </w:tcBorders>
            <w:shd w:val="clear" w:color="auto" w:fill="auto"/>
            <w:noWrap/>
            <w:vAlign w:val="bottom"/>
            <w:hideMark/>
          </w:tcPr>
          <w:p w14:paraId="4F9E3D4E" w14:textId="24B36745" w:rsidR="003A2D87" w:rsidRPr="00B148F9" w:rsidRDefault="003A2D87" w:rsidP="004968F9">
            <w:pPr>
              <w:jc w:val="right"/>
              <w:rPr>
                <w:rFonts w:cs="Arial"/>
                <w:b/>
                <w:bCs/>
                <w:lang w:eastAsia="en-GB"/>
              </w:rPr>
            </w:pPr>
            <w:r w:rsidRPr="00B148F9">
              <w:rPr>
                <w:rFonts w:cs="Arial"/>
                <w:b/>
                <w:bCs/>
                <w:lang w:eastAsia="en-GB"/>
              </w:rPr>
              <w:t>2019</w:t>
            </w:r>
          </w:p>
        </w:tc>
        <w:tc>
          <w:tcPr>
            <w:tcW w:w="296" w:type="pct"/>
            <w:tcBorders>
              <w:top w:val="nil"/>
              <w:left w:val="nil"/>
              <w:bottom w:val="nil"/>
              <w:right w:val="nil"/>
            </w:tcBorders>
            <w:shd w:val="clear" w:color="auto" w:fill="auto"/>
            <w:noWrap/>
            <w:vAlign w:val="bottom"/>
            <w:hideMark/>
          </w:tcPr>
          <w:p w14:paraId="04A2C995" w14:textId="77777777" w:rsidR="003A2D87" w:rsidRPr="00B148F9" w:rsidRDefault="003A2D87" w:rsidP="00326CD3">
            <w:pPr>
              <w:rPr>
                <w:rFonts w:cs="Arial"/>
                <w:b/>
                <w:bCs/>
                <w:lang w:eastAsia="en-GB"/>
              </w:rPr>
            </w:pPr>
          </w:p>
        </w:tc>
        <w:tc>
          <w:tcPr>
            <w:tcW w:w="828" w:type="pct"/>
            <w:tcBorders>
              <w:top w:val="nil"/>
              <w:left w:val="nil"/>
              <w:bottom w:val="single" w:sz="4" w:space="0" w:color="auto"/>
              <w:right w:val="nil"/>
            </w:tcBorders>
            <w:shd w:val="clear" w:color="auto" w:fill="auto"/>
            <w:noWrap/>
            <w:vAlign w:val="bottom"/>
            <w:hideMark/>
          </w:tcPr>
          <w:p w14:paraId="741C1059" w14:textId="77777777" w:rsidR="003A2D87" w:rsidRPr="00B148F9" w:rsidRDefault="003A2D87" w:rsidP="004968F9">
            <w:pPr>
              <w:jc w:val="right"/>
              <w:rPr>
                <w:rFonts w:cs="Arial"/>
                <w:b/>
                <w:bCs/>
                <w:lang w:eastAsia="en-GB"/>
              </w:rPr>
            </w:pPr>
            <w:r w:rsidRPr="00B148F9">
              <w:rPr>
                <w:rFonts w:cs="Arial"/>
                <w:b/>
                <w:bCs/>
                <w:lang w:eastAsia="en-GB"/>
              </w:rPr>
              <w:t>2018</w:t>
            </w:r>
          </w:p>
        </w:tc>
      </w:tr>
      <w:tr w:rsidR="00DE7179" w:rsidRPr="00B148F9" w14:paraId="19AA3E84" w14:textId="77777777" w:rsidTr="00EE53BF">
        <w:trPr>
          <w:trHeight w:val="270"/>
        </w:trPr>
        <w:tc>
          <w:tcPr>
            <w:tcW w:w="2368" w:type="pct"/>
            <w:tcBorders>
              <w:top w:val="nil"/>
              <w:left w:val="nil"/>
              <w:bottom w:val="nil"/>
              <w:right w:val="nil"/>
            </w:tcBorders>
            <w:shd w:val="clear" w:color="auto" w:fill="auto"/>
            <w:noWrap/>
            <w:vAlign w:val="bottom"/>
            <w:hideMark/>
          </w:tcPr>
          <w:p w14:paraId="4FBF9EB4" w14:textId="77777777" w:rsidR="002E7F22" w:rsidRPr="00B148F9" w:rsidRDefault="002E7F22" w:rsidP="00326CD3">
            <w:pPr>
              <w:rPr>
                <w:rFonts w:cs="Arial"/>
                <w:lang w:eastAsia="en-GB"/>
              </w:rPr>
            </w:pPr>
          </w:p>
        </w:tc>
        <w:tc>
          <w:tcPr>
            <w:tcW w:w="385" w:type="pct"/>
            <w:tcBorders>
              <w:top w:val="nil"/>
              <w:left w:val="nil"/>
              <w:bottom w:val="nil"/>
              <w:right w:val="nil"/>
            </w:tcBorders>
            <w:shd w:val="clear" w:color="auto" w:fill="auto"/>
            <w:noWrap/>
            <w:vAlign w:val="bottom"/>
          </w:tcPr>
          <w:p w14:paraId="0538344A" w14:textId="233B1694" w:rsidR="002E7F22" w:rsidRPr="00B148F9" w:rsidRDefault="002E7F22" w:rsidP="00326CD3">
            <w:pPr>
              <w:jc w:val="center"/>
              <w:rPr>
                <w:rFonts w:cs="Arial"/>
                <w:b/>
                <w:bCs/>
                <w:lang w:eastAsia="en-GB"/>
              </w:rPr>
            </w:pPr>
          </w:p>
        </w:tc>
        <w:tc>
          <w:tcPr>
            <w:tcW w:w="296" w:type="pct"/>
            <w:tcBorders>
              <w:top w:val="nil"/>
              <w:left w:val="nil"/>
              <w:bottom w:val="nil"/>
              <w:right w:val="nil"/>
            </w:tcBorders>
          </w:tcPr>
          <w:p w14:paraId="7B4F5B3E" w14:textId="77777777" w:rsidR="002E7F22" w:rsidRPr="00B148F9" w:rsidRDefault="002E7F22" w:rsidP="00326CD3">
            <w:pPr>
              <w:jc w:val="right"/>
              <w:rPr>
                <w:rFonts w:cs="Arial"/>
                <w:b/>
                <w:bCs/>
                <w:lang w:eastAsia="en-GB"/>
              </w:rPr>
            </w:pPr>
          </w:p>
        </w:tc>
        <w:tc>
          <w:tcPr>
            <w:tcW w:w="828" w:type="pct"/>
            <w:tcBorders>
              <w:top w:val="single" w:sz="4" w:space="0" w:color="auto"/>
              <w:left w:val="nil"/>
              <w:bottom w:val="nil"/>
              <w:right w:val="nil"/>
            </w:tcBorders>
            <w:shd w:val="clear" w:color="auto" w:fill="auto"/>
            <w:noWrap/>
            <w:vAlign w:val="bottom"/>
            <w:hideMark/>
          </w:tcPr>
          <w:p w14:paraId="495A5CD2" w14:textId="2BC4E17F" w:rsidR="002E7F22" w:rsidRPr="00B148F9" w:rsidRDefault="002E7F22" w:rsidP="00B746FC">
            <w:pPr>
              <w:jc w:val="center"/>
              <w:rPr>
                <w:rFonts w:cs="Arial"/>
                <w:b/>
                <w:bCs/>
                <w:lang w:eastAsia="en-GB"/>
              </w:rPr>
            </w:pPr>
          </w:p>
        </w:tc>
        <w:tc>
          <w:tcPr>
            <w:tcW w:w="296" w:type="pct"/>
            <w:tcBorders>
              <w:top w:val="nil"/>
              <w:left w:val="nil"/>
              <w:bottom w:val="nil"/>
              <w:right w:val="nil"/>
            </w:tcBorders>
            <w:shd w:val="clear" w:color="auto" w:fill="auto"/>
            <w:vAlign w:val="bottom"/>
          </w:tcPr>
          <w:p w14:paraId="2AA7B0B8" w14:textId="77777777" w:rsidR="002E7F22" w:rsidRPr="00B148F9" w:rsidRDefault="002E7F22" w:rsidP="00B746FC">
            <w:pPr>
              <w:jc w:val="center"/>
              <w:rPr>
                <w:rFonts w:cs="Arial"/>
                <w:b/>
                <w:bCs/>
                <w:lang w:eastAsia="en-GB"/>
              </w:rPr>
            </w:pPr>
          </w:p>
        </w:tc>
        <w:tc>
          <w:tcPr>
            <w:tcW w:w="828" w:type="pct"/>
            <w:tcBorders>
              <w:top w:val="single" w:sz="4" w:space="0" w:color="auto"/>
              <w:left w:val="nil"/>
              <w:bottom w:val="nil"/>
              <w:right w:val="nil"/>
            </w:tcBorders>
            <w:shd w:val="clear" w:color="auto" w:fill="auto"/>
            <w:vAlign w:val="bottom"/>
          </w:tcPr>
          <w:p w14:paraId="72F0C45E" w14:textId="1C6427DF" w:rsidR="002E7F22" w:rsidRPr="00B148F9" w:rsidRDefault="002E7F22" w:rsidP="00B746FC">
            <w:pPr>
              <w:jc w:val="center"/>
              <w:rPr>
                <w:rFonts w:cs="Arial"/>
                <w:b/>
                <w:bCs/>
                <w:lang w:eastAsia="en-GB"/>
              </w:rPr>
            </w:pPr>
          </w:p>
        </w:tc>
      </w:tr>
      <w:tr w:rsidR="00DE7179" w:rsidRPr="00B148F9" w14:paraId="3437159D" w14:textId="77777777" w:rsidTr="00EE53BF">
        <w:trPr>
          <w:trHeight w:val="270"/>
        </w:trPr>
        <w:tc>
          <w:tcPr>
            <w:tcW w:w="2368" w:type="pct"/>
            <w:tcBorders>
              <w:top w:val="nil"/>
              <w:left w:val="nil"/>
              <w:bottom w:val="nil"/>
              <w:right w:val="nil"/>
            </w:tcBorders>
            <w:shd w:val="clear" w:color="auto" w:fill="auto"/>
            <w:noWrap/>
            <w:vAlign w:val="bottom"/>
            <w:hideMark/>
          </w:tcPr>
          <w:p w14:paraId="332D04E0" w14:textId="77777777" w:rsidR="003A2D87" w:rsidRPr="00B148F9" w:rsidRDefault="003A2D87" w:rsidP="00326CD3">
            <w:pPr>
              <w:rPr>
                <w:rFonts w:cs="Arial"/>
                <w:b/>
                <w:bCs/>
                <w:lang w:eastAsia="en-GB"/>
              </w:rPr>
            </w:pPr>
            <w:r w:rsidRPr="00B148F9">
              <w:rPr>
                <w:rFonts w:cs="Arial"/>
                <w:b/>
                <w:bCs/>
                <w:lang w:eastAsia="en-GB"/>
              </w:rPr>
              <w:t>Income</w:t>
            </w:r>
          </w:p>
        </w:tc>
        <w:tc>
          <w:tcPr>
            <w:tcW w:w="385" w:type="pct"/>
            <w:tcBorders>
              <w:top w:val="nil"/>
              <w:left w:val="nil"/>
              <w:bottom w:val="nil"/>
              <w:right w:val="nil"/>
            </w:tcBorders>
            <w:shd w:val="clear" w:color="auto" w:fill="auto"/>
            <w:noWrap/>
            <w:vAlign w:val="bottom"/>
          </w:tcPr>
          <w:p w14:paraId="6120E4AF" w14:textId="77777777" w:rsidR="003A2D87" w:rsidRPr="00B148F9" w:rsidRDefault="003A2D87" w:rsidP="00326CD3">
            <w:pPr>
              <w:rPr>
                <w:rFonts w:cs="Arial"/>
                <w:lang w:eastAsia="en-GB"/>
              </w:rPr>
            </w:pPr>
          </w:p>
        </w:tc>
        <w:tc>
          <w:tcPr>
            <w:tcW w:w="296" w:type="pct"/>
            <w:tcBorders>
              <w:top w:val="nil"/>
              <w:left w:val="nil"/>
              <w:bottom w:val="nil"/>
              <w:right w:val="nil"/>
            </w:tcBorders>
          </w:tcPr>
          <w:p w14:paraId="0C6215D7" w14:textId="77777777" w:rsidR="003A2D87" w:rsidRPr="00B148F9" w:rsidRDefault="003A2D87" w:rsidP="00326CD3">
            <w:pPr>
              <w:jc w:val="right"/>
              <w:rPr>
                <w:rFonts w:cs="Arial"/>
                <w:b/>
                <w:bCs/>
                <w:lang w:eastAsia="en-GB"/>
              </w:rPr>
            </w:pPr>
          </w:p>
        </w:tc>
        <w:tc>
          <w:tcPr>
            <w:tcW w:w="828" w:type="pct"/>
            <w:tcBorders>
              <w:top w:val="nil"/>
              <w:left w:val="nil"/>
              <w:bottom w:val="nil"/>
              <w:right w:val="nil"/>
            </w:tcBorders>
            <w:shd w:val="clear" w:color="auto" w:fill="auto"/>
            <w:noWrap/>
            <w:vAlign w:val="bottom"/>
            <w:hideMark/>
          </w:tcPr>
          <w:p w14:paraId="45F1E936" w14:textId="2E6C50BC" w:rsidR="003A2D87" w:rsidRPr="00B148F9" w:rsidRDefault="003A2D87" w:rsidP="00326CD3">
            <w:pPr>
              <w:jc w:val="right"/>
              <w:rPr>
                <w:rFonts w:cs="Arial"/>
                <w:b/>
                <w:bCs/>
                <w:lang w:eastAsia="en-GB"/>
              </w:rPr>
            </w:pPr>
          </w:p>
        </w:tc>
        <w:tc>
          <w:tcPr>
            <w:tcW w:w="296" w:type="pct"/>
            <w:tcBorders>
              <w:top w:val="nil"/>
              <w:left w:val="nil"/>
              <w:bottom w:val="nil"/>
              <w:right w:val="nil"/>
            </w:tcBorders>
            <w:shd w:val="clear" w:color="auto" w:fill="auto"/>
            <w:noWrap/>
            <w:vAlign w:val="bottom"/>
            <w:hideMark/>
          </w:tcPr>
          <w:p w14:paraId="6C8C9C13" w14:textId="77777777" w:rsidR="003A2D87" w:rsidRPr="00B148F9" w:rsidRDefault="003A2D87" w:rsidP="00326CD3">
            <w:pPr>
              <w:jc w:val="right"/>
              <w:rPr>
                <w:rFonts w:cs="Arial"/>
                <w:b/>
                <w:bCs/>
                <w:lang w:eastAsia="en-GB"/>
              </w:rPr>
            </w:pPr>
          </w:p>
        </w:tc>
        <w:tc>
          <w:tcPr>
            <w:tcW w:w="828" w:type="pct"/>
            <w:tcBorders>
              <w:top w:val="nil"/>
              <w:left w:val="nil"/>
              <w:bottom w:val="nil"/>
              <w:right w:val="nil"/>
            </w:tcBorders>
            <w:shd w:val="clear" w:color="auto" w:fill="auto"/>
            <w:noWrap/>
            <w:vAlign w:val="bottom"/>
            <w:hideMark/>
          </w:tcPr>
          <w:p w14:paraId="694C6E79" w14:textId="77777777" w:rsidR="003A2D87" w:rsidRPr="00B148F9" w:rsidRDefault="003A2D87" w:rsidP="00326CD3">
            <w:pPr>
              <w:rPr>
                <w:rFonts w:cs="Arial"/>
                <w:lang w:eastAsia="en-GB"/>
              </w:rPr>
            </w:pPr>
          </w:p>
        </w:tc>
      </w:tr>
      <w:tr w:rsidR="00DE7179" w:rsidRPr="00B148F9" w14:paraId="69612EFF" w14:textId="77777777" w:rsidTr="00EE53BF">
        <w:trPr>
          <w:trHeight w:val="540"/>
        </w:trPr>
        <w:tc>
          <w:tcPr>
            <w:tcW w:w="2368" w:type="pct"/>
            <w:tcBorders>
              <w:top w:val="nil"/>
              <w:left w:val="nil"/>
              <w:bottom w:val="nil"/>
              <w:right w:val="nil"/>
            </w:tcBorders>
            <w:shd w:val="clear" w:color="auto" w:fill="auto"/>
            <w:vAlign w:val="bottom"/>
            <w:hideMark/>
          </w:tcPr>
          <w:p w14:paraId="4044F2F7" w14:textId="24D5DEC2" w:rsidR="003A2D87" w:rsidRPr="00B148F9" w:rsidRDefault="003A2D87" w:rsidP="00295872">
            <w:pPr>
              <w:rPr>
                <w:rFonts w:cs="Arial"/>
                <w:lang w:eastAsia="en-GB"/>
              </w:rPr>
            </w:pPr>
            <w:r w:rsidRPr="00B148F9">
              <w:rPr>
                <w:rFonts w:cs="Arial"/>
                <w:lang w:eastAsia="en-GB"/>
              </w:rPr>
              <w:t>Interest (net of withholding taxes of US$</w:t>
            </w:r>
            <w:r w:rsidR="00DC0DC2" w:rsidRPr="00B148F9">
              <w:rPr>
                <w:rFonts w:cs="Arial"/>
                <w:lang w:eastAsia="en-GB"/>
              </w:rPr>
              <w:t>-</w:t>
            </w:r>
            <w:r w:rsidRPr="00B148F9">
              <w:rPr>
                <w:rFonts w:cs="Arial"/>
                <w:lang w:eastAsia="en-GB"/>
              </w:rPr>
              <w:t>)</w:t>
            </w:r>
          </w:p>
        </w:tc>
        <w:tc>
          <w:tcPr>
            <w:tcW w:w="385" w:type="pct"/>
            <w:tcBorders>
              <w:top w:val="nil"/>
              <w:left w:val="nil"/>
              <w:bottom w:val="nil"/>
              <w:right w:val="nil"/>
            </w:tcBorders>
            <w:shd w:val="clear" w:color="auto" w:fill="auto"/>
            <w:noWrap/>
            <w:vAlign w:val="bottom"/>
          </w:tcPr>
          <w:p w14:paraId="3029B9C9" w14:textId="2CDDFDD0" w:rsidR="003A2D87" w:rsidRPr="00B148F9" w:rsidRDefault="003A2D87" w:rsidP="00326CD3">
            <w:pPr>
              <w:jc w:val="right"/>
              <w:rPr>
                <w:rFonts w:cs="Arial"/>
                <w:b/>
                <w:bCs/>
                <w:lang w:eastAsia="en-GB"/>
              </w:rPr>
            </w:pPr>
          </w:p>
        </w:tc>
        <w:tc>
          <w:tcPr>
            <w:tcW w:w="296" w:type="pct"/>
            <w:tcBorders>
              <w:top w:val="nil"/>
              <w:left w:val="nil"/>
              <w:bottom w:val="nil"/>
              <w:right w:val="nil"/>
            </w:tcBorders>
            <w:vAlign w:val="bottom"/>
          </w:tcPr>
          <w:p w14:paraId="73331DCA" w14:textId="69C5B578" w:rsidR="003A2D87" w:rsidRPr="00B148F9" w:rsidRDefault="003A2D87">
            <w:pPr>
              <w:jc w:val="right"/>
            </w:pPr>
            <w:r w:rsidRPr="00B148F9">
              <w:t>US$</w:t>
            </w:r>
          </w:p>
        </w:tc>
        <w:tc>
          <w:tcPr>
            <w:tcW w:w="828" w:type="pct"/>
            <w:tcBorders>
              <w:top w:val="nil"/>
              <w:left w:val="nil"/>
              <w:bottom w:val="nil"/>
              <w:right w:val="nil"/>
            </w:tcBorders>
            <w:shd w:val="clear" w:color="auto" w:fill="auto"/>
            <w:noWrap/>
            <w:vAlign w:val="bottom"/>
          </w:tcPr>
          <w:p w14:paraId="4BC91582" w14:textId="4D35B90B" w:rsidR="003A2D87" w:rsidRPr="00B148F9" w:rsidRDefault="00F05197" w:rsidP="001D36AB">
            <w:pPr>
              <w:jc w:val="right"/>
            </w:pPr>
            <w:r w:rsidRPr="00B148F9">
              <w:t>76,507</w:t>
            </w:r>
          </w:p>
        </w:tc>
        <w:tc>
          <w:tcPr>
            <w:tcW w:w="296" w:type="pct"/>
            <w:tcBorders>
              <w:top w:val="nil"/>
              <w:left w:val="nil"/>
              <w:bottom w:val="nil"/>
              <w:right w:val="nil"/>
            </w:tcBorders>
            <w:shd w:val="clear" w:color="auto" w:fill="auto"/>
            <w:noWrap/>
            <w:vAlign w:val="bottom"/>
            <w:hideMark/>
          </w:tcPr>
          <w:p w14:paraId="7C4AEC9F" w14:textId="465A10C6" w:rsidR="003A2D87" w:rsidRPr="00B148F9" w:rsidRDefault="003A2D87" w:rsidP="00326CD3">
            <w:pPr>
              <w:jc w:val="right"/>
              <w:rPr>
                <w:rFonts w:cs="Arial"/>
                <w:highlight w:val="yellow"/>
                <w:lang w:eastAsia="en-GB"/>
              </w:rPr>
            </w:pPr>
            <w:r w:rsidRPr="00B148F9">
              <w:rPr>
                <w:rFonts w:cs="Arial"/>
                <w:lang w:eastAsia="en-GB"/>
              </w:rPr>
              <w:t>US$</w:t>
            </w:r>
          </w:p>
        </w:tc>
        <w:tc>
          <w:tcPr>
            <w:tcW w:w="828" w:type="pct"/>
            <w:tcBorders>
              <w:top w:val="nil"/>
              <w:left w:val="nil"/>
              <w:bottom w:val="nil"/>
              <w:right w:val="nil"/>
            </w:tcBorders>
            <w:shd w:val="clear" w:color="auto" w:fill="auto"/>
            <w:noWrap/>
            <w:vAlign w:val="bottom"/>
            <w:hideMark/>
          </w:tcPr>
          <w:p w14:paraId="61648C24" w14:textId="2108B67C" w:rsidR="003A2D87" w:rsidRPr="00B148F9" w:rsidRDefault="003A2D87">
            <w:pPr>
              <w:jc w:val="right"/>
            </w:pPr>
            <w:r w:rsidRPr="00B148F9">
              <w:t>-</w:t>
            </w:r>
          </w:p>
        </w:tc>
      </w:tr>
      <w:tr w:rsidR="00DE7179" w:rsidRPr="00B148F9" w14:paraId="75FDC296" w14:textId="77777777" w:rsidTr="00EE53BF">
        <w:trPr>
          <w:trHeight w:val="270"/>
        </w:trPr>
        <w:tc>
          <w:tcPr>
            <w:tcW w:w="2368" w:type="pct"/>
            <w:tcBorders>
              <w:top w:val="nil"/>
              <w:left w:val="nil"/>
              <w:bottom w:val="nil"/>
              <w:right w:val="nil"/>
            </w:tcBorders>
            <w:shd w:val="clear" w:color="auto" w:fill="auto"/>
            <w:noWrap/>
            <w:vAlign w:val="bottom"/>
          </w:tcPr>
          <w:p w14:paraId="5054D862" w14:textId="30E9B372" w:rsidR="003A2D87" w:rsidRPr="00B148F9" w:rsidRDefault="003A2D87">
            <w:pPr>
              <w:rPr>
                <w:rFonts w:cs="Arial"/>
                <w:lang w:eastAsia="en-GB"/>
              </w:rPr>
            </w:pPr>
            <w:r w:rsidRPr="00B148F9">
              <w:rPr>
                <w:rFonts w:cs="Arial"/>
                <w:lang w:eastAsia="en-GB"/>
              </w:rPr>
              <w:t>Dividends (net of withholding taxes of US$</w:t>
            </w:r>
            <w:r w:rsidR="00EA6D11" w:rsidRPr="00B148F9">
              <w:rPr>
                <w:rFonts w:cs="Arial"/>
                <w:lang w:eastAsia="en-GB"/>
              </w:rPr>
              <w:t>-</w:t>
            </w:r>
            <w:r w:rsidRPr="00B148F9">
              <w:rPr>
                <w:rFonts w:cs="Arial"/>
                <w:lang w:eastAsia="en-GB"/>
              </w:rPr>
              <w:t>)</w:t>
            </w:r>
          </w:p>
        </w:tc>
        <w:tc>
          <w:tcPr>
            <w:tcW w:w="385" w:type="pct"/>
            <w:tcBorders>
              <w:top w:val="nil"/>
              <w:left w:val="nil"/>
              <w:bottom w:val="nil"/>
              <w:right w:val="nil"/>
            </w:tcBorders>
            <w:shd w:val="clear" w:color="auto" w:fill="auto"/>
            <w:noWrap/>
            <w:vAlign w:val="bottom"/>
          </w:tcPr>
          <w:p w14:paraId="61FE0915" w14:textId="77777777" w:rsidR="003A2D87" w:rsidRPr="00B148F9" w:rsidRDefault="003A2D87" w:rsidP="00326CD3">
            <w:pPr>
              <w:jc w:val="right"/>
              <w:rPr>
                <w:rFonts w:cs="Arial"/>
                <w:b/>
                <w:bCs/>
                <w:lang w:eastAsia="en-GB"/>
              </w:rPr>
            </w:pPr>
          </w:p>
        </w:tc>
        <w:tc>
          <w:tcPr>
            <w:tcW w:w="296" w:type="pct"/>
            <w:tcBorders>
              <w:top w:val="nil"/>
              <w:left w:val="nil"/>
              <w:right w:val="nil"/>
            </w:tcBorders>
          </w:tcPr>
          <w:p w14:paraId="36AD18CC"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69AF5087" w14:textId="27A5D0FD" w:rsidR="003A2D87" w:rsidRPr="00B148F9" w:rsidRDefault="00F05197" w:rsidP="00326CD3">
            <w:pPr>
              <w:jc w:val="right"/>
              <w:rPr>
                <w:rFonts w:cs="Arial"/>
                <w:lang w:eastAsia="en-GB"/>
              </w:rPr>
            </w:pPr>
            <w:r w:rsidRPr="00B148F9">
              <w:rPr>
                <w:rFonts w:cs="Arial"/>
                <w:lang w:eastAsia="en-GB"/>
              </w:rPr>
              <w:t>4,435</w:t>
            </w:r>
          </w:p>
        </w:tc>
        <w:tc>
          <w:tcPr>
            <w:tcW w:w="296" w:type="pct"/>
            <w:tcBorders>
              <w:top w:val="nil"/>
              <w:left w:val="nil"/>
              <w:bottom w:val="nil"/>
              <w:right w:val="nil"/>
            </w:tcBorders>
            <w:shd w:val="clear" w:color="auto" w:fill="auto"/>
            <w:noWrap/>
            <w:vAlign w:val="bottom"/>
          </w:tcPr>
          <w:p w14:paraId="05B14C73"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7DCE7F7C" w14:textId="7613D579" w:rsidR="003A2D87" w:rsidRPr="00B148F9" w:rsidRDefault="003A2D87" w:rsidP="00B3585A">
            <w:pPr>
              <w:jc w:val="right"/>
              <w:rPr>
                <w:rFonts w:cs="Arial"/>
                <w:lang w:eastAsia="en-GB"/>
              </w:rPr>
            </w:pPr>
            <w:r w:rsidRPr="00B148F9">
              <w:rPr>
                <w:rFonts w:cs="Arial"/>
                <w:lang w:eastAsia="en-GB"/>
              </w:rPr>
              <w:t>-</w:t>
            </w:r>
          </w:p>
        </w:tc>
      </w:tr>
      <w:tr w:rsidR="00DE7179" w:rsidRPr="00B148F9" w14:paraId="38C795F5" w14:textId="77777777" w:rsidTr="00EE53BF">
        <w:trPr>
          <w:trHeight w:val="270"/>
        </w:trPr>
        <w:tc>
          <w:tcPr>
            <w:tcW w:w="2368" w:type="pct"/>
            <w:tcBorders>
              <w:top w:val="nil"/>
              <w:left w:val="nil"/>
              <w:bottom w:val="nil"/>
              <w:right w:val="nil"/>
            </w:tcBorders>
            <w:shd w:val="clear" w:color="auto" w:fill="auto"/>
            <w:noWrap/>
            <w:vAlign w:val="bottom"/>
            <w:hideMark/>
          </w:tcPr>
          <w:p w14:paraId="231EEF27" w14:textId="5D2A015F" w:rsidR="003A2D87" w:rsidRPr="00B148F9" w:rsidRDefault="003A2D87">
            <w:pPr>
              <w:rPr>
                <w:rFonts w:cs="Arial"/>
                <w:b/>
                <w:bCs/>
                <w:lang w:eastAsia="en-GB"/>
              </w:rPr>
            </w:pPr>
            <w:r w:rsidRPr="00B148F9">
              <w:rPr>
                <w:rFonts w:cs="Arial"/>
                <w:b/>
                <w:bCs/>
                <w:lang w:eastAsia="en-GB"/>
              </w:rPr>
              <w:t>Total Investment Income</w:t>
            </w:r>
          </w:p>
        </w:tc>
        <w:tc>
          <w:tcPr>
            <w:tcW w:w="385" w:type="pct"/>
            <w:tcBorders>
              <w:top w:val="nil"/>
              <w:left w:val="nil"/>
              <w:bottom w:val="nil"/>
              <w:right w:val="nil"/>
            </w:tcBorders>
            <w:shd w:val="clear" w:color="auto" w:fill="auto"/>
            <w:noWrap/>
            <w:vAlign w:val="bottom"/>
          </w:tcPr>
          <w:p w14:paraId="74C96BFA" w14:textId="77777777" w:rsidR="003A2D87" w:rsidRPr="00B148F9" w:rsidRDefault="003A2D87" w:rsidP="00326CD3">
            <w:pPr>
              <w:jc w:val="center"/>
              <w:rPr>
                <w:rFonts w:cs="Arial"/>
                <w:lang w:eastAsia="en-GB"/>
              </w:rPr>
            </w:pPr>
          </w:p>
        </w:tc>
        <w:tc>
          <w:tcPr>
            <w:tcW w:w="296" w:type="pct"/>
            <w:tcBorders>
              <w:left w:val="nil"/>
              <w:right w:val="nil"/>
            </w:tcBorders>
          </w:tcPr>
          <w:p w14:paraId="0B3FA10D" w14:textId="77777777" w:rsidR="003A2D87" w:rsidRPr="00B148F9" w:rsidRDefault="003A2D87">
            <w:pPr>
              <w:jc w:val="right"/>
              <w:rPr>
                <w:b/>
                <w:highlight w:val="yellow"/>
              </w:rPr>
            </w:pPr>
          </w:p>
        </w:tc>
        <w:tc>
          <w:tcPr>
            <w:tcW w:w="828" w:type="pct"/>
            <w:tcBorders>
              <w:top w:val="single" w:sz="4" w:space="0" w:color="auto"/>
              <w:left w:val="nil"/>
              <w:bottom w:val="single" w:sz="4" w:space="0" w:color="auto"/>
              <w:right w:val="nil"/>
            </w:tcBorders>
            <w:shd w:val="clear" w:color="auto" w:fill="auto"/>
            <w:noWrap/>
            <w:vAlign w:val="bottom"/>
          </w:tcPr>
          <w:p w14:paraId="6E405A97" w14:textId="62334F80" w:rsidR="003A2D87" w:rsidRPr="00B148F9" w:rsidRDefault="00F05197">
            <w:pPr>
              <w:jc w:val="right"/>
              <w:rPr>
                <w:b/>
              </w:rPr>
            </w:pPr>
            <w:r w:rsidRPr="00B148F9">
              <w:rPr>
                <w:b/>
              </w:rPr>
              <w:t>80,942</w:t>
            </w:r>
          </w:p>
        </w:tc>
        <w:tc>
          <w:tcPr>
            <w:tcW w:w="296" w:type="pct"/>
            <w:tcBorders>
              <w:top w:val="nil"/>
              <w:left w:val="nil"/>
              <w:bottom w:val="nil"/>
              <w:right w:val="nil"/>
            </w:tcBorders>
            <w:shd w:val="clear" w:color="auto" w:fill="auto"/>
            <w:noWrap/>
            <w:vAlign w:val="bottom"/>
            <w:hideMark/>
          </w:tcPr>
          <w:p w14:paraId="35E04DF7" w14:textId="77777777" w:rsidR="003A2D87" w:rsidRPr="00B148F9" w:rsidRDefault="003A2D87" w:rsidP="00326CD3">
            <w:pPr>
              <w:jc w:val="right"/>
              <w:rPr>
                <w:rFonts w:cs="Arial"/>
                <w:highlight w:val="yellow"/>
                <w:lang w:eastAsia="en-GB"/>
              </w:rPr>
            </w:pPr>
          </w:p>
        </w:tc>
        <w:tc>
          <w:tcPr>
            <w:tcW w:w="828" w:type="pct"/>
            <w:tcBorders>
              <w:top w:val="single" w:sz="4" w:space="0" w:color="auto"/>
              <w:left w:val="nil"/>
              <w:bottom w:val="single" w:sz="4" w:space="0" w:color="auto"/>
              <w:right w:val="nil"/>
            </w:tcBorders>
            <w:shd w:val="clear" w:color="auto" w:fill="auto"/>
            <w:noWrap/>
            <w:vAlign w:val="bottom"/>
            <w:hideMark/>
          </w:tcPr>
          <w:p w14:paraId="791BC0FD" w14:textId="1DE329E5" w:rsidR="003A2D87" w:rsidRPr="00B148F9" w:rsidRDefault="003A2D87" w:rsidP="00B3585A">
            <w:pPr>
              <w:jc w:val="right"/>
              <w:rPr>
                <w:b/>
              </w:rPr>
            </w:pPr>
            <w:r w:rsidRPr="00B148F9">
              <w:rPr>
                <w:b/>
              </w:rPr>
              <w:t>-</w:t>
            </w:r>
          </w:p>
        </w:tc>
      </w:tr>
      <w:tr w:rsidR="00DE7179" w:rsidRPr="00B148F9" w14:paraId="18E03B3C" w14:textId="77777777" w:rsidTr="00EE53BF">
        <w:trPr>
          <w:trHeight w:val="270"/>
        </w:trPr>
        <w:tc>
          <w:tcPr>
            <w:tcW w:w="2368" w:type="pct"/>
            <w:tcBorders>
              <w:top w:val="nil"/>
              <w:left w:val="nil"/>
              <w:bottom w:val="nil"/>
              <w:right w:val="nil"/>
            </w:tcBorders>
            <w:shd w:val="clear" w:color="auto" w:fill="auto"/>
            <w:noWrap/>
            <w:vAlign w:val="bottom"/>
            <w:hideMark/>
          </w:tcPr>
          <w:p w14:paraId="5BD0AF25" w14:textId="77777777" w:rsidR="003A2D87" w:rsidRPr="00B148F9" w:rsidRDefault="003A2D87" w:rsidP="00326CD3">
            <w:pPr>
              <w:rPr>
                <w:rFonts w:cs="Arial"/>
                <w:b/>
                <w:bCs/>
                <w:lang w:eastAsia="en-GB"/>
              </w:rPr>
            </w:pPr>
          </w:p>
        </w:tc>
        <w:tc>
          <w:tcPr>
            <w:tcW w:w="385" w:type="pct"/>
            <w:tcBorders>
              <w:top w:val="nil"/>
              <w:left w:val="nil"/>
              <w:bottom w:val="nil"/>
              <w:right w:val="nil"/>
            </w:tcBorders>
            <w:shd w:val="clear" w:color="auto" w:fill="auto"/>
            <w:noWrap/>
            <w:vAlign w:val="bottom"/>
          </w:tcPr>
          <w:p w14:paraId="6FDC01CB" w14:textId="77777777" w:rsidR="003A2D87" w:rsidRPr="00B148F9" w:rsidRDefault="003A2D87" w:rsidP="00326CD3">
            <w:pPr>
              <w:jc w:val="center"/>
              <w:rPr>
                <w:rFonts w:cs="Arial"/>
                <w:lang w:eastAsia="en-GB"/>
              </w:rPr>
            </w:pPr>
          </w:p>
        </w:tc>
        <w:tc>
          <w:tcPr>
            <w:tcW w:w="296" w:type="pct"/>
            <w:tcBorders>
              <w:left w:val="nil"/>
              <w:bottom w:val="nil"/>
              <w:right w:val="nil"/>
            </w:tcBorders>
          </w:tcPr>
          <w:p w14:paraId="081FA140"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663DC367" w14:textId="23121796" w:rsidR="003A2D87" w:rsidRPr="00B148F9" w:rsidRDefault="003A2D87" w:rsidP="00326CD3">
            <w:pPr>
              <w:jc w:val="right"/>
              <w:rPr>
                <w:rFonts w:cs="Arial"/>
                <w:lang w:eastAsia="en-GB"/>
              </w:rPr>
            </w:pPr>
          </w:p>
        </w:tc>
        <w:tc>
          <w:tcPr>
            <w:tcW w:w="296" w:type="pct"/>
            <w:tcBorders>
              <w:top w:val="nil"/>
              <w:left w:val="nil"/>
              <w:bottom w:val="nil"/>
              <w:right w:val="nil"/>
            </w:tcBorders>
            <w:shd w:val="clear" w:color="auto" w:fill="auto"/>
            <w:noWrap/>
            <w:vAlign w:val="bottom"/>
            <w:hideMark/>
          </w:tcPr>
          <w:p w14:paraId="6A7E2D98"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05A7FEA2" w14:textId="77777777" w:rsidR="003A2D87" w:rsidRPr="00B148F9" w:rsidRDefault="003A2D87" w:rsidP="00B3585A">
            <w:pPr>
              <w:jc w:val="right"/>
              <w:rPr>
                <w:rFonts w:cs="Arial"/>
                <w:lang w:eastAsia="en-GB"/>
              </w:rPr>
            </w:pPr>
          </w:p>
        </w:tc>
      </w:tr>
      <w:tr w:rsidR="00DE7179" w:rsidRPr="00B148F9" w14:paraId="7B6AD638" w14:textId="77777777" w:rsidTr="00EE53BF">
        <w:trPr>
          <w:trHeight w:val="270"/>
        </w:trPr>
        <w:tc>
          <w:tcPr>
            <w:tcW w:w="2368" w:type="pct"/>
            <w:tcBorders>
              <w:top w:val="nil"/>
              <w:left w:val="nil"/>
              <w:bottom w:val="nil"/>
              <w:right w:val="nil"/>
            </w:tcBorders>
            <w:shd w:val="clear" w:color="auto" w:fill="auto"/>
            <w:noWrap/>
            <w:vAlign w:val="bottom"/>
            <w:hideMark/>
          </w:tcPr>
          <w:p w14:paraId="6D4D30FB" w14:textId="77777777" w:rsidR="003A2D87" w:rsidRPr="00B148F9" w:rsidRDefault="003A2D87" w:rsidP="00326CD3">
            <w:pPr>
              <w:rPr>
                <w:rFonts w:cs="Arial"/>
                <w:lang w:eastAsia="en-GB"/>
              </w:rPr>
            </w:pPr>
          </w:p>
        </w:tc>
        <w:tc>
          <w:tcPr>
            <w:tcW w:w="385" w:type="pct"/>
            <w:tcBorders>
              <w:top w:val="nil"/>
              <w:left w:val="nil"/>
              <w:bottom w:val="nil"/>
              <w:right w:val="nil"/>
            </w:tcBorders>
            <w:shd w:val="clear" w:color="auto" w:fill="auto"/>
            <w:noWrap/>
            <w:vAlign w:val="bottom"/>
          </w:tcPr>
          <w:p w14:paraId="455CF243" w14:textId="77777777" w:rsidR="003A2D87" w:rsidRPr="00B148F9" w:rsidRDefault="003A2D87" w:rsidP="00326CD3">
            <w:pPr>
              <w:jc w:val="center"/>
              <w:rPr>
                <w:rFonts w:cs="Arial"/>
                <w:lang w:eastAsia="en-GB"/>
              </w:rPr>
            </w:pPr>
          </w:p>
        </w:tc>
        <w:tc>
          <w:tcPr>
            <w:tcW w:w="296" w:type="pct"/>
            <w:tcBorders>
              <w:top w:val="nil"/>
              <w:left w:val="nil"/>
              <w:bottom w:val="nil"/>
              <w:right w:val="nil"/>
            </w:tcBorders>
          </w:tcPr>
          <w:p w14:paraId="18DC342C"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19C6CF88" w14:textId="4079B9DD" w:rsidR="003A2D87" w:rsidRPr="00B148F9" w:rsidRDefault="003A2D87" w:rsidP="00326CD3">
            <w:pPr>
              <w:jc w:val="right"/>
              <w:rPr>
                <w:rFonts w:cs="Arial"/>
                <w:lang w:eastAsia="en-GB"/>
              </w:rPr>
            </w:pPr>
          </w:p>
        </w:tc>
        <w:tc>
          <w:tcPr>
            <w:tcW w:w="296" w:type="pct"/>
            <w:tcBorders>
              <w:top w:val="nil"/>
              <w:left w:val="nil"/>
              <w:bottom w:val="nil"/>
              <w:right w:val="nil"/>
            </w:tcBorders>
            <w:shd w:val="clear" w:color="auto" w:fill="auto"/>
            <w:noWrap/>
            <w:vAlign w:val="bottom"/>
            <w:hideMark/>
          </w:tcPr>
          <w:p w14:paraId="7B144A0D"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5469D706" w14:textId="77777777" w:rsidR="003A2D87" w:rsidRPr="00B148F9" w:rsidRDefault="003A2D87" w:rsidP="00B3585A">
            <w:pPr>
              <w:jc w:val="right"/>
              <w:rPr>
                <w:rFonts w:cs="Arial"/>
                <w:lang w:eastAsia="en-GB"/>
              </w:rPr>
            </w:pPr>
          </w:p>
        </w:tc>
      </w:tr>
      <w:tr w:rsidR="00DE7179" w:rsidRPr="00B148F9" w14:paraId="18E12097" w14:textId="77777777" w:rsidTr="00EE53BF">
        <w:trPr>
          <w:trHeight w:val="270"/>
        </w:trPr>
        <w:tc>
          <w:tcPr>
            <w:tcW w:w="2368" w:type="pct"/>
            <w:tcBorders>
              <w:top w:val="nil"/>
              <w:left w:val="nil"/>
              <w:bottom w:val="nil"/>
              <w:right w:val="nil"/>
            </w:tcBorders>
            <w:shd w:val="clear" w:color="auto" w:fill="auto"/>
            <w:noWrap/>
            <w:vAlign w:val="bottom"/>
            <w:hideMark/>
          </w:tcPr>
          <w:p w14:paraId="4CA928C4" w14:textId="77777777" w:rsidR="003A2D87" w:rsidRPr="00B148F9" w:rsidRDefault="003A2D87" w:rsidP="00326CD3">
            <w:pPr>
              <w:rPr>
                <w:rFonts w:cs="Arial"/>
                <w:b/>
                <w:bCs/>
                <w:lang w:eastAsia="en-GB"/>
              </w:rPr>
            </w:pPr>
            <w:r w:rsidRPr="00B148F9">
              <w:rPr>
                <w:rFonts w:cs="Arial"/>
                <w:b/>
                <w:bCs/>
                <w:lang w:eastAsia="en-GB"/>
              </w:rPr>
              <w:t>Expenses</w:t>
            </w:r>
          </w:p>
        </w:tc>
        <w:tc>
          <w:tcPr>
            <w:tcW w:w="385" w:type="pct"/>
            <w:tcBorders>
              <w:top w:val="nil"/>
              <w:left w:val="nil"/>
              <w:bottom w:val="nil"/>
              <w:right w:val="nil"/>
            </w:tcBorders>
            <w:shd w:val="clear" w:color="auto" w:fill="auto"/>
            <w:noWrap/>
            <w:vAlign w:val="bottom"/>
          </w:tcPr>
          <w:p w14:paraId="108DBBF3" w14:textId="77777777" w:rsidR="003A2D87" w:rsidRPr="00B148F9" w:rsidRDefault="003A2D87" w:rsidP="00326CD3">
            <w:pPr>
              <w:jc w:val="center"/>
              <w:rPr>
                <w:rFonts w:cs="Arial"/>
                <w:lang w:eastAsia="en-GB"/>
              </w:rPr>
            </w:pPr>
          </w:p>
        </w:tc>
        <w:tc>
          <w:tcPr>
            <w:tcW w:w="296" w:type="pct"/>
            <w:tcBorders>
              <w:top w:val="nil"/>
              <w:left w:val="nil"/>
              <w:bottom w:val="nil"/>
              <w:right w:val="nil"/>
            </w:tcBorders>
          </w:tcPr>
          <w:p w14:paraId="30BF7CB9"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28701D77" w14:textId="52CA2A24" w:rsidR="003A2D87" w:rsidRPr="00B148F9" w:rsidRDefault="003A2D87" w:rsidP="00326CD3">
            <w:pPr>
              <w:jc w:val="right"/>
              <w:rPr>
                <w:rFonts w:cs="Arial"/>
                <w:lang w:eastAsia="en-GB"/>
              </w:rPr>
            </w:pPr>
          </w:p>
        </w:tc>
        <w:tc>
          <w:tcPr>
            <w:tcW w:w="296" w:type="pct"/>
            <w:tcBorders>
              <w:top w:val="nil"/>
              <w:left w:val="nil"/>
              <w:bottom w:val="nil"/>
              <w:right w:val="nil"/>
            </w:tcBorders>
            <w:shd w:val="clear" w:color="auto" w:fill="auto"/>
            <w:noWrap/>
            <w:vAlign w:val="bottom"/>
            <w:hideMark/>
          </w:tcPr>
          <w:p w14:paraId="70271CF1"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278E4B07" w14:textId="77777777" w:rsidR="003A2D87" w:rsidRPr="00B148F9" w:rsidRDefault="003A2D87" w:rsidP="00B3585A">
            <w:pPr>
              <w:jc w:val="right"/>
              <w:rPr>
                <w:rFonts w:cs="Arial"/>
                <w:lang w:eastAsia="en-GB"/>
              </w:rPr>
            </w:pPr>
          </w:p>
        </w:tc>
      </w:tr>
      <w:tr w:rsidR="00DE7179" w:rsidRPr="00B148F9" w14:paraId="46E94515" w14:textId="77777777" w:rsidTr="00EE53BF">
        <w:trPr>
          <w:trHeight w:val="270"/>
        </w:trPr>
        <w:tc>
          <w:tcPr>
            <w:tcW w:w="2368" w:type="pct"/>
            <w:tcBorders>
              <w:top w:val="nil"/>
              <w:left w:val="nil"/>
              <w:bottom w:val="nil"/>
              <w:right w:val="nil"/>
            </w:tcBorders>
            <w:shd w:val="clear" w:color="auto" w:fill="auto"/>
            <w:noWrap/>
            <w:vAlign w:val="bottom"/>
            <w:hideMark/>
          </w:tcPr>
          <w:p w14:paraId="0FABFA8E" w14:textId="2F8370CE" w:rsidR="003A2D87" w:rsidRPr="00B148F9" w:rsidRDefault="003A2D87" w:rsidP="00326CD3">
            <w:pPr>
              <w:rPr>
                <w:rFonts w:cs="Arial"/>
                <w:lang w:eastAsia="en-GB"/>
              </w:rPr>
            </w:pPr>
            <w:r w:rsidRPr="00B148F9">
              <w:rPr>
                <w:rFonts w:cs="Arial"/>
                <w:lang w:eastAsia="en-GB"/>
              </w:rPr>
              <w:t>Interest</w:t>
            </w:r>
          </w:p>
        </w:tc>
        <w:tc>
          <w:tcPr>
            <w:tcW w:w="385" w:type="pct"/>
            <w:tcBorders>
              <w:top w:val="nil"/>
              <w:left w:val="nil"/>
              <w:bottom w:val="nil"/>
              <w:right w:val="nil"/>
            </w:tcBorders>
            <w:shd w:val="clear" w:color="auto" w:fill="auto"/>
            <w:noWrap/>
            <w:vAlign w:val="bottom"/>
          </w:tcPr>
          <w:p w14:paraId="53B7C7D1" w14:textId="77777777" w:rsidR="003A2D87" w:rsidRPr="00B148F9" w:rsidRDefault="003A2D87" w:rsidP="00326CD3">
            <w:pPr>
              <w:jc w:val="right"/>
              <w:rPr>
                <w:rFonts w:cs="Arial"/>
                <w:b/>
                <w:bCs/>
                <w:lang w:eastAsia="en-GB"/>
              </w:rPr>
            </w:pPr>
          </w:p>
        </w:tc>
        <w:tc>
          <w:tcPr>
            <w:tcW w:w="296" w:type="pct"/>
            <w:tcBorders>
              <w:top w:val="nil"/>
              <w:left w:val="nil"/>
              <w:bottom w:val="nil"/>
              <w:right w:val="nil"/>
            </w:tcBorders>
          </w:tcPr>
          <w:p w14:paraId="254C1A83" w14:textId="77777777" w:rsidR="003A2D87" w:rsidRPr="00B148F9" w:rsidRDefault="003A2D87" w:rsidP="00BF7732">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4C797989" w14:textId="5B6D2D67" w:rsidR="003A2D87" w:rsidRPr="00B148F9" w:rsidRDefault="00F05197" w:rsidP="00BF7732">
            <w:pPr>
              <w:jc w:val="right"/>
              <w:rPr>
                <w:rFonts w:cs="Arial"/>
                <w:lang w:eastAsia="en-GB"/>
              </w:rPr>
            </w:pPr>
            <w:r w:rsidRPr="00B148F9">
              <w:rPr>
                <w:rFonts w:cs="Arial"/>
                <w:lang w:eastAsia="en-GB"/>
              </w:rPr>
              <w:t>17,484</w:t>
            </w:r>
          </w:p>
        </w:tc>
        <w:tc>
          <w:tcPr>
            <w:tcW w:w="296" w:type="pct"/>
            <w:tcBorders>
              <w:top w:val="nil"/>
              <w:left w:val="nil"/>
              <w:bottom w:val="nil"/>
              <w:right w:val="nil"/>
            </w:tcBorders>
            <w:shd w:val="clear" w:color="auto" w:fill="auto"/>
            <w:noWrap/>
            <w:vAlign w:val="bottom"/>
            <w:hideMark/>
          </w:tcPr>
          <w:p w14:paraId="6B386A16"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6E4ACEB7" w14:textId="0D24413A" w:rsidR="003A2D87" w:rsidRPr="00B148F9" w:rsidRDefault="003A2D87" w:rsidP="00B3585A">
            <w:pPr>
              <w:jc w:val="right"/>
              <w:rPr>
                <w:rFonts w:cs="Arial"/>
                <w:lang w:eastAsia="en-GB"/>
              </w:rPr>
            </w:pPr>
            <w:r w:rsidRPr="00B148F9">
              <w:rPr>
                <w:rFonts w:cs="Arial"/>
                <w:lang w:eastAsia="en-GB"/>
              </w:rPr>
              <w:t>-</w:t>
            </w:r>
          </w:p>
        </w:tc>
      </w:tr>
      <w:tr w:rsidR="00DE7179" w:rsidRPr="00B148F9" w14:paraId="69506354" w14:textId="77777777" w:rsidTr="00EE53BF">
        <w:trPr>
          <w:trHeight w:val="270"/>
        </w:trPr>
        <w:tc>
          <w:tcPr>
            <w:tcW w:w="2368" w:type="pct"/>
            <w:tcBorders>
              <w:top w:val="nil"/>
              <w:left w:val="nil"/>
              <w:bottom w:val="nil"/>
              <w:right w:val="nil"/>
            </w:tcBorders>
            <w:shd w:val="clear" w:color="auto" w:fill="auto"/>
            <w:noWrap/>
            <w:vAlign w:val="bottom"/>
            <w:hideMark/>
          </w:tcPr>
          <w:p w14:paraId="7E0C012E" w14:textId="218F68BE" w:rsidR="003A2D87" w:rsidRPr="00B148F9" w:rsidRDefault="003A2D87" w:rsidP="00326CD3">
            <w:pPr>
              <w:rPr>
                <w:rFonts w:cs="Arial"/>
                <w:lang w:eastAsia="en-GB"/>
              </w:rPr>
            </w:pPr>
            <w:r w:rsidRPr="00B148F9">
              <w:rPr>
                <w:rFonts w:cs="Arial"/>
                <w:lang w:eastAsia="en-GB"/>
              </w:rPr>
              <w:t xml:space="preserve">Research </w:t>
            </w:r>
            <w:r w:rsidR="006777F3" w:rsidRPr="00B148F9">
              <w:rPr>
                <w:rFonts w:cs="Arial"/>
                <w:lang w:eastAsia="en-GB"/>
              </w:rPr>
              <w:t>f</w:t>
            </w:r>
            <w:r w:rsidRPr="00B148F9">
              <w:rPr>
                <w:rFonts w:cs="Arial"/>
                <w:lang w:eastAsia="en-GB"/>
              </w:rPr>
              <w:t>ees</w:t>
            </w:r>
          </w:p>
        </w:tc>
        <w:tc>
          <w:tcPr>
            <w:tcW w:w="385" w:type="pct"/>
            <w:tcBorders>
              <w:top w:val="nil"/>
              <w:left w:val="nil"/>
              <w:bottom w:val="nil"/>
              <w:right w:val="nil"/>
            </w:tcBorders>
            <w:shd w:val="clear" w:color="auto" w:fill="auto"/>
            <w:noWrap/>
            <w:vAlign w:val="bottom"/>
          </w:tcPr>
          <w:p w14:paraId="2D9637A6" w14:textId="5B5EEA6E" w:rsidR="003A2D87" w:rsidRPr="00B148F9" w:rsidRDefault="003A2D87" w:rsidP="00326CD3">
            <w:pPr>
              <w:jc w:val="right"/>
              <w:rPr>
                <w:rFonts w:cs="Arial"/>
                <w:b/>
                <w:bCs/>
                <w:lang w:eastAsia="en-GB"/>
              </w:rPr>
            </w:pPr>
          </w:p>
        </w:tc>
        <w:tc>
          <w:tcPr>
            <w:tcW w:w="296" w:type="pct"/>
            <w:tcBorders>
              <w:top w:val="nil"/>
              <w:left w:val="nil"/>
              <w:bottom w:val="nil"/>
              <w:right w:val="nil"/>
            </w:tcBorders>
          </w:tcPr>
          <w:p w14:paraId="213BFEE4" w14:textId="77777777" w:rsidR="003A2D87" w:rsidRPr="00B148F9" w:rsidRDefault="003A2D87" w:rsidP="00BF7732">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76E1B18B" w14:textId="664D8491" w:rsidR="003A2D87" w:rsidRPr="00B148F9" w:rsidRDefault="005C1E46" w:rsidP="00BF7732">
            <w:pPr>
              <w:jc w:val="right"/>
              <w:rPr>
                <w:rFonts w:cs="Arial"/>
                <w:lang w:eastAsia="en-GB"/>
              </w:rPr>
            </w:pPr>
            <w:r w:rsidRPr="00B148F9">
              <w:rPr>
                <w:rFonts w:cs="Arial"/>
                <w:lang w:eastAsia="en-GB"/>
              </w:rPr>
              <w:t>97,972</w:t>
            </w:r>
          </w:p>
        </w:tc>
        <w:tc>
          <w:tcPr>
            <w:tcW w:w="296" w:type="pct"/>
            <w:tcBorders>
              <w:top w:val="nil"/>
              <w:left w:val="nil"/>
              <w:bottom w:val="nil"/>
              <w:right w:val="nil"/>
            </w:tcBorders>
            <w:shd w:val="clear" w:color="auto" w:fill="auto"/>
            <w:noWrap/>
            <w:vAlign w:val="bottom"/>
            <w:hideMark/>
          </w:tcPr>
          <w:p w14:paraId="4B652452"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022F3D54" w14:textId="2682E87A" w:rsidR="003A2D87" w:rsidRPr="00B148F9" w:rsidRDefault="003A2D87" w:rsidP="00B3585A">
            <w:pPr>
              <w:jc w:val="right"/>
              <w:rPr>
                <w:rFonts w:cs="Arial"/>
                <w:lang w:eastAsia="en-GB"/>
              </w:rPr>
            </w:pPr>
            <w:r w:rsidRPr="00B148F9">
              <w:rPr>
                <w:rFonts w:cs="Arial"/>
                <w:lang w:eastAsia="en-GB"/>
              </w:rPr>
              <w:t>6,418</w:t>
            </w:r>
          </w:p>
        </w:tc>
      </w:tr>
      <w:tr w:rsidR="00DE7179" w:rsidRPr="00B148F9" w14:paraId="6F04090C" w14:textId="77777777" w:rsidTr="00EE53BF">
        <w:trPr>
          <w:trHeight w:val="270"/>
        </w:trPr>
        <w:tc>
          <w:tcPr>
            <w:tcW w:w="2368" w:type="pct"/>
            <w:tcBorders>
              <w:top w:val="nil"/>
              <w:left w:val="nil"/>
              <w:bottom w:val="nil"/>
              <w:right w:val="nil"/>
            </w:tcBorders>
            <w:shd w:val="clear" w:color="auto" w:fill="auto"/>
            <w:noWrap/>
            <w:vAlign w:val="bottom"/>
            <w:hideMark/>
          </w:tcPr>
          <w:p w14:paraId="4BFF86FA" w14:textId="15B20AAE" w:rsidR="003A2D87" w:rsidRPr="00B148F9" w:rsidRDefault="003A2D87">
            <w:pPr>
              <w:rPr>
                <w:rFonts w:cs="Arial"/>
                <w:lang w:eastAsia="en-GB"/>
              </w:rPr>
            </w:pPr>
            <w:r w:rsidRPr="00B148F9">
              <w:rPr>
                <w:rFonts w:cs="Arial"/>
                <w:lang w:eastAsia="en-GB"/>
              </w:rPr>
              <w:t xml:space="preserve">Administrative </w:t>
            </w:r>
            <w:r w:rsidR="006777F3" w:rsidRPr="00B148F9">
              <w:rPr>
                <w:rFonts w:cs="Arial"/>
                <w:lang w:eastAsia="en-GB"/>
              </w:rPr>
              <w:t>f</w:t>
            </w:r>
            <w:r w:rsidRPr="00B148F9">
              <w:rPr>
                <w:rFonts w:cs="Arial"/>
                <w:lang w:eastAsia="en-GB"/>
              </w:rPr>
              <w:t>ee</w:t>
            </w:r>
          </w:p>
        </w:tc>
        <w:tc>
          <w:tcPr>
            <w:tcW w:w="385" w:type="pct"/>
            <w:tcBorders>
              <w:top w:val="nil"/>
              <w:left w:val="nil"/>
              <w:bottom w:val="nil"/>
              <w:right w:val="nil"/>
            </w:tcBorders>
            <w:shd w:val="clear" w:color="auto" w:fill="auto"/>
            <w:noWrap/>
            <w:vAlign w:val="bottom"/>
          </w:tcPr>
          <w:p w14:paraId="24EA0029" w14:textId="77777777" w:rsidR="003A2D87" w:rsidRPr="00B148F9" w:rsidRDefault="003A2D87" w:rsidP="00326CD3">
            <w:pPr>
              <w:jc w:val="right"/>
              <w:rPr>
                <w:rFonts w:cs="Arial"/>
                <w:b/>
                <w:bCs/>
                <w:lang w:eastAsia="en-GB"/>
              </w:rPr>
            </w:pPr>
          </w:p>
        </w:tc>
        <w:tc>
          <w:tcPr>
            <w:tcW w:w="296" w:type="pct"/>
            <w:tcBorders>
              <w:top w:val="nil"/>
              <w:left w:val="nil"/>
              <w:bottom w:val="nil"/>
              <w:right w:val="nil"/>
            </w:tcBorders>
          </w:tcPr>
          <w:p w14:paraId="58D5666A"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4014E87B" w14:textId="3EF580C1" w:rsidR="003A2D87" w:rsidRPr="00B148F9" w:rsidRDefault="00093CAD" w:rsidP="00326CD3">
            <w:pPr>
              <w:jc w:val="right"/>
              <w:rPr>
                <w:rFonts w:cs="Arial"/>
                <w:lang w:eastAsia="en-GB"/>
              </w:rPr>
            </w:pPr>
            <w:r w:rsidRPr="00B148F9">
              <w:rPr>
                <w:rFonts w:cs="Arial"/>
                <w:lang w:eastAsia="en-GB"/>
              </w:rPr>
              <w:t>70,389</w:t>
            </w:r>
          </w:p>
        </w:tc>
        <w:tc>
          <w:tcPr>
            <w:tcW w:w="296" w:type="pct"/>
            <w:tcBorders>
              <w:top w:val="nil"/>
              <w:left w:val="nil"/>
              <w:bottom w:val="nil"/>
              <w:right w:val="nil"/>
            </w:tcBorders>
            <w:shd w:val="clear" w:color="auto" w:fill="auto"/>
            <w:noWrap/>
            <w:vAlign w:val="bottom"/>
            <w:hideMark/>
          </w:tcPr>
          <w:p w14:paraId="7D278A60"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70F480F4" w14:textId="5C5007FB" w:rsidR="003A2D87" w:rsidRPr="00B148F9" w:rsidRDefault="003A2D87" w:rsidP="00B3585A">
            <w:pPr>
              <w:jc w:val="right"/>
              <w:rPr>
                <w:rFonts w:cs="Arial"/>
                <w:lang w:eastAsia="en-GB"/>
              </w:rPr>
            </w:pPr>
            <w:r w:rsidRPr="00B148F9">
              <w:rPr>
                <w:rFonts w:cs="Arial"/>
                <w:lang w:eastAsia="en-GB"/>
              </w:rPr>
              <w:t>12,000</w:t>
            </w:r>
          </w:p>
        </w:tc>
      </w:tr>
      <w:tr w:rsidR="00DE7179" w:rsidRPr="00B148F9" w14:paraId="4EFB33A9" w14:textId="77777777" w:rsidTr="00EE53BF">
        <w:trPr>
          <w:trHeight w:val="270"/>
        </w:trPr>
        <w:tc>
          <w:tcPr>
            <w:tcW w:w="2368" w:type="pct"/>
            <w:tcBorders>
              <w:top w:val="nil"/>
              <w:left w:val="nil"/>
              <w:bottom w:val="nil"/>
              <w:right w:val="nil"/>
            </w:tcBorders>
            <w:shd w:val="clear" w:color="auto" w:fill="auto"/>
            <w:noWrap/>
            <w:vAlign w:val="bottom"/>
          </w:tcPr>
          <w:p w14:paraId="2F20326B" w14:textId="6A507DE4" w:rsidR="00F05197" w:rsidRPr="00B148F9" w:rsidRDefault="00F05197">
            <w:pPr>
              <w:rPr>
                <w:rFonts w:cs="Arial"/>
                <w:lang w:eastAsia="en-GB"/>
              </w:rPr>
            </w:pPr>
            <w:r w:rsidRPr="00B148F9">
              <w:rPr>
                <w:rFonts w:cs="Arial"/>
                <w:lang w:eastAsia="en-GB"/>
              </w:rPr>
              <w:t xml:space="preserve">Audit </w:t>
            </w:r>
            <w:r w:rsidR="006777F3" w:rsidRPr="00B148F9">
              <w:rPr>
                <w:rFonts w:cs="Arial"/>
                <w:lang w:eastAsia="en-GB"/>
              </w:rPr>
              <w:t>f</w:t>
            </w:r>
            <w:r w:rsidRPr="00B148F9">
              <w:rPr>
                <w:rFonts w:cs="Arial"/>
                <w:lang w:eastAsia="en-GB"/>
              </w:rPr>
              <w:t>ees</w:t>
            </w:r>
          </w:p>
        </w:tc>
        <w:tc>
          <w:tcPr>
            <w:tcW w:w="385" w:type="pct"/>
            <w:tcBorders>
              <w:top w:val="nil"/>
              <w:left w:val="nil"/>
              <w:bottom w:val="nil"/>
              <w:right w:val="nil"/>
            </w:tcBorders>
            <w:shd w:val="clear" w:color="auto" w:fill="auto"/>
            <w:noWrap/>
            <w:vAlign w:val="bottom"/>
          </w:tcPr>
          <w:p w14:paraId="013B07FE" w14:textId="77777777" w:rsidR="00F05197" w:rsidRPr="00B148F9" w:rsidRDefault="00F05197" w:rsidP="00326CD3">
            <w:pPr>
              <w:jc w:val="center"/>
              <w:rPr>
                <w:rFonts w:cs="Arial"/>
                <w:lang w:eastAsia="en-GB"/>
              </w:rPr>
            </w:pPr>
          </w:p>
        </w:tc>
        <w:tc>
          <w:tcPr>
            <w:tcW w:w="296" w:type="pct"/>
            <w:tcBorders>
              <w:top w:val="nil"/>
              <w:left w:val="nil"/>
              <w:bottom w:val="nil"/>
              <w:right w:val="nil"/>
            </w:tcBorders>
          </w:tcPr>
          <w:p w14:paraId="50AE5BF0" w14:textId="77777777" w:rsidR="00F05197" w:rsidRPr="00B148F9" w:rsidRDefault="00F05197" w:rsidP="003D7DCD">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4C09D6A9" w14:textId="182CBB30" w:rsidR="00F05197" w:rsidRPr="00B148F9" w:rsidRDefault="00093CAD" w:rsidP="003D7DCD">
            <w:pPr>
              <w:jc w:val="right"/>
              <w:rPr>
                <w:rFonts w:cs="Arial"/>
                <w:lang w:eastAsia="en-GB"/>
              </w:rPr>
            </w:pPr>
            <w:r w:rsidRPr="00B148F9">
              <w:rPr>
                <w:rFonts w:cs="Arial"/>
                <w:lang w:eastAsia="en-GB"/>
              </w:rPr>
              <w:t>205,274</w:t>
            </w:r>
          </w:p>
        </w:tc>
        <w:tc>
          <w:tcPr>
            <w:tcW w:w="296" w:type="pct"/>
            <w:tcBorders>
              <w:top w:val="nil"/>
              <w:left w:val="nil"/>
              <w:bottom w:val="nil"/>
              <w:right w:val="nil"/>
            </w:tcBorders>
            <w:shd w:val="clear" w:color="auto" w:fill="auto"/>
            <w:noWrap/>
            <w:vAlign w:val="bottom"/>
          </w:tcPr>
          <w:p w14:paraId="307CF9D9" w14:textId="77777777" w:rsidR="00F05197" w:rsidRPr="00B148F9" w:rsidRDefault="00F0519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4589B540" w14:textId="2073C45E" w:rsidR="00F05197" w:rsidRPr="00B148F9" w:rsidRDefault="00F05197" w:rsidP="00B3585A">
            <w:pPr>
              <w:jc w:val="right"/>
              <w:rPr>
                <w:rFonts w:cs="Arial"/>
                <w:lang w:eastAsia="en-GB"/>
              </w:rPr>
            </w:pPr>
            <w:r w:rsidRPr="00B148F9">
              <w:rPr>
                <w:rFonts w:cs="Arial"/>
                <w:lang w:eastAsia="en-GB"/>
              </w:rPr>
              <w:t>-</w:t>
            </w:r>
          </w:p>
        </w:tc>
      </w:tr>
      <w:tr w:rsidR="00DE7179" w:rsidRPr="00B148F9" w14:paraId="5468AA93" w14:textId="77777777" w:rsidTr="00EE53BF">
        <w:trPr>
          <w:trHeight w:val="270"/>
        </w:trPr>
        <w:tc>
          <w:tcPr>
            <w:tcW w:w="2368" w:type="pct"/>
            <w:tcBorders>
              <w:top w:val="nil"/>
              <w:left w:val="nil"/>
              <w:bottom w:val="nil"/>
              <w:right w:val="nil"/>
            </w:tcBorders>
            <w:shd w:val="clear" w:color="auto" w:fill="auto"/>
            <w:noWrap/>
            <w:vAlign w:val="bottom"/>
          </w:tcPr>
          <w:p w14:paraId="64946F94" w14:textId="2CFA7503" w:rsidR="00F05197" w:rsidRPr="00B148F9" w:rsidRDefault="00F05197">
            <w:pPr>
              <w:rPr>
                <w:rFonts w:cs="Arial"/>
                <w:lang w:eastAsia="en-GB"/>
              </w:rPr>
            </w:pPr>
            <w:r w:rsidRPr="00B148F9">
              <w:rPr>
                <w:rFonts w:cs="Arial"/>
                <w:lang w:eastAsia="en-GB"/>
              </w:rPr>
              <w:t xml:space="preserve">Directors </w:t>
            </w:r>
            <w:r w:rsidR="006777F3" w:rsidRPr="00B148F9">
              <w:rPr>
                <w:rFonts w:cs="Arial"/>
                <w:lang w:eastAsia="en-GB"/>
              </w:rPr>
              <w:t>f</w:t>
            </w:r>
            <w:r w:rsidRPr="00B148F9">
              <w:rPr>
                <w:rFonts w:cs="Arial"/>
                <w:lang w:eastAsia="en-GB"/>
              </w:rPr>
              <w:t>ees</w:t>
            </w:r>
          </w:p>
        </w:tc>
        <w:tc>
          <w:tcPr>
            <w:tcW w:w="385" w:type="pct"/>
            <w:tcBorders>
              <w:top w:val="nil"/>
              <w:left w:val="nil"/>
              <w:bottom w:val="nil"/>
              <w:right w:val="nil"/>
            </w:tcBorders>
            <w:shd w:val="clear" w:color="auto" w:fill="auto"/>
            <w:noWrap/>
            <w:vAlign w:val="bottom"/>
          </w:tcPr>
          <w:p w14:paraId="2D895A9B" w14:textId="77777777" w:rsidR="00F05197" w:rsidRPr="00B148F9" w:rsidRDefault="00F05197" w:rsidP="00326CD3">
            <w:pPr>
              <w:jc w:val="center"/>
              <w:rPr>
                <w:rFonts w:cs="Arial"/>
                <w:lang w:eastAsia="en-GB"/>
              </w:rPr>
            </w:pPr>
          </w:p>
        </w:tc>
        <w:tc>
          <w:tcPr>
            <w:tcW w:w="296" w:type="pct"/>
            <w:tcBorders>
              <w:top w:val="nil"/>
              <w:left w:val="nil"/>
              <w:bottom w:val="nil"/>
              <w:right w:val="nil"/>
            </w:tcBorders>
          </w:tcPr>
          <w:p w14:paraId="0965BDFC" w14:textId="77777777" w:rsidR="00F05197" w:rsidRPr="00B148F9" w:rsidRDefault="00F05197" w:rsidP="003D7DCD">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1F361F93" w14:textId="1217A266" w:rsidR="00F05197" w:rsidRPr="00B148F9" w:rsidRDefault="00F05197" w:rsidP="003D7DCD">
            <w:pPr>
              <w:jc w:val="right"/>
              <w:rPr>
                <w:rFonts w:cs="Arial"/>
                <w:lang w:eastAsia="en-GB"/>
              </w:rPr>
            </w:pPr>
            <w:r w:rsidRPr="00B148F9">
              <w:rPr>
                <w:rFonts w:cs="Arial"/>
                <w:lang w:eastAsia="en-GB"/>
              </w:rPr>
              <w:t>33,140</w:t>
            </w:r>
          </w:p>
        </w:tc>
        <w:tc>
          <w:tcPr>
            <w:tcW w:w="296" w:type="pct"/>
            <w:tcBorders>
              <w:top w:val="nil"/>
              <w:left w:val="nil"/>
              <w:bottom w:val="nil"/>
              <w:right w:val="nil"/>
            </w:tcBorders>
            <w:shd w:val="clear" w:color="auto" w:fill="auto"/>
            <w:noWrap/>
            <w:vAlign w:val="bottom"/>
          </w:tcPr>
          <w:p w14:paraId="7A6618A0" w14:textId="77777777" w:rsidR="00F05197" w:rsidRPr="00B148F9" w:rsidRDefault="00F0519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39CBA43E" w14:textId="3C4C16D4" w:rsidR="00F05197" w:rsidRPr="00B148F9" w:rsidRDefault="00F05197" w:rsidP="00B3585A">
            <w:pPr>
              <w:jc w:val="right"/>
              <w:rPr>
                <w:rFonts w:cs="Arial"/>
                <w:lang w:eastAsia="en-GB"/>
              </w:rPr>
            </w:pPr>
            <w:r w:rsidRPr="00B148F9">
              <w:rPr>
                <w:rFonts w:cs="Arial"/>
                <w:lang w:eastAsia="en-GB"/>
              </w:rPr>
              <w:t>-</w:t>
            </w:r>
          </w:p>
        </w:tc>
      </w:tr>
      <w:tr w:rsidR="00DE7179" w:rsidRPr="00B148F9" w14:paraId="5C460B7B" w14:textId="77777777" w:rsidTr="00EE53BF">
        <w:trPr>
          <w:trHeight w:val="270"/>
        </w:trPr>
        <w:tc>
          <w:tcPr>
            <w:tcW w:w="2368" w:type="pct"/>
            <w:tcBorders>
              <w:top w:val="nil"/>
              <w:left w:val="nil"/>
              <w:bottom w:val="nil"/>
              <w:right w:val="nil"/>
            </w:tcBorders>
            <w:shd w:val="clear" w:color="auto" w:fill="auto"/>
            <w:noWrap/>
            <w:vAlign w:val="bottom"/>
            <w:hideMark/>
          </w:tcPr>
          <w:p w14:paraId="08DC0DAB" w14:textId="1F67BE1F" w:rsidR="003A2D87" w:rsidRPr="00B148F9" w:rsidRDefault="003A2D87">
            <w:pPr>
              <w:rPr>
                <w:rFonts w:cs="Arial"/>
                <w:lang w:eastAsia="en-GB"/>
              </w:rPr>
            </w:pPr>
            <w:r w:rsidRPr="00B148F9">
              <w:rPr>
                <w:rFonts w:cs="Arial"/>
                <w:lang w:eastAsia="en-GB"/>
              </w:rPr>
              <w:t xml:space="preserve">Management </w:t>
            </w:r>
            <w:r w:rsidR="006777F3" w:rsidRPr="00B148F9">
              <w:rPr>
                <w:rFonts w:cs="Arial"/>
                <w:lang w:eastAsia="en-GB"/>
              </w:rPr>
              <w:t>f</w:t>
            </w:r>
            <w:r w:rsidRPr="00B148F9">
              <w:rPr>
                <w:rFonts w:cs="Arial"/>
                <w:lang w:eastAsia="en-GB"/>
              </w:rPr>
              <w:t>ee</w:t>
            </w:r>
          </w:p>
        </w:tc>
        <w:tc>
          <w:tcPr>
            <w:tcW w:w="385" w:type="pct"/>
            <w:tcBorders>
              <w:top w:val="nil"/>
              <w:left w:val="nil"/>
              <w:bottom w:val="nil"/>
              <w:right w:val="nil"/>
            </w:tcBorders>
            <w:shd w:val="clear" w:color="auto" w:fill="auto"/>
            <w:noWrap/>
            <w:vAlign w:val="bottom"/>
            <w:hideMark/>
          </w:tcPr>
          <w:p w14:paraId="7D0519C8" w14:textId="77777777" w:rsidR="003A2D87" w:rsidRPr="00B148F9" w:rsidRDefault="003A2D87" w:rsidP="00326CD3">
            <w:pPr>
              <w:jc w:val="center"/>
              <w:rPr>
                <w:rFonts w:cs="Arial"/>
                <w:lang w:eastAsia="en-GB"/>
              </w:rPr>
            </w:pPr>
          </w:p>
        </w:tc>
        <w:tc>
          <w:tcPr>
            <w:tcW w:w="296" w:type="pct"/>
            <w:tcBorders>
              <w:top w:val="nil"/>
              <w:left w:val="nil"/>
              <w:bottom w:val="nil"/>
              <w:right w:val="nil"/>
            </w:tcBorders>
          </w:tcPr>
          <w:p w14:paraId="20EE2BBE" w14:textId="77777777" w:rsidR="003A2D87" w:rsidRPr="00B148F9" w:rsidRDefault="003A2D87" w:rsidP="003D7DCD">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47BB047E" w14:textId="541C913E" w:rsidR="003A2D87" w:rsidRPr="00B148F9" w:rsidRDefault="00F05197" w:rsidP="003D7DCD">
            <w:pPr>
              <w:jc w:val="right"/>
              <w:rPr>
                <w:rFonts w:cs="Arial"/>
                <w:lang w:eastAsia="en-GB"/>
              </w:rPr>
            </w:pPr>
            <w:r w:rsidRPr="00B148F9">
              <w:rPr>
                <w:rFonts w:cs="Arial"/>
                <w:lang w:eastAsia="en-GB"/>
              </w:rPr>
              <w:t>368,611</w:t>
            </w:r>
          </w:p>
        </w:tc>
        <w:tc>
          <w:tcPr>
            <w:tcW w:w="296" w:type="pct"/>
            <w:tcBorders>
              <w:top w:val="nil"/>
              <w:left w:val="nil"/>
              <w:bottom w:val="nil"/>
              <w:right w:val="nil"/>
            </w:tcBorders>
            <w:shd w:val="clear" w:color="auto" w:fill="auto"/>
            <w:noWrap/>
            <w:vAlign w:val="bottom"/>
            <w:hideMark/>
          </w:tcPr>
          <w:p w14:paraId="6CA832E8"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0BB5E605" w14:textId="5DAED08D" w:rsidR="003A2D87" w:rsidRPr="00B148F9" w:rsidRDefault="003A2D87" w:rsidP="00B3585A">
            <w:pPr>
              <w:jc w:val="right"/>
              <w:rPr>
                <w:rFonts w:cs="Arial"/>
                <w:lang w:eastAsia="en-GB"/>
              </w:rPr>
            </w:pPr>
            <w:r w:rsidRPr="00B148F9">
              <w:rPr>
                <w:rFonts w:cs="Arial"/>
                <w:lang w:eastAsia="en-GB"/>
              </w:rPr>
              <w:t>-</w:t>
            </w:r>
          </w:p>
        </w:tc>
      </w:tr>
      <w:tr w:rsidR="00DE7179" w:rsidRPr="00B148F9" w14:paraId="214DB6AA" w14:textId="77777777" w:rsidTr="00EE53BF">
        <w:trPr>
          <w:trHeight w:val="270"/>
        </w:trPr>
        <w:tc>
          <w:tcPr>
            <w:tcW w:w="2368" w:type="pct"/>
            <w:tcBorders>
              <w:top w:val="nil"/>
              <w:left w:val="nil"/>
              <w:bottom w:val="nil"/>
              <w:right w:val="nil"/>
            </w:tcBorders>
            <w:shd w:val="clear" w:color="auto" w:fill="auto"/>
            <w:noWrap/>
            <w:vAlign w:val="bottom"/>
            <w:hideMark/>
          </w:tcPr>
          <w:p w14:paraId="0EEE0AD8" w14:textId="07E6ABD1" w:rsidR="003A2D87" w:rsidRPr="00B148F9" w:rsidRDefault="003A2D87" w:rsidP="00326CD3">
            <w:pPr>
              <w:rPr>
                <w:rFonts w:cs="Arial"/>
                <w:lang w:eastAsia="en-GB"/>
              </w:rPr>
            </w:pPr>
            <w:r w:rsidRPr="00B148F9">
              <w:rPr>
                <w:rFonts w:cs="Arial"/>
                <w:lang w:eastAsia="en-GB"/>
              </w:rPr>
              <w:t xml:space="preserve">Professional </w:t>
            </w:r>
            <w:r w:rsidR="006777F3" w:rsidRPr="00B148F9">
              <w:rPr>
                <w:rFonts w:cs="Arial"/>
                <w:lang w:eastAsia="en-GB"/>
              </w:rPr>
              <w:t>f</w:t>
            </w:r>
            <w:r w:rsidRPr="00B148F9">
              <w:rPr>
                <w:rFonts w:cs="Arial"/>
                <w:lang w:eastAsia="en-GB"/>
              </w:rPr>
              <w:t>ees</w:t>
            </w:r>
          </w:p>
        </w:tc>
        <w:tc>
          <w:tcPr>
            <w:tcW w:w="385" w:type="pct"/>
            <w:tcBorders>
              <w:top w:val="nil"/>
              <w:left w:val="nil"/>
              <w:bottom w:val="nil"/>
              <w:right w:val="nil"/>
            </w:tcBorders>
            <w:shd w:val="clear" w:color="auto" w:fill="auto"/>
            <w:noWrap/>
            <w:vAlign w:val="bottom"/>
            <w:hideMark/>
          </w:tcPr>
          <w:p w14:paraId="5D22C4E0" w14:textId="77777777" w:rsidR="003A2D87" w:rsidRPr="00B148F9" w:rsidRDefault="003A2D87" w:rsidP="00326CD3">
            <w:pPr>
              <w:jc w:val="center"/>
              <w:rPr>
                <w:rFonts w:cs="Arial"/>
                <w:lang w:eastAsia="en-GB"/>
              </w:rPr>
            </w:pPr>
          </w:p>
        </w:tc>
        <w:tc>
          <w:tcPr>
            <w:tcW w:w="296" w:type="pct"/>
            <w:tcBorders>
              <w:top w:val="nil"/>
              <w:left w:val="nil"/>
              <w:bottom w:val="nil"/>
              <w:right w:val="nil"/>
            </w:tcBorders>
          </w:tcPr>
          <w:p w14:paraId="604106C9"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19E7BF5C" w14:textId="60AC8756" w:rsidR="003A2D87" w:rsidRPr="00B148F9" w:rsidRDefault="00093CAD" w:rsidP="00326CD3">
            <w:pPr>
              <w:jc w:val="right"/>
              <w:rPr>
                <w:rFonts w:cs="Arial"/>
                <w:lang w:eastAsia="en-GB"/>
              </w:rPr>
            </w:pPr>
            <w:r w:rsidRPr="00B148F9">
              <w:rPr>
                <w:rFonts w:cs="Arial"/>
                <w:lang w:eastAsia="en-GB"/>
              </w:rPr>
              <w:t>549,478</w:t>
            </w:r>
          </w:p>
        </w:tc>
        <w:tc>
          <w:tcPr>
            <w:tcW w:w="296" w:type="pct"/>
            <w:tcBorders>
              <w:top w:val="nil"/>
              <w:left w:val="nil"/>
              <w:bottom w:val="nil"/>
              <w:right w:val="nil"/>
            </w:tcBorders>
            <w:shd w:val="clear" w:color="auto" w:fill="auto"/>
            <w:noWrap/>
            <w:vAlign w:val="bottom"/>
            <w:hideMark/>
          </w:tcPr>
          <w:p w14:paraId="6AA4FB2B"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56449D27" w14:textId="0A037AA4" w:rsidR="003A2D87" w:rsidRPr="00B148F9" w:rsidRDefault="003A2D87" w:rsidP="00B3585A">
            <w:pPr>
              <w:jc w:val="right"/>
              <w:rPr>
                <w:rFonts w:cs="Arial"/>
                <w:lang w:eastAsia="en-GB"/>
              </w:rPr>
            </w:pPr>
            <w:r w:rsidRPr="00B148F9">
              <w:rPr>
                <w:rFonts w:cs="Arial"/>
                <w:lang w:eastAsia="en-GB"/>
              </w:rPr>
              <w:t>52,200</w:t>
            </w:r>
          </w:p>
        </w:tc>
      </w:tr>
      <w:tr w:rsidR="00DE7179" w:rsidRPr="00B148F9" w14:paraId="4E3F3643" w14:textId="77777777" w:rsidTr="00EE53BF">
        <w:trPr>
          <w:trHeight w:val="270"/>
        </w:trPr>
        <w:tc>
          <w:tcPr>
            <w:tcW w:w="2368" w:type="pct"/>
            <w:tcBorders>
              <w:top w:val="nil"/>
              <w:left w:val="nil"/>
              <w:bottom w:val="nil"/>
              <w:right w:val="nil"/>
            </w:tcBorders>
            <w:shd w:val="clear" w:color="auto" w:fill="auto"/>
            <w:noWrap/>
            <w:vAlign w:val="bottom"/>
            <w:hideMark/>
          </w:tcPr>
          <w:p w14:paraId="3D6554E6" w14:textId="375A1677" w:rsidR="003A2D87" w:rsidRPr="00B148F9" w:rsidRDefault="003A2D87" w:rsidP="00326CD3">
            <w:pPr>
              <w:rPr>
                <w:rFonts w:cs="Arial"/>
                <w:lang w:eastAsia="en-GB"/>
              </w:rPr>
            </w:pPr>
            <w:r w:rsidRPr="00B148F9">
              <w:rPr>
                <w:rFonts w:cs="Arial"/>
                <w:lang w:eastAsia="en-GB"/>
              </w:rPr>
              <w:t xml:space="preserve">Other </w:t>
            </w:r>
            <w:r w:rsidR="006777F3" w:rsidRPr="00B148F9">
              <w:rPr>
                <w:rFonts w:cs="Arial"/>
                <w:lang w:eastAsia="en-GB"/>
              </w:rPr>
              <w:t>e</w:t>
            </w:r>
            <w:r w:rsidRPr="00B148F9">
              <w:rPr>
                <w:rFonts w:cs="Arial"/>
                <w:lang w:eastAsia="en-GB"/>
              </w:rPr>
              <w:t>xpenses</w:t>
            </w:r>
          </w:p>
        </w:tc>
        <w:tc>
          <w:tcPr>
            <w:tcW w:w="385" w:type="pct"/>
            <w:tcBorders>
              <w:top w:val="nil"/>
              <w:left w:val="nil"/>
              <w:bottom w:val="nil"/>
              <w:right w:val="nil"/>
            </w:tcBorders>
            <w:shd w:val="clear" w:color="auto" w:fill="auto"/>
            <w:noWrap/>
            <w:vAlign w:val="bottom"/>
            <w:hideMark/>
          </w:tcPr>
          <w:p w14:paraId="7376DDC8" w14:textId="77777777" w:rsidR="003A2D87" w:rsidRPr="00B148F9" w:rsidRDefault="003A2D87" w:rsidP="00326CD3">
            <w:pPr>
              <w:jc w:val="right"/>
              <w:rPr>
                <w:rFonts w:cs="Arial"/>
                <w:b/>
                <w:bCs/>
                <w:lang w:eastAsia="en-GB"/>
              </w:rPr>
            </w:pPr>
          </w:p>
        </w:tc>
        <w:tc>
          <w:tcPr>
            <w:tcW w:w="296" w:type="pct"/>
            <w:tcBorders>
              <w:top w:val="nil"/>
              <w:left w:val="nil"/>
              <w:right w:val="nil"/>
            </w:tcBorders>
          </w:tcPr>
          <w:p w14:paraId="69FB8D3F"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tcPr>
          <w:p w14:paraId="322746E1" w14:textId="2590D83E" w:rsidR="003A2D87" w:rsidRPr="00B148F9" w:rsidRDefault="005C1E46" w:rsidP="00326CD3">
            <w:pPr>
              <w:jc w:val="right"/>
              <w:rPr>
                <w:rFonts w:cs="Arial"/>
                <w:lang w:eastAsia="en-GB"/>
              </w:rPr>
            </w:pPr>
            <w:r w:rsidRPr="00B148F9">
              <w:rPr>
                <w:rFonts w:cs="Arial"/>
                <w:lang w:eastAsia="en-GB"/>
              </w:rPr>
              <w:t>36,456</w:t>
            </w:r>
          </w:p>
        </w:tc>
        <w:tc>
          <w:tcPr>
            <w:tcW w:w="296" w:type="pct"/>
            <w:tcBorders>
              <w:top w:val="nil"/>
              <w:left w:val="nil"/>
              <w:bottom w:val="nil"/>
              <w:right w:val="nil"/>
            </w:tcBorders>
            <w:shd w:val="clear" w:color="auto" w:fill="auto"/>
            <w:noWrap/>
            <w:vAlign w:val="bottom"/>
            <w:hideMark/>
          </w:tcPr>
          <w:p w14:paraId="27D6FE15" w14:textId="77777777" w:rsidR="003A2D87" w:rsidRPr="00B148F9" w:rsidRDefault="003A2D87" w:rsidP="00326CD3">
            <w:pPr>
              <w:jc w:val="right"/>
              <w:rPr>
                <w:rFonts w:cs="Arial"/>
                <w:highlight w:val="yellow"/>
                <w:lang w:eastAsia="en-GB"/>
              </w:rPr>
            </w:pPr>
          </w:p>
        </w:tc>
        <w:tc>
          <w:tcPr>
            <w:tcW w:w="828" w:type="pct"/>
            <w:tcBorders>
              <w:top w:val="nil"/>
              <w:left w:val="nil"/>
              <w:bottom w:val="nil"/>
              <w:right w:val="nil"/>
            </w:tcBorders>
            <w:shd w:val="clear" w:color="auto" w:fill="auto"/>
            <w:noWrap/>
            <w:vAlign w:val="bottom"/>
            <w:hideMark/>
          </w:tcPr>
          <w:p w14:paraId="7DDE2505" w14:textId="1F715559" w:rsidR="003A2D87" w:rsidRPr="00B148F9" w:rsidRDefault="003A2D87" w:rsidP="00B3585A">
            <w:pPr>
              <w:jc w:val="right"/>
              <w:rPr>
                <w:rFonts w:cs="Arial"/>
                <w:lang w:eastAsia="en-GB"/>
              </w:rPr>
            </w:pPr>
            <w:r w:rsidRPr="00B148F9">
              <w:rPr>
                <w:rFonts w:cs="Arial"/>
                <w:lang w:eastAsia="en-GB"/>
              </w:rPr>
              <w:t>-</w:t>
            </w:r>
          </w:p>
        </w:tc>
      </w:tr>
      <w:tr w:rsidR="00DE7179" w:rsidRPr="00B148F9" w14:paraId="0B7EAF75" w14:textId="77777777" w:rsidTr="00EE53BF">
        <w:trPr>
          <w:trHeight w:val="270"/>
        </w:trPr>
        <w:tc>
          <w:tcPr>
            <w:tcW w:w="2368" w:type="pct"/>
            <w:tcBorders>
              <w:top w:val="nil"/>
              <w:left w:val="nil"/>
              <w:bottom w:val="nil"/>
              <w:right w:val="nil"/>
            </w:tcBorders>
            <w:shd w:val="clear" w:color="auto" w:fill="auto"/>
            <w:noWrap/>
            <w:vAlign w:val="bottom"/>
            <w:hideMark/>
          </w:tcPr>
          <w:p w14:paraId="6A119582" w14:textId="77777777" w:rsidR="003A2D87" w:rsidRPr="00B148F9" w:rsidRDefault="003A2D87" w:rsidP="00326CD3">
            <w:pPr>
              <w:rPr>
                <w:rFonts w:cs="Arial"/>
                <w:b/>
                <w:bCs/>
                <w:lang w:eastAsia="en-GB"/>
              </w:rPr>
            </w:pPr>
            <w:r w:rsidRPr="00B148F9">
              <w:rPr>
                <w:rFonts w:cs="Arial"/>
                <w:b/>
                <w:bCs/>
                <w:lang w:eastAsia="en-GB"/>
              </w:rPr>
              <w:t>Total expenses</w:t>
            </w:r>
          </w:p>
        </w:tc>
        <w:tc>
          <w:tcPr>
            <w:tcW w:w="385" w:type="pct"/>
            <w:tcBorders>
              <w:top w:val="nil"/>
              <w:left w:val="nil"/>
              <w:bottom w:val="nil"/>
              <w:right w:val="nil"/>
            </w:tcBorders>
            <w:shd w:val="clear" w:color="auto" w:fill="auto"/>
            <w:noWrap/>
            <w:vAlign w:val="bottom"/>
            <w:hideMark/>
          </w:tcPr>
          <w:p w14:paraId="3FA18F04" w14:textId="77777777" w:rsidR="003A2D87" w:rsidRPr="00B148F9" w:rsidRDefault="003A2D87" w:rsidP="00326CD3">
            <w:pPr>
              <w:jc w:val="center"/>
              <w:rPr>
                <w:rFonts w:cs="Arial"/>
                <w:lang w:eastAsia="en-GB"/>
              </w:rPr>
            </w:pPr>
          </w:p>
        </w:tc>
        <w:tc>
          <w:tcPr>
            <w:tcW w:w="296" w:type="pct"/>
            <w:tcBorders>
              <w:left w:val="nil"/>
              <w:right w:val="nil"/>
            </w:tcBorders>
          </w:tcPr>
          <w:p w14:paraId="641CEE1E" w14:textId="77777777" w:rsidR="003A2D87" w:rsidRPr="00B148F9" w:rsidRDefault="003A2D87" w:rsidP="00CA3BEA">
            <w:pPr>
              <w:jc w:val="right"/>
              <w:rPr>
                <w:rFonts w:cs="Arial"/>
                <w:b/>
                <w:bCs/>
                <w:highlight w:val="yellow"/>
                <w:lang w:eastAsia="en-GB"/>
              </w:rPr>
            </w:pPr>
          </w:p>
        </w:tc>
        <w:tc>
          <w:tcPr>
            <w:tcW w:w="828" w:type="pct"/>
            <w:tcBorders>
              <w:top w:val="single" w:sz="4" w:space="0" w:color="auto"/>
              <w:left w:val="nil"/>
              <w:bottom w:val="single" w:sz="4" w:space="0" w:color="auto"/>
              <w:right w:val="nil"/>
            </w:tcBorders>
            <w:shd w:val="clear" w:color="auto" w:fill="auto"/>
            <w:noWrap/>
            <w:vAlign w:val="bottom"/>
          </w:tcPr>
          <w:p w14:paraId="33F870C8" w14:textId="4CA6E738" w:rsidR="003A2D87" w:rsidRPr="00B148F9" w:rsidRDefault="00093CAD" w:rsidP="00780DC6">
            <w:pPr>
              <w:jc w:val="right"/>
              <w:rPr>
                <w:rFonts w:cs="Arial"/>
                <w:b/>
                <w:bCs/>
                <w:lang w:eastAsia="en-GB"/>
              </w:rPr>
            </w:pPr>
            <w:r w:rsidRPr="00B148F9">
              <w:rPr>
                <w:rFonts w:cs="Arial"/>
                <w:b/>
                <w:bCs/>
                <w:lang w:eastAsia="en-GB"/>
              </w:rPr>
              <w:t>1,</w:t>
            </w:r>
            <w:r w:rsidR="00DE7179" w:rsidRPr="00B148F9">
              <w:rPr>
                <w:rFonts w:cs="Arial"/>
                <w:b/>
                <w:bCs/>
                <w:lang w:eastAsia="en-GB"/>
              </w:rPr>
              <w:t>378</w:t>
            </w:r>
            <w:r w:rsidRPr="00B148F9">
              <w:rPr>
                <w:rFonts w:cs="Arial"/>
                <w:b/>
                <w:bCs/>
                <w:lang w:eastAsia="en-GB"/>
              </w:rPr>
              <w:t>,</w:t>
            </w:r>
            <w:r w:rsidR="00DE7179" w:rsidRPr="00B148F9">
              <w:rPr>
                <w:rFonts w:cs="Arial"/>
                <w:b/>
                <w:bCs/>
                <w:lang w:eastAsia="en-GB"/>
              </w:rPr>
              <w:t>8</w:t>
            </w:r>
            <w:r w:rsidRPr="00B148F9">
              <w:rPr>
                <w:rFonts w:cs="Arial"/>
                <w:b/>
                <w:bCs/>
                <w:lang w:eastAsia="en-GB"/>
              </w:rPr>
              <w:t>0</w:t>
            </w:r>
            <w:r w:rsidR="00DE7179" w:rsidRPr="00B148F9">
              <w:rPr>
                <w:rFonts w:cs="Arial"/>
                <w:b/>
                <w:bCs/>
                <w:lang w:eastAsia="en-GB"/>
              </w:rPr>
              <w:t>4</w:t>
            </w:r>
          </w:p>
        </w:tc>
        <w:tc>
          <w:tcPr>
            <w:tcW w:w="296" w:type="pct"/>
            <w:tcBorders>
              <w:top w:val="nil"/>
              <w:left w:val="nil"/>
              <w:bottom w:val="nil"/>
              <w:right w:val="nil"/>
            </w:tcBorders>
            <w:shd w:val="clear" w:color="auto" w:fill="auto"/>
            <w:noWrap/>
            <w:vAlign w:val="bottom"/>
            <w:hideMark/>
          </w:tcPr>
          <w:p w14:paraId="5D0B8AD0" w14:textId="77777777" w:rsidR="003A2D87" w:rsidRPr="00B148F9" w:rsidRDefault="003A2D87" w:rsidP="00326CD3">
            <w:pPr>
              <w:jc w:val="right"/>
              <w:rPr>
                <w:rFonts w:cs="Arial"/>
                <w:highlight w:val="yellow"/>
                <w:lang w:eastAsia="en-GB"/>
              </w:rPr>
            </w:pPr>
          </w:p>
        </w:tc>
        <w:tc>
          <w:tcPr>
            <w:tcW w:w="828" w:type="pct"/>
            <w:tcBorders>
              <w:top w:val="single" w:sz="4" w:space="0" w:color="auto"/>
              <w:left w:val="nil"/>
              <w:bottom w:val="single" w:sz="4" w:space="0" w:color="auto"/>
              <w:right w:val="nil"/>
            </w:tcBorders>
            <w:shd w:val="clear" w:color="auto" w:fill="auto"/>
            <w:noWrap/>
            <w:vAlign w:val="bottom"/>
            <w:hideMark/>
          </w:tcPr>
          <w:p w14:paraId="1ED92575" w14:textId="54A30553" w:rsidR="003A2D87" w:rsidRPr="00B148F9" w:rsidRDefault="003A2D87" w:rsidP="00B3585A">
            <w:pPr>
              <w:jc w:val="right"/>
              <w:rPr>
                <w:rFonts w:cs="Arial"/>
                <w:b/>
                <w:bCs/>
                <w:lang w:eastAsia="en-GB"/>
              </w:rPr>
            </w:pPr>
            <w:r w:rsidRPr="00B148F9">
              <w:rPr>
                <w:rFonts w:cs="Arial"/>
                <w:b/>
                <w:bCs/>
                <w:lang w:eastAsia="en-GB"/>
              </w:rPr>
              <w:t>70,618</w:t>
            </w:r>
          </w:p>
        </w:tc>
      </w:tr>
      <w:tr w:rsidR="00DE7179" w:rsidRPr="00B148F9" w14:paraId="77D1A1ED" w14:textId="77777777" w:rsidTr="00EE53BF">
        <w:trPr>
          <w:trHeight w:val="150"/>
        </w:trPr>
        <w:tc>
          <w:tcPr>
            <w:tcW w:w="2368" w:type="pct"/>
            <w:tcBorders>
              <w:top w:val="nil"/>
              <w:left w:val="nil"/>
              <w:bottom w:val="nil"/>
              <w:right w:val="nil"/>
            </w:tcBorders>
            <w:shd w:val="clear" w:color="auto" w:fill="auto"/>
            <w:noWrap/>
            <w:vAlign w:val="bottom"/>
            <w:hideMark/>
          </w:tcPr>
          <w:p w14:paraId="161DC697" w14:textId="77777777" w:rsidR="003A2D87" w:rsidRPr="00B148F9" w:rsidRDefault="003A2D87" w:rsidP="00326CD3">
            <w:pPr>
              <w:rPr>
                <w:rFonts w:cs="Arial"/>
                <w:lang w:eastAsia="en-GB"/>
              </w:rPr>
            </w:pPr>
          </w:p>
        </w:tc>
        <w:tc>
          <w:tcPr>
            <w:tcW w:w="385" w:type="pct"/>
            <w:tcBorders>
              <w:top w:val="nil"/>
              <w:left w:val="nil"/>
              <w:bottom w:val="nil"/>
              <w:right w:val="nil"/>
            </w:tcBorders>
            <w:shd w:val="clear" w:color="auto" w:fill="auto"/>
            <w:noWrap/>
            <w:vAlign w:val="bottom"/>
            <w:hideMark/>
          </w:tcPr>
          <w:p w14:paraId="0F585358" w14:textId="77777777" w:rsidR="003A2D87" w:rsidRPr="00B148F9" w:rsidRDefault="003A2D87" w:rsidP="00326CD3">
            <w:pPr>
              <w:jc w:val="center"/>
              <w:rPr>
                <w:rFonts w:cs="Arial"/>
                <w:lang w:eastAsia="en-GB"/>
              </w:rPr>
            </w:pPr>
          </w:p>
        </w:tc>
        <w:tc>
          <w:tcPr>
            <w:tcW w:w="296" w:type="pct"/>
            <w:tcBorders>
              <w:left w:val="nil"/>
              <w:right w:val="nil"/>
            </w:tcBorders>
          </w:tcPr>
          <w:p w14:paraId="0D9C6732" w14:textId="77777777" w:rsidR="003A2D87" w:rsidRPr="00B148F9" w:rsidRDefault="003A2D87" w:rsidP="00326CD3">
            <w:pPr>
              <w:jc w:val="right"/>
              <w:rPr>
                <w:rFonts w:cs="Arial"/>
                <w:highlight w:val="yellow"/>
                <w:lang w:eastAsia="en-GB"/>
              </w:rPr>
            </w:pPr>
          </w:p>
        </w:tc>
        <w:tc>
          <w:tcPr>
            <w:tcW w:w="828" w:type="pct"/>
            <w:tcBorders>
              <w:top w:val="nil"/>
              <w:left w:val="nil"/>
              <w:bottom w:val="single" w:sz="4" w:space="0" w:color="auto"/>
              <w:right w:val="nil"/>
            </w:tcBorders>
            <w:shd w:val="clear" w:color="auto" w:fill="auto"/>
            <w:noWrap/>
            <w:vAlign w:val="bottom"/>
          </w:tcPr>
          <w:p w14:paraId="4A820B32" w14:textId="44E7D9D4" w:rsidR="003A2D87" w:rsidRPr="00B148F9" w:rsidRDefault="003A2D87" w:rsidP="00326CD3">
            <w:pPr>
              <w:jc w:val="right"/>
              <w:rPr>
                <w:rFonts w:cs="Arial"/>
                <w:highlight w:val="yellow"/>
                <w:lang w:eastAsia="en-GB"/>
              </w:rPr>
            </w:pPr>
          </w:p>
        </w:tc>
        <w:tc>
          <w:tcPr>
            <w:tcW w:w="296" w:type="pct"/>
            <w:tcBorders>
              <w:top w:val="nil"/>
              <w:left w:val="nil"/>
              <w:bottom w:val="nil"/>
              <w:right w:val="nil"/>
            </w:tcBorders>
            <w:shd w:val="clear" w:color="auto" w:fill="auto"/>
            <w:noWrap/>
            <w:vAlign w:val="bottom"/>
            <w:hideMark/>
          </w:tcPr>
          <w:p w14:paraId="79F447CA" w14:textId="77777777" w:rsidR="003A2D87" w:rsidRPr="00B148F9" w:rsidRDefault="003A2D87" w:rsidP="00326CD3">
            <w:pPr>
              <w:jc w:val="right"/>
              <w:rPr>
                <w:rFonts w:cs="Arial"/>
                <w:highlight w:val="yellow"/>
                <w:lang w:eastAsia="en-GB"/>
              </w:rPr>
            </w:pPr>
          </w:p>
        </w:tc>
        <w:tc>
          <w:tcPr>
            <w:tcW w:w="828" w:type="pct"/>
            <w:tcBorders>
              <w:top w:val="nil"/>
              <w:left w:val="nil"/>
              <w:bottom w:val="single" w:sz="4" w:space="0" w:color="auto"/>
              <w:right w:val="nil"/>
            </w:tcBorders>
            <w:shd w:val="clear" w:color="auto" w:fill="auto"/>
            <w:noWrap/>
            <w:vAlign w:val="bottom"/>
            <w:hideMark/>
          </w:tcPr>
          <w:p w14:paraId="2B730D4A" w14:textId="77777777" w:rsidR="003A2D87" w:rsidRPr="00B148F9" w:rsidRDefault="003A2D87" w:rsidP="00B3585A">
            <w:pPr>
              <w:jc w:val="right"/>
              <w:rPr>
                <w:rFonts w:cs="Arial"/>
                <w:highlight w:val="yellow"/>
                <w:lang w:eastAsia="en-GB"/>
              </w:rPr>
            </w:pPr>
          </w:p>
        </w:tc>
      </w:tr>
      <w:tr w:rsidR="00DE7179" w:rsidRPr="00B148F9" w14:paraId="5F2389FC" w14:textId="77777777" w:rsidTr="00EE53BF">
        <w:trPr>
          <w:trHeight w:val="270"/>
        </w:trPr>
        <w:tc>
          <w:tcPr>
            <w:tcW w:w="2368" w:type="pct"/>
            <w:tcBorders>
              <w:top w:val="nil"/>
              <w:left w:val="nil"/>
              <w:bottom w:val="nil"/>
              <w:right w:val="nil"/>
            </w:tcBorders>
            <w:shd w:val="clear" w:color="auto" w:fill="auto"/>
            <w:noWrap/>
            <w:vAlign w:val="bottom"/>
            <w:hideMark/>
          </w:tcPr>
          <w:p w14:paraId="403DFD54" w14:textId="4F764710" w:rsidR="003A2D87" w:rsidRPr="00B148F9" w:rsidRDefault="003A2D87">
            <w:pPr>
              <w:rPr>
                <w:rFonts w:cs="Arial"/>
                <w:b/>
                <w:bCs/>
                <w:highlight w:val="yellow"/>
                <w:lang w:eastAsia="en-GB"/>
              </w:rPr>
            </w:pPr>
            <w:r w:rsidRPr="00B148F9">
              <w:rPr>
                <w:rFonts w:cs="Arial"/>
                <w:b/>
                <w:bCs/>
                <w:lang w:eastAsia="en-GB"/>
              </w:rPr>
              <w:t>Net Investment loss</w:t>
            </w:r>
          </w:p>
        </w:tc>
        <w:tc>
          <w:tcPr>
            <w:tcW w:w="385" w:type="pct"/>
            <w:tcBorders>
              <w:top w:val="nil"/>
              <w:left w:val="nil"/>
              <w:bottom w:val="nil"/>
              <w:right w:val="nil"/>
            </w:tcBorders>
            <w:shd w:val="clear" w:color="auto" w:fill="auto"/>
            <w:noWrap/>
            <w:vAlign w:val="bottom"/>
            <w:hideMark/>
          </w:tcPr>
          <w:p w14:paraId="252C5FA7" w14:textId="77777777" w:rsidR="003A2D87" w:rsidRPr="00B148F9" w:rsidRDefault="003A2D87" w:rsidP="00326CD3">
            <w:pPr>
              <w:jc w:val="center"/>
              <w:rPr>
                <w:rFonts w:cs="Arial"/>
                <w:lang w:eastAsia="en-GB"/>
              </w:rPr>
            </w:pPr>
          </w:p>
        </w:tc>
        <w:tc>
          <w:tcPr>
            <w:tcW w:w="296" w:type="pct"/>
            <w:tcBorders>
              <w:left w:val="nil"/>
              <w:right w:val="nil"/>
            </w:tcBorders>
            <w:vAlign w:val="bottom"/>
          </w:tcPr>
          <w:p w14:paraId="721D4B4C" w14:textId="6DB6C2FA" w:rsidR="003A2D87" w:rsidRPr="00B148F9" w:rsidRDefault="003A2D87">
            <w:pPr>
              <w:jc w:val="right"/>
              <w:rPr>
                <w:b/>
              </w:rPr>
            </w:pPr>
            <w:r w:rsidRPr="00B148F9">
              <w:rPr>
                <w:b/>
              </w:rPr>
              <w:t>US$</w:t>
            </w:r>
          </w:p>
        </w:tc>
        <w:tc>
          <w:tcPr>
            <w:tcW w:w="828" w:type="pct"/>
            <w:tcBorders>
              <w:top w:val="single" w:sz="4" w:space="0" w:color="auto"/>
              <w:left w:val="nil"/>
              <w:bottom w:val="double" w:sz="4" w:space="0" w:color="auto"/>
              <w:right w:val="nil"/>
            </w:tcBorders>
            <w:shd w:val="clear" w:color="auto" w:fill="auto"/>
            <w:noWrap/>
            <w:vAlign w:val="bottom"/>
          </w:tcPr>
          <w:p w14:paraId="325E3EDE" w14:textId="53D89DE8" w:rsidR="003A2D87" w:rsidRPr="00B148F9" w:rsidRDefault="00F05197" w:rsidP="00780DC6">
            <w:pPr>
              <w:jc w:val="right"/>
              <w:rPr>
                <w:b/>
                <w:highlight w:val="yellow"/>
              </w:rPr>
            </w:pPr>
            <w:r w:rsidRPr="00B148F9">
              <w:rPr>
                <w:b/>
              </w:rPr>
              <w:t>(</w:t>
            </w:r>
            <w:r w:rsidR="00DE7179" w:rsidRPr="00B148F9">
              <w:rPr>
                <w:b/>
              </w:rPr>
              <w:t>1</w:t>
            </w:r>
            <w:r w:rsidRPr="00B148F9">
              <w:rPr>
                <w:b/>
              </w:rPr>
              <w:t>,</w:t>
            </w:r>
            <w:r w:rsidR="00DE7179" w:rsidRPr="00B148F9">
              <w:rPr>
                <w:b/>
              </w:rPr>
              <w:t>2</w:t>
            </w:r>
            <w:r w:rsidR="00093CAD" w:rsidRPr="00B148F9">
              <w:rPr>
                <w:b/>
              </w:rPr>
              <w:t>9</w:t>
            </w:r>
            <w:r w:rsidR="00DE7179" w:rsidRPr="00B148F9">
              <w:rPr>
                <w:b/>
              </w:rPr>
              <w:t>7</w:t>
            </w:r>
            <w:r w:rsidR="00093CAD" w:rsidRPr="00B148F9">
              <w:rPr>
                <w:b/>
              </w:rPr>
              <w:t>,</w:t>
            </w:r>
            <w:r w:rsidR="00DE7179" w:rsidRPr="00B148F9">
              <w:rPr>
                <w:b/>
              </w:rPr>
              <w:t>8</w:t>
            </w:r>
            <w:r w:rsidR="00093CAD" w:rsidRPr="00B148F9">
              <w:rPr>
                <w:b/>
              </w:rPr>
              <w:t>6</w:t>
            </w:r>
            <w:r w:rsidR="00DE7179" w:rsidRPr="00B148F9">
              <w:rPr>
                <w:b/>
              </w:rPr>
              <w:t>2</w:t>
            </w:r>
            <w:r w:rsidRPr="00B148F9">
              <w:rPr>
                <w:b/>
              </w:rPr>
              <w:t>)</w:t>
            </w:r>
          </w:p>
        </w:tc>
        <w:tc>
          <w:tcPr>
            <w:tcW w:w="296" w:type="pct"/>
            <w:tcBorders>
              <w:top w:val="nil"/>
              <w:left w:val="nil"/>
              <w:bottom w:val="nil"/>
              <w:right w:val="nil"/>
            </w:tcBorders>
            <w:shd w:val="clear" w:color="auto" w:fill="auto"/>
            <w:noWrap/>
            <w:vAlign w:val="bottom"/>
            <w:hideMark/>
          </w:tcPr>
          <w:p w14:paraId="649EA323" w14:textId="624249DD" w:rsidR="003A2D87" w:rsidRPr="00B148F9" w:rsidRDefault="003A2D87" w:rsidP="00326CD3">
            <w:pPr>
              <w:jc w:val="right"/>
              <w:rPr>
                <w:rFonts w:cs="Arial"/>
                <w:highlight w:val="yellow"/>
                <w:lang w:eastAsia="en-GB"/>
              </w:rPr>
            </w:pPr>
            <w:r w:rsidRPr="00B148F9">
              <w:rPr>
                <w:b/>
              </w:rPr>
              <w:t>US$</w:t>
            </w:r>
          </w:p>
        </w:tc>
        <w:tc>
          <w:tcPr>
            <w:tcW w:w="828" w:type="pct"/>
            <w:tcBorders>
              <w:top w:val="single" w:sz="4" w:space="0" w:color="auto"/>
              <w:left w:val="nil"/>
              <w:bottom w:val="double" w:sz="4" w:space="0" w:color="auto"/>
              <w:right w:val="nil"/>
            </w:tcBorders>
            <w:shd w:val="clear" w:color="auto" w:fill="auto"/>
            <w:noWrap/>
            <w:vAlign w:val="bottom"/>
            <w:hideMark/>
          </w:tcPr>
          <w:p w14:paraId="34E56369" w14:textId="63CDE944" w:rsidR="003A2D87" w:rsidRPr="00B148F9" w:rsidRDefault="003A2D87">
            <w:pPr>
              <w:jc w:val="right"/>
              <w:rPr>
                <w:b/>
                <w:highlight w:val="yellow"/>
              </w:rPr>
            </w:pPr>
            <w:r w:rsidRPr="00B148F9">
              <w:rPr>
                <w:b/>
              </w:rPr>
              <w:t>(70,618)</w:t>
            </w:r>
          </w:p>
        </w:tc>
      </w:tr>
      <w:tr w:rsidR="00DE7179" w:rsidRPr="00B148F9" w14:paraId="2FD2D6E1" w14:textId="77777777" w:rsidTr="00EE53BF">
        <w:trPr>
          <w:trHeight w:val="270"/>
        </w:trPr>
        <w:tc>
          <w:tcPr>
            <w:tcW w:w="2368" w:type="pct"/>
            <w:tcBorders>
              <w:top w:val="nil"/>
              <w:left w:val="nil"/>
              <w:bottom w:val="nil"/>
              <w:right w:val="nil"/>
            </w:tcBorders>
            <w:shd w:val="clear" w:color="auto" w:fill="auto"/>
            <w:noWrap/>
            <w:vAlign w:val="bottom"/>
            <w:hideMark/>
          </w:tcPr>
          <w:p w14:paraId="71717664" w14:textId="77777777" w:rsidR="003A2D87" w:rsidRPr="00B148F9" w:rsidRDefault="003A2D87" w:rsidP="00326CD3">
            <w:pPr>
              <w:rPr>
                <w:rFonts w:cs="Arial"/>
                <w:b/>
                <w:bCs/>
                <w:lang w:eastAsia="en-GB"/>
              </w:rPr>
            </w:pPr>
          </w:p>
        </w:tc>
        <w:tc>
          <w:tcPr>
            <w:tcW w:w="385" w:type="pct"/>
            <w:tcBorders>
              <w:top w:val="nil"/>
              <w:left w:val="nil"/>
              <w:bottom w:val="nil"/>
              <w:right w:val="nil"/>
            </w:tcBorders>
            <w:shd w:val="clear" w:color="auto" w:fill="auto"/>
            <w:noWrap/>
            <w:vAlign w:val="bottom"/>
            <w:hideMark/>
          </w:tcPr>
          <w:p w14:paraId="28D7BF1C" w14:textId="77777777" w:rsidR="003A2D87" w:rsidRPr="00B148F9" w:rsidRDefault="003A2D87" w:rsidP="00326CD3">
            <w:pPr>
              <w:jc w:val="center"/>
              <w:rPr>
                <w:rFonts w:cs="Arial"/>
                <w:lang w:eastAsia="en-GB"/>
              </w:rPr>
            </w:pPr>
          </w:p>
        </w:tc>
        <w:tc>
          <w:tcPr>
            <w:tcW w:w="296" w:type="pct"/>
            <w:tcBorders>
              <w:left w:val="nil"/>
              <w:right w:val="nil"/>
            </w:tcBorders>
          </w:tcPr>
          <w:p w14:paraId="405DD435" w14:textId="77777777" w:rsidR="003A2D87" w:rsidRPr="00B148F9" w:rsidRDefault="003A2D87" w:rsidP="00326CD3">
            <w:pPr>
              <w:jc w:val="right"/>
              <w:rPr>
                <w:rFonts w:cs="Arial"/>
                <w:highlight w:val="yellow"/>
                <w:lang w:eastAsia="en-GB"/>
              </w:rPr>
            </w:pPr>
          </w:p>
        </w:tc>
        <w:tc>
          <w:tcPr>
            <w:tcW w:w="828" w:type="pct"/>
            <w:tcBorders>
              <w:top w:val="double" w:sz="4" w:space="0" w:color="auto"/>
              <w:left w:val="nil"/>
              <w:right w:val="nil"/>
            </w:tcBorders>
            <w:shd w:val="clear" w:color="auto" w:fill="auto"/>
            <w:noWrap/>
            <w:vAlign w:val="bottom"/>
          </w:tcPr>
          <w:p w14:paraId="77CB547C" w14:textId="68DEA49C" w:rsidR="003A2D87" w:rsidRPr="00B148F9" w:rsidRDefault="003A2D87" w:rsidP="00326CD3">
            <w:pPr>
              <w:jc w:val="right"/>
              <w:rPr>
                <w:rFonts w:cs="Arial"/>
                <w:highlight w:val="yellow"/>
                <w:lang w:eastAsia="en-GB"/>
              </w:rPr>
            </w:pPr>
          </w:p>
        </w:tc>
        <w:tc>
          <w:tcPr>
            <w:tcW w:w="296" w:type="pct"/>
            <w:tcBorders>
              <w:top w:val="nil"/>
              <w:left w:val="nil"/>
              <w:right w:val="nil"/>
            </w:tcBorders>
            <w:shd w:val="clear" w:color="auto" w:fill="auto"/>
            <w:noWrap/>
            <w:vAlign w:val="bottom"/>
            <w:hideMark/>
          </w:tcPr>
          <w:p w14:paraId="4E75058B" w14:textId="77777777" w:rsidR="003A2D87" w:rsidRPr="00B148F9" w:rsidRDefault="003A2D87" w:rsidP="00326CD3">
            <w:pPr>
              <w:jc w:val="right"/>
              <w:rPr>
                <w:rFonts w:cs="Arial"/>
                <w:highlight w:val="yellow"/>
                <w:lang w:eastAsia="en-GB"/>
              </w:rPr>
            </w:pPr>
          </w:p>
        </w:tc>
        <w:tc>
          <w:tcPr>
            <w:tcW w:w="828" w:type="pct"/>
            <w:tcBorders>
              <w:top w:val="double" w:sz="4" w:space="0" w:color="auto"/>
              <w:left w:val="nil"/>
              <w:right w:val="nil"/>
            </w:tcBorders>
            <w:shd w:val="clear" w:color="auto" w:fill="auto"/>
            <w:noWrap/>
            <w:vAlign w:val="bottom"/>
            <w:hideMark/>
          </w:tcPr>
          <w:p w14:paraId="7A627FEE" w14:textId="77777777" w:rsidR="003A2D87" w:rsidRPr="00B148F9" w:rsidRDefault="003A2D87" w:rsidP="00B3585A">
            <w:pPr>
              <w:jc w:val="right"/>
              <w:rPr>
                <w:rFonts w:cs="Arial"/>
                <w:highlight w:val="yellow"/>
                <w:lang w:eastAsia="en-GB"/>
              </w:rPr>
            </w:pPr>
          </w:p>
        </w:tc>
      </w:tr>
      <w:tr w:rsidR="00DE7179" w:rsidRPr="00B148F9" w14:paraId="239A16A9" w14:textId="77777777" w:rsidTr="00EE53BF">
        <w:trPr>
          <w:trHeight w:val="285"/>
        </w:trPr>
        <w:tc>
          <w:tcPr>
            <w:tcW w:w="2368" w:type="pct"/>
            <w:tcBorders>
              <w:top w:val="nil"/>
              <w:left w:val="nil"/>
              <w:bottom w:val="nil"/>
              <w:right w:val="nil"/>
            </w:tcBorders>
            <w:shd w:val="clear" w:color="auto" w:fill="auto"/>
            <w:noWrap/>
            <w:vAlign w:val="bottom"/>
            <w:hideMark/>
          </w:tcPr>
          <w:p w14:paraId="468A54AC" w14:textId="6F8C306A" w:rsidR="003A2D87" w:rsidRPr="00B148F9" w:rsidRDefault="003A2D87" w:rsidP="00780DC6">
            <w:pPr>
              <w:rPr>
                <w:rFonts w:cs="Arial"/>
                <w:b/>
                <w:bCs/>
                <w:lang w:eastAsia="en-GB"/>
              </w:rPr>
            </w:pPr>
            <w:r w:rsidRPr="00B148F9">
              <w:rPr>
                <w:rFonts w:cs="Arial"/>
                <w:b/>
                <w:bCs/>
                <w:lang w:eastAsia="en-GB"/>
              </w:rPr>
              <w:t xml:space="preserve">Realised and change in unrealised </w:t>
            </w:r>
            <w:r w:rsidR="00466D2D" w:rsidRPr="00B148F9">
              <w:rPr>
                <w:rFonts w:cs="Arial"/>
                <w:b/>
                <w:bCs/>
                <w:lang w:eastAsia="en-GB"/>
              </w:rPr>
              <w:t xml:space="preserve">appreciation </w:t>
            </w:r>
            <w:r w:rsidRPr="00B148F9">
              <w:rPr>
                <w:rFonts w:cs="Arial"/>
                <w:b/>
                <w:bCs/>
                <w:lang w:eastAsia="en-GB"/>
              </w:rPr>
              <w:t>on investments, derivatives and foreign currency transactions</w:t>
            </w:r>
          </w:p>
        </w:tc>
        <w:tc>
          <w:tcPr>
            <w:tcW w:w="385" w:type="pct"/>
            <w:tcBorders>
              <w:top w:val="nil"/>
              <w:left w:val="nil"/>
              <w:bottom w:val="nil"/>
              <w:right w:val="nil"/>
            </w:tcBorders>
            <w:shd w:val="clear" w:color="auto" w:fill="auto"/>
            <w:noWrap/>
            <w:vAlign w:val="bottom"/>
            <w:hideMark/>
          </w:tcPr>
          <w:p w14:paraId="43DF29A5" w14:textId="7CFDBAE5" w:rsidR="003A2D87" w:rsidRPr="00B148F9" w:rsidRDefault="003A2D87">
            <w:pPr>
              <w:jc w:val="right"/>
              <w:rPr>
                <w:rFonts w:cs="Arial"/>
                <w:b/>
                <w:bCs/>
                <w:lang w:eastAsia="en-GB"/>
              </w:rPr>
            </w:pPr>
          </w:p>
        </w:tc>
        <w:tc>
          <w:tcPr>
            <w:tcW w:w="296" w:type="pct"/>
            <w:tcBorders>
              <w:top w:val="nil"/>
              <w:left w:val="nil"/>
              <w:right w:val="nil"/>
            </w:tcBorders>
          </w:tcPr>
          <w:p w14:paraId="0096D86D" w14:textId="77777777" w:rsidR="003A2D87" w:rsidRPr="00B148F9" w:rsidRDefault="003A2D87">
            <w:pPr>
              <w:jc w:val="right"/>
              <w:rPr>
                <w:b/>
                <w:highlight w:val="yellow"/>
              </w:rPr>
            </w:pPr>
          </w:p>
        </w:tc>
        <w:tc>
          <w:tcPr>
            <w:tcW w:w="828" w:type="pct"/>
            <w:tcBorders>
              <w:top w:val="nil"/>
              <w:left w:val="nil"/>
              <w:right w:val="nil"/>
            </w:tcBorders>
            <w:shd w:val="clear" w:color="auto" w:fill="auto"/>
            <w:noWrap/>
            <w:vAlign w:val="bottom"/>
          </w:tcPr>
          <w:p w14:paraId="634D6CA4" w14:textId="6AA2BF6E" w:rsidR="003A2D87" w:rsidRPr="00B148F9" w:rsidRDefault="003A2D87">
            <w:pPr>
              <w:jc w:val="right"/>
              <w:rPr>
                <w:b/>
                <w:highlight w:val="yellow"/>
              </w:rPr>
            </w:pPr>
          </w:p>
        </w:tc>
        <w:tc>
          <w:tcPr>
            <w:tcW w:w="296" w:type="pct"/>
            <w:tcBorders>
              <w:top w:val="nil"/>
              <w:left w:val="nil"/>
              <w:right w:val="nil"/>
            </w:tcBorders>
            <w:shd w:val="clear" w:color="auto" w:fill="auto"/>
            <w:noWrap/>
            <w:vAlign w:val="bottom"/>
          </w:tcPr>
          <w:p w14:paraId="2C4DB748" w14:textId="77777777" w:rsidR="003A2D87" w:rsidRPr="00B148F9" w:rsidRDefault="003A2D87" w:rsidP="00326CD3">
            <w:pPr>
              <w:jc w:val="right"/>
              <w:rPr>
                <w:rFonts w:cs="Arial"/>
                <w:highlight w:val="yellow"/>
                <w:lang w:eastAsia="en-GB"/>
              </w:rPr>
            </w:pPr>
          </w:p>
        </w:tc>
        <w:tc>
          <w:tcPr>
            <w:tcW w:w="828" w:type="pct"/>
            <w:tcBorders>
              <w:top w:val="nil"/>
              <w:left w:val="nil"/>
              <w:right w:val="nil"/>
            </w:tcBorders>
            <w:shd w:val="clear" w:color="auto" w:fill="auto"/>
            <w:noWrap/>
            <w:vAlign w:val="bottom"/>
          </w:tcPr>
          <w:p w14:paraId="3C7D079E" w14:textId="1B5343A1" w:rsidR="003A2D87" w:rsidRPr="00B148F9" w:rsidRDefault="003A2D87" w:rsidP="004968F9">
            <w:pPr>
              <w:jc w:val="right"/>
            </w:pPr>
          </w:p>
        </w:tc>
      </w:tr>
      <w:tr w:rsidR="00DE7179" w:rsidRPr="00B148F9" w14:paraId="77A4ABC7" w14:textId="77777777" w:rsidTr="00EE53BF">
        <w:trPr>
          <w:trHeight w:val="285"/>
        </w:trPr>
        <w:tc>
          <w:tcPr>
            <w:tcW w:w="2368" w:type="pct"/>
            <w:tcBorders>
              <w:top w:val="nil"/>
              <w:left w:val="nil"/>
              <w:bottom w:val="nil"/>
              <w:right w:val="nil"/>
            </w:tcBorders>
            <w:shd w:val="clear" w:color="auto" w:fill="auto"/>
            <w:noWrap/>
            <w:vAlign w:val="bottom"/>
          </w:tcPr>
          <w:p w14:paraId="4F9FE3DB" w14:textId="639CED74" w:rsidR="003A2D87" w:rsidRPr="00B148F9" w:rsidRDefault="003A2D87" w:rsidP="003A034F">
            <w:pPr>
              <w:rPr>
                <w:rFonts w:cs="Arial"/>
                <w:bCs/>
                <w:lang w:eastAsia="en-GB"/>
              </w:rPr>
            </w:pPr>
            <w:r w:rsidRPr="00B148F9">
              <w:rPr>
                <w:rFonts w:cs="Arial"/>
                <w:bCs/>
                <w:lang w:eastAsia="en-GB"/>
              </w:rPr>
              <w:t>Net realised gain on securities</w:t>
            </w:r>
            <w:r w:rsidR="006777F3" w:rsidRPr="00B148F9">
              <w:rPr>
                <w:rFonts w:cs="Arial"/>
                <w:bCs/>
                <w:lang w:eastAsia="en-GB"/>
              </w:rPr>
              <w:t xml:space="preserve"> and foreign currency </w:t>
            </w:r>
            <w:r w:rsidR="003A034F" w:rsidRPr="00B148F9">
              <w:rPr>
                <w:rFonts w:cs="Arial"/>
                <w:bCs/>
                <w:lang w:eastAsia="en-GB"/>
              </w:rPr>
              <w:t xml:space="preserve">transactions </w:t>
            </w:r>
          </w:p>
        </w:tc>
        <w:tc>
          <w:tcPr>
            <w:tcW w:w="385" w:type="pct"/>
            <w:tcBorders>
              <w:top w:val="nil"/>
              <w:left w:val="nil"/>
              <w:bottom w:val="nil"/>
              <w:right w:val="nil"/>
            </w:tcBorders>
            <w:shd w:val="clear" w:color="auto" w:fill="auto"/>
            <w:noWrap/>
            <w:vAlign w:val="bottom"/>
          </w:tcPr>
          <w:p w14:paraId="43F532CF" w14:textId="77777777" w:rsidR="003A2D87" w:rsidRPr="00B148F9" w:rsidRDefault="003A2D87">
            <w:pPr>
              <w:jc w:val="right"/>
              <w:rPr>
                <w:rFonts w:cs="Arial"/>
                <w:b/>
                <w:bCs/>
                <w:lang w:eastAsia="en-GB"/>
              </w:rPr>
            </w:pPr>
          </w:p>
        </w:tc>
        <w:tc>
          <w:tcPr>
            <w:tcW w:w="296" w:type="pct"/>
            <w:tcBorders>
              <w:top w:val="nil"/>
              <w:left w:val="nil"/>
              <w:right w:val="nil"/>
            </w:tcBorders>
          </w:tcPr>
          <w:p w14:paraId="3CA08CB1" w14:textId="77777777" w:rsidR="003A2D87" w:rsidRPr="00B148F9" w:rsidRDefault="003A2D87">
            <w:pPr>
              <w:jc w:val="right"/>
              <w:rPr>
                <w:b/>
                <w:highlight w:val="yellow"/>
              </w:rPr>
            </w:pPr>
          </w:p>
        </w:tc>
        <w:tc>
          <w:tcPr>
            <w:tcW w:w="828" w:type="pct"/>
            <w:tcBorders>
              <w:top w:val="nil"/>
              <w:left w:val="nil"/>
              <w:right w:val="nil"/>
            </w:tcBorders>
            <w:shd w:val="clear" w:color="auto" w:fill="auto"/>
            <w:noWrap/>
            <w:vAlign w:val="bottom"/>
          </w:tcPr>
          <w:p w14:paraId="30AAF868" w14:textId="4394AD17" w:rsidR="003A2D87" w:rsidRPr="00B148F9" w:rsidRDefault="00093CAD">
            <w:pPr>
              <w:jc w:val="right"/>
            </w:pPr>
            <w:r w:rsidRPr="00B148F9">
              <w:t>14,561,226</w:t>
            </w:r>
          </w:p>
        </w:tc>
        <w:tc>
          <w:tcPr>
            <w:tcW w:w="296" w:type="pct"/>
            <w:tcBorders>
              <w:top w:val="nil"/>
              <w:left w:val="nil"/>
              <w:right w:val="nil"/>
            </w:tcBorders>
            <w:shd w:val="clear" w:color="auto" w:fill="auto"/>
            <w:noWrap/>
            <w:vAlign w:val="bottom"/>
          </w:tcPr>
          <w:p w14:paraId="2A087304" w14:textId="77777777" w:rsidR="003A2D87" w:rsidRPr="00B148F9" w:rsidRDefault="003A2D87" w:rsidP="00326CD3">
            <w:pPr>
              <w:jc w:val="right"/>
              <w:rPr>
                <w:rFonts w:cs="Arial"/>
                <w:highlight w:val="yellow"/>
                <w:lang w:eastAsia="en-GB"/>
              </w:rPr>
            </w:pPr>
          </w:p>
        </w:tc>
        <w:tc>
          <w:tcPr>
            <w:tcW w:w="828" w:type="pct"/>
            <w:tcBorders>
              <w:top w:val="nil"/>
              <w:left w:val="nil"/>
              <w:right w:val="nil"/>
            </w:tcBorders>
            <w:shd w:val="clear" w:color="auto" w:fill="auto"/>
            <w:noWrap/>
            <w:vAlign w:val="bottom"/>
          </w:tcPr>
          <w:p w14:paraId="21313400" w14:textId="1B7209DE" w:rsidR="003A2D87" w:rsidRPr="00B148F9" w:rsidRDefault="003A2D87" w:rsidP="004968F9">
            <w:pPr>
              <w:jc w:val="right"/>
            </w:pPr>
            <w:r w:rsidRPr="00B148F9">
              <w:t>-</w:t>
            </w:r>
          </w:p>
        </w:tc>
      </w:tr>
      <w:tr w:rsidR="00DE7179" w:rsidRPr="00B148F9" w14:paraId="156508EE" w14:textId="77777777" w:rsidTr="00EE53BF">
        <w:trPr>
          <w:trHeight w:val="285"/>
        </w:trPr>
        <w:tc>
          <w:tcPr>
            <w:tcW w:w="2368" w:type="pct"/>
            <w:tcBorders>
              <w:top w:val="nil"/>
              <w:left w:val="nil"/>
              <w:bottom w:val="nil"/>
              <w:right w:val="nil"/>
            </w:tcBorders>
            <w:shd w:val="clear" w:color="auto" w:fill="auto"/>
            <w:noWrap/>
            <w:vAlign w:val="bottom"/>
          </w:tcPr>
          <w:p w14:paraId="75B0A521" w14:textId="5BD18568" w:rsidR="003A2D87" w:rsidRPr="00B148F9" w:rsidRDefault="003A2D87" w:rsidP="007D3A96">
            <w:pPr>
              <w:rPr>
                <w:rFonts w:cs="Arial"/>
                <w:bCs/>
                <w:lang w:eastAsia="en-GB"/>
              </w:rPr>
            </w:pPr>
            <w:r w:rsidRPr="00B148F9">
              <w:rPr>
                <w:rFonts w:cs="Arial"/>
                <w:bCs/>
                <w:lang w:eastAsia="en-GB"/>
              </w:rPr>
              <w:t xml:space="preserve">Net </w:t>
            </w:r>
            <w:r w:rsidR="00A94612" w:rsidRPr="00B148F9">
              <w:rPr>
                <w:rFonts w:cs="Arial"/>
                <w:bCs/>
                <w:lang w:eastAsia="en-GB"/>
              </w:rPr>
              <w:t xml:space="preserve">change in </w:t>
            </w:r>
            <w:r w:rsidRPr="00B148F9">
              <w:rPr>
                <w:rFonts w:cs="Arial"/>
                <w:bCs/>
                <w:lang w:eastAsia="en-GB"/>
              </w:rPr>
              <w:t xml:space="preserve">unrealised appreciation on securities </w:t>
            </w:r>
            <w:r w:rsidR="007D3A96" w:rsidRPr="00B148F9">
              <w:rPr>
                <w:rFonts w:cs="Arial"/>
                <w:bCs/>
                <w:lang w:eastAsia="en-GB"/>
              </w:rPr>
              <w:t>and foreign currency translations</w:t>
            </w:r>
          </w:p>
        </w:tc>
        <w:tc>
          <w:tcPr>
            <w:tcW w:w="385" w:type="pct"/>
            <w:tcBorders>
              <w:top w:val="nil"/>
              <w:left w:val="nil"/>
              <w:bottom w:val="nil"/>
              <w:right w:val="nil"/>
            </w:tcBorders>
            <w:shd w:val="clear" w:color="auto" w:fill="auto"/>
            <w:noWrap/>
            <w:vAlign w:val="bottom"/>
          </w:tcPr>
          <w:p w14:paraId="14BBE704" w14:textId="77777777" w:rsidR="003A2D87" w:rsidRPr="00B148F9" w:rsidRDefault="003A2D87">
            <w:pPr>
              <w:jc w:val="right"/>
              <w:rPr>
                <w:rFonts w:cs="Arial"/>
                <w:b/>
                <w:bCs/>
                <w:lang w:eastAsia="en-GB"/>
              </w:rPr>
            </w:pPr>
          </w:p>
        </w:tc>
        <w:tc>
          <w:tcPr>
            <w:tcW w:w="296" w:type="pct"/>
            <w:tcBorders>
              <w:top w:val="nil"/>
              <w:left w:val="nil"/>
              <w:right w:val="nil"/>
            </w:tcBorders>
          </w:tcPr>
          <w:p w14:paraId="66B67AFD" w14:textId="77777777" w:rsidR="003A2D87" w:rsidRPr="00B148F9" w:rsidRDefault="003A2D87">
            <w:pPr>
              <w:jc w:val="right"/>
              <w:rPr>
                <w:b/>
                <w:highlight w:val="yellow"/>
              </w:rPr>
            </w:pPr>
          </w:p>
        </w:tc>
        <w:tc>
          <w:tcPr>
            <w:tcW w:w="828" w:type="pct"/>
            <w:tcBorders>
              <w:top w:val="nil"/>
              <w:left w:val="nil"/>
              <w:right w:val="nil"/>
            </w:tcBorders>
            <w:shd w:val="clear" w:color="auto" w:fill="auto"/>
            <w:noWrap/>
            <w:vAlign w:val="bottom"/>
          </w:tcPr>
          <w:p w14:paraId="079A3A08" w14:textId="46D323E6" w:rsidR="003A2D87" w:rsidRPr="00B148F9" w:rsidRDefault="00093CAD">
            <w:pPr>
              <w:jc w:val="right"/>
            </w:pPr>
            <w:r w:rsidRPr="00B148F9">
              <w:t>24,1</w:t>
            </w:r>
            <w:r w:rsidR="006777F3" w:rsidRPr="00B148F9">
              <w:t>38</w:t>
            </w:r>
            <w:r w:rsidRPr="00B148F9">
              <w:t>,</w:t>
            </w:r>
            <w:r w:rsidR="006777F3" w:rsidRPr="00B148F9">
              <w:t>98</w:t>
            </w:r>
            <w:r w:rsidRPr="00B148F9">
              <w:t>7</w:t>
            </w:r>
          </w:p>
        </w:tc>
        <w:tc>
          <w:tcPr>
            <w:tcW w:w="296" w:type="pct"/>
            <w:tcBorders>
              <w:top w:val="nil"/>
              <w:left w:val="nil"/>
              <w:right w:val="nil"/>
            </w:tcBorders>
            <w:shd w:val="clear" w:color="auto" w:fill="auto"/>
            <w:noWrap/>
            <w:vAlign w:val="bottom"/>
          </w:tcPr>
          <w:p w14:paraId="42B0F383" w14:textId="77777777" w:rsidR="003A2D87" w:rsidRPr="00B148F9" w:rsidRDefault="003A2D87" w:rsidP="00326CD3">
            <w:pPr>
              <w:jc w:val="right"/>
              <w:rPr>
                <w:rFonts w:cs="Arial"/>
                <w:highlight w:val="yellow"/>
                <w:lang w:eastAsia="en-GB"/>
              </w:rPr>
            </w:pPr>
          </w:p>
        </w:tc>
        <w:tc>
          <w:tcPr>
            <w:tcW w:w="828" w:type="pct"/>
            <w:tcBorders>
              <w:top w:val="nil"/>
              <w:left w:val="nil"/>
              <w:right w:val="nil"/>
            </w:tcBorders>
            <w:shd w:val="clear" w:color="auto" w:fill="auto"/>
            <w:noWrap/>
            <w:vAlign w:val="bottom"/>
          </w:tcPr>
          <w:p w14:paraId="197AC1AF" w14:textId="34825300" w:rsidR="003A2D87" w:rsidRPr="00B148F9" w:rsidRDefault="003A2D87" w:rsidP="004968F9">
            <w:pPr>
              <w:jc w:val="right"/>
            </w:pPr>
            <w:r w:rsidRPr="00B148F9">
              <w:t>27,992,812</w:t>
            </w:r>
          </w:p>
        </w:tc>
      </w:tr>
      <w:tr w:rsidR="00DE7179" w:rsidRPr="00B148F9" w14:paraId="68E3E1B0" w14:textId="77777777" w:rsidTr="00EE53BF">
        <w:trPr>
          <w:trHeight w:val="285"/>
        </w:trPr>
        <w:tc>
          <w:tcPr>
            <w:tcW w:w="2368" w:type="pct"/>
            <w:tcBorders>
              <w:top w:val="nil"/>
              <w:left w:val="nil"/>
              <w:bottom w:val="nil"/>
              <w:right w:val="nil"/>
            </w:tcBorders>
            <w:shd w:val="clear" w:color="auto" w:fill="auto"/>
            <w:noWrap/>
            <w:vAlign w:val="bottom"/>
          </w:tcPr>
          <w:p w14:paraId="2A322B23" w14:textId="551AD6F1" w:rsidR="003A2D87" w:rsidRPr="00B148F9" w:rsidRDefault="003A2D87">
            <w:pPr>
              <w:rPr>
                <w:rFonts w:cs="Arial"/>
                <w:bCs/>
                <w:lang w:eastAsia="en-GB"/>
              </w:rPr>
            </w:pPr>
            <w:r w:rsidRPr="00B148F9">
              <w:rPr>
                <w:rFonts w:cs="Arial"/>
                <w:bCs/>
                <w:lang w:eastAsia="en-GB"/>
              </w:rPr>
              <w:t>Net change in unrealised appreciation on derivative contracts</w:t>
            </w:r>
          </w:p>
        </w:tc>
        <w:tc>
          <w:tcPr>
            <w:tcW w:w="385" w:type="pct"/>
            <w:tcBorders>
              <w:top w:val="nil"/>
              <w:left w:val="nil"/>
              <w:bottom w:val="nil"/>
              <w:right w:val="nil"/>
            </w:tcBorders>
            <w:shd w:val="clear" w:color="auto" w:fill="auto"/>
            <w:noWrap/>
            <w:vAlign w:val="bottom"/>
          </w:tcPr>
          <w:p w14:paraId="61ADB215" w14:textId="77777777" w:rsidR="003A2D87" w:rsidRPr="00B148F9" w:rsidRDefault="003A2D87">
            <w:pPr>
              <w:jc w:val="right"/>
              <w:rPr>
                <w:rFonts w:cs="Arial"/>
                <w:b/>
                <w:bCs/>
                <w:lang w:eastAsia="en-GB"/>
              </w:rPr>
            </w:pPr>
          </w:p>
        </w:tc>
        <w:tc>
          <w:tcPr>
            <w:tcW w:w="296" w:type="pct"/>
            <w:tcBorders>
              <w:top w:val="nil"/>
              <w:left w:val="nil"/>
              <w:right w:val="nil"/>
            </w:tcBorders>
          </w:tcPr>
          <w:p w14:paraId="7FE06CBC" w14:textId="77777777" w:rsidR="003A2D87" w:rsidRPr="00B148F9" w:rsidRDefault="003A2D87">
            <w:pPr>
              <w:jc w:val="right"/>
              <w:rPr>
                <w:b/>
                <w:highlight w:val="yellow"/>
              </w:rPr>
            </w:pPr>
          </w:p>
        </w:tc>
        <w:tc>
          <w:tcPr>
            <w:tcW w:w="828" w:type="pct"/>
            <w:tcBorders>
              <w:top w:val="nil"/>
              <w:left w:val="nil"/>
              <w:right w:val="nil"/>
            </w:tcBorders>
            <w:shd w:val="clear" w:color="auto" w:fill="auto"/>
            <w:noWrap/>
            <w:vAlign w:val="bottom"/>
          </w:tcPr>
          <w:p w14:paraId="5F95BDB2" w14:textId="4164BAEC" w:rsidR="003A2D87" w:rsidRPr="00B148F9" w:rsidRDefault="00F05197">
            <w:pPr>
              <w:jc w:val="right"/>
            </w:pPr>
            <w:r w:rsidRPr="00B148F9">
              <w:t>1,315,511</w:t>
            </w:r>
          </w:p>
        </w:tc>
        <w:tc>
          <w:tcPr>
            <w:tcW w:w="296" w:type="pct"/>
            <w:tcBorders>
              <w:top w:val="nil"/>
              <w:left w:val="nil"/>
              <w:right w:val="nil"/>
            </w:tcBorders>
            <w:shd w:val="clear" w:color="auto" w:fill="auto"/>
            <w:noWrap/>
            <w:vAlign w:val="bottom"/>
          </w:tcPr>
          <w:p w14:paraId="0E9B4F5A" w14:textId="77777777" w:rsidR="003A2D87" w:rsidRPr="00B148F9" w:rsidRDefault="003A2D87" w:rsidP="00326CD3">
            <w:pPr>
              <w:jc w:val="right"/>
              <w:rPr>
                <w:rFonts w:cs="Arial"/>
                <w:highlight w:val="yellow"/>
                <w:lang w:eastAsia="en-GB"/>
              </w:rPr>
            </w:pPr>
          </w:p>
        </w:tc>
        <w:tc>
          <w:tcPr>
            <w:tcW w:w="828" w:type="pct"/>
            <w:tcBorders>
              <w:top w:val="nil"/>
              <w:left w:val="nil"/>
              <w:right w:val="nil"/>
            </w:tcBorders>
            <w:shd w:val="clear" w:color="auto" w:fill="auto"/>
            <w:noWrap/>
            <w:vAlign w:val="bottom"/>
          </w:tcPr>
          <w:p w14:paraId="773FE292" w14:textId="380F3908" w:rsidR="003A2D87" w:rsidRPr="00B148F9" w:rsidRDefault="003A2D87" w:rsidP="004968F9">
            <w:pPr>
              <w:jc w:val="right"/>
            </w:pPr>
            <w:r w:rsidRPr="00B148F9">
              <w:t>-</w:t>
            </w:r>
          </w:p>
        </w:tc>
      </w:tr>
      <w:tr w:rsidR="00DE7179" w:rsidRPr="00B148F9" w14:paraId="33978272" w14:textId="77777777" w:rsidTr="00EE53BF">
        <w:trPr>
          <w:trHeight w:val="285"/>
        </w:trPr>
        <w:tc>
          <w:tcPr>
            <w:tcW w:w="2368" w:type="pct"/>
            <w:tcBorders>
              <w:top w:val="nil"/>
              <w:left w:val="nil"/>
              <w:bottom w:val="nil"/>
              <w:right w:val="nil"/>
            </w:tcBorders>
            <w:shd w:val="clear" w:color="auto" w:fill="auto"/>
            <w:noWrap/>
            <w:vAlign w:val="bottom"/>
          </w:tcPr>
          <w:p w14:paraId="09561773" w14:textId="77777777" w:rsidR="003A2D87" w:rsidRPr="00B148F9" w:rsidRDefault="003A2D87" w:rsidP="00326CD3">
            <w:pPr>
              <w:rPr>
                <w:rFonts w:cs="Arial"/>
                <w:bCs/>
                <w:lang w:eastAsia="en-GB"/>
              </w:rPr>
            </w:pPr>
          </w:p>
        </w:tc>
        <w:tc>
          <w:tcPr>
            <w:tcW w:w="385" w:type="pct"/>
            <w:tcBorders>
              <w:top w:val="nil"/>
              <w:left w:val="nil"/>
              <w:bottom w:val="nil"/>
              <w:right w:val="nil"/>
            </w:tcBorders>
            <w:shd w:val="clear" w:color="auto" w:fill="auto"/>
            <w:noWrap/>
            <w:vAlign w:val="bottom"/>
          </w:tcPr>
          <w:p w14:paraId="46CE4994" w14:textId="77777777" w:rsidR="003A2D87" w:rsidRPr="00B148F9" w:rsidRDefault="003A2D87">
            <w:pPr>
              <w:jc w:val="right"/>
              <w:rPr>
                <w:rFonts w:cs="Arial"/>
                <w:b/>
                <w:bCs/>
                <w:lang w:eastAsia="en-GB"/>
              </w:rPr>
            </w:pPr>
          </w:p>
        </w:tc>
        <w:tc>
          <w:tcPr>
            <w:tcW w:w="296" w:type="pct"/>
            <w:tcBorders>
              <w:left w:val="nil"/>
              <w:right w:val="nil"/>
            </w:tcBorders>
          </w:tcPr>
          <w:p w14:paraId="25419F39" w14:textId="77777777" w:rsidR="003A2D87" w:rsidRPr="00B148F9" w:rsidRDefault="003A2D87">
            <w:pPr>
              <w:jc w:val="right"/>
              <w:rPr>
                <w:b/>
                <w:highlight w:val="yellow"/>
              </w:rPr>
            </w:pPr>
          </w:p>
        </w:tc>
        <w:tc>
          <w:tcPr>
            <w:tcW w:w="828" w:type="pct"/>
            <w:tcBorders>
              <w:left w:val="nil"/>
              <w:bottom w:val="single" w:sz="4" w:space="0" w:color="auto"/>
              <w:right w:val="nil"/>
            </w:tcBorders>
            <w:shd w:val="clear" w:color="auto" w:fill="auto"/>
            <w:noWrap/>
            <w:vAlign w:val="bottom"/>
          </w:tcPr>
          <w:p w14:paraId="72E99272" w14:textId="6B89EC78" w:rsidR="003A2D87" w:rsidRPr="00B148F9" w:rsidRDefault="003A2D87">
            <w:pPr>
              <w:jc w:val="right"/>
              <w:rPr>
                <w:b/>
                <w:highlight w:val="yellow"/>
              </w:rPr>
            </w:pPr>
          </w:p>
        </w:tc>
        <w:tc>
          <w:tcPr>
            <w:tcW w:w="296" w:type="pct"/>
            <w:tcBorders>
              <w:left w:val="nil"/>
              <w:right w:val="nil"/>
            </w:tcBorders>
            <w:shd w:val="clear" w:color="auto" w:fill="auto"/>
            <w:noWrap/>
            <w:vAlign w:val="bottom"/>
          </w:tcPr>
          <w:p w14:paraId="05A41DE6" w14:textId="77777777" w:rsidR="003A2D87" w:rsidRPr="00B148F9" w:rsidRDefault="003A2D87" w:rsidP="00326CD3">
            <w:pPr>
              <w:jc w:val="right"/>
              <w:rPr>
                <w:rFonts w:cs="Arial"/>
                <w:highlight w:val="yellow"/>
                <w:lang w:eastAsia="en-GB"/>
              </w:rPr>
            </w:pPr>
          </w:p>
        </w:tc>
        <w:tc>
          <w:tcPr>
            <w:tcW w:w="828" w:type="pct"/>
            <w:tcBorders>
              <w:left w:val="nil"/>
              <w:bottom w:val="single" w:sz="4" w:space="0" w:color="auto"/>
              <w:right w:val="nil"/>
            </w:tcBorders>
            <w:shd w:val="clear" w:color="auto" w:fill="auto"/>
            <w:noWrap/>
            <w:vAlign w:val="bottom"/>
          </w:tcPr>
          <w:p w14:paraId="041BA50C" w14:textId="04CC1183" w:rsidR="003A2D87" w:rsidRPr="00B148F9" w:rsidRDefault="003A2D87" w:rsidP="004968F9">
            <w:pPr>
              <w:jc w:val="right"/>
              <w:rPr>
                <w:b/>
              </w:rPr>
            </w:pPr>
          </w:p>
        </w:tc>
      </w:tr>
      <w:tr w:rsidR="00DE7179" w:rsidRPr="00B148F9" w14:paraId="06332E19" w14:textId="77777777" w:rsidTr="00EE53BF">
        <w:trPr>
          <w:trHeight w:val="285"/>
        </w:trPr>
        <w:tc>
          <w:tcPr>
            <w:tcW w:w="2368" w:type="pct"/>
            <w:tcBorders>
              <w:top w:val="nil"/>
              <w:left w:val="nil"/>
              <w:bottom w:val="nil"/>
              <w:right w:val="nil"/>
            </w:tcBorders>
            <w:shd w:val="clear" w:color="auto" w:fill="auto"/>
            <w:noWrap/>
            <w:vAlign w:val="bottom"/>
          </w:tcPr>
          <w:p w14:paraId="28B05094" w14:textId="5AE574F1" w:rsidR="003A2D87" w:rsidRPr="00B148F9" w:rsidRDefault="003A2D87" w:rsidP="00780DC6">
            <w:pPr>
              <w:rPr>
                <w:rFonts w:cs="Arial"/>
                <w:bCs/>
                <w:lang w:eastAsia="en-GB"/>
              </w:rPr>
            </w:pPr>
            <w:r w:rsidRPr="00B148F9">
              <w:rPr>
                <w:rFonts w:cs="Arial"/>
                <w:b/>
                <w:bCs/>
                <w:lang w:eastAsia="en-GB"/>
              </w:rPr>
              <w:lastRenderedPageBreak/>
              <w:t xml:space="preserve">Net realised and change in unrealised </w:t>
            </w:r>
            <w:r w:rsidR="00466D2D" w:rsidRPr="00B148F9">
              <w:rPr>
                <w:rFonts w:cs="Arial"/>
                <w:b/>
                <w:bCs/>
                <w:lang w:eastAsia="en-GB"/>
              </w:rPr>
              <w:t xml:space="preserve">appreciation </w:t>
            </w:r>
            <w:r w:rsidRPr="00B148F9">
              <w:rPr>
                <w:rFonts w:cs="Arial"/>
                <w:b/>
                <w:bCs/>
                <w:lang w:eastAsia="en-GB"/>
              </w:rPr>
              <w:t>on investments, derivatives and foreign currency transactions</w:t>
            </w:r>
          </w:p>
        </w:tc>
        <w:tc>
          <w:tcPr>
            <w:tcW w:w="385" w:type="pct"/>
            <w:tcBorders>
              <w:top w:val="nil"/>
              <w:left w:val="nil"/>
              <w:bottom w:val="nil"/>
              <w:right w:val="nil"/>
            </w:tcBorders>
            <w:shd w:val="clear" w:color="auto" w:fill="auto"/>
            <w:noWrap/>
            <w:vAlign w:val="bottom"/>
          </w:tcPr>
          <w:p w14:paraId="0F100E77" w14:textId="77777777" w:rsidR="003A2D87" w:rsidRPr="00B148F9" w:rsidRDefault="003A2D87">
            <w:pPr>
              <w:jc w:val="right"/>
              <w:rPr>
                <w:rFonts w:cs="Arial"/>
                <w:b/>
                <w:bCs/>
                <w:lang w:eastAsia="en-GB"/>
              </w:rPr>
            </w:pPr>
          </w:p>
        </w:tc>
        <w:tc>
          <w:tcPr>
            <w:tcW w:w="296" w:type="pct"/>
            <w:tcBorders>
              <w:left w:val="nil"/>
              <w:right w:val="nil"/>
            </w:tcBorders>
          </w:tcPr>
          <w:p w14:paraId="6E1EABC7" w14:textId="77777777" w:rsidR="003A2D87" w:rsidRPr="00B148F9" w:rsidRDefault="003A2D87">
            <w:pPr>
              <w:jc w:val="right"/>
              <w:rPr>
                <w:b/>
                <w:highlight w:val="yellow"/>
              </w:rPr>
            </w:pPr>
          </w:p>
        </w:tc>
        <w:tc>
          <w:tcPr>
            <w:tcW w:w="828" w:type="pct"/>
            <w:tcBorders>
              <w:top w:val="single" w:sz="4" w:space="0" w:color="auto"/>
              <w:left w:val="nil"/>
              <w:bottom w:val="single" w:sz="4" w:space="0" w:color="auto"/>
              <w:right w:val="nil"/>
            </w:tcBorders>
            <w:shd w:val="clear" w:color="auto" w:fill="auto"/>
            <w:noWrap/>
            <w:vAlign w:val="bottom"/>
          </w:tcPr>
          <w:p w14:paraId="7607B6C1" w14:textId="13DCE5B0" w:rsidR="003A2D87" w:rsidRPr="00B148F9" w:rsidRDefault="00093CAD">
            <w:pPr>
              <w:jc w:val="right"/>
              <w:rPr>
                <w:b/>
                <w:highlight w:val="yellow"/>
              </w:rPr>
            </w:pPr>
            <w:r w:rsidRPr="00B148F9">
              <w:rPr>
                <w:b/>
              </w:rPr>
              <w:t>40,015,724</w:t>
            </w:r>
          </w:p>
        </w:tc>
        <w:tc>
          <w:tcPr>
            <w:tcW w:w="296" w:type="pct"/>
            <w:tcBorders>
              <w:top w:val="nil"/>
              <w:left w:val="nil"/>
              <w:right w:val="nil"/>
            </w:tcBorders>
            <w:shd w:val="clear" w:color="auto" w:fill="auto"/>
            <w:noWrap/>
            <w:vAlign w:val="bottom"/>
          </w:tcPr>
          <w:p w14:paraId="20FB0DEA" w14:textId="77777777" w:rsidR="003A2D87" w:rsidRPr="00B148F9" w:rsidRDefault="003A2D87" w:rsidP="00326CD3">
            <w:pPr>
              <w:jc w:val="right"/>
              <w:rPr>
                <w:rFonts w:cs="Arial"/>
                <w:highlight w:val="yellow"/>
                <w:lang w:eastAsia="en-GB"/>
              </w:rPr>
            </w:pPr>
          </w:p>
        </w:tc>
        <w:tc>
          <w:tcPr>
            <w:tcW w:w="828" w:type="pct"/>
            <w:tcBorders>
              <w:top w:val="single" w:sz="4" w:space="0" w:color="auto"/>
              <w:left w:val="nil"/>
              <w:bottom w:val="single" w:sz="4" w:space="0" w:color="auto"/>
              <w:right w:val="nil"/>
            </w:tcBorders>
            <w:shd w:val="clear" w:color="auto" w:fill="auto"/>
            <w:noWrap/>
            <w:vAlign w:val="bottom"/>
          </w:tcPr>
          <w:p w14:paraId="5A5190F7" w14:textId="1FD2338B" w:rsidR="003A2D87" w:rsidRPr="00B148F9" w:rsidRDefault="003A2D87" w:rsidP="004968F9">
            <w:pPr>
              <w:jc w:val="right"/>
              <w:rPr>
                <w:b/>
              </w:rPr>
            </w:pPr>
            <w:r w:rsidRPr="00B148F9">
              <w:rPr>
                <w:b/>
              </w:rPr>
              <w:t>27,992,812</w:t>
            </w:r>
          </w:p>
        </w:tc>
      </w:tr>
      <w:tr w:rsidR="00DE7179" w:rsidRPr="00B148F9" w14:paraId="2ED153F7" w14:textId="77777777" w:rsidTr="00EE53BF">
        <w:trPr>
          <w:trHeight w:val="285"/>
        </w:trPr>
        <w:tc>
          <w:tcPr>
            <w:tcW w:w="2368" w:type="pct"/>
            <w:tcBorders>
              <w:top w:val="nil"/>
              <w:left w:val="nil"/>
              <w:bottom w:val="nil"/>
              <w:right w:val="nil"/>
            </w:tcBorders>
            <w:shd w:val="clear" w:color="auto" w:fill="auto"/>
            <w:noWrap/>
            <w:vAlign w:val="bottom"/>
          </w:tcPr>
          <w:p w14:paraId="0A44E836" w14:textId="77777777" w:rsidR="003A2D87" w:rsidRPr="00B148F9" w:rsidRDefault="003A2D87" w:rsidP="00326CD3">
            <w:pPr>
              <w:rPr>
                <w:rFonts w:cs="Arial"/>
                <w:bCs/>
                <w:lang w:eastAsia="en-GB"/>
              </w:rPr>
            </w:pPr>
          </w:p>
        </w:tc>
        <w:tc>
          <w:tcPr>
            <w:tcW w:w="385" w:type="pct"/>
            <w:tcBorders>
              <w:top w:val="nil"/>
              <w:left w:val="nil"/>
              <w:bottom w:val="nil"/>
              <w:right w:val="nil"/>
            </w:tcBorders>
            <w:shd w:val="clear" w:color="auto" w:fill="auto"/>
            <w:noWrap/>
            <w:vAlign w:val="bottom"/>
          </w:tcPr>
          <w:p w14:paraId="108D0AB4" w14:textId="77777777" w:rsidR="003A2D87" w:rsidRPr="00B148F9" w:rsidRDefault="003A2D87">
            <w:pPr>
              <w:jc w:val="right"/>
              <w:rPr>
                <w:rFonts w:cs="Arial"/>
                <w:b/>
                <w:bCs/>
                <w:lang w:eastAsia="en-GB"/>
              </w:rPr>
            </w:pPr>
          </w:p>
        </w:tc>
        <w:tc>
          <w:tcPr>
            <w:tcW w:w="296" w:type="pct"/>
            <w:tcBorders>
              <w:left w:val="nil"/>
              <w:right w:val="nil"/>
            </w:tcBorders>
          </w:tcPr>
          <w:p w14:paraId="00A6CF7F" w14:textId="77777777" w:rsidR="003A2D87" w:rsidRPr="00B148F9" w:rsidRDefault="003A2D87">
            <w:pPr>
              <w:jc w:val="right"/>
              <w:rPr>
                <w:b/>
                <w:highlight w:val="yellow"/>
              </w:rPr>
            </w:pPr>
          </w:p>
        </w:tc>
        <w:tc>
          <w:tcPr>
            <w:tcW w:w="828" w:type="pct"/>
            <w:tcBorders>
              <w:top w:val="single" w:sz="4" w:space="0" w:color="auto"/>
              <w:left w:val="nil"/>
              <w:right w:val="nil"/>
            </w:tcBorders>
            <w:shd w:val="clear" w:color="auto" w:fill="auto"/>
            <w:noWrap/>
            <w:vAlign w:val="bottom"/>
          </w:tcPr>
          <w:p w14:paraId="0DE05FE1" w14:textId="29B0D9F8" w:rsidR="003A2D87" w:rsidRPr="00B148F9" w:rsidRDefault="003A2D87">
            <w:pPr>
              <w:jc w:val="right"/>
              <w:rPr>
                <w:b/>
                <w:highlight w:val="yellow"/>
              </w:rPr>
            </w:pPr>
          </w:p>
        </w:tc>
        <w:tc>
          <w:tcPr>
            <w:tcW w:w="296" w:type="pct"/>
            <w:tcBorders>
              <w:top w:val="nil"/>
              <w:left w:val="nil"/>
              <w:right w:val="nil"/>
            </w:tcBorders>
            <w:shd w:val="clear" w:color="auto" w:fill="auto"/>
            <w:noWrap/>
            <w:vAlign w:val="bottom"/>
          </w:tcPr>
          <w:p w14:paraId="73CAEEF6" w14:textId="77777777" w:rsidR="003A2D87" w:rsidRPr="00B148F9" w:rsidRDefault="003A2D87" w:rsidP="00326CD3">
            <w:pPr>
              <w:jc w:val="right"/>
              <w:rPr>
                <w:rFonts w:cs="Arial"/>
                <w:highlight w:val="yellow"/>
                <w:lang w:eastAsia="en-GB"/>
              </w:rPr>
            </w:pPr>
          </w:p>
        </w:tc>
        <w:tc>
          <w:tcPr>
            <w:tcW w:w="828" w:type="pct"/>
            <w:tcBorders>
              <w:top w:val="single" w:sz="4" w:space="0" w:color="auto"/>
              <w:left w:val="nil"/>
              <w:right w:val="nil"/>
            </w:tcBorders>
            <w:shd w:val="clear" w:color="auto" w:fill="auto"/>
            <w:noWrap/>
            <w:vAlign w:val="bottom"/>
          </w:tcPr>
          <w:p w14:paraId="4B3E445C" w14:textId="77777777" w:rsidR="003A2D87" w:rsidRPr="00B148F9" w:rsidRDefault="003A2D87" w:rsidP="004968F9">
            <w:pPr>
              <w:jc w:val="right"/>
              <w:rPr>
                <w:b/>
                <w:highlight w:val="yellow"/>
              </w:rPr>
            </w:pPr>
          </w:p>
        </w:tc>
      </w:tr>
      <w:tr w:rsidR="00DE7179" w:rsidRPr="00B148F9" w14:paraId="4829A951" w14:textId="77777777" w:rsidTr="00EE53BF">
        <w:trPr>
          <w:trHeight w:val="285"/>
        </w:trPr>
        <w:tc>
          <w:tcPr>
            <w:tcW w:w="2368" w:type="pct"/>
            <w:tcBorders>
              <w:top w:val="nil"/>
              <w:left w:val="nil"/>
              <w:bottom w:val="nil"/>
              <w:right w:val="nil"/>
            </w:tcBorders>
            <w:shd w:val="clear" w:color="auto" w:fill="auto"/>
            <w:noWrap/>
            <w:vAlign w:val="bottom"/>
            <w:hideMark/>
          </w:tcPr>
          <w:p w14:paraId="69641833" w14:textId="14D4D3B9" w:rsidR="003A2D87" w:rsidRPr="00B148F9" w:rsidRDefault="003A2D87" w:rsidP="00275FE6">
            <w:pPr>
              <w:rPr>
                <w:rFonts w:cs="Arial"/>
                <w:b/>
                <w:bCs/>
                <w:lang w:eastAsia="en-GB"/>
              </w:rPr>
            </w:pPr>
            <w:r w:rsidRPr="00B148F9">
              <w:rPr>
                <w:rFonts w:cs="Arial"/>
                <w:b/>
                <w:bCs/>
                <w:lang w:eastAsia="en-GB"/>
              </w:rPr>
              <w:t>Net change in net assets resulting from operations</w:t>
            </w:r>
          </w:p>
        </w:tc>
        <w:tc>
          <w:tcPr>
            <w:tcW w:w="385" w:type="pct"/>
            <w:tcBorders>
              <w:top w:val="nil"/>
              <w:left w:val="nil"/>
              <w:bottom w:val="nil"/>
              <w:right w:val="nil"/>
            </w:tcBorders>
            <w:shd w:val="clear" w:color="auto" w:fill="auto"/>
            <w:noWrap/>
            <w:vAlign w:val="bottom"/>
            <w:hideMark/>
          </w:tcPr>
          <w:p w14:paraId="40014F51" w14:textId="1BD97D6D" w:rsidR="003A2D87" w:rsidRPr="00B148F9" w:rsidRDefault="003A2D87">
            <w:pPr>
              <w:jc w:val="right"/>
              <w:rPr>
                <w:rFonts w:cs="Arial"/>
                <w:b/>
                <w:bCs/>
                <w:lang w:eastAsia="en-GB"/>
              </w:rPr>
            </w:pPr>
          </w:p>
        </w:tc>
        <w:tc>
          <w:tcPr>
            <w:tcW w:w="296" w:type="pct"/>
            <w:tcBorders>
              <w:left w:val="nil"/>
              <w:right w:val="nil"/>
            </w:tcBorders>
            <w:vAlign w:val="bottom"/>
          </w:tcPr>
          <w:p w14:paraId="45A6354E" w14:textId="1C7A48C9" w:rsidR="003A2D87" w:rsidRPr="00B148F9" w:rsidRDefault="003A2D87">
            <w:pPr>
              <w:jc w:val="right"/>
              <w:rPr>
                <w:rFonts w:cs="Arial"/>
                <w:b/>
                <w:bCs/>
                <w:lang w:eastAsia="en-GB"/>
              </w:rPr>
            </w:pPr>
            <w:r w:rsidRPr="00B148F9">
              <w:rPr>
                <w:b/>
              </w:rPr>
              <w:t>US$</w:t>
            </w:r>
          </w:p>
        </w:tc>
        <w:tc>
          <w:tcPr>
            <w:tcW w:w="828" w:type="pct"/>
            <w:tcBorders>
              <w:left w:val="nil"/>
              <w:bottom w:val="double" w:sz="6" w:space="0" w:color="auto"/>
              <w:right w:val="nil"/>
            </w:tcBorders>
            <w:shd w:val="clear" w:color="auto" w:fill="auto"/>
            <w:noWrap/>
            <w:vAlign w:val="bottom"/>
          </w:tcPr>
          <w:p w14:paraId="0D4CBAC2" w14:textId="04CC25D3" w:rsidR="003A2D87" w:rsidRPr="00B148F9" w:rsidRDefault="00093CAD" w:rsidP="00780DC6">
            <w:pPr>
              <w:jc w:val="right"/>
              <w:rPr>
                <w:rFonts w:cs="Arial"/>
                <w:b/>
                <w:bCs/>
                <w:highlight w:val="yellow"/>
                <w:lang w:eastAsia="en-GB"/>
              </w:rPr>
            </w:pPr>
            <w:r w:rsidRPr="00B148F9">
              <w:rPr>
                <w:rFonts w:cs="Arial"/>
                <w:b/>
                <w:bCs/>
                <w:lang w:eastAsia="en-GB"/>
              </w:rPr>
              <w:t>3</w:t>
            </w:r>
            <w:r w:rsidR="00DE7179" w:rsidRPr="00B148F9">
              <w:rPr>
                <w:rFonts w:cs="Arial"/>
                <w:b/>
                <w:bCs/>
                <w:lang w:eastAsia="en-GB"/>
              </w:rPr>
              <w:t>8</w:t>
            </w:r>
            <w:r w:rsidRPr="00B148F9">
              <w:rPr>
                <w:rFonts w:cs="Arial"/>
                <w:b/>
                <w:bCs/>
                <w:lang w:eastAsia="en-GB"/>
              </w:rPr>
              <w:t>,</w:t>
            </w:r>
            <w:r w:rsidR="00DE7179" w:rsidRPr="00B148F9">
              <w:rPr>
                <w:rFonts w:cs="Arial"/>
                <w:b/>
                <w:bCs/>
                <w:lang w:eastAsia="en-GB"/>
              </w:rPr>
              <w:t>717</w:t>
            </w:r>
            <w:r w:rsidRPr="00B148F9">
              <w:rPr>
                <w:rFonts w:cs="Arial"/>
                <w:b/>
                <w:bCs/>
                <w:lang w:eastAsia="en-GB"/>
              </w:rPr>
              <w:t>,</w:t>
            </w:r>
            <w:r w:rsidR="00DE7179" w:rsidRPr="00B148F9">
              <w:rPr>
                <w:rFonts w:cs="Arial"/>
                <w:b/>
                <w:bCs/>
                <w:lang w:eastAsia="en-GB"/>
              </w:rPr>
              <w:t>862</w:t>
            </w:r>
          </w:p>
        </w:tc>
        <w:tc>
          <w:tcPr>
            <w:tcW w:w="296" w:type="pct"/>
            <w:tcBorders>
              <w:left w:val="nil"/>
              <w:bottom w:val="nil"/>
              <w:right w:val="nil"/>
            </w:tcBorders>
            <w:shd w:val="clear" w:color="auto" w:fill="auto"/>
            <w:noWrap/>
            <w:vAlign w:val="bottom"/>
            <w:hideMark/>
          </w:tcPr>
          <w:p w14:paraId="53A56045" w14:textId="01572DC9" w:rsidR="003A2D87" w:rsidRPr="00B148F9" w:rsidRDefault="003A2D87" w:rsidP="00326CD3">
            <w:pPr>
              <w:jc w:val="right"/>
              <w:rPr>
                <w:rFonts w:cs="Arial"/>
                <w:highlight w:val="yellow"/>
                <w:lang w:eastAsia="en-GB"/>
              </w:rPr>
            </w:pPr>
            <w:r w:rsidRPr="00B148F9">
              <w:rPr>
                <w:b/>
              </w:rPr>
              <w:t>US$</w:t>
            </w:r>
          </w:p>
        </w:tc>
        <w:tc>
          <w:tcPr>
            <w:tcW w:w="828" w:type="pct"/>
            <w:tcBorders>
              <w:left w:val="nil"/>
              <w:bottom w:val="double" w:sz="6" w:space="0" w:color="auto"/>
              <w:right w:val="nil"/>
            </w:tcBorders>
            <w:shd w:val="clear" w:color="auto" w:fill="auto"/>
            <w:noWrap/>
            <w:vAlign w:val="bottom"/>
            <w:hideMark/>
          </w:tcPr>
          <w:p w14:paraId="0A6B0EF6" w14:textId="2D14FD28" w:rsidR="003A2D87" w:rsidRPr="00B148F9" w:rsidRDefault="003A2D87" w:rsidP="00D050E5">
            <w:pPr>
              <w:jc w:val="right"/>
              <w:rPr>
                <w:rFonts w:cs="Arial"/>
                <w:b/>
                <w:bCs/>
                <w:highlight w:val="yellow"/>
                <w:lang w:eastAsia="en-GB"/>
              </w:rPr>
            </w:pPr>
            <w:r w:rsidRPr="00B148F9">
              <w:rPr>
                <w:rFonts w:cs="Arial"/>
                <w:b/>
                <w:bCs/>
                <w:lang w:eastAsia="en-GB"/>
              </w:rPr>
              <w:t>27,9</w:t>
            </w:r>
            <w:r w:rsidR="0054226C" w:rsidRPr="00B148F9">
              <w:rPr>
                <w:rFonts w:cs="Arial"/>
                <w:b/>
                <w:bCs/>
                <w:lang w:eastAsia="en-GB"/>
              </w:rPr>
              <w:t>2</w:t>
            </w:r>
            <w:r w:rsidRPr="00B148F9">
              <w:rPr>
                <w:rFonts w:cs="Arial"/>
                <w:b/>
                <w:bCs/>
                <w:lang w:eastAsia="en-GB"/>
              </w:rPr>
              <w:t>2,194</w:t>
            </w:r>
          </w:p>
        </w:tc>
      </w:tr>
    </w:tbl>
    <w:p w14:paraId="015159E1" w14:textId="77777777" w:rsidR="006002C4" w:rsidRPr="00B148F9" w:rsidRDefault="006002C4" w:rsidP="00326CD3">
      <w:pPr>
        <w:ind w:left="142"/>
        <w:rPr>
          <w:rFonts w:cs="Arial"/>
        </w:rPr>
      </w:pPr>
    </w:p>
    <w:p w14:paraId="28F1AADC" w14:textId="77777777" w:rsidR="006002C4" w:rsidRPr="00B148F9" w:rsidRDefault="006002C4" w:rsidP="00326CD3">
      <w:pPr>
        <w:ind w:left="142"/>
        <w:rPr>
          <w:rFonts w:cs="Arial"/>
        </w:rPr>
      </w:pPr>
    </w:p>
    <w:p w14:paraId="2163C861" w14:textId="6761E0F5" w:rsidR="008E2527" w:rsidRPr="00B148F9" w:rsidRDefault="000C036D" w:rsidP="009E4CA7">
      <w:pPr>
        <w:sectPr w:rsidR="008E2527" w:rsidRPr="00B148F9" w:rsidSect="001251FE">
          <w:pgSz w:w="11906" w:h="16838"/>
          <w:pgMar w:top="720" w:right="1416" w:bottom="720" w:left="1418" w:header="708" w:footer="708" w:gutter="0"/>
          <w:cols w:space="708"/>
          <w:titlePg/>
          <w:docGrid w:linePitch="360"/>
        </w:sectPr>
      </w:pPr>
      <w:r w:rsidRPr="00B148F9">
        <w:rPr>
          <w:rFonts w:cs="Arial"/>
        </w:rPr>
        <w:t>S</w:t>
      </w:r>
      <w:r w:rsidR="005F45C7" w:rsidRPr="00B148F9">
        <w:rPr>
          <w:rFonts w:cs="Arial"/>
        </w:rPr>
        <w:t>ee accompanying notes</w:t>
      </w:r>
      <w:r w:rsidRPr="00B148F9">
        <w:rPr>
          <w:rFonts w:cs="Arial"/>
        </w:rPr>
        <w:t xml:space="preserve"> to the financial statements</w:t>
      </w:r>
      <w:r w:rsidR="00164F4F" w:rsidRPr="00B148F9">
        <w:rPr>
          <w:rFonts w:cs="Arial"/>
        </w:rPr>
        <w:t>.</w:t>
      </w:r>
      <w:r w:rsidR="009338C0" w:rsidRPr="00B148F9">
        <w:br w:type="page"/>
      </w:r>
    </w:p>
    <w:p w14:paraId="2E323BB9" w14:textId="0C5B3097" w:rsidR="006002C4" w:rsidRPr="00B148F9" w:rsidRDefault="006002C4" w:rsidP="00B961FE">
      <w:pPr>
        <w:pStyle w:val="Heading1"/>
      </w:pPr>
      <w:r w:rsidRPr="00B148F9">
        <w:rPr>
          <w:sz w:val="20"/>
        </w:rPr>
        <w:lastRenderedPageBreak/>
        <w:t xml:space="preserve">Statement of Changes in </w:t>
      </w:r>
      <w:r w:rsidR="00D126DE" w:rsidRPr="00B148F9">
        <w:rPr>
          <w:sz w:val="20"/>
        </w:rPr>
        <w:t>Net Assets</w:t>
      </w:r>
    </w:p>
    <w:p w14:paraId="5829E6FF" w14:textId="7AD3D584" w:rsidR="006002C4" w:rsidRPr="00B148F9" w:rsidRDefault="006002C4" w:rsidP="00326CD3">
      <w:pPr>
        <w:jc w:val="center"/>
        <w:rPr>
          <w:rFonts w:cs="Arial"/>
          <w:b/>
          <w:bCs/>
        </w:rPr>
      </w:pPr>
      <w:r w:rsidRPr="00B148F9">
        <w:rPr>
          <w:rFonts w:cs="Arial"/>
          <w:b/>
          <w:bCs/>
        </w:rPr>
        <w:t xml:space="preserve">For the </w:t>
      </w:r>
      <w:r w:rsidR="003A2DEB" w:rsidRPr="00B148F9">
        <w:rPr>
          <w:rFonts w:cs="Arial"/>
          <w:b/>
          <w:bCs/>
        </w:rPr>
        <w:t>year ended</w:t>
      </w:r>
      <w:r w:rsidR="008D148F" w:rsidRPr="00B148F9">
        <w:rPr>
          <w:rFonts w:cs="Arial"/>
          <w:b/>
          <w:bCs/>
        </w:rPr>
        <w:t xml:space="preserve"> 31 </w:t>
      </w:r>
      <w:r w:rsidR="00BA4C4B" w:rsidRPr="00B148F9">
        <w:rPr>
          <w:rFonts w:cs="Arial"/>
          <w:b/>
          <w:bCs/>
        </w:rPr>
        <w:t>December</w:t>
      </w:r>
      <w:r w:rsidR="008D148F" w:rsidRPr="00B148F9">
        <w:rPr>
          <w:rFonts w:cs="Arial"/>
          <w:b/>
          <w:bCs/>
        </w:rPr>
        <w:t xml:space="preserve"> 201</w:t>
      </w:r>
      <w:r w:rsidR="00350751" w:rsidRPr="00B148F9">
        <w:rPr>
          <w:rFonts w:cs="Arial"/>
          <w:b/>
          <w:bCs/>
        </w:rPr>
        <w:t>9</w:t>
      </w:r>
    </w:p>
    <w:p w14:paraId="4A10E781" w14:textId="316B3B7A" w:rsidR="002E7F22" w:rsidRPr="00B148F9" w:rsidRDefault="00945CE0" w:rsidP="00780DC6">
      <w:pPr>
        <w:jc w:val="center"/>
        <w:rPr>
          <w:rFonts w:cs="Arial"/>
        </w:rPr>
      </w:pPr>
      <w:r w:rsidRPr="00B148F9">
        <w:rPr>
          <w:rFonts w:cs="Arial"/>
          <w:bCs/>
        </w:rPr>
        <w:t>(</w:t>
      </w:r>
      <w:r w:rsidR="002E7F22" w:rsidRPr="00B148F9">
        <w:rPr>
          <w:rFonts w:cs="Arial"/>
          <w:bCs/>
        </w:rPr>
        <w:t>Expressed in United States Dollars</w:t>
      </w:r>
      <w:r w:rsidRPr="00B148F9">
        <w:rPr>
          <w:rFonts w:cs="Arial"/>
          <w:bCs/>
        </w:rPr>
        <w:t>)</w:t>
      </w:r>
      <w:r w:rsidR="00DE7179" w:rsidRPr="00B148F9">
        <w:rPr>
          <w:rFonts w:cs="Arial"/>
        </w:rPr>
        <w:t xml:space="preserve"> </w:t>
      </w:r>
    </w:p>
    <w:p w14:paraId="12776577" w14:textId="77777777" w:rsidR="008E2527" w:rsidRPr="00B148F9" w:rsidRDefault="008E2527" w:rsidP="00326CD3">
      <w:pPr>
        <w:jc w:val="center"/>
        <w:rPr>
          <w:rFonts w:cs="Arial"/>
          <w:b/>
          <w:bCs/>
        </w:rPr>
      </w:pPr>
    </w:p>
    <w:tbl>
      <w:tblPr>
        <w:tblpPr w:leftFromText="180" w:rightFromText="180" w:vertAnchor="text" w:horzAnchor="margin" w:tblpXSpec="center" w:tblpY="-29"/>
        <w:tblW w:w="15591" w:type="dxa"/>
        <w:tblLayout w:type="fixed"/>
        <w:tblLook w:val="04A0" w:firstRow="1" w:lastRow="0" w:firstColumn="1" w:lastColumn="0" w:noHBand="0" w:noVBand="1"/>
      </w:tblPr>
      <w:tblGrid>
        <w:gridCol w:w="3544"/>
        <w:gridCol w:w="1418"/>
        <w:gridCol w:w="1559"/>
        <w:gridCol w:w="1559"/>
        <w:gridCol w:w="1559"/>
        <w:gridCol w:w="1418"/>
        <w:gridCol w:w="1417"/>
        <w:gridCol w:w="1560"/>
        <w:gridCol w:w="1557"/>
      </w:tblGrid>
      <w:tr w:rsidR="00A94612" w:rsidRPr="00B148F9" w14:paraId="0A1D9776" w14:textId="77777777" w:rsidTr="00F92D8A">
        <w:trPr>
          <w:trHeight w:val="270"/>
        </w:trPr>
        <w:tc>
          <w:tcPr>
            <w:tcW w:w="3544" w:type="dxa"/>
            <w:noWrap/>
          </w:tcPr>
          <w:p w14:paraId="331C8601" w14:textId="77777777" w:rsidR="00A94612" w:rsidRPr="00B148F9" w:rsidRDefault="00A94612" w:rsidP="00A94612">
            <w:pPr>
              <w:rPr>
                <w:rFonts w:cs="Arial"/>
                <w:b/>
                <w:bCs/>
                <w:iCs/>
                <w:sz w:val="18"/>
                <w:lang w:eastAsia="en-GB"/>
              </w:rPr>
            </w:pPr>
          </w:p>
        </w:tc>
        <w:tc>
          <w:tcPr>
            <w:tcW w:w="4536" w:type="dxa"/>
            <w:gridSpan w:val="3"/>
            <w:tcBorders>
              <w:bottom w:val="single" w:sz="4" w:space="0" w:color="auto"/>
            </w:tcBorders>
          </w:tcPr>
          <w:p w14:paraId="09BE448F" w14:textId="2F0C90D9" w:rsidR="00A94612" w:rsidRPr="00B148F9" w:rsidRDefault="00A94612" w:rsidP="00A94612">
            <w:pPr>
              <w:jc w:val="center"/>
              <w:rPr>
                <w:rFonts w:cs="Arial"/>
                <w:b/>
                <w:bCs/>
                <w:sz w:val="18"/>
                <w:lang w:eastAsia="en-GB"/>
              </w:rPr>
            </w:pPr>
            <w:r w:rsidRPr="00B148F9">
              <w:rPr>
                <w:rFonts w:cs="Arial"/>
                <w:b/>
                <w:bCs/>
                <w:sz w:val="18"/>
                <w:lang w:eastAsia="en-GB"/>
              </w:rPr>
              <w:t>1 January 2019 to 1 October 2019</w:t>
            </w:r>
          </w:p>
        </w:tc>
        <w:tc>
          <w:tcPr>
            <w:tcW w:w="5954" w:type="dxa"/>
            <w:gridSpan w:val="4"/>
            <w:tcBorders>
              <w:bottom w:val="single" w:sz="4" w:space="0" w:color="auto"/>
            </w:tcBorders>
          </w:tcPr>
          <w:p w14:paraId="6E066B0A" w14:textId="402CF20C" w:rsidR="00A94612" w:rsidRPr="00B148F9" w:rsidRDefault="00A94612" w:rsidP="00A94612">
            <w:pPr>
              <w:jc w:val="center"/>
              <w:rPr>
                <w:rFonts w:cs="Arial"/>
                <w:b/>
                <w:bCs/>
                <w:sz w:val="18"/>
                <w:lang w:eastAsia="en-GB"/>
              </w:rPr>
            </w:pPr>
            <w:r w:rsidRPr="00B148F9">
              <w:rPr>
                <w:rFonts w:cs="Arial"/>
                <w:b/>
                <w:bCs/>
                <w:sz w:val="18"/>
                <w:lang w:eastAsia="en-GB"/>
              </w:rPr>
              <w:t>2 October 2019 to 31 December 2019</w:t>
            </w:r>
          </w:p>
        </w:tc>
        <w:tc>
          <w:tcPr>
            <w:tcW w:w="1557" w:type="dxa"/>
            <w:noWrap/>
          </w:tcPr>
          <w:p w14:paraId="074556BF" w14:textId="77777777" w:rsidR="00A94612" w:rsidRPr="00B148F9" w:rsidRDefault="00A94612" w:rsidP="00A94612">
            <w:pPr>
              <w:jc w:val="right"/>
              <w:rPr>
                <w:rFonts w:cs="Arial"/>
                <w:b/>
                <w:bCs/>
                <w:sz w:val="18"/>
                <w:lang w:eastAsia="en-GB"/>
              </w:rPr>
            </w:pPr>
          </w:p>
        </w:tc>
      </w:tr>
      <w:tr w:rsidR="00A94612" w:rsidRPr="00B148F9" w14:paraId="76643F7E" w14:textId="77777777" w:rsidTr="00F92D8A">
        <w:trPr>
          <w:trHeight w:val="270"/>
        </w:trPr>
        <w:tc>
          <w:tcPr>
            <w:tcW w:w="3544" w:type="dxa"/>
            <w:noWrap/>
            <w:hideMark/>
          </w:tcPr>
          <w:p w14:paraId="25574333" w14:textId="77777777" w:rsidR="00A94612" w:rsidRPr="00B148F9" w:rsidRDefault="00A94612" w:rsidP="00A94612">
            <w:pPr>
              <w:rPr>
                <w:rFonts w:cs="Arial"/>
                <w:b/>
                <w:bCs/>
                <w:iCs/>
                <w:sz w:val="18"/>
                <w:lang w:eastAsia="en-GB"/>
              </w:rPr>
            </w:pPr>
          </w:p>
        </w:tc>
        <w:tc>
          <w:tcPr>
            <w:tcW w:w="1418" w:type="dxa"/>
            <w:tcBorders>
              <w:bottom w:val="single" w:sz="4" w:space="0" w:color="auto"/>
            </w:tcBorders>
          </w:tcPr>
          <w:p w14:paraId="0BB721A9" w14:textId="6ED41B04" w:rsidR="00A94612" w:rsidRPr="00B148F9" w:rsidRDefault="00A94612" w:rsidP="00A94612">
            <w:pPr>
              <w:jc w:val="right"/>
              <w:rPr>
                <w:rFonts w:cs="Arial"/>
                <w:b/>
                <w:bCs/>
                <w:sz w:val="18"/>
                <w:lang w:eastAsia="en-GB"/>
              </w:rPr>
            </w:pPr>
            <w:r w:rsidRPr="00B148F9">
              <w:rPr>
                <w:rFonts w:cs="Arial"/>
                <w:b/>
                <w:bCs/>
                <w:sz w:val="18"/>
                <w:lang w:eastAsia="en-GB"/>
              </w:rPr>
              <w:t>Managing Member</w:t>
            </w:r>
          </w:p>
        </w:tc>
        <w:tc>
          <w:tcPr>
            <w:tcW w:w="1559" w:type="dxa"/>
            <w:tcBorders>
              <w:bottom w:val="single" w:sz="4" w:space="0" w:color="auto"/>
            </w:tcBorders>
          </w:tcPr>
          <w:p w14:paraId="0B92FA5C" w14:textId="5A1D54F3" w:rsidR="00A94612" w:rsidRPr="00B148F9" w:rsidRDefault="00A94612" w:rsidP="00A94612">
            <w:pPr>
              <w:jc w:val="right"/>
              <w:rPr>
                <w:rFonts w:cs="Arial"/>
                <w:b/>
                <w:bCs/>
                <w:sz w:val="18"/>
                <w:lang w:eastAsia="en-GB"/>
              </w:rPr>
            </w:pPr>
            <w:r w:rsidRPr="00B148F9">
              <w:rPr>
                <w:rFonts w:cs="Arial"/>
                <w:b/>
                <w:bCs/>
                <w:sz w:val="18"/>
                <w:lang w:eastAsia="en-GB"/>
              </w:rPr>
              <w:t>Other Members</w:t>
            </w:r>
          </w:p>
        </w:tc>
        <w:tc>
          <w:tcPr>
            <w:tcW w:w="1559" w:type="dxa"/>
            <w:tcBorders>
              <w:bottom w:val="single" w:sz="4" w:space="0" w:color="auto"/>
            </w:tcBorders>
          </w:tcPr>
          <w:p w14:paraId="209B441C" w14:textId="3250C8B8" w:rsidR="00A94612" w:rsidRPr="00B148F9" w:rsidRDefault="00A94612" w:rsidP="00A94612">
            <w:pPr>
              <w:jc w:val="right"/>
              <w:rPr>
                <w:rFonts w:cs="Arial"/>
                <w:b/>
                <w:bCs/>
                <w:sz w:val="18"/>
                <w:lang w:eastAsia="en-GB"/>
              </w:rPr>
            </w:pPr>
            <w:r w:rsidRPr="00B148F9">
              <w:rPr>
                <w:rFonts w:cs="Arial"/>
                <w:b/>
                <w:bCs/>
                <w:sz w:val="18"/>
                <w:lang w:eastAsia="en-GB"/>
              </w:rPr>
              <w:t>Total Members’ Equity</w:t>
            </w:r>
          </w:p>
        </w:tc>
        <w:tc>
          <w:tcPr>
            <w:tcW w:w="1559" w:type="dxa"/>
            <w:tcBorders>
              <w:top w:val="single" w:sz="4" w:space="0" w:color="auto"/>
            </w:tcBorders>
          </w:tcPr>
          <w:p w14:paraId="1FB9C376" w14:textId="741988A0" w:rsidR="00A94612" w:rsidRPr="00B148F9" w:rsidRDefault="00A94612" w:rsidP="00A94612">
            <w:pPr>
              <w:jc w:val="right"/>
              <w:rPr>
                <w:rFonts w:cs="Arial"/>
                <w:b/>
                <w:bCs/>
                <w:sz w:val="18"/>
                <w:lang w:eastAsia="en-GB"/>
              </w:rPr>
            </w:pPr>
            <w:r w:rsidRPr="00B148F9">
              <w:rPr>
                <w:rFonts w:cs="Arial"/>
                <w:b/>
                <w:bCs/>
                <w:sz w:val="18"/>
                <w:lang w:eastAsia="en-GB"/>
              </w:rPr>
              <w:t>Ordinary Share Class Fund</w:t>
            </w:r>
          </w:p>
        </w:tc>
        <w:tc>
          <w:tcPr>
            <w:tcW w:w="1418" w:type="dxa"/>
            <w:tcBorders>
              <w:top w:val="single" w:sz="4" w:space="0" w:color="auto"/>
            </w:tcBorders>
          </w:tcPr>
          <w:p w14:paraId="348C47BB" w14:textId="23EEE64D" w:rsidR="00A94612" w:rsidRPr="00B148F9" w:rsidRDefault="00A94612" w:rsidP="00A94612">
            <w:pPr>
              <w:jc w:val="right"/>
              <w:rPr>
                <w:rFonts w:cs="Arial"/>
                <w:b/>
                <w:bCs/>
                <w:sz w:val="18"/>
                <w:lang w:eastAsia="en-GB"/>
              </w:rPr>
            </w:pPr>
            <w:r w:rsidRPr="00B148F9">
              <w:rPr>
                <w:rFonts w:cs="Arial"/>
                <w:b/>
                <w:bCs/>
                <w:sz w:val="18"/>
                <w:lang w:eastAsia="en-GB"/>
              </w:rPr>
              <w:t>Performance Allocation Share Class Fund</w:t>
            </w:r>
          </w:p>
        </w:tc>
        <w:tc>
          <w:tcPr>
            <w:tcW w:w="1417" w:type="dxa"/>
            <w:tcBorders>
              <w:top w:val="single" w:sz="4" w:space="0" w:color="auto"/>
            </w:tcBorders>
          </w:tcPr>
          <w:p w14:paraId="04A89DD0" w14:textId="77777777" w:rsidR="00A94612" w:rsidRPr="00B148F9" w:rsidRDefault="00A94612" w:rsidP="00A94612">
            <w:pPr>
              <w:jc w:val="right"/>
              <w:rPr>
                <w:rFonts w:cs="Arial"/>
                <w:b/>
                <w:bCs/>
                <w:sz w:val="18"/>
                <w:lang w:eastAsia="en-GB"/>
              </w:rPr>
            </w:pPr>
            <w:r w:rsidRPr="00B148F9">
              <w:rPr>
                <w:rFonts w:cs="Arial"/>
                <w:b/>
                <w:bCs/>
                <w:sz w:val="18"/>
                <w:lang w:eastAsia="en-GB"/>
              </w:rPr>
              <w:t>Management Share Capital</w:t>
            </w:r>
          </w:p>
        </w:tc>
        <w:tc>
          <w:tcPr>
            <w:tcW w:w="1560" w:type="dxa"/>
            <w:tcBorders>
              <w:top w:val="single" w:sz="4" w:space="0" w:color="auto"/>
            </w:tcBorders>
          </w:tcPr>
          <w:p w14:paraId="2F981660" w14:textId="6A8CD72A" w:rsidR="00A94612" w:rsidRPr="00B148F9" w:rsidRDefault="00A94612" w:rsidP="00A94612">
            <w:pPr>
              <w:jc w:val="right"/>
              <w:rPr>
                <w:rFonts w:cs="Arial"/>
                <w:b/>
                <w:bCs/>
                <w:sz w:val="18"/>
                <w:lang w:eastAsia="en-GB"/>
              </w:rPr>
            </w:pPr>
            <w:r w:rsidRPr="00B148F9">
              <w:rPr>
                <w:rFonts w:cs="Arial"/>
                <w:b/>
                <w:bCs/>
                <w:sz w:val="18"/>
                <w:lang w:eastAsia="en-GB"/>
              </w:rPr>
              <w:t>Total Shareholders’ Funds</w:t>
            </w:r>
          </w:p>
        </w:tc>
        <w:tc>
          <w:tcPr>
            <w:tcW w:w="1557" w:type="dxa"/>
            <w:noWrap/>
            <w:hideMark/>
          </w:tcPr>
          <w:p w14:paraId="467B4140" w14:textId="4B747BD1" w:rsidR="00A94612" w:rsidRPr="00B148F9" w:rsidRDefault="00A94612" w:rsidP="00A94612">
            <w:pPr>
              <w:jc w:val="right"/>
              <w:rPr>
                <w:rFonts w:cs="Arial"/>
                <w:b/>
                <w:bCs/>
                <w:sz w:val="18"/>
                <w:lang w:eastAsia="en-GB"/>
              </w:rPr>
            </w:pPr>
            <w:r w:rsidRPr="00B148F9">
              <w:rPr>
                <w:rFonts w:cs="Arial"/>
                <w:b/>
                <w:bCs/>
                <w:sz w:val="18"/>
                <w:lang w:eastAsia="en-GB"/>
              </w:rPr>
              <w:t>Total for the year ended 31 December 2019</w:t>
            </w:r>
          </w:p>
        </w:tc>
      </w:tr>
      <w:tr w:rsidR="00A94612" w:rsidRPr="00B148F9" w14:paraId="39B04369" w14:textId="77777777" w:rsidTr="00A94612">
        <w:trPr>
          <w:trHeight w:val="270"/>
        </w:trPr>
        <w:tc>
          <w:tcPr>
            <w:tcW w:w="3544" w:type="dxa"/>
            <w:noWrap/>
          </w:tcPr>
          <w:p w14:paraId="6475CB85" w14:textId="77777777" w:rsidR="00A94612" w:rsidRPr="00B148F9" w:rsidRDefault="00A94612" w:rsidP="00A94612">
            <w:pPr>
              <w:rPr>
                <w:rFonts w:cs="Arial"/>
                <w:sz w:val="18"/>
                <w:lang w:eastAsia="en-GB"/>
              </w:rPr>
            </w:pPr>
          </w:p>
        </w:tc>
        <w:tc>
          <w:tcPr>
            <w:tcW w:w="1418" w:type="dxa"/>
            <w:tcBorders>
              <w:top w:val="single" w:sz="4" w:space="0" w:color="auto"/>
            </w:tcBorders>
          </w:tcPr>
          <w:p w14:paraId="6D03BD34" w14:textId="77777777" w:rsidR="00A94612" w:rsidRPr="00B148F9" w:rsidRDefault="00A94612" w:rsidP="00A94612">
            <w:pPr>
              <w:jc w:val="right"/>
              <w:rPr>
                <w:rFonts w:cs="Arial"/>
                <w:b/>
                <w:bCs/>
                <w:sz w:val="18"/>
                <w:lang w:eastAsia="en-GB"/>
              </w:rPr>
            </w:pPr>
          </w:p>
        </w:tc>
        <w:tc>
          <w:tcPr>
            <w:tcW w:w="1559" w:type="dxa"/>
            <w:tcBorders>
              <w:top w:val="single" w:sz="4" w:space="0" w:color="auto"/>
            </w:tcBorders>
          </w:tcPr>
          <w:p w14:paraId="437E58F8" w14:textId="77777777" w:rsidR="00A94612" w:rsidRPr="00B148F9" w:rsidRDefault="00A94612" w:rsidP="00A94612">
            <w:pPr>
              <w:jc w:val="right"/>
              <w:rPr>
                <w:rFonts w:cs="Arial"/>
                <w:b/>
                <w:bCs/>
                <w:sz w:val="18"/>
                <w:lang w:eastAsia="en-GB"/>
              </w:rPr>
            </w:pPr>
          </w:p>
        </w:tc>
        <w:tc>
          <w:tcPr>
            <w:tcW w:w="1559" w:type="dxa"/>
            <w:tcBorders>
              <w:top w:val="single" w:sz="4" w:space="0" w:color="auto"/>
            </w:tcBorders>
          </w:tcPr>
          <w:p w14:paraId="6127FD48" w14:textId="77777777" w:rsidR="00A94612" w:rsidRPr="00B148F9" w:rsidRDefault="00A94612" w:rsidP="00A94612">
            <w:pPr>
              <w:jc w:val="right"/>
              <w:rPr>
                <w:rFonts w:cs="Arial"/>
                <w:b/>
                <w:bCs/>
                <w:sz w:val="18"/>
                <w:lang w:eastAsia="en-GB"/>
              </w:rPr>
            </w:pPr>
          </w:p>
        </w:tc>
        <w:tc>
          <w:tcPr>
            <w:tcW w:w="1559" w:type="dxa"/>
            <w:tcBorders>
              <w:top w:val="single" w:sz="4" w:space="0" w:color="auto"/>
            </w:tcBorders>
          </w:tcPr>
          <w:p w14:paraId="160DAB20" w14:textId="6C34BBFA" w:rsidR="00A94612" w:rsidRPr="00B148F9" w:rsidRDefault="00A94612" w:rsidP="00A94612">
            <w:pPr>
              <w:jc w:val="right"/>
              <w:rPr>
                <w:rFonts w:cs="Arial"/>
                <w:b/>
                <w:bCs/>
                <w:sz w:val="18"/>
                <w:lang w:eastAsia="en-GB"/>
              </w:rPr>
            </w:pPr>
          </w:p>
        </w:tc>
        <w:tc>
          <w:tcPr>
            <w:tcW w:w="1418" w:type="dxa"/>
            <w:tcBorders>
              <w:top w:val="single" w:sz="4" w:space="0" w:color="auto"/>
            </w:tcBorders>
          </w:tcPr>
          <w:p w14:paraId="256A9D21" w14:textId="77777777" w:rsidR="00A94612" w:rsidRPr="00B148F9" w:rsidRDefault="00A94612" w:rsidP="00A94612">
            <w:pPr>
              <w:jc w:val="right"/>
              <w:rPr>
                <w:rFonts w:cs="Arial"/>
                <w:b/>
                <w:bCs/>
                <w:sz w:val="18"/>
                <w:lang w:eastAsia="en-GB"/>
              </w:rPr>
            </w:pPr>
          </w:p>
        </w:tc>
        <w:tc>
          <w:tcPr>
            <w:tcW w:w="1417" w:type="dxa"/>
            <w:tcBorders>
              <w:top w:val="single" w:sz="4" w:space="0" w:color="auto"/>
            </w:tcBorders>
          </w:tcPr>
          <w:p w14:paraId="061ABECD" w14:textId="77777777" w:rsidR="00A94612" w:rsidRPr="00B148F9" w:rsidRDefault="00A94612" w:rsidP="00A94612">
            <w:pPr>
              <w:jc w:val="right"/>
              <w:rPr>
                <w:rFonts w:cs="Arial"/>
                <w:b/>
                <w:bCs/>
                <w:sz w:val="18"/>
                <w:lang w:eastAsia="en-GB"/>
              </w:rPr>
            </w:pPr>
          </w:p>
        </w:tc>
        <w:tc>
          <w:tcPr>
            <w:tcW w:w="1560" w:type="dxa"/>
            <w:tcBorders>
              <w:top w:val="single" w:sz="4" w:space="0" w:color="auto"/>
            </w:tcBorders>
          </w:tcPr>
          <w:p w14:paraId="39548F79" w14:textId="6ADCA999" w:rsidR="00A94612" w:rsidRPr="00B148F9" w:rsidRDefault="00A94612" w:rsidP="00A94612">
            <w:pPr>
              <w:jc w:val="right"/>
              <w:rPr>
                <w:rFonts w:cs="Arial"/>
                <w:b/>
                <w:bCs/>
                <w:sz w:val="18"/>
                <w:lang w:eastAsia="en-GB"/>
              </w:rPr>
            </w:pPr>
          </w:p>
        </w:tc>
        <w:tc>
          <w:tcPr>
            <w:tcW w:w="1557" w:type="dxa"/>
            <w:tcBorders>
              <w:top w:val="single" w:sz="4" w:space="0" w:color="auto"/>
            </w:tcBorders>
            <w:noWrap/>
          </w:tcPr>
          <w:p w14:paraId="7C10E820" w14:textId="77777777" w:rsidR="00A94612" w:rsidRPr="00B148F9" w:rsidRDefault="00A94612" w:rsidP="00A94612">
            <w:pPr>
              <w:jc w:val="right"/>
              <w:rPr>
                <w:rFonts w:cs="Arial"/>
                <w:b/>
                <w:bCs/>
                <w:sz w:val="18"/>
                <w:lang w:eastAsia="en-GB"/>
              </w:rPr>
            </w:pPr>
          </w:p>
        </w:tc>
      </w:tr>
      <w:tr w:rsidR="00A94612" w:rsidRPr="00B148F9" w14:paraId="0BD2AEF4" w14:textId="77777777" w:rsidTr="00A94612">
        <w:trPr>
          <w:trHeight w:val="270"/>
        </w:trPr>
        <w:tc>
          <w:tcPr>
            <w:tcW w:w="3544" w:type="dxa"/>
            <w:noWrap/>
            <w:hideMark/>
          </w:tcPr>
          <w:p w14:paraId="71EBC340" w14:textId="77777777" w:rsidR="00A94612" w:rsidRPr="00B148F9" w:rsidRDefault="00A94612" w:rsidP="00A94612">
            <w:pPr>
              <w:rPr>
                <w:rFonts w:cs="Arial"/>
                <w:b/>
                <w:bCs/>
                <w:sz w:val="18"/>
                <w:lang w:eastAsia="en-GB"/>
              </w:rPr>
            </w:pPr>
            <w:r w:rsidRPr="00B148F9">
              <w:rPr>
                <w:rFonts w:cs="Arial"/>
                <w:b/>
                <w:bCs/>
                <w:sz w:val="18"/>
                <w:lang w:eastAsia="en-GB"/>
              </w:rPr>
              <w:t>Operations</w:t>
            </w:r>
          </w:p>
        </w:tc>
        <w:tc>
          <w:tcPr>
            <w:tcW w:w="1418" w:type="dxa"/>
          </w:tcPr>
          <w:p w14:paraId="067D4090" w14:textId="77777777" w:rsidR="00A94612" w:rsidRPr="00B148F9" w:rsidRDefault="00A94612" w:rsidP="00A94612">
            <w:pPr>
              <w:rPr>
                <w:rFonts w:cs="Arial"/>
                <w:b/>
                <w:bCs/>
                <w:sz w:val="18"/>
                <w:lang w:eastAsia="en-GB"/>
              </w:rPr>
            </w:pPr>
          </w:p>
        </w:tc>
        <w:tc>
          <w:tcPr>
            <w:tcW w:w="1559" w:type="dxa"/>
          </w:tcPr>
          <w:p w14:paraId="0E2282EC" w14:textId="77777777" w:rsidR="00A94612" w:rsidRPr="00B148F9" w:rsidRDefault="00A94612" w:rsidP="00A94612">
            <w:pPr>
              <w:rPr>
                <w:rFonts w:cs="Arial"/>
                <w:b/>
                <w:bCs/>
                <w:sz w:val="18"/>
                <w:lang w:eastAsia="en-GB"/>
              </w:rPr>
            </w:pPr>
          </w:p>
        </w:tc>
        <w:tc>
          <w:tcPr>
            <w:tcW w:w="1559" w:type="dxa"/>
          </w:tcPr>
          <w:p w14:paraId="5D054A76" w14:textId="77777777" w:rsidR="00A94612" w:rsidRPr="00B148F9" w:rsidRDefault="00A94612" w:rsidP="00A94612">
            <w:pPr>
              <w:rPr>
                <w:rFonts w:cs="Arial"/>
                <w:b/>
                <w:bCs/>
                <w:sz w:val="18"/>
                <w:lang w:eastAsia="en-GB"/>
              </w:rPr>
            </w:pPr>
          </w:p>
        </w:tc>
        <w:tc>
          <w:tcPr>
            <w:tcW w:w="1559" w:type="dxa"/>
          </w:tcPr>
          <w:p w14:paraId="7CAE6E39" w14:textId="5DB19D7B" w:rsidR="00A94612" w:rsidRPr="00B148F9" w:rsidRDefault="00A94612" w:rsidP="00A94612">
            <w:pPr>
              <w:rPr>
                <w:rFonts w:cs="Arial"/>
                <w:b/>
                <w:bCs/>
                <w:sz w:val="18"/>
                <w:lang w:eastAsia="en-GB"/>
              </w:rPr>
            </w:pPr>
          </w:p>
        </w:tc>
        <w:tc>
          <w:tcPr>
            <w:tcW w:w="1418" w:type="dxa"/>
          </w:tcPr>
          <w:p w14:paraId="4AC78A33" w14:textId="77777777" w:rsidR="00A94612" w:rsidRPr="00B148F9" w:rsidRDefault="00A94612" w:rsidP="00A94612">
            <w:pPr>
              <w:rPr>
                <w:rFonts w:cs="Arial"/>
                <w:b/>
                <w:bCs/>
                <w:sz w:val="18"/>
                <w:lang w:eastAsia="en-GB"/>
              </w:rPr>
            </w:pPr>
          </w:p>
        </w:tc>
        <w:tc>
          <w:tcPr>
            <w:tcW w:w="1417" w:type="dxa"/>
          </w:tcPr>
          <w:p w14:paraId="640DAC5A" w14:textId="77777777" w:rsidR="00A94612" w:rsidRPr="00B148F9" w:rsidRDefault="00A94612" w:rsidP="00A94612">
            <w:pPr>
              <w:rPr>
                <w:rFonts w:cs="Arial"/>
                <w:b/>
                <w:bCs/>
                <w:sz w:val="18"/>
                <w:lang w:eastAsia="en-GB"/>
              </w:rPr>
            </w:pPr>
          </w:p>
        </w:tc>
        <w:tc>
          <w:tcPr>
            <w:tcW w:w="1560" w:type="dxa"/>
          </w:tcPr>
          <w:p w14:paraId="4633C4A4" w14:textId="2E303709" w:rsidR="00A94612" w:rsidRPr="00B148F9" w:rsidRDefault="00A94612" w:rsidP="00A94612">
            <w:pPr>
              <w:jc w:val="right"/>
              <w:rPr>
                <w:rFonts w:cs="Arial"/>
                <w:b/>
                <w:bCs/>
                <w:sz w:val="18"/>
                <w:lang w:eastAsia="en-GB"/>
              </w:rPr>
            </w:pPr>
          </w:p>
        </w:tc>
        <w:tc>
          <w:tcPr>
            <w:tcW w:w="1557" w:type="dxa"/>
            <w:noWrap/>
          </w:tcPr>
          <w:p w14:paraId="5C110B2F" w14:textId="673A64A4" w:rsidR="00A94612" w:rsidRPr="00B148F9" w:rsidRDefault="00A94612" w:rsidP="00A94612">
            <w:pPr>
              <w:jc w:val="right"/>
              <w:rPr>
                <w:rFonts w:cs="Arial"/>
                <w:b/>
                <w:bCs/>
                <w:sz w:val="18"/>
                <w:lang w:eastAsia="en-GB"/>
              </w:rPr>
            </w:pPr>
          </w:p>
        </w:tc>
      </w:tr>
      <w:tr w:rsidR="00A94612" w:rsidRPr="00B148F9" w14:paraId="719A72A1" w14:textId="77777777" w:rsidTr="00A94612">
        <w:trPr>
          <w:trHeight w:val="113"/>
        </w:trPr>
        <w:tc>
          <w:tcPr>
            <w:tcW w:w="3544" w:type="dxa"/>
            <w:noWrap/>
            <w:hideMark/>
          </w:tcPr>
          <w:p w14:paraId="2C8E7A6B" w14:textId="55C0030A" w:rsidR="00A94612" w:rsidRPr="00B148F9" w:rsidRDefault="00A94612" w:rsidP="00A94612">
            <w:pPr>
              <w:rPr>
                <w:rFonts w:cs="Arial"/>
                <w:bCs/>
                <w:sz w:val="18"/>
                <w:lang w:eastAsia="en-GB"/>
              </w:rPr>
            </w:pPr>
            <w:r w:rsidRPr="00B148F9">
              <w:rPr>
                <w:rFonts w:cs="Arial"/>
                <w:bCs/>
                <w:sz w:val="18"/>
                <w:lang w:eastAsia="en-GB"/>
              </w:rPr>
              <w:t>Net investment loss</w:t>
            </w:r>
          </w:p>
        </w:tc>
        <w:tc>
          <w:tcPr>
            <w:tcW w:w="1418" w:type="dxa"/>
            <w:vAlign w:val="bottom"/>
          </w:tcPr>
          <w:p w14:paraId="240D555E" w14:textId="6030F789" w:rsidR="00A94612" w:rsidRPr="00B148F9" w:rsidRDefault="00A94612" w:rsidP="00A94612">
            <w:pPr>
              <w:jc w:val="right"/>
              <w:rPr>
                <w:rFonts w:cs="Arial"/>
                <w:bCs/>
                <w:sz w:val="18"/>
                <w:lang w:eastAsia="en-GB"/>
              </w:rPr>
            </w:pPr>
            <w:r w:rsidRPr="00B148F9">
              <w:rPr>
                <w:rFonts w:cs="Arial"/>
                <w:bCs/>
                <w:sz w:val="18"/>
                <w:lang w:eastAsia="en-GB"/>
              </w:rPr>
              <w:t>US$</w:t>
            </w:r>
            <w:r w:rsidRPr="00B148F9">
              <w:rPr>
                <w:rFonts w:cs="Arial"/>
                <w:sz w:val="18"/>
                <w:lang w:eastAsia="en-GB"/>
              </w:rPr>
              <w:t xml:space="preserve"> (154)</w:t>
            </w:r>
          </w:p>
        </w:tc>
        <w:tc>
          <w:tcPr>
            <w:tcW w:w="1559" w:type="dxa"/>
            <w:vAlign w:val="bottom"/>
          </w:tcPr>
          <w:p w14:paraId="2E90C1A1" w14:textId="5195218E" w:rsidR="00A94612" w:rsidRPr="00B148F9" w:rsidRDefault="00A94612" w:rsidP="00A94612">
            <w:pPr>
              <w:jc w:val="right"/>
              <w:rPr>
                <w:rFonts w:cs="Arial"/>
                <w:bCs/>
                <w:sz w:val="18"/>
                <w:lang w:eastAsia="en-GB"/>
              </w:rPr>
            </w:pPr>
            <w:r w:rsidRPr="00B148F9">
              <w:rPr>
                <w:rFonts w:cs="Arial"/>
                <w:bCs/>
                <w:sz w:val="18"/>
                <w:lang w:eastAsia="en-GB"/>
              </w:rPr>
              <w:t>US$</w:t>
            </w:r>
            <w:r w:rsidRPr="00B148F9">
              <w:rPr>
                <w:rFonts w:cs="Arial"/>
                <w:sz w:val="18"/>
                <w:lang w:eastAsia="en-GB"/>
              </w:rPr>
              <w:t xml:space="preserve"> (366,091)</w:t>
            </w:r>
          </w:p>
        </w:tc>
        <w:tc>
          <w:tcPr>
            <w:tcW w:w="1559" w:type="dxa"/>
            <w:vAlign w:val="bottom"/>
          </w:tcPr>
          <w:p w14:paraId="02610619" w14:textId="613515CE" w:rsidR="00A94612" w:rsidRPr="00B148F9" w:rsidRDefault="00A94612" w:rsidP="00A94612">
            <w:pPr>
              <w:jc w:val="right"/>
              <w:rPr>
                <w:rFonts w:cs="Arial"/>
                <w:bCs/>
                <w:sz w:val="18"/>
                <w:lang w:eastAsia="en-GB"/>
              </w:rPr>
            </w:pPr>
            <w:r w:rsidRPr="00B148F9">
              <w:rPr>
                <w:rFonts w:cs="Arial"/>
                <w:bCs/>
                <w:sz w:val="18"/>
                <w:lang w:eastAsia="en-GB"/>
              </w:rPr>
              <w:t>US$</w:t>
            </w:r>
            <w:r w:rsidRPr="00B148F9">
              <w:rPr>
                <w:rFonts w:cs="Arial"/>
                <w:sz w:val="18"/>
                <w:lang w:eastAsia="en-GB"/>
              </w:rPr>
              <w:t xml:space="preserve"> (366,245)</w:t>
            </w:r>
          </w:p>
        </w:tc>
        <w:tc>
          <w:tcPr>
            <w:tcW w:w="1559" w:type="dxa"/>
            <w:vAlign w:val="bottom"/>
          </w:tcPr>
          <w:p w14:paraId="70FB220D" w14:textId="710C5682" w:rsidR="00A94612" w:rsidRPr="00B148F9" w:rsidRDefault="00A94612" w:rsidP="00A94612">
            <w:pPr>
              <w:jc w:val="right"/>
              <w:rPr>
                <w:rFonts w:cs="Arial"/>
                <w:bCs/>
                <w:sz w:val="18"/>
                <w:lang w:eastAsia="en-GB"/>
              </w:rPr>
            </w:pPr>
            <w:r w:rsidRPr="00B148F9">
              <w:rPr>
                <w:rFonts w:cs="Arial"/>
                <w:bCs/>
                <w:sz w:val="18"/>
                <w:lang w:eastAsia="en-GB"/>
              </w:rPr>
              <w:t>US$ (931,617)</w:t>
            </w:r>
          </w:p>
        </w:tc>
        <w:tc>
          <w:tcPr>
            <w:tcW w:w="1418" w:type="dxa"/>
            <w:vAlign w:val="bottom"/>
          </w:tcPr>
          <w:p w14:paraId="6D563BFD" w14:textId="6FD49B56" w:rsidR="00A94612" w:rsidRPr="00B148F9" w:rsidRDefault="00A94612" w:rsidP="00A94612">
            <w:pPr>
              <w:jc w:val="right"/>
              <w:rPr>
                <w:rFonts w:cs="Arial"/>
                <w:bCs/>
                <w:sz w:val="18"/>
                <w:lang w:eastAsia="en-GB"/>
              </w:rPr>
            </w:pPr>
            <w:r w:rsidRPr="00B148F9">
              <w:rPr>
                <w:rFonts w:cs="Arial"/>
                <w:bCs/>
                <w:sz w:val="18"/>
                <w:lang w:eastAsia="en-GB"/>
              </w:rPr>
              <w:t>US$-</w:t>
            </w:r>
          </w:p>
        </w:tc>
        <w:tc>
          <w:tcPr>
            <w:tcW w:w="1417" w:type="dxa"/>
            <w:vAlign w:val="bottom"/>
          </w:tcPr>
          <w:p w14:paraId="20484F13" w14:textId="36805E38" w:rsidR="00A94612" w:rsidRPr="00B148F9" w:rsidRDefault="00A94612" w:rsidP="00A94612">
            <w:pPr>
              <w:jc w:val="right"/>
              <w:rPr>
                <w:rFonts w:cs="Arial"/>
                <w:bCs/>
                <w:sz w:val="18"/>
                <w:lang w:eastAsia="en-GB"/>
              </w:rPr>
            </w:pPr>
            <w:r w:rsidRPr="00B148F9">
              <w:rPr>
                <w:rFonts w:cs="Arial"/>
                <w:bCs/>
                <w:sz w:val="18"/>
                <w:lang w:eastAsia="en-GB"/>
              </w:rPr>
              <w:t>US$-</w:t>
            </w:r>
          </w:p>
        </w:tc>
        <w:tc>
          <w:tcPr>
            <w:tcW w:w="1560" w:type="dxa"/>
            <w:vAlign w:val="bottom"/>
          </w:tcPr>
          <w:p w14:paraId="15EC3230" w14:textId="3ECD2C6E" w:rsidR="00A94612" w:rsidRPr="00B148F9" w:rsidRDefault="00A94612" w:rsidP="00A94612">
            <w:pPr>
              <w:jc w:val="right"/>
              <w:rPr>
                <w:rFonts w:cs="Arial"/>
                <w:sz w:val="18"/>
                <w:lang w:eastAsia="en-GB"/>
              </w:rPr>
            </w:pPr>
            <w:r w:rsidRPr="00B148F9">
              <w:rPr>
                <w:rFonts w:cs="Arial"/>
                <w:bCs/>
                <w:sz w:val="18"/>
                <w:lang w:eastAsia="en-GB"/>
              </w:rPr>
              <w:t>US$</w:t>
            </w:r>
            <w:r w:rsidRPr="00B148F9">
              <w:rPr>
                <w:rFonts w:cs="Arial"/>
                <w:sz w:val="18"/>
                <w:lang w:eastAsia="en-GB"/>
              </w:rPr>
              <w:t xml:space="preserve"> (931,617)</w:t>
            </w:r>
          </w:p>
        </w:tc>
        <w:tc>
          <w:tcPr>
            <w:tcW w:w="1557" w:type="dxa"/>
            <w:noWrap/>
            <w:vAlign w:val="bottom"/>
            <w:hideMark/>
          </w:tcPr>
          <w:p w14:paraId="6D37602A" w14:textId="2183005E" w:rsidR="00A94612" w:rsidRPr="00B148F9" w:rsidRDefault="00A94612" w:rsidP="00A94612">
            <w:pPr>
              <w:jc w:val="right"/>
              <w:rPr>
                <w:rFonts w:cs="Arial"/>
                <w:sz w:val="18"/>
                <w:lang w:eastAsia="en-GB"/>
              </w:rPr>
            </w:pPr>
            <w:r w:rsidRPr="00B148F9">
              <w:rPr>
                <w:rFonts w:cs="Arial"/>
                <w:bCs/>
                <w:sz w:val="18"/>
                <w:lang w:eastAsia="en-GB"/>
              </w:rPr>
              <w:t>US$</w:t>
            </w:r>
            <w:r w:rsidRPr="00B148F9">
              <w:rPr>
                <w:rFonts w:cs="Arial"/>
                <w:sz w:val="18"/>
                <w:lang w:eastAsia="en-GB"/>
              </w:rPr>
              <w:t xml:space="preserve"> (1,297,862)</w:t>
            </w:r>
          </w:p>
        </w:tc>
      </w:tr>
      <w:tr w:rsidR="00A94612" w:rsidRPr="00B148F9" w14:paraId="03185FA7" w14:textId="77777777" w:rsidTr="00A94612">
        <w:trPr>
          <w:trHeight w:val="270"/>
        </w:trPr>
        <w:tc>
          <w:tcPr>
            <w:tcW w:w="3544" w:type="dxa"/>
            <w:tcBorders>
              <w:top w:val="nil"/>
              <w:left w:val="nil"/>
              <w:bottom w:val="nil"/>
              <w:right w:val="nil"/>
            </w:tcBorders>
            <w:shd w:val="clear" w:color="auto" w:fill="auto"/>
            <w:noWrap/>
            <w:vAlign w:val="bottom"/>
            <w:hideMark/>
          </w:tcPr>
          <w:p w14:paraId="4D2C6FAE" w14:textId="42416F20" w:rsidR="00A94612" w:rsidRPr="00B148F9" w:rsidRDefault="00A94612" w:rsidP="00A94612">
            <w:pPr>
              <w:rPr>
                <w:rFonts w:cs="Arial"/>
                <w:sz w:val="18"/>
                <w:lang w:eastAsia="en-GB"/>
              </w:rPr>
            </w:pPr>
            <w:r w:rsidRPr="00B148F9">
              <w:rPr>
                <w:rFonts w:cs="Arial"/>
                <w:sz w:val="18"/>
                <w:lang w:eastAsia="en-GB"/>
              </w:rPr>
              <w:t>Net realised gain on securities and foreign currency transactions</w:t>
            </w:r>
          </w:p>
        </w:tc>
        <w:tc>
          <w:tcPr>
            <w:tcW w:w="1418" w:type="dxa"/>
            <w:tcBorders>
              <w:top w:val="nil"/>
              <w:left w:val="nil"/>
              <w:bottom w:val="nil"/>
              <w:right w:val="nil"/>
            </w:tcBorders>
            <w:vAlign w:val="bottom"/>
          </w:tcPr>
          <w:p w14:paraId="5AB1BEFA" w14:textId="4C927C24" w:rsidR="00A94612" w:rsidRPr="00B148F9" w:rsidRDefault="00A94612" w:rsidP="00A94612">
            <w:pPr>
              <w:jc w:val="right"/>
              <w:rPr>
                <w:rFonts w:cs="Arial"/>
                <w:bCs/>
                <w:sz w:val="18"/>
                <w:lang w:eastAsia="en-GB"/>
              </w:rPr>
            </w:pPr>
            <w:r w:rsidRPr="00B148F9">
              <w:rPr>
                <w:rFonts w:cs="Arial"/>
                <w:sz w:val="18"/>
                <w:lang w:eastAsia="en-GB"/>
              </w:rPr>
              <w:t>10,475</w:t>
            </w:r>
          </w:p>
        </w:tc>
        <w:tc>
          <w:tcPr>
            <w:tcW w:w="1559" w:type="dxa"/>
            <w:tcBorders>
              <w:top w:val="nil"/>
              <w:left w:val="nil"/>
              <w:bottom w:val="nil"/>
              <w:right w:val="nil"/>
            </w:tcBorders>
            <w:vAlign w:val="bottom"/>
          </w:tcPr>
          <w:p w14:paraId="6FF8589B" w14:textId="2AB15808" w:rsidR="00A94612" w:rsidRPr="00B148F9" w:rsidRDefault="00A94612" w:rsidP="00A94612">
            <w:pPr>
              <w:jc w:val="right"/>
              <w:rPr>
                <w:rFonts w:cs="Arial"/>
                <w:bCs/>
                <w:sz w:val="18"/>
                <w:lang w:eastAsia="en-GB"/>
              </w:rPr>
            </w:pPr>
            <w:r w:rsidRPr="00B148F9">
              <w:rPr>
                <w:sz w:val="18"/>
              </w:rPr>
              <w:t>12,831,203</w:t>
            </w:r>
          </w:p>
        </w:tc>
        <w:tc>
          <w:tcPr>
            <w:tcW w:w="1559" w:type="dxa"/>
            <w:tcBorders>
              <w:top w:val="nil"/>
              <w:left w:val="nil"/>
              <w:bottom w:val="nil"/>
              <w:right w:val="nil"/>
            </w:tcBorders>
            <w:vAlign w:val="bottom"/>
          </w:tcPr>
          <w:p w14:paraId="256C1FB5" w14:textId="708AF469" w:rsidR="00A94612" w:rsidRPr="00B148F9" w:rsidRDefault="00A94612" w:rsidP="00A94612">
            <w:pPr>
              <w:jc w:val="right"/>
              <w:rPr>
                <w:rFonts w:cs="Arial"/>
                <w:bCs/>
                <w:sz w:val="18"/>
                <w:lang w:eastAsia="en-GB"/>
              </w:rPr>
            </w:pPr>
            <w:r w:rsidRPr="00B148F9">
              <w:rPr>
                <w:sz w:val="18"/>
              </w:rPr>
              <w:t>12,841,678</w:t>
            </w:r>
          </w:p>
        </w:tc>
        <w:tc>
          <w:tcPr>
            <w:tcW w:w="1559" w:type="dxa"/>
            <w:tcBorders>
              <w:top w:val="nil"/>
              <w:left w:val="nil"/>
              <w:bottom w:val="nil"/>
              <w:right w:val="nil"/>
            </w:tcBorders>
            <w:vAlign w:val="bottom"/>
          </w:tcPr>
          <w:p w14:paraId="3CC538B5" w14:textId="508A7783" w:rsidR="00A94612" w:rsidRPr="00B148F9" w:rsidRDefault="00A94612" w:rsidP="00A94612">
            <w:pPr>
              <w:jc w:val="right"/>
              <w:rPr>
                <w:rFonts w:cs="Arial"/>
                <w:bCs/>
                <w:sz w:val="18"/>
                <w:lang w:eastAsia="en-GB"/>
              </w:rPr>
            </w:pPr>
            <w:r w:rsidRPr="00B148F9">
              <w:rPr>
                <w:rFonts w:cs="Arial"/>
                <w:bCs/>
                <w:sz w:val="18"/>
                <w:lang w:eastAsia="en-GB"/>
              </w:rPr>
              <w:t>1,719,548</w:t>
            </w:r>
          </w:p>
        </w:tc>
        <w:tc>
          <w:tcPr>
            <w:tcW w:w="1418" w:type="dxa"/>
            <w:tcBorders>
              <w:top w:val="nil"/>
              <w:left w:val="nil"/>
              <w:bottom w:val="nil"/>
              <w:right w:val="nil"/>
            </w:tcBorders>
            <w:vAlign w:val="bottom"/>
          </w:tcPr>
          <w:p w14:paraId="751D5111" w14:textId="1ECA056E" w:rsidR="00A94612" w:rsidRPr="00B148F9" w:rsidRDefault="00A94612" w:rsidP="00A94612">
            <w:pPr>
              <w:jc w:val="right"/>
              <w:rPr>
                <w:rFonts w:cs="Arial"/>
                <w:bCs/>
                <w:sz w:val="18"/>
                <w:lang w:eastAsia="en-GB"/>
              </w:rPr>
            </w:pPr>
            <w:r w:rsidRPr="00B148F9">
              <w:rPr>
                <w:rFonts w:cs="Arial"/>
                <w:bCs/>
                <w:sz w:val="18"/>
                <w:lang w:eastAsia="en-GB"/>
              </w:rPr>
              <w:t>-</w:t>
            </w:r>
          </w:p>
        </w:tc>
        <w:tc>
          <w:tcPr>
            <w:tcW w:w="1417" w:type="dxa"/>
            <w:tcBorders>
              <w:top w:val="nil"/>
              <w:left w:val="nil"/>
              <w:bottom w:val="nil"/>
              <w:right w:val="nil"/>
            </w:tcBorders>
            <w:vAlign w:val="bottom"/>
          </w:tcPr>
          <w:p w14:paraId="00BBE6CD" w14:textId="739C7B63" w:rsidR="00A94612" w:rsidRPr="00B148F9" w:rsidRDefault="00A94612" w:rsidP="00A94612">
            <w:pPr>
              <w:jc w:val="right"/>
              <w:rPr>
                <w:rFonts w:cs="Arial"/>
                <w:bCs/>
                <w:sz w:val="18"/>
                <w:lang w:eastAsia="en-GB"/>
              </w:rPr>
            </w:pPr>
            <w:r w:rsidRPr="00B148F9">
              <w:rPr>
                <w:rFonts w:cs="Arial"/>
                <w:bCs/>
                <w:sz w:val="18"/>
                <w:lang w:eastAsia="en-GB"/>
              </w:rPr>
              <w:t>-</w:t>
            </w:r>
          </w:p>
        </w:tc>
        <w:tc>
          <w:tcPr>
            <w:tcW w:w="1560" w:type="dxa"/>
            <w:tcBorders>
              <w:top w:val="nil"/>
              <w:left w:val="nil"/>
              <w:bottom w:val="nil"/>
              <w:right w:val="nil"/>
            </w:tcBorders>
            <w:vAlign w:val="bottom"/>
          </w:tcPr>
          <w:p w14:paraId="4B4B70EB" w14:textId="4A344234" w:rsidR="00A94612" w:rsidRPr="00B148F9" w:rsidRDefault="00A94612" w:rsidP="00A94612">
            <w:pPr>
              <w:jc w:val="right"/>
              <w:rPr>
                <w:rFonts w:cs="Arial"/>
                <w:sz w:val="18"/>
                <w:lang w:eastAsia="en-GB"/>
              </w:rPr>
            </w:pPr>
            <w:r w:rsidRPr="00B148F9">
              <w:rPr>
                <w:rFonts w:cs="Arial"/>
                <w:sz w:val="18"/>
                <w:lang w:eastAsia="en-GB"/>
              </w:rPr>
              <w:t>1,719,548</w:t>
            </w:r>
          </w:p>
        </w:tc>
        <w:tc>
          <w:tcPr>
            <w:tcW w:w="1557" w:type="dxa"/>
            <w:tcBorders>
              <w:top w:val="nil"/>
              <w:left w:val="nil"/>
              <w:bottom w:val="nil"/>
              <w:right w:val="nil"/>
            </w:tcBorders>
            <w:shd w:val="clear" w:color="auto" w:fill="auto"/>
            <w:noWrap/>
            <w:vAlign w:val="bottom"/>
          </w:tcPr>
          <w:p w14:paraId="50B34205" w14:textId="7852A03A" w:rsidR="00A94612" w:rsidRPr="00B148F9" w:rsidRDefault="00A94612" w:rsidP="00A94612">
            <w:pPr>
              <w:jc w:val="right"/>
              <w:rPr>
                <w:rFonts w:cs="Arial"/>
                <w:sz w:val="18"/>
                <w:lang w:eastAsia="en-GB"/>
              </w:rPr>
            </w:pPr>
            <w:r w:rsidRPr="00B148F9">
              <w:rPr>
                <w:rFonts w:cs="Arial"/>
                <w:sz w:val="18"/>
                <w:lang w:eastAsia="en-GB"/>
              </w:rPr>
              <w:t>14,561,226</w:t>
            </w:r>
          </w:p>
        </w:tc>
      </w:tr>
      <w:tr w:rsidR="00A94612" w:rsidRPr="00B148F9" w14:paraId="7E48DD48" w14:textId="77777777" w:rsidTr="00A94612">
        <w:trPr>
          <w:trHeight w:val="270"/>
        </w:trPr>
        <w:tc>
          <w:tcPr>
            <w:tcW w:w="3544" w:type="dxa"/>
            <w:tcBorders>
              <w:top w:val="nil"/>
              <w:left w:val="nil"/>
              <w:bottom w:val="nil"/>
              <w:right w:val="nil"/>
            </w:tcBorders>
            <w:shd w:val="clear" w:color="auto" w:fill="auto"/>
            <w:noWrap/>
            <w:vAlign w:val="bottom"/>
          </w:tcPr>
          <w:p w14:paraId="591A3E57" w14:textId="72622C6B" w:rsidR="00A94612" w:rsidRPr="00B148F9" w:rsidRDefault="00A94612" w:rsidP="00A94612">
            <w:pPr>
              <w:rPr>
                <w:rFonts w:cs="Arial"/>
                <w:sz w:val="18"/>
                <w:lang w:eastAsia="en-GB"/>
              </w:rPr>
            </w:pPr>
            <w:r w:rsidRPr="00B148F9">
              <w:rPr>
                <w:rFonts w:cs="Arial"/>
                <w:sz w:val="18"/>
                <w:lang w:eastAsia="en-GB"/>
              </w:rPr>
              <w:t>Net change in unrealised appreciation on derivative contracts</w:t>
            </w:r>
          </w:p>
        </w:tc>
        <w:tc>
          <w:tcPr>
            <w:tcW w:w="1418" w:type="dxa"/>
            <w:tcBorders>
              <w:top w:val="nil"/>
              <w:left w:val="nil"/>
              <w:bottom w:val="nil"/>
              <w:right w:val="nil"/>
            </w:tcBorders>
            <w:vAlign w:val="bottom"/>
          </w:tcPr>
          <w:p w14:paraId="38C61A2C" w14:textId="1DCF4141"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tcBorders>
              <w:top w:val="nil"/>
              <w:left w:val="nil"/>
              <w:bottom w:val="nil"/>
              <w:right w:val="nil"/>
            </w:tcBorders>
            <w:vAlign w:val="bottom"/>
          </w:tcPr>
          <w:p w14:paraId="22E6ED44" w14:textId="33071DAD" w:rsidR="00A94612" w:rsidRPr="00B148F9" w:rsidRDefault="00A94612" w:rsidP="00A94612">
            <w:pPr>
              <w:jc w:val="right"/>
              <w:rPr>
                <w:rFonts w:cs="Arial"/>
                <w:bCs/>
                <w:sz w:val="18"/>
                <w:lang w:eastAsia="en-GB"/>
              </w:rPr>
            </w:pPr>
            <w:r w:rsidRPr="00B148F9">
              <w:rPr>
                <w:sz w:val="18"/>
              </w:rPr>
              <w:t>-</w:t>
            </w:r>
          </w:p>
        </w:tc>
        <w:tc>
          <w:tcPr>
            <w:tcW w:w="1559" w:type="dxa"/>
            <w:tcBorders>
              <w:top w:val="nil"/>
              <w:left w:val="nil"/>
              <w:bottom w:val="nil"/>
              <w:right w:val="nil"/>
            </w:tcBorders>
            <w:vAlign w:val="bottom"/>
          </w:tcPr>
          <w:p w14:paraId="10291708" w14:textId="330A3F21" w:rsidR="00A94612" w:rsidRPr="00B148F9" w:rsidRDefault="00A94612" w:rsidP="00A94612">
            <w:pPr>
              <w:jc w:val="right"/>
              <w:rPr>
                <w:rFonts w:cs="Arial"/>
                <w:bCs/>
                <w:sz w:val="18"/>
                <w:lang w:eastAsia="en-GB"/>
              </w:rPr>
            </w:pPr>
            <w:r w:rsidRPr="00B148F9">
              <w:rPr>
                <w:b/>
                <w:sz w:val="18"/>
              </w:rPr>
              <w:t>-</w:t>
            </w:r>
          </w:p>
        </w:tc>
        <w:tc>
          <w:tcPr>
            <w:tcW w:w="1559" w:type="dxa"/>
            <w:tcBorders>
              <w:top w:val="nil"/>
              <w:left w:val="nil"/>
              <w:bottom w:val="nil"/>
              <w:right w:val="nil"/>
            </w:tcBorders>
            <w:vAlign w:val="bottom"/>
          </w:tcPr>
          <w:p w14:paraId="5ED6840B" w14:textId="085C8FFD" w:rsidR="00A94612" w:rsidRPr="00B148F9" w:rsidRDefault="00A94612" w:rsidP="00A94612">
            <w:pPr>
              <w:jc w:val="right"/>
              <w:rPr>
                <w:rFonts w:cs="Arial"/>
                <w:bCs/>
                <w:sz w:val="18"/>
                <w:lang w:eastAsia="en-GB"/>
              </w:rPr>
            </w:pPr>
            <w:r w:rsidRPr="00B148F9">
              <w:rPr>
                <w:rFonts w:cs="Arial"/>
                <w:bCs/>
                <w:sz w:val="18"/>
                <w:lang w:eastAsia="en-GB"/>
              </w:rPr>
              <w:t>1,315,511</w:t>
            </w:r>
          </w:p>
        </w:tc>
        <w:tc>
          <w:tcPr>
            <w:tcW w:w="1418" w:type="dxa"/>
            <w:tcBorders>
              <w:top w:val="nil"/>
              <w:left w:val="nil"/>
              <w:bottom w:val="nil"/>
              <w:right w:val="nil"/>
            </w:tcBorders>
            <w:vAlign w:val="bottom"/>
          </w:tcPr>
          <w:p w14:paraId="6694952D" w14:textId="5F304484" w:rsidR="00A94612" w:rsidRPr="00B148F9" w:rsidRDefault="00A94612" w:rsidP="00A94612">
            <w:pPr>
              <w:jc w:val="right"/>
              <w:rPr>
                <w:rFonts w:cs="Arial"/>
                <w:bCs/>
                <w:sz w:val="18"/>
                <w:lang w:eastAsia="en-GB"/>
              </w:rPr>
            </w:pPr>
            <w:r w:rsidRPr="00B148F9">
              <w:rPr>
                <w:rFonts w:cs="Arial"/>
                <w:bCs/>
                <w:sz w:val="18"/>
                <w:lang w:eastAsia="en-GB"/>
              </w:rPr>
              <w:t>-</w:t>
            </w:r>
          </w:p>
        </w:tc>
        <w:tc>
          <w:tcPr>
            <w:tcW w:w="1417" w:type="dxa"/>
            <w:tcBorders>
              <w:top w:val="nil"/>
              <w:left w:val="nil"/>
              <w:bottom w:val="nil"/>
              <w:right w:val="nil"/>
            </w:tcBorders>
            <w:vAlign w:val="bottom"/>
          </w:tcPr>
          <w:p w14:paraId="6D2BD0DD" w14:textId="61E37126" w:rsidR="00A94612" w:rsidRPr="00B148F9" w:rsidRDefault="00A94612" w:rsidP="00A94612">
            <w:pPr>
              <w:jc w:val="right"/>
              <w:rPr>
                <w:rFonts w:cs="Arial"/>
                <w:bCs/>
                <w:sz w:val="18"/>
                <w:lang w:eastAsia="en-GB"/>
              </w:rPr>
            </w:pPr>
            <w:r w:rsidRPr="00B148F9">
              <w:rPr>
                <w:rFonts w:cs="Arial"/>
                <w:bCs/>
                <w:sz w:val="18"/>
                <w:lang w:eastAsia="en-GB"/>
              </w:rPr>
              <w:t>-</w:t>
            </w:r>
          </w:p>
        </w:tc>
        <w:tc>
          <w:tcPr>
            <w:tcW w:w="1560" w:type="dxa"/>
            <w:tcBorders>
              <w:top w:val="nil"/>
              <w:left w:val="nil"/>
              <w:bottom w:val="nil"/>
              <w:right w:val="nil"/>
            </w:tcBorders>
            <w:vAlign w:val="bottom"/>
          </w:tcPr>
          <w:p w14:paraId="011B2257" w14:textId="193DAC8A" w:rsidR="00A94612" w:rsidRPr="00B148F9" w:rsidRDefault="00A94612" w:rsidP="00A94612">
            <w:pPr>
              <w:jc w:val="right"/>
              <w:rPr>
                <w:rFonts w:cs="Arial"/>
                <w:sz w:val="18"/>
                <w:lang w:eastAsia="en-GB"/>
              </w:rPr>
            </w:pPr>
            <w:r w:rsidRPr="00B148F9">
              <w:rPr>
                <w:rFonts w:cs="Arial"/>
                <w:sz w:val="18"/>
                <w:lang w:eastAsia="en-GB"/>
              </w:rPr>
              <w:t>1,315,511</w:t>
            </w:r>
          </w:p>
        </w:tc>
        <w:tc>
          <w:tcPr>
            <w:tcW w:w="1557" w:type="dxa"/>
            <w:tcBorders>
              <w:top w:val="nil"/>
              <w:left w:val="nil"/>
              <w:bottom w:val="nil"/>
              <w:right w:val="nil"/>
            </w:tcBorders>
            <w:shd w:val="clear" w:color="auto" w:fill="auto"/>
            <w:noWrap/>
            <w:vAlign w:val="bottom"/>
          </w:tcPr>
          <w:p w14:paraId="0E9C192A" w14:textId="68522914" w:rsidR="00A94612" w:rsidRPr="00B148F9" w:rsidRDefault="00A94612" w:rsidP="00A94612">
            <w:pPr>
              <w:jc w:val="right"/>
              <w:rPr>
                <w:rFonts w:cs="Arial"/>
                <w:sz w:val="18"/>
                <w:lang w:eastAsia="en-GB"/>
              </w:rPr>
            </w:pPr>
            <w:r w:rsidRPr="00B148F9">
              <w:rPr>
                <w:rFonts w:cs="Arial"/>
                <w:sz w:val="18"/>
                <w:lang w:eastAsia="en-GB"/>
              </w:rPr>
              <w:t>1,315,511</w:t>
            </w:r>
          </w:p>
        </w:tc>
      </w:tr>
      <w:tr w:rsidR="00A94612" w:rsidRPr="00B148F9" w14:paraId="37C80869" w14:textId="77777777" w:rsidTr="00A94612">
        <w:trPr>
          <w:trHeight w:val="270"/>
        </w:trPr>
        <w:tc>
          <w:tcPr>
            <w:tcW w:w="3544" w:type="dxa"/>
            <w:tcBorders>
              <w:top w:val="nil"/>
              <w:left w:val="nil"/>
              <w:bottom w:val="nil"/>
              <w:right w:val="nil"/>
            </w:tcBorders>
            <w:shd w:val="clear" w:color="auto" w:fill="auto"/>
            <w:noWrap/>
            <w:vAlign w:val="bottom"/>
          </w:tcPr>
          <w:p w14:paraId="4C5DFD7B" w14:textId="6140C184" w:rsidR="00A94612" w:rsidRPr="00B148F9" w:rsidRDefault="00A94612" w:rsidP="00A94612">
            <w:pPr>
              <w:rPr>
                <w:rFonts w:cs="Arial"/>
                <w:sz w:val="18"/>
                <w:lang w:eastAsia="en-GB"/>
              </w:rPr>
            </w:pPr>
            <w:r w:rsidRPr="00B148F9">
              <w:rPr>
                <w:rFonts w:cs="Arial"/>
                <w:sz w:val="18"/>
                <w:lang w:eastAsia="en-GB"/>
              </w:rPr>
              <w:t>Net change in unrealised appreciation on securities and foreign currency translations</w:t>
            </w:r>
          </w:p>
        </w:tc>
        <w:tc>
          <w:tcPr>
            <w:tcW w:w="1418" w:type="dxa"/>
            <w:tcBorders>
              <w:top w:val="nil"/>
              <w:left w:val="nil"/>
              <w:bottom w:val="nil"/>
              <w:right w:val="nil"/>
            </w:tcBorders>
            <w:vAlign w:val="bottom"/>
          </w:tcPr>
          <w:p w14:paraId="31250045" w14:textId="2B24A131" w:rsidR="00A94612" w:rsidRPr="00B148F9" w:rsidRDefault="00A94612" w:rsidP="00A94612">
            <w:pPr>
              <w:jc w:val="right"/>
              <w:rPr>
                <w:rFonts w:cs="Arial"/>
                <w:bCs/>
                <w:sz w:val="18"/>
                <w:lang w:eastAsia="en-GB"/>
              </w:rPr>
            </w:pPr>
            <w:r w:rsidRPr="00B148F9">
              <w:rPr>
                <w:rFonts w:cs="Arial"/>
                <w:sz w:val="18"/>
                <w:lang w:eastAsia="en-GB"/>
              </w:rPr>
              <w:t>(36,897)</w:t>
            </w:r>
          </w:p>
        </w:tc>
        <w:tc>
          <w:tcPr>
            <w:tcW w:w="1559" w:type="dxa"/>
            <w:tcBorders>
              <w:top w:val="nil"/>
              <w:left w:val="nil"/>
              <w:bottom w:val="nil"/>
              <w:right w:val="nil"/>
            </w:tcBorders>
            <w:vAlign w:val="bottom"/>
          </w:tcPr>
          <w:p w14:paraId="73883373" w14:textId="3748A43A" w:rsidR="00A94612" w:rsidRPr="00B148F9" w:rsidRDefault="00A94612" w:rsidP="00A94612">
            <w:pPr>
              <w:jc w:val="right"/>
              <w:rPr>
                <w:rFonts w:cs="Arial"/>
                <w:bCs/>
                <w:sz w:val="18"/>
                <w:lang w:eastAsia="en-GB"/>
              </w:rPr>
            </w:pPr>
            <w:r w:rsidRPr="00B148F9">
              <w:rPr>
                <w:sz w:val="18"/>
              </w:rPr>
              <w:t>(25,991,244)</w:t>
            </w:r>
          </w:p>
        </w:tc>
        <w:tc>
          <w:tcPr>
            <w:tcW w:w="1559" w:type="dxa"/>
            <w:tcBorders>
              <w:top w:val="nil"/>
              <w:left w:val="nil"/>
              <w:bottom w:val="nil"/>
              <w:right w:val="nil"/>
            </w:tcBorders>
            <w:vAlign w:val="bottom"/>
          </w:tcPr>
          <w:p w14:paraId="4B2AC18E" w14:textId="78D10D39" w:rsidR="00A94612" w:rsidRPr="00B148F9" w:rsidRDefault="00A94612" w:rsidP="00A94612">
            <w:pPr>
              <w:jc w:val="right"/>
              <w:rPr>
                <w:rFonts w:cs="Arial"/>
                <w:bCs/>
                <w:sz w:val="18"/>
                <w:lang w:eastAsia="en-GB"/>
              </w:rPr>
            </w:pPr>
            <w:r w:rsidRPr="00B148F9">
              <w:rPr>
                <w:sz w:val="18"/>
              </w:rPr>
              <w:t>(26,028,141)</w:t>
            </w:r>
          </w:p>
        </w:tc>
        <w:tc>
          <w:tcPr>
            <w:tcW w:w="1559" w:type="dxa"/>
            <w:tcBorders>
              <w:top w:val="nil"/>
              <w:left w:val="nil"/>
              <w:bottom w:val="nil"/>
              <w:right w:val="nil"/>
            </w:tcBorders>
            <w:vAlign w:val="bottom"/>
          </w:tcPr>
          <w:p w14:paraId="4CD227EE" w14:textId="1653FFEB" w:rsidR="00A94612" w:rsidRPr="00B148F9" w:rsidRDefault="00A94612" w:rsidP="00A94612">
            <w:pPr>
              <w:jc w:val="right"/>
              <w:rPr>
                <w:rFonts w:cs="Arial"/>
                <w:bCs/>
                <w:sz w:val="18"/>
                <w:lang w:eastAsia="en-GB"/>
              </w:rPr>
            </w:pPr>
            <w:r w:rsidRPr="00B148F9">
              <w:rPr>
                <w:rFonts w:cs="Arial"/>
                <w:bCs/>
                <w:sz w:val="18"/>
                <w:lang w:eastAsia="en-GB"/>
              </w:rPr>
              <w:t>50,167,128</w:t>
            </w:r>
          </w:p>
        </w:tc>
        <w:tc>
          <w:tcPr>
            <w:tcW w:w="1418" w:type="dxa"/>
            <w:tcBorders>
              <w:top w:val="nil"/>
              <w:left w:val="nil"/>
              <w:bottom w:val="nil"/>
              <w:right w:val="nil"/>
            </w:tcBorders>
            <w:vAlign w:val="bottom"/>
          </w:tcPr>
          <w:p w14:paraId="3552C3E8" w14:textId="2AD630F7" w:rsidR="00A94612" w:rsidRPr="00B148F9" w:rsidRDefault="00A94612" w:rsidP="00A94612">
            <w:pPr>
              <w:jc w:val="right"/>
              <w:rPr>
                <w:rFonts w:cs="Arial"/>
                <w:bCs/>
                <w:sz w:val="18"/>
                <w:lang w:eastAsia="en-GB"/>
              </w:rPr>
            </w:pPr>
            <w:r w:rsidRPr="00B148F9">
              <w:rPr>
                <w:rFonts w:cs="Arial"/>
                <w:bCs/>
                <w:sz w:val="18"/>
                <w:lang w:eastAsia="en-GB"/>
              </w:rPr>
              <w:t>-</w:t>
            </w:r>
          </w:p>
        </w:tc>
        <w:tc>
          <w:tcPr>
            <w:tcW w:w="1417" w:type="dxa"/>
            <w:tcBorders>
              <w:top w:val="nil"/>
              <w:left w:val="nil"/>
              <w:bottom w:val="nil"/>
              <w:right w:val="nil"/>
            </w:tcBorders>
            <w:vAlign w:val="bottom"/>
          </w:tcPr>
          <w:p w14:paraId="43326B14" w14:textId="643F33B0" w:rsidR="00A94612" w:rsidRPr="00B148F9" w:rsidRDefault="00A94612" w:rsidP="00A94612">
            <w:pPr>
              <w:jc w:val="right"/>
              <w:rPr>
                <w:rFonts w:cs="Arial"/>
                <w:bCs/>
                <w:sz w:val="18"/>
                <w:lang w:eastAsia="en-GB"/>
              </w:rPr>
            </w:pPr>
            <w:r w:rsidRPr="00B148F9">
              <w:rPr>
                <w:rFonts w:cs="Arial"/>
                <w:bCs/>
                <w:sz w:val="18"/>
                <w:lang w:eastAsia="en-GB"/>
              </w:rPr>
              <w:t>-</w:t>
            </w:r>
          </w:p>
        </w:tc>
        <w:tc>
          <w:tcPr>
            <w:tcW w:w="1560" w:type="dxa"/>
            <w:tcBorders>
              <w:top w:val="nil"/>
              <w:left w:val="nil"/>
              <w:bottom w:val="nil"/>
              <w:right w:val="nil"/>
            </w:tcBorders>
            <w:vAlign w:val="bottom"/>
          </w:tcPr>
          <w:p w14:paraId="0A974A07" w14:textId="328C5654" w:rsidR="00A94612" w:rsidRPr="00B148F9" w:rsidRDefault="00A94612" w:rsidP="00A94612">
            <w:pPr>
              <w:jc w:val="right"/>
              <w:rPr>
                <w:rFonts w:cs="Arial"/>
                <w:sz w:val="18"/>
                <w:lang w:eastAsia="en-GB"/>
              </w:rPr>
            </w:pPr>
            <w:r w:rsidRPr="00B148F9">
              <w:rPr>
                <w:rFonts w:cs="Arial"/>
                <w:sz w:val="18"/>
                <w:lang w:eastAsia="en-GB"/>
              </w:rPr>
              <w:t>50,167,128</w:t>
            </w:r>
          </w:p>
        </w:tc>
        <w:tc>
          <w:tcPr>
            <w:tcW w:w="1557" w:type="dxa"/>
            <w:tcBorders>
              <w:top w:val="nil"/>
              <w:left w:val="nil"/>
              <w:bottom w:val="nil"/>
              <w:right w:val="nil"/>
            </w:tcBorders>
            <w:shd w:val="clear" w:color="auto" w:fill="auto"/>
            <w:noWrap/>
            <w:vAlign w:val="bottom"/>
          </w:tcPr>
          <w:p w14:paraId="1D2FF7DE" w14:textId="1755DD9E" w:rsidR="00A94612" w:rsidRPr="00B148F9" w:rsidRDefault="00A94612" w:rsidP="00A94612">
            <w:pPr>
              <w:jc w:val="right"/>
              <w:rPr>
                <w:rFonts w:cs="Arial"/>
                <w:sz w:val="18"/>
                <w:lang w:eastAsia="en-GB"/>
              </w:rPr>
            </w:pPr>
            <w:r w:rsidRPr="00B148F9">
              <w:rPr>
                <w:rFonts w:cs="Arial"/>
                <w:sz w:val="18"/>
                <w:lang w:eastAsia="en-GB"/>
              </w:rPr>
              <w:t>24,138,987</w:t>
            </w:r>
          </w:p>
        </w:tc>
      </w:tr>
      <w:tr w:rsidR="00A94612" w:rsidRPr="00B148F9" w14:paraId="154B7253" w14:textId="77777777" w:rsidTr="00A94612">
        <w:trPr>
          <w:trHeight w:val="270"/>
        </w:trPr>
        <w:tc>
          <w:tcPr>
            <w:tcW w:w="3544" w:type="dxa"/>
            <w:tcBorders>
              <w:top w:val="nil"/>
              <w:left w:val="nil"/>
              <w:bottom w:val="nil"/>
              <w:right w:val="nil"/>
            </w:tcBorders>
            <w:shd w:val="clear" w:color="auto" w:fill="auto"/>
            <w:noWrap/>
            <w:vAlign w:val="bottom"/>
          </w:tcPr>
          <w:p w14:paraId="126C18FF" w14:textId="75B21337" w:rsidR="00A94612" w:rsidRPr="00B148F9" w:rsidRDefault="00A94612" w:rsidP="00A94612">
            <w:pPr>
              <w:rPr>
                <w:rFonts w:cs="Arial"/>
                <w:bCs/>
                <w:sz w:val="18"/>
                <w:lang w:eastAsia="en-GB"/>
              </w:rPr>
            </w:pPr>
            <w:r w:rsidRPr="00B148F9">
              <w:rPr>
                <w:rFonts w:cs="Arial"/>
                <w:sz w:val="18"/>
                <w:lang w:eastAsia="en-GB"/>
              </w:rPr>
              <w:t>Performance Allocation</w:t>
            </w:r>
          </w:p>
        </w:tc>
        <w:tc>
          <w:tcPr>
            <w:tcW w:w="1418" w:type="dxa"/>
            <w:tcBorders>
              <w:top w:val="nil"/>
              <w:left w:val="nil"/>
              <w:right w:val="nil"/>
            </w:tcBorders>
            <w:vAlign w:val="bottom"/>
          </w:tcPr>
          <w:p w14:paraId="1D661707" w14:textId="06F540D7"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tcBorders>
              <w:top w:val="nil"/>
              <w:left w:val="nil"/>
              <w:right w:val="nil"/>
            </w:tcBorders>
            <w:vAlign w:val="bottom"/>
          </w:tcPr>
          <w:p w14:paraId="708E2EA6" w14:textId="09C538C6"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tcBorders>
              <w:top w:val="nil"/>
              <w:left w:val="nil"/>
              <w:right w:val="nil"/>
            </w:tcBorders>
            <w:vAlign w:val="bottom"/>
          </w:tcPr>
          <w:p w14:paraId="19A07E9C" w14:textId="6E1FAE09"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tcBorders>
              <w:top w:val="nil"/>
              <w:left w:val="nil"/>
              <w:right w:val="nil"/>
            </w:tcBorders>
            <w:vAlign w:val="bottom"/>
          </w:tcPr>
          <w:p w14:paraId="580799CB" w14:textId="63BE588E" w:rsidR="00A94612" w:rsidRPr="00B148F9" w:rsidRDefault="00A94612" w:rsidP="00A94612">
            <w:pPr>
              <w:jc w:val="right"/>
              <w:rPr>
                <w:rFonts w:cs="Arial"/>
                <w:bCs/>
                <w:sz w:val="18"/>
                <w:lang w:eastAsia="en-GB"/>
              </w:rPr>
            </w:pPr>
            <w:r w:rsidRPr="00B148F9">
              <w:rPr>
                <w:rFonts w:cs="Arial"/>
                <w:bCs/>
                <w:sz w:val="18"/>
                <w:lang w:eastAsia="en-GB"/>
              </w:rPr>
              <w:t>(8,691,105)</w:t>
            </w:r>
          </w:p>
        </w:tc>
        <w:tc>
          <w:tcPr>
            <w:tcW w:w="1418" w:type="dxa"/>
            <w:tcBorders>
              <w:top w:val="nil"/>
              <w:left w:val="nil"/>
              <w:right w:val="nil"/>
            </w:tcBorders>
            <w:vAlign w:val="bottom"/>
          </w:tcPr>
          <w:p w14:paraId="36A3F290" w14:textId="26A39027" w:rsidR="00A94612" w:rsidRPr="00B148F9" w:rsidRDefault="00A94612" w:rsidP="00A94612">
            <w:pPr>
              <w:jc w:val="right"/>
              <w:rPr>
                <w:rFonts w:cs="Arial"/>
                <w:bCs/>
                <w:sz w:val="18"/>
                <w:lang w:eastAsia="en-GB"/>
              </w:rPr>
            </w:pPr>
            <w:r w:rsidRPr="00B148F9">
              <w:rPr>
                <w:rFonts w:cs="Arial"/>
                <w:sz w:val="18"/>
                <w:lang w:eastAsia="en-GB"/>
              </w:rPr>
              <w:t>8,691,105</w:t>
            </w:r>
          </w:p>
        </w:tc>
        <w:tc>
          <w:tcPr>
            <w:tcW w:w="1417" w:type="dxa"/>
            <w:tcBorders>
              <w:top w:val="nil"/>
              <w:left w:val="nil"/>
              <w:right w:val="nil"/>
            </w:tcBorders>
            <w:vAlign w:val="bottom"/>
          </w:tcPr>
          <w:p w14:paraId="4A9D54C8" w14:textId="6BDDDF9D" w:rsidR="00A94612" w:rsidRPr="00B148F9" w:rsidRDefault="00A94612" w:rsidP="00A94612">
            <w:pPr>
              <w:jc w:val="right"/>
              <w:rPr>
                <w:rFonts w:cs="Arial"/>
                <w:bCs/>
                <w:sz w:val="18"/>
                <w:lang w:eastAsia="en-GB"/>
              </w:rPr>
            </w:pPr>
            <w:r w:rsidRPr="00B148F9">
              <w:rPr>
                <w:rFonts w:cs="Arial"/>
                <w:bCs/>
                <w:sz w:val="18"/>
                <w:lang w:eastAsia="en-GB"/>
              </w:rPr>
              <w:t>-</w:t>
            </w:r>
          </w:p>
        </w:tc>
        <w:tc>
          <w:tcPr>
            <w:tcW w:w="1560" w:type="dxa"/>
            <w:tcBorders>
              <w:top w:val="nil"/>
              <w:left w:val="nil"/>
              <w:bottom w:val="nil"/>
              <w:right w:val="nil"/>
            </w:tcBorders>
            <w:vAlign w:val="bottom"/>
          </w:tcPr>
          <w:p w14:paraId="10CA47AA" w14:textId="39D873C2" w:rsidR="00A94612" w:rsidRPr="00B148F9" w:rsidRDefault="00A94612" w:rsidP="00A94612">
            <w:pPr>
              <w:jc w:val="right"/>
              <w:rPr>
                <w:rFonts w:cs="Arial"/>
                <w:sz w:val="18"/>
                <w:lang w:eastAsia="en-GB"/>
              </w:rPr>
            </w:pPr>
            <w:r w:rsidRPr="00B148F9">
              <w:rPr>
                <w:rFonts w:cs="Arial"/>
                <w:sz w:val="18"/>
                <w:lang w:eastAsia="en-GB"/>
              </w:rPr>
              <w:t>-</w:t>
            </w:r>
          </w:p>
        </w:tc>
        <w:tc>
          <w:tcPr>
            <w:tcW w:w="1557" w:type="dxa"/>
            <w:tcBorders>
              <w:top w:val="nil"/>
              <w:left w:val="nil"/>
              <w:bottom w:val="nil"/>
              <w:right w:val="nil"/>
            </w:tcBorders>
            <w:shd w:val="clear" w:color="auto" w:fill="auto"/>
            <w:noWrap/>
            <w:vAlign w:val="bottom"/>
          </w:tcPr>
          <w:p w14:paraId="3B2BF16A" w14:textId="3FDDBEB4" w:rsidR="00A94612" w:rsidRPr="00B148F9" w:rsidRDefault="00A94612" w:rsidP="00A94612">
            <w:pPr>
              <w:jc w:val="right"/>
              <w:rPr>
                <w:rFonts w:cs="Arial"/>
                <w:sz w:val="18"/>
                <w:lang w:eastAsia="en-GB"/>
              </w:rPr>
            </w:pPr>
            <w:r w:rsidRPr="00B148F9">
              <w:rPr>
                <w:rFonts w:cs="Arial"/>
                <w:sz w:val="18"/>
                <w:lang w:eastAsia="en-GB"/>
              </w:rPr>
              <w:t>-</w:t>
            </w:r>
          </w:p>
        </w:tc>
      </w:tr>
      <w:tr w:rsidR="00A94612" w:rsidRPr="00B148F9" w14:paraId="1DE86607" w14:textId="77777777" w:rsidTr="00A94612">
        <w:trPr>
          <w:trHeight w:val="270"/>
        </w:trPr>
        <w:tc>
          <w:tcPr>
            <w:tcW w:w="3544" w:type="dxa"/>
            <w:tcBorders>
              <w:top w:val="nil"/>
              <w:left w:val="nil"/>
              <w:bottom w:val="nil"/>
              <w:right w:val="nil"/>
            </w:tcBorders>
            <w:shd w:val="clear" w:color="auto" w:fill="auto"/>
            <w:noWrap/>
            <w:vAlign w:val="bottom"/>
          </w:tcPr>
          <w:p w14:paraId="0E76DC88" w14:textId="77777777" w:rsidR="00A94612" w:rsidRPr="00B148F9" w:rsidRDefault="00A94612" w:rsidP="00A94612">
            <w:pPr>
              <w:rPr>
                <w:rFonts w:cs="Arial"/>
                <w:sz w:val="18"/>
                <w:lang w:eastAsia="en-GB"/>
              </w:rPr>
            </w:pPr>
          </w:p>
        </w:tc>
        <w:tc>
          <w:tcPr>
            <w:tcW w:w="1418" w:type="dxa"/>
            <w:tcBorders>
              <w:left w:val="nil"/>
              <w:bottom w:val="single" w:sz="4" w:space="0" w:color="auto"/>
              <w:right w:val="nil"/>
            </w:tcBorders>
            <w:vAlign w:val="bottom"/>
          </w:tcPr>
          <w:p w14:paraId="6F48BFD2" w14:textId="77777777" w:rsidR="00A94612" w:rsidRPr="00B148F9" w:rsidRDefault="00A94612" w:rsidP="00A94612">
            <w:pPr>
              <w:jc w:val="right"/>
              <w:rPr>
                <w:rFonts w:cs="Arial"/>
                <w:b/>
                <w:bCs/>
                <w:sz w:val="18"/>
                <w:lang w:eastAsia="en-GB"/>
              </w:rPr>
            </w:pPr>
          </w:p>
        </w:tc>
        <w:tc>
          <w:tcPr>
            <w:tcW w:w="1559" w:type="dxa"/>
            <w:tcBorders>
              <w:left w:val="nil"/>
              <w:bottom w:val="single" w:sz="4" w:space="0" w:color="auto"/>
              <w:right w:val="nil"/>
            </w:tcBorders>
            <w:vAlign w:val="bottom"/>
          </w:tcPr>
          <w:p w14:paraId="54F3CB75" w14:textId="77777777" w:rsidR="00A94612" w:rsidRPr="00B148F9" w:rsidRDefault="00A94612" w:rsidP="00A94612">
            <w:pPr>
              <w:jc w:val="right"/>
              <w:rPr>
                <w:rFonts w:cs="Arial"/>
                <w:b/>
                <w:bCs/>
                <w:sz w:val="18"/>
                <w:lang w:eastAsia="en-GB"/>
              </w:rPr>
            </w:pPr>
          </w:p>
        </w:tc>
        <w:tc>
          <w:tcPr>
            <w:tcW w:w="1559" w:type="dxa"/>
            <w:tcBorders>
              <w:left w:val="nil"/>
              <w:bottom w:val="single" w:sz="4" w:space="0" w:color="auto"/>
              <w:right w:val="nil"/>
            </w:tcBorders>
            <w:vAlign w:val="bottom"/>
          </w:tcPr>
          <w:p w14:paraId="27D11E33" w14:textId="77777777" w:rsidR="00A94612" w:rsidRPr="00B148F9" w:rsidRDefault="00A94612" w:rsidP="00A94612">
            <w:pPr>
              <w:jc w:val="right"/>
              <w:rPr>
                <w:rFonts w:cs="Arial"/>
                <w:b/>
                <w:bCs/>
                <w:sz w:val="18"/>
                <w:lang w:eastAsia="en-GB"/>
              </w:rPr>
            </w:pPr>
          </w:p>
        </w:tc>
        <w:tc>
          <w:tcPr>
            <w:tcW w:w="1559" w:type="dxa"/>
            <w:tcBorders>
              <w:left w:val="nil"/>
              <w:bottom w:val="single" w:sz="4" w:space="0" w:color="auto"/>
              <w:right w:val="nil"/>
            </w:tcBorders>
            <w:vAlign w:val="bottom"/>
          </w:tcPr>
          <w:p w14:paraId="00F6F340" w14:textId="09BF9AA6" w:rsidR="00A94612" w:rsidRPr="00B148F9" w:rsidRDefault="00A94612" w:rsidP="00A94612">
            <w:pPr>
              <w:jc w:val="right"/>
              <w:rPr>
                <w:rFonts w:cs="Arial"/>
                <w:b/>
                <w:bCs/>
                <w:sz w:val="18"/>
                <w:lang w:eastAsia="en-GB"/>
              </w:rPr>
            </w:pPr>
          </w:p>
        </w:tc>
        <w:tc>
          <w:tcPr>
            <w:tcW w:w="1418" w:type="dxa"/>
            <w:tcBorders>
              <w:left w:val="nil"/>
              <w:bottom w:val="single" w:sz="4" w:space="0" w:color="auto"/>
              <w:right w:val="nil"/>
            </w:tcBorders>
            <w:vAlign w:val="bottom"/>
          </w:tcPr>
          <w:p w14:paraId="1CDE8750" w14:textId="77777777" w:rsidR="00A94612" w:rsidRPr="00B148F9" w:rsidRDefault="00A94612" w:rsidP="00A94612">
            <w:pPr>
              <w:jc w:val="right"/>
              <w:rPr>
                <w:rFonts w:cs="Arial"/>
                <w:b/>
                <w:bCs/>
                <w:sz w:val="18"/>
                <w:lang w:eastAsia="en-GB"/>
              </w:rPr>
            </w:pPr>
          </w:p>
        </w:tc>
        <w:tc>
          <w:tcPr>
            <w:tcW w:w="1417" w:type="dxa"/>
            <w:tcBorders>
              <w:left w:val="nil"/>
              <w:bottom w:val="single" w:sz="4" w:space="0" w:color="auto"/>
              <w:right w:val="nil"/>
            </w:tcBorders>
            <w:vAlign w:val="bottom"/>
          </w:tcPr>
          <w:p w14:paraId="1FF9D039" w14:textId="77777777" w:rsidR="00A94612" w:rsidRPr="00B148F9" w:rsidRDefault="00A94612" w:rsidP="00A94612">
            <w:pPr>
              <w:jc w:val="right"/>
              <w:rPr>
                <w:rFonts w:cs="Arial"/>
                <w:b/>
                <w:bCs/>
                <w:sz w:val="18"/>
                <w:lang w:eastAsia="en-GB"/>
              </w:rPr>
            </w:pPr>
          </w:p>
        </w:tc>
        <w:tc>
          <w:tcPr>
            <w:tcW w:w="1560" w:type="dxa"/>
            <w:tcBorders>
              <w:top w:val="nil"/>
              <w:left w:val="nil"/>
              <w:bottom w:val="nil"/>
              <w:right w:val="nil"/>
            </w:tcBorders>
            <w:vAlign w:val="bottom"/>
          </w:tcPr>
          <w:p w14:paraId="596920A5" w14:textId="2A9A1199" w:rsidR="00A94612" w:rsidRPr="00B148F9" w:rsidRDefault="00A94612" w:rsidP="00A94612">
            <w:pPr>
              <w:jc w:val="right"/>
              <w:rPr>
                <w:rFonts w:cs="Arial"/>
                <w:sz w:val="18"/>
                <w:lang w:eastAsia="en-GB"/>
              </w:rPr>
            </w:pPr>
          </w:p>
        </w:tc>
        <w:tc>
          <w:tcPr>
            <w:tcW w:w="1557" w:type="dxa"/>
            <w:tcBorders>
              <w:top w:val="nil"/>
              <w:left w:val="nil"/>
              <w:bottom w:val="nil"/>
              <w:right w:val="nil"/>
            </w:tcBorders>
            <w:shd w:val="clear" w:color="auto" w:fill="auto"/>
            <w:noWrap/>
            <w:vAlign w:val="bottom"/>
          </w:tcPr>
          <w:p w14:paraId="53F71432" w14:textId="170FEFA4" w:rsidR="00A94612" w:rsidRPr="00B148F9" w:rsidRDefault="00A94612" w:rsidP="00A94612">
            <w:pPr>
              <w:jc w:val="right"/>
              <w:rPr>
                <w:rFonts w:cs="Arial"/>
                <w:sz w:val="18"/>
                <w:lang w:eastAsia="en-GB"/>
              </w:rPr>
            </w:pPr>
          </w:p>
        </w:tc>
      </w:tr>
      <w:tr w:rsidR="00A94612" w:rsidRPr="00B148F9" w14:paraId="5D2F637A" w14:textId="77777777" w:rsidTr="00A94612">
        <w:trPr>
          <w:trHeight w:val="525"/>
        </w:trPr>
        <w:tc>
          <w:tcPr>
            <w:tcW w:w="3544" w:type="dxa"/>
            <w:tcBorders>
              <w:top w:val="nil"/>
              <w:left w:val="nil"/>
              <w:bottom w:val="nil"/>
              <w:right w:val="nil"/>
            </w:tcBorders>
            <w:shd w:val="clear" w:color="auto" w:fill="auto"/>
            <w:vAlign w:val="bottom"/>
            <w:hideMark/>
          </w:tcPr>
          <w:p w14:paraId="779EE997" w14:textId="77777777" w:rsidR="00A94612" w:rsidRPr="00B148F9" w:rsidRDefault="00A94612" w:rsidP="00A94612">
            <w:pPr>
              <w:rPr>
                <w:rFonts w:cs="Arial"/>
                <w:b/>
                <w:bCs/>
                <w:sz w:val="18"/>
                <w:lang w:eastAsia="en-GB"/>
              </w:rPr>
            </w:pPr>
            <w:r w:rsidRPr="00B148F9">
              <w:rPr>
                <w:rFonts w:cs="Arial"/>
                <w:b/>
                <w:bCs/>
                <w:sz w:val="18"/>
                <w:lang w:eastAsia="en-GB"/>
              </w:rPr>
              <w:t>Net change in net assets resulting from operations</w:t>
            </w:r>
          </w:p>
        </w:tc>
        <w:tc>
          <w:tcPr>
            <w:tcW w:w="1418" w:type="dxa"/>
            <w:tcBorders>
              <w:top w:val="single" w:sz="4" w:space="0" w:color="auto"/>
              <w:left w:val="nil"/>
              <w:bottom w:val="single" w:sz="4" w:space="0" w:color="auto"/>
              <w:right w:val="nil"/>
            </w:tcBorders>
            <w:vAlign w:val="bottom"/>
          </w:tcPr>
          <w:p w14:paraId="7FC0538E" w14:textId="5064929E" w:rsidR="00A94612" w:rsidRPr="00B148F9" w:rsidRDefault="00A94612" w:rsidP="00A94612">
            <w:pPr>
              <w:jc w:val="right"/>
              <w:rPr>
                <w:rFonts w:cs="Arial"/>
                <w:b/>
                <w:bCs/>
                <w:sz w:val="18"/>
                <w:lang w:eastAsia="en-GB"/>
              </w:rPr>
            </w:pPr>
            <w:r w:rsidRPr="00B148F9">
              <w:rPr>
                <w:rFonts w:cs="Arial"/>
                <w:b/>
                <w:bCs/>
                <w:sz w:val="18"/>
                <w:lang w:eastAsia="en-GB"/>
              </w:rPr>
              <w:t>(26,576)</w:t>
            </w:r>
          </w:p>
        </w:tc>
        <w:tc>
          <w:tcPr>
            <w:tcW w:w="1559" w:type="dxa"/>
            <w:tcBorders>
              <w:top w:val="single" w:sz="4" w:space="0" w:color="auto"/>
              <w:left w:val="nil"/>
              <w:bottom w:val="single" w:sz="4" w:space="0" w:color="auto"/>
              <w:right w:val="nil"/>
            </w:tcBorders>
            <w:vAlign w:val="bottom"/>
          </w:tcPr>
          <w:p w14:paraId="105279CE" w14:textId="3D59A146" w:rsidR="00A94612" w:rsidRPr="00B148F9" w:rsidRDefault="00A94612" w:rsidP="00A94612">
            <w:pPr>
              <w:jc w:val="right"/>
              <w:rPr>
                <w:rFonts w:cs="Arial"/>
                <w:b/>
                <w:bCs/>
                <w:sz w:val="18"/>
                <w:lang w:eastAsia="en-GB"/>
              </w:rPr>
            </w:pPr>
            <w:r w:rsidRPr="00B148F9">
              <w:rPr>
                <w:b/>
                <w:sz w:val="18"/>
              </w:rPr>
              <w:t>(13,526,132)</w:t>
            </w:r>
          </w:p>
        </w:tc>
        <w:tc>
          <w:tcPr>
            <w:tcW w:w="1559" w:type="dxa"/>
            <w:tcBorders>
              <w:top w:val="single" w:sz="4" w:space="0" w:color="auto"/>
              <w:left w:val="nil"/>
              <w:bottom w:val="single" w:sz="4" w:space="0" w:color="auto"/>
              <w:right w:val="nil"/>
            </w:tcBorders>
            <w:vAlign w:val="bottom"/>
          </w:tcPr>
          <w:p w14:paraId="47179A32" w14:textId="328CC728" w:rsidR="00A94612" w:rsidRPr="00B148F9" w:rsidRDefault="00A94612" w:rsidP="00A94612">
            <w:pPr>
              <w:jc w:val="right"/>
              <w:rPr>
                <w:rFonts w:cs="Arial"/>
                <w:b/>
                <w:bCs/>
                <w:sz w:val="18"/>
                <w:lang w:eastAsia="en-GB"/>
              </w:rPr>
            </w:pPr>
            <w:r w:rsidRPr="00B148F9">
              <w:rPr>
                <w:b/>
                <w:sz w:val="18"/>
              </w:rPr>
              <w:t>(13,552,708)</w:t>
            </w:r>
          </w:p>
        </w:tc>
        <w:tc>
          <w:tcPr>
            <w:tcW w:w="1559" w:type="dxa"/>
            <w:tcBorders>
              <w:top w:val="single" w:sz="4" w:space="0" w:color="auto"/>
              <w:left w:val="nil"/>
              <w:bottom w:val="single" w:sz="4" w:space="0" w:color="auto"/>
              <w:right w:val="nil"/>
            </w:tcBorders>
            <w:vAlign w:val="bottom"/>
          </w:tcPr>
          <w:p w14:paraId="267437E6" w14:textId="0E1B5774" w:rsidR="00A94612" w:rsidRPr="00B148F9" w:rsidRDefault="00A94612" w:rsidP="00A94612">
            <w:pPr>
              <w:jc w:val="right"/>
              <w:rPr>
                <w:rFonts w:cs="Arial"/>
                <w:b/>
                <w:bCs/>
                <w:sz w:val="18"/>
                <w:lang w:eastAsia="en-GB"/>
              </w:rPr>
            </w:pPr>
            <w:r w:rsidRPr="00B148F9">
              <w:rPr>
                <w:rFonts w:cs="Arial"/>
                <w:b/>
                <w:bCs/>
                <w:sz w:val="18"/>
                <w:lang w:eastAsia="en-GB"/>
              </w:rPr>
              <w:t>43,579,465</w:t>
            </w:r>
          </w:p>
        </w:tc>
        <w:tc>
          <w:tcPr>
            <w:tcW w:w="1418" w:type="dxa"/>
            <w:tcBorders>
              <w:top w:val="single" w:sz="4" w:space="0" w:color="auto"/>
              <w:left w:val="nil"/>
              <w:bottom w:val="single" w:sz="4" w:space="0" w:color="auto"/>
              <w:right w:val="nil"/>
            </w:tcBorders>
            <w:vAlign w:val="bottom"/>
          </w:tcPr>
          <w:p w14:paraId="539137B6" w14:textId="52CE2F99" w:rsidR="00A94612" w:rsidRPr="00B148F9" w:rsidRDefault="00A94612" w:rsidP="00A94612">
            <w:pPr>
              <w:jc w:val="right"/>
              <w:rPr>
                <w:rFonts w:cs="Arial"/>
                <w:b/>
                <w:bCs/>
                <w:sz w:val="18"/>
                <w:lang w:eastAsia="en-GB"/>
              </w:rPr>
            </w:pPr>
            <w:r w:rsidRPr="00B148F9">
              <w:rPr>
                <w:rFonts w:cs="Arial"/>
                <w:b/>
                <w:bCs/>
                <w:sz w:val="18"/>
                <w:lang w:eastAsia="en-GB"/>
              </w:rPr>
              <w:t>8,691,105</w:t>
            </w:r>
          </w:p>
        </w:tc>
        <w:tc>
          <w:tcPr>
            <w:tcW w:w="1417" w:type="dxa"/>
            <w:tcBorders>
              <w:top w:val="single" w:sz="4" w:space="0" w:color="auto"/>
              <w:left w:val="nil"/>
              <w:bottom w:val="single" w:sz="4" w:space="0" w:color="auto"/>
              <w:right w:val="nil"/>
            </w:tcBorders>
            <w:vAlign w:val="bottom"/>
          </w:tcPr>
          <w:p w14:paraId="05133410" w14:textId="46EB42DE" w:rsidR="00A94612" w:rsidRPr="00B148F9" w:rsidRDefault="00A94612" w:rsidP="00A94612">
            <w:pPr>
              <w:jc w:val="right"/>
              <w:rPr>
                <w:rFonts w:cs="Arial"/>
                <w:b/>
                <w:bCs/>
                <w:sz w:val="18"/>
                <w:lang w:eastAsia="en-GB"/>
              </w:rPr>
            </w:pPr>
            <w:r w:rsidRPr="00B148F9">
              <w:rPr>
                <w:rFonts w:cs="Arial"/>
                <w:b/>
                <w:bCs/>
                <w:sz w:val="18"/>
                <w:lang w:eastAsia="en-GB"/>
              </w:rPr>
              <w:t>-</w:t>
            </w:r>
          </w:p>
        </w:tc>
        <w:tc>
          <w:tcPr>
            <w:tcW w:w="1560" w:type="dxa"/>
            <w:tcBorders>
              <w:top w:val="single" w:sz="4" w:space="0" w:color="auto"/>
              <w:left w:val="nil"/>
              <w:bottom w:val="single" w:sz="4" w:space="0" w:color="auto"/>
              <w:right w:val="nil"/>
            </w:tcBorders>
            <w:vAlign w:val="bottom"/>
          </w:tcPr>
          <w:p w14:paraId="403CBE3F" w14:textId="4B04F3F9" w:rsidR="00A94612" w:rsidRPr="00B148F9" w:rsidRDefault="00A94612" w:rsidP="00A94612">
            <w:pPr>
              <w:jc w:val="right"/>
              <w:rPr>
                <w:rFonts w:cs="Arial"/>
                <w:b/>
                <w:bCs/>
                <w:sz w:val="18"/>
                <w:lang w:eastAsia="en-GB"/>
              </w:rPr>
            </w:pPr>
            <w:r w:rsidRPr="00B148F9">
              <w:rPr>
                <w:rFonts w:cs="Arial"/>
                <w:b/>
                <w:bCs/>
                <w:sz w:val="18"/>
                <w:lang w:eastAsia="en-GB"/>
              </w:rPr>
              <w:t>52,270,570</w:t>
            </w:r>
          </w:p>
        </w:tc>
        <w:tc>
          <w:tcPr>
            <w:tcW w:w="1557" w:type="dxa"/>
            <w:tcBorders>
              <w:top w:val="single" w:sz="4" w:space="0" w:color="auto"/>
              <w:left w:val="nil"/>
              <w:bottom w:val="single" w:sz="4" w:space="0" w:color="auto"/>
              <w:right w:val="nil"/>
            </w:tcBorders>
            <w:shd w:val="clear" w:color="auto" w:fill="auto"/>
            <w:noWrap/>
            <w:vAlign w:val="bottom"/>
          </w:tcPr>
          <w:p w14:paraId="20AB299D" w14:textId="5EF6AE93" w:rsidR="00A94612" w:rsidRPr="00B148F9" w:rsidRDefault="00A94612" w:rsidP="00A94612">
            <w:pPr>
              <w:jc w:val="right"/>
              <w:rPr>
                <w:rFonts w:cs="Arial"/>
                <w:b/>
                <w:bCs/>
                <w:sz w:val="18"/>
                <w:lang w:eastAsia="en-GB"/>
              </w:rPr>
            </w:pPr>
            <w:r w:rsidRPr="00B148F9">
              <w:rPr>
                <w:rFonts w:cs="Arial"/>
                <w:b/>
                <w:bCs/>
                <w:sz w:val="18"/>
                <w:lang w:eastAsia="en-GB"/>
              </w:rPr>
              <w:t>38,717,862</w:t>
            </w:r>
          </w:p>
        </w:tc>
      </w:tr>
      <w:tr w:rsidR="00A94612" w:rsidRPr="00B148F9" w14:paraId="317FBB28" w14:textId="77777777" w:rsidTr="00A94612">
        <w:trPr>
          <w:trHeight w:val="285"/>
        </w:trPr>
        <w:tc>
          <w:tcPr>
            <w:tcW w:w="3544" w:type="dxa"/>
            <w:noWrap/>
            <w:hideMark/>
          </w:tcPr>
          <w:p w14:paraId="7E082DFC" w14:textId="77777777" w:rsidR="00A94612" w:rsidRPr="00B148F9" w:rsidRDefault="00A94612" w:rsidP="00A94612">
            <w:pPr>
              <w:rPr>
                <w:rFonts w:cs="Arial"/>
                <w:sz w:val="18"/>
                <w:lang w:eastAsia="en-GB"/>
              </w:rPr>
            </w:pPr>
          </w:p>
        </w:tc>
        <w:tc>
          <w:tcPr>
            <w:tcW w:w="1418" w:type="dxa"/>
            <w:vAlign w:val="bottom"/>
          </w:tcPr>
          <w:p w14:paraId="18341723" w14:textId="77777777" w:rsidR="00A94612" w:rsidRPr="00B148F9" w:rsidRDefault="00A94612" w:rsidP="00A94612">
            <w:pPr>
              <w:jc w:val="right"/>
              <w:rPr>
                <w:rFonts w:cs="Arial"/>
                <w:sz w:val="18"/>
                <w:lang w:eastAsia="en-GB"/>
              </w:rPr>
            </w:pPr>
          </w:p>
        </w:tc>
        <w:tc>
          <w:tcPr>
            <w:tcW w:w="1559" w:type="dxa"/>
            <w:vAlign w:val="bottom"/>
          </w:tcPr>
          <w:p w14:paraId="21685356" w14:textId="77777777" w:rsidR="00A94612" w:rsidRPr="00B148F9" w:rsidRDefault="00A94612" w:rsidP="00A94612">
            <w:pPr>
              <w:jc w:val="right"/>
              <w:rPr>
                <w:rFonts w:cs="Arial"/>
                <w:sz w:val="18"/>
                <w:lang w:eastAsia="en-GB"/>
              </w:rPr>
            </w:pPr>
          </w:p>
        </w:tc>
        <w:tc>
          <w:tcPr>
            <w:tcW w:w="1559" w:type="dxa"/>
            <w:vAlign w:val="bottom"/>
          </w:tcPr>
          <w:p w14:paraId="3A51D7DE" w14:textId="77777777" w:rsidR="00A94612" w:rsidRPr="00B148F9" w:rsidRDefault="00A94612" w:rsidP="00A94612">
            <w:pPr>
              <w:jc w:val="right"/>
              <w:rPr>
                <w:rFonts w:cs="Arial"/>
                <w:sz w:val="18"/>
                <w:lang w:eastAsia="en-GB"/>
              </w:rPr>
            </w:pPr>
          </w:p>
        </w:tc>
        <w:tc>
          <w:tcPr>
            <w:tcW w:w="1559" w:type="dxa"/>
            <w:tcBorders>
              <w:top w:val="single" w:sz="4" w:space="0" w:color="auto"/>
            </w:tcBorders>
            <w:vAlign w:val="bottom"/>
          </w:tcPr>
          <w:p w14:paraId="1AD9279E" w14:textId="16897E98" w:rsidR="00A94612" w:rsidRPr="00B148F9" w:rsidRDefault="00A94612" w:rsidP="00A94612">
            <w:pPr>
              <w:jc w:val="right"/>
              <w:rPr>
                <w:rFonts w:cs="Arial"/>
                <w:sz w:val="18"/>
                <w:lang w:eastAsia="en-GB"/>
              </w:rPr>
            </w:pPr>
          </w:p>
        </w:tc>
        <w:tc>
          <w:tcPr>
            <w:tcW w:w="1418" w:type="dxa"/>
            <w:tcBorders>
              <w:top w:val="single" w:sz="4" w:space="0" w:color="auto"/>
            </w:tcBorders>
            <w:vAlign w:val="bottom"/>
          </w:tcPr>
          <w:p w14:paraId="17D190AC" w14:textId="77777777" w:rsidR="00A94612" w:rsidRPr="00B148F9" w:rsidRDefault="00A94612" w:rsidP="00A94612">
            <w:pPr>
              <w:jc w:val="right"/>
              <w:rPr>
                <w:rFonts w:cs="Arial"/>
                <w:sz w:val="18"/>
                <w:lang w:eastAsia="en-GB"/>
              </w:rPr>
            </w:pPr>
          </w:p>
        </w:tc>
        <w:tc>
          <w:tcPr>
            <w:tcW w:w="1417" w:type="dxa"/>
            <w:tcBorders>
              <w:top w:val="single" w:sz="4" w:space="0" w:color="auto"/>
            </w:tcBorders>
            <w:vAlign w:val="bottom"/>
          </w:tcPr>
          <w:p w14:paraId="5DA7D9C5" w14:textId="77777777" w:rsidR="00A94612" w:rsidRPr="00B148F9" w:rsidRDefault="00A94612" w:rsidP="00A94612">
            <w:pPr>
              <w:jc w:val="right"/>
              <w:rPr>
                <w:rFonts w:cs="Arial"/>
                <w:sz w:val="18"/>
                <w:lang w:eastAsia="en-GB"/>
              </w:rPr>
            </w:pPr>
          </w:p>
        </w:tc>
        <w:tc>
          <w:tcPr>
            <w:tcW w:w="1560" w:type="dxa"/>
            <w:tcBorders>
              <w:top w:val="single" w:sz="4" w:space="0" w:color="auto"/>
            </w:tcBorders>
            <w:vAlign w:val="bottom"/>
          </w:tcPr>
          <w:p w14:paraId="48A83E99" w14:textId="2C84A300" w:rsidR="00A94612" w:rsidRPr="00B148F9" w:rsidRDefault="00A94612" w:rsidP="00A94612">
            <w:pPr>
              <w:jc w:val="right"/>
              <w:rPr>
                <w:rFonts w:cs="Arial"/>
                <w:sz w:val="18"/>
                <w:highlight w:val="yellow"/>
                <w:lang w:eastAsia="en-GB"/>
              </w:rPr>
            </w:pPr>
          </w:p>
        </w:tc>
        <w:tc>
          <w:tcPr>
            <w:tcW w:w="1557" w:type="dxa"/>
            <w:tcBorders>
              <w:top w:val="single" w:sz="4" w:space="0" w:color="auto"/>
            </w:tcBorders>
            <w:noWrap/>
            <w:vAlign w:val="bottom"/>
          </w:tcPr>
          <w:p w14:paraId="1F4003F4" w14:textId="755B3FB7" w:rsidR="00A94612" w:rsidRPr="00B148F9" w:rsidRDefault="00A94612" w:rsidP="00A94612">
            <w:pPr>
              <w:jc w:val="right"/>
              <w:rPr>
                <w:rFonts w:cs="Arial"/>
                <w:sz w:val="18"/>
                <w:highlight w:val="yellow"/>
                <w:lang w:eastAsia="en-GB"/>
              </w:rPr>
            </w:pPr>
          </w:p>
        </w:tc>
      </w:tr>
      <w:tr w:rsidR="00A94612" w:rsidRPr="00B148F9" w14:paraId="01783EDD" w14:textId="77777777" w:rsidTr="00A94612">
        <w:trPr>
          <w:trHeight w:val="270"/>
        </w:trPr>
        <w:tc>
          <w:tcPr>
            <w:tcW w:w="3544" w:type="dxa"/>
            <w:noWrap/>
            <w:hideMark/>
          </w:tcPr>
          <w:p w14:paraId="0C3BC19B" w14:textId="77777777" w:rsidR="00A94612" w:rsidRPr="00B148F9" w:rsidRDefault="00A94612" w:rsidP="00A94612">
            <w:pPr>
              <w:rPr>
                <w:rFonts w:cs="Arial"/>
                <w:b/>
                <w:bCs/>
                <w:sz w:val="18"/>
                <w:lang w:eastAsia="en-GB"/>
              </w:rPr>
            </w:pPr>
            <w:r w:rsidRPr="00B148F9">
              <w:rPr>
                <w:rFonts w:cs="Arial"/>
                <w:b/>
                <w:bCs/>
                <w:sz w:val="18"/>
                <w:lang w:eastAsia="en-GB"/>
              </w:rPr>
              <w:t>Capital share transactions</w:t>
            </w:r>
          </w:p>
        </w:tc>
        <w:tc>
          <w:tcPr>
            <w:tcW w:w="1418" w:type="dxa"/>
            <w:vAlign w:val="bottom"/>
          </w:tcPr>
          <w:p w14:paraId="7359B62E" w14:textId="77777777" w:rsidR="00A94612" w:rsidRPr="00B148F9" w:rsidRDefault="00A94612" w:rsidP="00A94612">
            <w:pPr>
              <w:jc w:val="right"/>
              <w:rPr>
                <w:rFonts w:cs="Arial"/>
                <w:b/>
                <w:bCs/>
                <w:sz w:val="18"/>
                <w:lang w:eastAsia="en-GB"/>
              </w:rPr>
            </w:pPr>
          </w:p>
        </w:tc>
        <w:tc>
          <w:tcPr>
            <w:tcW w:w="1559" w:type="dxa"/>
            <w:vAlign w:val="bottom"/>
          </w:tcPr>
          <w:p w14:paraId="53AF071C" w14:textId="77777777" w:rsidR="00A94612" w:rsidRPr="00B148F9" w:rsidRDefault="00A94612" w:rsidP="00A94612">
            <w:pPr>
              <w:jc w:val="right"/>
              <w:rPr>
                <w:rFonts w:cs="Arial"/>
                <w:b/>
                <w:bCs/>
                <w:sz w:val="18"/>
                <w:lang w:eastAsia="en-GB"/>
              </w:rPr>
            </w:pPr>
          </w:p>
        </w:tc>
        <w:tc>
          <w:tcPr>
            <w:tcW w:w="1559" w:type="dxa"/>
            <w:vAlign w:val="bottom"/>
          </w:tcPr>
          <w:p w14:paraId="7CB09582" w14:textId="77777777" w:rsidR="00A94612" w:rsidRPr="00B148F9" w:rsidRDefault="00A94612" w:rsidP="00A94612">
            <w:pPr>
              <w:jc w:val="right"/>
              <w:rPr>
                <w:rFonts w:cs="Arial"/>
                <w:b/>
                <w:bCs/>
                <w:sz w:val="18"/>
                <w:lang w:eastAsia="en-GB"/>
              </w:rPr>
            </w:pPr>
          </w:p>
        </w:tc>
        <w:tc>
          <w:tcPr>
            <w:tcW w:w="1559" w:type="dxa"/>
            <w:vAlign w:val="bottom"/>
          </w:tcPr>
          <w:p w14:paraId="6B7F0324" w14:textId="706E865A" w:rsidR="00A94612" w:rsidRPr="00B148F9" w:rsidRDefault="00A94612" w:rsidP="00A94612">
            <w:pPr>
              <w:jc w:val="right"/>
              <w:rPr>
                <w:rFonts w:cs="Arial"/>
                <w:b/>
                <w:bCs/>
                <w:sz w:val="18"/>
                <w:lang w:eastAsia="en-GB"/>
              </w:rPr>
            </w:pPr>
          </w:p>
        </w:tc>
        <w:tc>
          <w:tcPr>
            <w:tcW w:w="1418" w:type="dxa"/>
            <w:vAlign w:val="bottom"/>
          </w:tcPr>
          <w:p w14:paraId="02A85FE3" w14:textId="77777777" w:rsidR="00A94612" w:rsidRPr="00B148F9" w:rsidRDefault="00A94612" w:rsidP="00A94612">
            <w:pPr>
              <w:jc w:val="right"/>
              <w:rPr>
                <w:rFonts w:cs="Arial"/>
                <w:b/>
                <w:bCs/>
                <w:sz w:val="18"/>
                <w:lang w:eastAsia="en-GB"/>
              </w:rPr>
            </w:pPr>
          </w:p>
        </w:tc>
        <w:tc>
          <w:tcPr>
            <w:tcW w:w="1417" w:type="dxa"/>
            <w:vAlign w:val="bottom"/>
          </w:tcPr>
          <w:p w14:paraId="107338D9" w14:textId="77777777" w:rsidR="00A94612" w:rsidRPr="00B148F9" w:rsidRDefault="00A94612" w:rsidP="00A94612">
            <w:pPr>
              <w:jc w:val="right"/>
              <w:rPr>
                <w:rFonts w:cs="Arial"/>
                <w:b/>
                <w:bCs/>
                <w:sz w:val="18"/>
                <w:lang w:eastAsia="en-GB"/>
              </w:rPr>
            </w:pPr>
          </w:p>
        </w:tc>
        <w:tc>
          <w:tcPr>
            <w:tcW w:w="1560" w:type="dxa"/>
            <w:vAlign w:val="bottom"/>
          </w:tcPr>
          <w:p w14:paraId="4CACE113" w14:textId="52C86DF4" w:rsidR="00A94612" w:rsidRPr="00B148F9" w:rsidRDefault="00A94612" w:rsidP="00A94612">
            <w:pPr>
              <w:jc w:val="right"/>
              <w:rPr>
                <w:rFonts w:cs="Arial"/>
                <w:sz w:val="18"/>
                <w:highlight w:val="yellow"/>
                <w:lang w:eastAsia="en-GB"/>
              </w:rPr>
            </w:pPr>
          </w:p>
        </w:tc>
        <w:tc>
          <w:tcPr>
            <w:tcW w:w="1557" w:type="dxa"/>
            <w:noWrap/>
            <w:vAlign w:val="bottom"/>
          </w:tcPr>
          <w:p w14:paraId="71ED4328" w14:textId="79765BCE" w:rsidR="00A94612" w:rsidRPr="00B148F9" w:rsidRDefault="00A94612" w:rsidP="00A94612">
            <w:pPr>
              <w:jc w:val="right"/>
              <w:rPr>
                <w:rFonts w:cs="Arial"/>
                <w:sz w:val="18"/>
                <w:highlight w:val="yellow"/>
                <w:lang w:eastAsia="en-GB"/>
              </w:rPr>
            </w:pPr>
          </w:p>
        </w:tc>
      </w:tr>
      <w:tr w:rsidR="00A94612" w:rsidRPr="00B148F9" w14:paraId="091E9C77" w14:textId="77777777" w:rsidTr="00A94612">
        <w:trPr>
          <w:trHeight w:val="270"/>
        </w:trPr>
        <w:tc>
          <w:tcPr>
            <w:tcW w:w="3544" w:type="dxa"/>
            <w:noWrap/>
          </w:tcPr>
          <w:p w14:paraId="656AA13A" w14:textId="39C29ACE" w:rsidR="00A94612" w:rsidRPr="00B148F9" w:rsidRDefault="00A94612" w:rsidP="00A94612">
            <w:pPr>
              <w:rPr>
                <w:rFonts w:cs="Arial"/>
                <w:sz w:val="18"/>
                <w:lang w:eastAsia="en-GB"/>
              </w:rPr>
            </w:pPr>
            <w:r w:rsidRPr="00B148F9">
              <w:rPr>
                <w:rFonts w:cs="Arial"/>
                <w:sz w:val="18"/>
                <w:lang w:eastAsia="en-GB"/>
              </w:rPr>
              <w:t>Capital subscriptions</w:t>
            </w:r>
          </w:p>
        </w:tc>
        <w:tc>
          <w:tcPr>
            <w:tcW w:w="1418" w:type="dxa"/>
            <w:vAlign w:val="bottom"/>
          </w:tcPr>
          <w:p w14:paraId="38B50F91" w14:textId="5DC1235E"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15230259" w14:textId="5576C52F" w:rsidR="00A94612" w:rsidRPr="00B148F9" w:rsidRDefault="00A94612" w:rsidP="00A94612">
            <w:pPr>
              <w:jc w:val="right"/>
              <w:rPr>
                <w:rFonts w:cs="Arial"/>
                <w:bCs/>
                <w:sz w:val="18"/>
                <w:lang w:eastAsia="en-GB"/>
              </w:rPr>
            </w:pPr>
            <w:r w:rsidRPr="00B148F9">
              <w:rPr>
                <w:rFonts w:cs="Arial"/>
                <w:sz w:val="18"/>
                <w:lang w:eastAsia="en-GB"/>
              </w:rPr>
              <w:t>111,345,000</w:t>
            </w:r>
          </w:p>
        </w:tc>
        <w:tc>
          <w:tcPr>
            <w:tcW w:w="1559" w:type="dxa"/>
            <w:vAlign w:val="bottom"/>
          </w:tcPr>
          <w:p w14:paraId="7B1DCD8C" w14:textId="48777577" w:rsidR="00A94612" w:rsidRPr="00B148F9" w:rsidRDefault="00A94612" w:rsidP="00A94612">
            <w:pPr>
              <w:jc w:val="right"/>
              <w:rPr>
                <w:rFonts w:cs="Arial"/>
                <w:bCs/>
                <w:sz w:val="18"/>
                <w:lang w:eastAsia="en-GB"/>
              </w:rPr>
            </w:pPr>
            <w:r w:rsidRPr="00B148F9">
              <w:rPr>
                <w:rFonts w:cs="Arial"/>
                <w:sz w:val="18"/>
                <w:lang w:eastAsia="en-GB"/>
              </w:rPr>
              <w:t>111,345,000</w:t>
            </w:r>
          </w:p>
        </w:tc>
        <w:tc>
          <w:tcPr>
            <w:tcW w:w="1559" w:type="dxa"/>
            <w:vAlign w:val="bottom"/>
          </w:tcPr>
          <w:p w14:paraId="46B81C37" w14:textId="39E62295" w:rsidR="00A94612" w:rsidRPr="00B148F9" w:rsidRDefault="00A94612" w:rsidP="00A94612">
            <w:pPr>
              <w:jc w:val="right"/>
              <w:rPr>
                <w:rFonts w:cs="Arial"/>
                <w:bCs/>
                <w:sz w:val="18"/>
                <w:lang w:eastAsia="en-GB"/>
              </w:rPr>
            </w:pPr>
            <w:r w:rsidRPr="00B148F9">
              <w:rPr>
                <w:rFonts w:cs="Arial"/>
                <w:bCs/>
                <w:sz w:val="18"/>
                <w:lang w:eastAsia="en-GB"/>
              </w:rPr>
              <w:t>-</w:t>
            </w:r>
          </w:p>
        </w:tc>
        <w:tc>
          <w:tcPr>
            <w:tcW w:w="1418" w:type="dxa"/>
            <w:vAlign w:val="bottom"/>
          </w:tcPr>
          <w:p w14:paraId="201F4445" w14:textId="2EB988B9" w:rsidR="00A94612" w:rsidRPr="00B148F9" w:rsidRDefault="00A94612" w:rsidP="00A94612">
            <w:pPr>
              <w:jc w:val="right"/>
              <w:rPr>
                <w:rFonts w:cs="Arial"/>
                <w:bCs/>
                <w:sz w:val="18"/>
                <w:lang w:eastAsia="en-GB"/>
              </w:rPr>
            </w:pPr>
            <w:r w:rsidRPr="00B148F9">
              <w:rPr>
                <w:rFonts w:cs="Arial"/>
                <w:bCs/>
                <w:sz w:val="18"/>
                <w:lang w:eastAsia="en-GB"/>
              </w:rPr>
              <w:t>-</w:t>
            </w:r>
          </w:p>
        </w:tc>
        <w:tc>
          <w:tcPr>
            <w:tcW w:w="1417" w:type="dxa"/>
            <w:vAlign w:val="bottom"/>
          </w:tcPr>
          <w:p w14:paraId="6A8AE02F" w14:textId="244CF486" w:rsidR="00A94612" w:rsidRPr="00B148F9" w:rsidRDefault="00A94612" w:rsidP="00A94612">
            <w:pPr>
              <w:jc w:val="right"/>
              <w:rPr>
                <w:rFonts w:cs="Arial"/>
                <w:bCs/>
                <w:sz w:val="18"/>
                <w:lang w:eastAsia="en-GB"/>
              </w:rPr>
            </w:pPr>
            <w:r w:rsidRPr="00B148F9">
              <w:rPr>
                <w:rFonts w:cs="Arial"/>
                <w:bCs/>
                <w:sz w:val="18"/>
                <w:lang w:eastAsia="en-GB"/>
              </w:rPr>
              <w:t>-</w:t>
            </w:r>
          </w:p>
        </w:tc>
        <w:tc>
          <w:tcPr>
            <w:tcW w:w="1560" w:type="dxa"/>
            <w:vAlign w:val="bottom"/>
          </w:tcPr>
          <w:p w14:paraId="7B3F0561" w14:textId="1B3567E9" w:rsidR="00A94612" w:rsidRPr="00B148F9" w:rsidRDefault="00A94612" w:rsidP="00A94612">
            <w:pPr>
              <w:jc w:val="right"/>
              <w:rPr>
                <w:rFonts w:cs="Arial"/>
                <w:sz w:val="18"/>
                <w:lang w:eastAsia="en-GB"/>
              </w:rPr>
            </w:pPr>
            <w:r w:rsidRPr="00B148F9">
              <w:rPr>
                <w:rFonts w:cs="Arial"/>
                <w:sz w:val="18"/>
                <w:lang w:eastAsia="en-GB"/>
              </w:rPr>
              <w:t>-</w:t>
            </w:r>
          </w:p>
        </w:tc>
        <w:tc>
          <w:tcPr>
            <w:tcW w:w="1557" w:type="dxa"/>
            <w:noWrap/>
            <w:vAlign w:val="bottom"/>
          </w:tcPr>
          <w:p w14:paraId="35A57FEB" w14:textId="179A5E77" w:rsidR="00A94612" w:rsidRPr="00B148F9" w:rsidRDefault="00A94612" w:rsidP="00A94612">
            <w:pPr>
              <w:jc w:val="right"/>
              <w:rPr>
                <w:rFonts w:cs="Arial"/>
                <w:sz w:val="18"/>
                <w:lang w:eastAsia="en-GB"/>
              </w:rPr>
            </w:pPr>
            <w:r w:rsidRPr="00B148F9">
              <w:rPr>
                <w:rFonts w:cs="Arial"/>
                <w:sz w:val="18"/>
                <w:lang w:eastAsia="en-GB"/>
              </w:rPr>
              <w:t>111,345,000</w:t>
            </w:r>
          </w:p>
        </w:tc>
      </w:tr>
      <w:tr w:rsidR="00A94612" w:rsidRPr="00B148F9" w14:paraId="261CC70C" w14:textId="77777777" w:rsidTr="00A94612">
        <w:trPr>
          <w:trHeight w:val="270"/>
        </w:trPr>
        <w:tc>
          <w:tcPr>
            <w:tcW w:w="3544" w:type="dxa"/>
            <w:noWrap/>
          </w:tcPr>
          <w:p w14:paraId="10933157" w14:textId="37C15C03" w:rsidR="00A94612" w:rsidRPr="00B148F9" w:rsidRDefault="00A94612" w:rsidP="00A94612">
            <w:pPr>
              <w:rPr>
                <w:rFonts w:cs="Arial"/>
                <w:sz w:val="18"/>
                <w:lang w:eastAsia="en-GB"/>
              </w:rPr>
            </w:pPr>
            <w:r w:rsidRPr="00B148F9">
              <w:rPr>
                <w:rFonts w:cs="Arial"/>
                <w:sz w:val="18"/>
                <w:lang w:eastAsia="en-GB"/>
              </w:rPr>
              <w:t>Capital withdrawals</w:t>
            </w:r>
          </w:p>
        </w:tc>
        <w:tc>
          <w:tcPr>
            <w:tcW w:w="1418" w:type="dxa"/>
            <w:vAlign w:val="bottom"/>
          </w:tcPr>
          <w:p w14:paraId="1BF5E331" w14:textId="29E22475"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43198101" w14:textId="639D6841" w:rsidR="00A94612" w:rsidRPr="00B148F9" w:rsidRDefault="00A94612" w:rsidP="00A94612">
            <w:pPr>
              <w:jc w:val="right"/>
              <w:rPr>
                <w:rFonts w:cs="Arial"/>
                <w:bCs/>
                <w:sz w:val="18"/>
                <w:lang w:eastAsia="en-GB"/>
              </w:rPr>
            </w:pPr>
            <w:r w:rsidRPr="00B148F9">
              <w:rPr>
                <w:rFonts w:cs="Arial"/>
                <w:sz w:val="18"/>
                <w:lang w:eastAsia="en-GB"/>
              </w:rPr>
              <w:t>(16,371,705)</w:t>
            </w:r>
          </w:p>
        </w:tc>
        <w:tc>
          <w:tcPr>
            <w:tcW w:w="1559" w:type="dxa"/>
            <w:vAlign w:val="bottom"/>
          </w:tcPr>
          <w:p w14:paraId="4476D1AA" w14:textId="28B577F5" w:rsidR="00A94612" w:rsidRPr="00B148F9" w:rsidRDefault="00A94612" w:rsidP="00A94612">
            <w:pPr>
              <w:jc w:val="right"/>
              <w:rPr>
                <w:rFonts w:cs="Arial"/>
                <w:bCs/>
                <w:sz w:val="18"/>
                <w:lang w:eastAsia="en-GB"/>
              </w:rPr>
            </w:pPr>
            <w:r w:rsidRPr="00B148F9">
              <w:rPr>
                <w:rFonts w:cs="Arial"/>
                <w:sz w:val="18"/>
                <w:lang w:eastAsia="en-GB"/>
              </w:rPr>
              <w:t>(16,371,705)</w:t>
            </w:r>
          </w:p>
        </w:tc>
        <w:tc>
          <w:tcPr>
            <w:tcW w:w="1559" w:type="dxa"/>
            <w:vAlign w:val="bottom"/>
          </w:tcPr>
          <w:p w14:paraId="79D8A26E" w14:textId="679AC77C" w:rsidR="00A94612" w:rsidRPr="00B148F9" w:rsidRDefault="00A94612" w:rsidP="00A94612">
            <w:pPr>
              <w:jc w:val="right"/>
              <w:rPr>
                <w:rFonts w:cs="Arial"/>
                <w:bCs/>
                <w:sz w:val="18"/>
                <w:lang w:eastAsia="en-GB"/>
              </w:rPr>
            </w:pPr>
            <w:r w:rsidRPr="00B148F9">
              <w:rPr>
                <w:rFonts w:cs="Arial"/>
                <w:bCs/>
                <w:sz w:val="18"/>
                <w:lang w:eastAsia="en-GB"/>
              </w:rPr>
              <w:t>-</w:t>
            </w:r>
          </w:p>
        </w:tc>
        <w:tc>
          <w:tcPr>
            <w:tcW w:w="1418" w:type="dxa"/>
            <w:vAlign w:val="bottom"/>
          </w:tcPr>
          <w:p w14:paraId="06DC4F46" w14:textId="409C8929" w:rsidR="00A94612" w:rsidRPr="00B148F9" w:rsidRDefault="00A94612" w:rsidP="00A94612">
            <w:pPr>
              <w:jc w:val="right"/>
              <w:rPr>
                <w:rFonts w:cs="Arial"/>
                <w:bCs/>
                <w:sz w:val="18"/>
                <w:lang w:eastAsia="en-GB"/>
              </w:rPr>
            </w:pPr>
            <w:r w:rsidRPr="00B148F9">
              <w:rPr>
                <w:rFonts w:cs="Arial"/>
                <w:bCs/>
                <w:sz w:val="18"/>
                <w:lang w:eastAsia="en-GB"/>
              </w:rPr>
              <w:t>-</w:t>
            </w:r>
          </w:p>
        </w:tc>
        <w:tc>
          <w:tcPr>
            <w:tcW w:w="1417" w:type="dxa"/>
            <w:vAlign w:val="bottom"/>
          </w:tcPr>
          <w:p w14:paraId="4CD9E6E7" w14:textId="7BAAC6E3" w:rsidR="00A94612" w:rsidRPr="00B148F9" w:rsidRDefault="00A94612" w:rsidP="00A94612">
            <w:pPr>
              <w:jc w:val="right"/>
              <w:rPr>
                <w:rFonts w:cs="Arial"/>
                <w:bCs/>
                <w:sz w:val="18"/>
                <w:lang w:eastAsia="en-GB"/>
              </w:rPr>
            </w:pPr>
            <w:r w:rsidRPr="00B148F9">
              <w:rPr>
                <w:rFonts w:cs="Arial"/>
                <w:bCs/>
                <w:sz w:val="18"/>
                <w:lang w:eastAsia="en-GB"/>
              </w:rPr>
              <w:t>-</w:t>
            </w:r>
          </w:p>
        </w:tc>
        <w:tc>
          <w:tcPr>
            <w:tcW w:w="1560" w:type="dxa"/>
            <w:vAlign w:val="bottom"/>
          </w:tcPr>
          <w:p w14:paraId="0F6FC082" w14:textId="340F0ACA" w:rsidR="00A94612" w:rsidRPr="00B148F9" w:rsidRDefault="00A94612" w:rsidP="00A94612">
            <w:pPr>
              <w:jc w:val="right"/>
              <w:rPr>
                <w:rFonts w:cs="Arial"/>
                <w:sz w:val="18"/>
                <w:lang w:eastAsia="en-GB"/>
              </w:rPr>
            </w:pPr>
            <w:r w:rsidRPr="00B148F9">
              <w:rPr>
                <w:rFonts w:cs="Arial"/>
                <w:sz w:val="18"/>
                <w:lang w:eastAsia="en-GB"/>
              </w:rPr>
              <w:t>-</w:t>
            </w:r>
          </w:p>
        </w:tc>
        <w:tc>
          <w:tcPr>
            <w:tcW w:w="1557" w:type="dxa"/>
            <w:noWrap/>
            <w:vAlign w:val="bottom"/>
          </w:tcPr>
          <w:p w14:paraId="574351A8" w14:textId="464DD817" w:rsidR="00A94612" w:rsidRPr="00B148F9" w:rsidRDefault="00A94612" w:rsidP="00A94612">
            <w:pPr>
              <w:jc w:val="right"/>
              <w:rPr>
                <w:rFonts w:cs="Arial"/>
                <w:sz w:val="18"/>
                <w:lang w:eastAsia="en-GB"/>
              </w:rPr>
            </w:pPr>
            <w:r w:rsidRPr="00B148F9">
              <w:rPr>
                <w:rFonts w:cs="Arial"/>
                <w:sz w:val="18"/>
                <w:lang w:eastAsia="en-GB"/>
              </w:rPr>
              <w:t>(16,371,705)</w:t>
            </w:r>
          </w:p>
        </w:tc>
      </w:tr>
      <w:tr w:rsidR="00A94612" w:rsidRPr="00B148F9" w14:paraId="4DAC95FA" w14:textId="77777777" w:rsidTr="00A94612">
        <w:trPr>
          <w:trHeight w:val="270"/>
        </w:trPr>
        <w:tc>
          <w:tcPr>
            <w:tcW w:w="3544" w:type="dxa"/>
            <w:noWrap/>
            <w:hideMark/>
          </w:tcPr>
          <w:p w14:paraId="7D1045A0" w14:textId="77777777" w:rsidR="00A94612" w:rsidRPr="00B148F9" w:rsidRDefault="00A94612" w:rsidP="00A94612">
            <w:pPr>
              <w:rPr>
                <w:rFonts w:cs="Arial"/>
                <w:sz w:val="18"/>
                <w:lang w:eastAsia="en-GB"/>
              </w:rPr>
            </w:pPr>
            <w:r w:rsidRPr="00B148F9">
              <w:rPr>
                <w:rFonts w:cs="Arial"/>
                <w:sz w:val="18"/>
                <w:lang w:eastAsia="en-GB"/>
              </w:rPr>
              <w:t>Issuance of Shares</w:t>
            </w:r>
          </w:p>
        </w:tc>
        <w:tc>
          <w:tcPr>
            <w:tcW w:w="1418" w:type="dxa"/>
            <w:vAlign w:val="bottom"/>
          </w:tcPr>
          <w:p w14:paraId="0FE7EB8B" w14:textId="54C7AC86"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4F43EE64" w14:textId="0B326534"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7C1D4353" w14:textId="27612B2C"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744C04CF" w14:textId="37536025" w:rsidR="00A94612" w:rsidRPr="00B148F9" w:rsidRDefault="00A94612" w:rsidP="00A94612">
            <w:pPr>
              <w:jc w:val="right"/>
              <w:rPr>
                <w:rFonts w:cs="Arial"/>
                <w:bCs/>
                <w:sz w:val="18"/>
                <w:lang w:eastAsia="en-GB"/>
              </w:rPr>
            </w:pPr>
            <w:r w:rsidRPr="00B148F9">
              <w:rPr>
                <w:rFonts w:cs="Arial"/>
                <w:bCs/>
                <w:sz w:val="18"/>
                <w:lang w:eastAsia="en-GB"/>
              </w:rPr>
              <w:t>14,972,314</w:t>
            </w:r>
          </w:p>
        </w:tc>
        <w:tc>
          <w:tcPr>
            <w:tcW w:w="1418" w:type="dxa"/>
            <w:vAlign w:val="bottom"/>
          </w:tcPr>
          <w:p w14:paraId="23615DFB" w14:textId="1C8DC335" w:rsidR="00A94612" w:rsidRPr="00B148F9" w:rsidRDefault="00A94612" w:rsidP="00A94612">
            <w:pPr>
              <w:jc w:val="right"/>
              <w:rPr>
                <w:rFonts w:cs="Arial"/>
                <w:bCs/>
                <w:sz w:val="18"/>
                <w:lang w:eastAsia="en-GB"/>
              </w:rPr>
            </w:pPr>
            <w:r w:rsidRPr="00B148F9">
              <w:rPr>
                <w:rFonts w:cs="Arial"/>
                <w:bCs/>
                <w:sz w:val="18"/>
                <w:lang w:eastAsia="en-GB"/>
              </w:rPr>
              <w:t>1</w:t>
            </w:r>
          </w:p>
        </w:tc>
        <w:tc>
          <w:tcPr>
            <w:tcW w:w="1417" w:type="dxa"/>
            <w:vAlign w:val="bottom"/>
          </w:tcPr>
          <w:p w14:paraId="695F257F" w14:textId="52DDEEB8" w:rsidR="00A94612" w:rsidRPr="00B148F9" w:rsidRDefault="00A94612" w:rsidP="00A94612">
            <w:pPr>
              <w:jc w:val="right"/>
              <w:rPr>
                <w:rFonts w:cs="Arial"/>
                <w:bCs/>
                <w:sz w:val="18"/>
                <w:lang w:eastAsia="en-GB"/>
              </w:rPr>
            </w:pPr>
            <w:r w:rsidRPr="00B148F9">
              <w:rPr>
                <w:rFonts w:cs="Arial"/>
                <w:bCs/>
                <w:sz w:val="18"/>
                <w:lang w:eastAsia="en-GB"/>
              </w:rPr>
              <w:t>1</w:t>
            </w:r>
          </w:p>
        </w:tc>
        <w:tc>
          <w:tcPr>
            <w:tcW w:w="1560" w:type="dxa"/>
            <w:vAlign w:val="bottom"/>
          </w:tcPr>
          <w:p w14:paraId="1F5D7C35" w14:textId="51876DFF" w:rsidR="00A94612" w:rsidRPr="00B148F9" w:rsidRDefault="00A94612" w:rsidP="00A94612">
            <w:pPr>
              <w:jc w:val="right"/>
              <w:rPr>
                <w:rFonts w:cs="Arial"/>
                <w:sz w:val="18"/>
                <w:lang w:eastAsia="en-GB"/>
              </w:rPr>
            </w:pPr>
            <w:r w:rsidRPr="00B148F9">
              <w:rPr>
                <w:rFonts w:cs="Arial"/>
                <w:sz w:val="18"/>
                <w:lang w:eastAsia="en-GB"/>
              </w:rPr>
              <w:t>14,972,316</w:t>
            </w:r>
          </w:p>
        </w:tc>
        <w:tc>
          <w:tcPr>
            <w:tcW w:w="1557" w:type="dxa"/>
            <w:noWrap/>
            <w:vAlign w:val="bottom"/>
          </w:tcPr>
          <w:p w14:paraId="48FDD24A" w14:textId="4EAFD420" w:rsidR="00A94612" w:rsidRPr="00B148F9" w:rsidRDefault="00A94612" w:rsidP="00A94612">
            <w:pPr>
              <w:jc w:val="right"/>
              <w:rPr>
                <w:rFonts w:cs="Arial"/>
                <w:sz w:val="18"/>
                <w:lang w:eastAsia="en-GB"/>
              </w:rPr>
            </w:pPr>
            <w:r w:rsidRPr="00B148F9">
              <w:rPr>
                <w:rFonts w:cs="Arial"/>
                <w:sz w:val="18"/>
                <w:lang w:eastAsia="en-GB"/>
              </w:rPr>
              <w:t>14,972,316</w:t>
            </w:r>
          </w:p>
        </w:tc>
      </w:tr>
      <w:tr w:rsidR="00A94612" w:rsidRPr="00B148F9" w14:paraId="1F6FCA28" w14:textId="77777777" w:rsidTr="00A94612">
        <w:trPr>
          <w:trHeight w:val="270"/>
        </w:trPr>
        <w:tc>
          <w:tcPr>
            <w:tcW w:w="3544" w:type="dxa"/>
            <w:noWrap/>
          </w:tcPr>
          <w:p w14:paraId="71026E96" w14:textId="79B9B28A" w:rsidR="00A94612" w:rsidRPr="00B148F9" w:rsidRDefault="00A94612" w:rsidP="00A94612">
            <w:pPr>
              <w:jc w:val="left"/>
              <w:rPr>
                <w:rFonts w:cs="Arial"/>
                <w:sz w:val="18"/>
                <w:lang w:eastAsia="en-GB"/>
              </w:rPr>
            </w:pPr>
            <w:r w:rsidRPr="00B148F9">
              <w:rPr>
                <w:rFonts w:cs="Arial"/>
                <w:sz w:val="18"/>
                <w:lang w:eastAsia="en-GB"/>
              </w:rPr>
              <w:t>Redemption of shares</w:t>
            </w:r>
          </w:p>
        </w:tc>
        <w:tc>
          <w:tcPr>
            <w:tcW w:w="1418" w:type="dxa"/>
            <w:vAlign w:val="bottom"/>
          </w:tcPr>
          <w:p w14:paraId="40B14A8A" w14:textId="55C20210"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6C855883" w14:textId="0ED5F9CE"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52A18543" w14:textId="41DD0D15" w:rsidR="00A94612" w:rsidRPr="00B148F9" w:rsidRDefault="00A94612" w:rsidP="00A94612">
            <w:pPr>
              <w:jc w:val="right"/>
              <w:rPr>
                <w:rFonts w:cs="Arial"/>
                <w:bCs/>
                <w:sz w:val="18"/>
                <w:lang w:eastAsia="en-GB"/>
              </w:rPr>
            </w:pPr>
            <w:r w:rsidRPr="00B148F9">
              <w:rPr>
                <w:rFonts w:cs="Arial"/>
                <w:sz w:val="18"/>
                <w:lang w:eastAsia="en-GB"/>
              </w:rPr>
              <w:t>-</w:t>
            </w:r>
          </w:p>
        </w:tc>
        <w:tc>
          <w:tcPr>
            <w:tcW w:w="1559" w:type="dxa"/>
            <w:vAlign w:val="bottom"/>
          </w:tcPr>
          <w:p w14:paraId="0559575F" w14:textId="4948D645" w:rsidR="00A94612" w:rsidRPr="00B148F9" w:rsidRDefault="00A94612" w:rsidP="00A94612">
            <w:pPr>
              <w:jc w:val="right"/>
              <w:rPr>
                <w:rFonts w:cs="Arial"/>
                <w:bCs/>
                <w:sz w:val="18"/>
                <w:lang w:eastAsia="en-GB"/>
              </w:rPr>
            </w:pPr>
            <w:r w:rsidRPr="00B148F9">
              <w:rPr>
                <w:rFonts w:cs="Arial"/>
                <w:bCs/>
                <w:sz w:val="18"/>
                <w:lang w:eastAsia="en-GB"/>
              </w:rPr>
              <w:t>-</w:t>
            </w:r>
          </w:p>
        </w:tc>
        <w:tc>
          <w:tcPr>
            <w:tcW w:w="1418" w:type="dxa"/>
            <w:vAlign w:val="bottom"/>
          </w:tcPr>
          <w:p w14:paraId="4F799A1F" w14:textId="73A8C0DE" w:rsidR="00A94612" w:rsidRPr="00B148F9" w:rsidRDefault="00A94612" w:rsidP="00A94612">
            <w:pPr>
              <w:jc w:val="right"/>
              <w:rPr>
                <w:rFonts w:cs="Arial"/>
                <w:bCs/>
                <w:sz w:val="18"/>
                <w:lang w:eastAsia="en-GB"/>
              </w:rPr>
            </w:pPr>
            <w:r w:rsidRPr="00B148F9">
              <w:rPr>
                <w:rFonts w:cs="Arial"/>
                <w:bCs/>
                <w:sz w:val="18"/>
                <w:lang w:eastAsia="en-GB"/>
              </w:rPr>
              <w:t>-</w:t>
            </w:r>
          </w:p>
        </w:tc>
        <w:tc>
          <w:tcPr>
            <w:tcW w:w="1417" w:type="dxa"/>
            <w:vAlign w:val="bottom"/>
          </w:tcPr>
          <w:p w14:paraId="071A8376" w14:textId="4B36CB57" w:rsidR="00A94612" w:rsidRPr="00B148F9" w:rsidRDefault="00A94612" w:rsidP="00A94612">
            <w:pPr>
              <w:jc w:val="right"/>
              <w:rPr>
                <w:rFonts w:cs="Arial"/>
                <w:bCs/>
                <w:sz w:val="18"/>
                <w:lang w:eastAsia="en-GB"/>
              </w:rPr>
            </w:pPr>
            <w:r w:rsidRPr="00B148F9">
              <w:rPr>
                <w:rFonts w:cs="Arial"/>
                <w:bCs/>
                <w:sz w:val="18"/>
                <w:lang w:eastAsia="en-GB"/>
              </w:rPr>
              <w:t>(1)</w:t>
            </w:r>
          </w:p>
        </w:tc>
        <w:tc>
          <w:tcPr>
            <w:tcW w:w="1560" w:type="dxa"/>
            <w:vAlign w:val="bottom"/>
          </w:tcPr>
          <w:p w14:paraId="2D17CEE8" w14:textId="65ED1B8E" w:rsidR="00A94612" w:rsidRPr="00B148F9" w:rsidRDefault="00A94612" w:rsidP="00A94612">
            <w:pPr>
              <w:jc w:val="right"/>
              <w:rPr>
                <w:rFonts w:cs="Arial"/>
                <w:sz w:val="18"/>
                <w:lang w:eastAsia="en-GB"/>
              </w:rPr>
            </w:pPr>
            <w:r w:rsidRPr="00B148F9">
              <w:rPr>
                <w:rFonts w:cs="Arial"/>
                <w:sz w:val="18"/>
                <w:lang w:eastAsia="en-GB"/>
              </w:rPr>
              <w:t>(1)</w:t>
            </w:r>
          </w:p>
        </w:tc>
        <w:tc>
          <w:tcPr>
            <w:tcW w:w="1557" w:type="dxa"/>
            <w:noWrap/>
            <w:vAlign w:val="bottom"/>
          </w:tcPr>
          <w:p w14:paraId="5CE0E380" w14:textId="192969A4" w:rsidR="00A94612" w:rsidRPr="00B148F9" w:rsidRDefault="00A94612" w:rsidP="00A94612">
            <w:pPr>
              <w:jc w:val="right"/>
              <w:rPr>
                <w:rFonts w:cs="Arial"/>
                <w:sz w:val="18"/>
                <w:lang w:eastAsia="en-GB"/>
              </w:rPr>
            </w:pPr>
            <w:r w:rsidRPr="00B148F9">
              <w:rPr>
                <w:rFonts w:cs="Arial"/>
                <w:sz w:val="18"/>
                <w:lang w:eastAsia="en-GB"/>
              </w:rPr>
              <w:t>(1)</w:t>
            </w:r>
          </w:p>
        </w:tc>
      </w:tr>
      <w:tr w:rsidR="00A94612" w:rsidRPr="00B148F9" w14:paraId="6D0E33E3" w14:textId="77777777" w:rsidTr="00A94612">
        <w:trPr>
          <w:trHeight w:val="270"/>
        </w:trPr>
        <w:tc>
          <w:tcPr>
            <w:tcW w:w="3544" w:type="dxa"/>
            <w:noWrap/>
          </w:tcPr>
          <w:p w14:paraId="1EAB19A1" w14:textId="59140C43" w:rsidR="00A94612" w:rsidRPr="00B148F9" w:rsidRDefault="00A94612" w:rsidP="00A94612">
            <w:pPr>
              <w:jc w:val="left"/>
              <w:rPr>
                <w:rFonts w:cs="Arial"/>
                <w:sz w:val="18"/>
                <w:lang w:eastAsia="en-GB"/>
              </w:rPr>
            </w:pPr>
            <w:r w:rsidRPr="00B148F9">
              <w:rPr>
                <w:rFonts w:cs="Arial"/>
                <w:sz w:val="18"/>
                <w:lang w:eastAsia="en-GB"/>
              </w:rPr>
              <w:t>Transfer of shares (see Note 9)</w:t>
            </w:r>
          </w:p>
        </w:tc>
        <w:tc>
          <w:tcPr>
            <w:tcW w:w="1418" w:type="dxa"/>
            <w:tcBorders>
              <w:bottom w:val="single" w:sz="4" w:space="0" w:color="auto"/>
            </w:tcBorders>
            <w:vAlign w:val="bottom"/>
          </w:tcPr>
          <w:p w14:paraId="335BB617" w14:textId="584BAFC6" w:rsidR="00A94612" w:rsidRPr="00B148F9" w:rsidRDefault="00A94612" w:rsidP="00A94612">
            <w:pPr>
              <w:jc w:val="right"/>
              <w:rPr>
                <w:rFonts w:cs="Arial"/>
                <w:sz w:val="18"/>
                <w:lang w:eastAsia="en-GB"/>
              </w:rPr>
            </w:pPr>
            <w:r w:rsidRPr="00B148F9">
              <w:rPr>
                <w:rFonts w:cs="Arial"/>
                <w:sz w:val="18"/>
                <w:lang w:eastAsia="en-GB"/>
              </w:rPr>
              <w:t>(114,405)</w:t>
            </w:r>
          </w:p>
        </w:tc>
        <w:tc>
          <w:tcPr>
            <w:tcW w:w="1559" w:type="dxa"/>
            <w:tcBorders>
              <w:bottom w:val="single" w:sz="4" w:space="0" w:color="auto"/>
            </w:tcBorders>
            <w:vAlign w:val="bottom"/>
          </w:tcPr>
          <w:p w14:paraId="606566E5" w14:textId="6AA33444" w:rsidR="00A94612" w:rsidRPr="00B148F9" w:rsidRDefault="00A94612" w:rsidP="00A94612">
            <w:pPr>
              <w:jc w:val="right"/>
              <w:rPr>
                <w:rFonts w:cs="Arial"/>
                <w:sz w:val="18"/>
                <w:lang w:eastAsia="en-GB"/>
              </w:rPr>
            </w:pPr>
            <w:r w:rsidRPr="00B148F9">
              <w:rPr>
                <w:rFonts w:cs="Arial"/>
                <w:sz w:val="18"/>
                <w:lang w:eastAsia="en-GB"/>
              </w:rPr>
              <w:t>(147,029,685)</w:t>
            </w:r>
          </w:p>
        </w:tc>
        <w:tc>
          <w:tcPr>
            <w:tcW w:w="1559" w:type="dxa"/>
            <w:tcBorders>
              <w:bottom w:val="single" w:sz="4" w:space="0" w:color="auto"/>
            </w:tcBorders>
            <w:vAlign w:val="bottom"/>
          </w:tcPr>
          <w:p w14:paraId="2D295787" w14:textId="1218FFC7" w:rsidR="00A94612" w:rsidRPr="00B148F9" w:rsidRDefault="00A94612" w:rsidP="00A94612">
            <w:pPr>
              <w:jc w:val="right"/>
              <w:rPr>
                <w:rFonts w:cs="Arial"/>
                <w:sz w:val="18"/>
                <w:lang w:eastAsia="en-GB"/>
              </w:rPr>
            </w:pPr>
            <w:r w:rsidRPr="00B148F9">
              <w:rPr>
                <w:rFonts w:cs="Arial"/>
                <w:sz w:val="18"/>
                <w:lang w:eastAsia="en-GB"/>
              </w:rPr>
              <w:t>(147,144,090)</w:t>
            </w:r>
          </w:p>
        </w:tc>
        <w:tc>
          <w:tcPr>
            <w:tcW w:w="1559" w:type="dxa"/>
            <w:vAlign w:val="bottom"/>
          </w:tcPr>
          <w:p w14:paraId="2502F8B3" w14:textId="5CEFF734" w:rsidR="00A94612" w:rsidRPr="00B148F9" w:rsidRDefault="00A94612" w:rsidP="00A94612">
            <w:pPr>
              <w:jc w:val="right"/>
              <w:rPr>
                <w:rFonts w:cs="Arial"/>
                <w:bCs/>
                <w:sz w:val="18"/>
                <w:lang w:eastAsia="en-GB"/>
              </w:rPr>
            </w:pPr>
            <w:r w:rsidRPr="00B148F9">
              <w:rPr>
                <w:rFonts w:cs="Arial"/>
                <w:sz w:val="18"/>
                <w:lang w:eastAsia="en-GB"/>
              </w:rPr>
              <w:t>147,144,090</w:t>
            </w:r>
          </w:p>
        </w:tc>
        <w:tc>
          <w:tcPr>
            <w:tcW w:w="1418" w:type="dxa"/>
            <w:vAlign w:val="bottom"/>
          </w:tcPr>
          <w:p w14:paraId="7E0BC23E" w14:textId="1DBA6D34" w:rsidR="00A94612" w:rsidRPr="00B148F9" w:rsidRDefault="00A94612" w:rsidP="00A94612">
            <w:pPr>
              <w:jc w:val="right"/>
              <w:rPr>
                <w:rFonts w:cs="Arial"/>
                <w:bCs/>
                <w:sz w:val="18"/>
                <w:lang w:eastAsia="en-GB"/>
              </w:rPr>
            </w:pPr>
            <w:r w:rsidRPr="00B148F9">
              <w:rPr>
                <w:rFonts w:cs="Arial"/>
                <w:bCs/>
                <w:sz w:val="18"/>
                <w:lang w:eastAsia="en-GB"/>
              </w:rPr>
              <w:t>-</w:t>
            </w:r>
          </w:p>
        </w:tc>
        <w:tc>
          <w:tcPr>
            <w:tcW w:w="1417" w:type="dxa"/>
            <w:vAlign w:val="bottom"/>
          </w:tcPr>
          <w:p w14:paraId="2427AED9" w14:textId="6A0224D3" w:rsidR="00A94612" w:rsidRPr="00B148F9" w:rsidRDefault="00A94612" w:rsidP="00A94612">
            <w:pPr>
              <w:jc w:val="right"/>
              <w:rPr>
                <w:rFonts w:cs="Arial"/>
                <w:bCs/>
                <w:sz w:val="18"/>
                <w:lang w:eastAsia="en-GB"/>
              </w:rPr>
            </w:pPr>
            <w:r w:rsidRPr="00B148F9">
              <w:rPr>
                <w:rFonts w:cs="Arial"/>
                <w:bCs/>
                <w:sz w:val="18"/>
                <w:lang w:eastAsia="en-GB"/>
              </w:rPr>
              <w:t>-</w:t>
            </w:r>
          </w:p>
        </w:tc>
        <w:tc>
          <w:tcPr>
            <w:tcW w:w="1560" w:type="dxa"/>
            <w:vAlign w:val="bottom"/>
          </w:tcPr>
          <w:p w14:paraId="368D9DFB" w14:textId="43B2B28B" w:rsidR="00A94612" w:rsidRPr="00B148F9" w:rsidRDefault="00A94612" w:rsidP="00A94612">
            <w:pPr>
              <w:jc w:val="right"/>
              <w:rPr>
                <w:rFonts w:cs="Arial"/>
                <w:sz w:val="18"/>
                <w:lang w:eastAsia="en-GB"/>
              </w:rPr>
            </w:pPr>
            <w:r w:rsidRPr="00B148F9">
              <w:rPr>
                <w:rFonts w:cs="Arial"/>
                <w:sz w:val="18"/>
                <w:lang w:eastAsia="en-GB"/>
              </w:rPr>
              <w:t>147,144,090</w:t>
            </w:r>
          </w:p>
        </w:tc>
        <w:tc>
          <w:tcPr>
            <w:tcW w:w="1557" w:type="dxa"/>
            <w:noWrap/>
            <w:vAlign w:val="bottom"/>
          </w:tcPr>
          <w:p w14:paraId="35C36CB6" w14:textId="0F6506FC" w:rsidR="00A94612" w:rsidRPr="00B148F9" w:rsidRDefault="00A94612" w:rsidP="00A94612">
            <w:pPr>
              <w:jc w:val="right"/>
              <w:rPr>
                <w:rFonts w:cs="Arial"/>
                <w:sz w:val="18"/>
                <w:lang w:eastAsia="en-GB"/>
              </w:rPr>
            </w:pPr>
            <w:r w:rsidRPr="00B148F9">
              <w:rPr>
                <w:rFonts w:cs="Arial"/>
                <w:sz w:val="18"/>
                <w:lang w:eastAsia="en-GB"/>
              </w:rPr>
              <w:t>-</w:t>
            </w:r>
          </w:p>
        </w:tc>
      </w:tr>
      <w:tr w:rsidR="00A94612" w:rsidRPr="00B148F9" w14:paraId="09CC1CCE" w14:textId="77777777" w:rsidTr="00A94612">
        <w:trPr>
          <w:trHeight w:val="270"/>
        </w:trPr>
        <w:tc>
          <w:tcPr>
            <w:tcW w:w="3544" w:type="dxa"/>
            <w:hideMark/>
          </w:tcPr>
          <w:p w14:paraId="0729C0A5" w14:textId="77777777" w:rsidR="00A94612" w:rsidRPr="00B148F9" w:rsidRDefault="00A94612" w:rsidP="00A94612">
            <w:pPr>
              <w:jc w:val="left"/>
              <w:rPr>
                <w:rFonts w:cs="Arial"/>
                <w:b/>
                <w:bCs/>
                <w:sz w:val="18"/>
                <w:lang w:eastAsia="en-GB"/>
              </w:rPr>
            </w:pPr>
            <w:r w:rsidRPr="00B148F9">
              <w:rPr>
                <w:rFonts w:cs="Arial"/>
                <w:b/>
                <w:bCs/>
                <w:sz w:val="18"/>
                <w:lang w:eastAsia="en-GB"/>
              </w:rPr>
              <w:t>Net change in net assets resulting from capital share transactions</w:t>
            </w:r>
          </w:p>
        </w:tc>
        <w:tc>
          <w:tcPr>
            <w:tcW w:w="1418" w:type="dxa"/>
            <w:tcBorders>
              <w:top w:val="single" w:sz="4" w:space="0" w:color="auto"/>
            </w:tcBorders>
            <w:vAlign w:val="bottom"/>
          </w:tcPr>
          <w:p w14:paraId="413795A8" w14:textId="64193E6C" w:rsidR="00A94612" w:rsidRPr="00B148F9" w:rsidRDefault="00A94612" w:rsidP="00A94612">
            <w:pPr>
              <w:jc w:val="right"/>
              <w:rPr>
                <w:rFonts w:cs="Arial"/>
                <w:b/>
                <w:bCs/>
                <w:sz w:val="18"/>
                <w:lang w:eastAsia="en-GB"/>
              </w:rPr>
            </w:pPr>
            <w:r w:rsidRPr="00B148F9">
              <w:rPr>
                <w:rFonts w:cs="Arial"/>
                <w:b/>
                <w:sz w:val="18"/>
                <w:lang w:eastAsia="en-GB"/>
              </w:rPr>
              <w:t>(114,405)</w:t>
            </w:r>
          </w:p>
        </w:tc>
        <w:tc>
          <w:tcPr>
            <w:tcW w:w="1559" w:type="dxa"/>
            <w:tcBorders>
              <w:top w:val="single" w:sz="4" w:space="0" w:color="auto"/>
            </w:tcBorders>
            <w:vAlign w:val="bottom"/>
          </w:tcPr>
          <w:p w14:paraId="0C751B49" w14:textId="377C99DD" w:rsidR="00A94612" w:rsidRPr="00B148F9" w:rsidRDefault="00A94612" w:rsidP="00A94612">
            <w:pPr>
              <w:jc w:val="right"/>
              <w:rPr>
                <w:rFonts w:cs="Arial"/>
                <w:b/>
                <w:bCs/>
                <w:sz w:val="18"/>
                <w:lang w:eastAsia="en-GB"/>
              </w:rPr>
            </w:pPr>
            <w:r w:rsidRPr="00B148F9">
              <w:rPr>
                <w:rFonts w:cs="Arial"/>
                <w:b/>
                <w:sz w:val="18"/>
                <w:lang w:eastAsia="en-GB"/>
              </w:rPr>
              <w:t>(52,056,390)</w:t>
            </w:r>
          </w:p>
        </w:tc>
        <w:tc>
          <w:tcPr>
            <w:tcW w:w="1559" w:type="dxa"/>
            <w:tcBorders>
              <w:top w:val="single" w:sz="4" w:space="0" w:color="auto"/>
            </w:tcBorders>
            <w:vAlign w:val="bottom"/>
          </w:tcPr>
          <w:p w14:paraId="03A47D6A" w14:textId="42278AF4" w:rsidR="00A94612" w:rsidRPr="00B148F9" w:rsidRDefault="00A94612" w:rsidP="00A94612">
            <w:pPr>
              <w:jc w:val="right"/>
              <w:rPr>
                <w:rFonts w:cs="Arial"/>
                <w:b/>
                <w:bCs/>
                <w:sz w:val="18"/>
                <w:lang w:eastAsia="en-GB"/>
              </w:rPr>
            </w:pPr>
            <w:r w:rsidRPr="00B148F9">
              <w:rPr>
                <w:rFonts w:cs="Arial"/>
                <w:b/>
                <w:bCs/>
                <w:sz w:val="18"/>
                <w:lang w:eastAsia="en-GB"/>
              </w:rPr>
              <w:t>(52,170,795)</w:t>
            </w:r>
          </w:p>
        </w:tc>
        <w:tc>
          <w:tcPr>
            <w:tcW w:w="1559" w:type="dxa"/>
            <w:tcBorders>
              <w:top w:val="single" w:sz="4" w:space="0" w:color="auto"/>
            </w:tcBorders>
            <w:vAlign w:val="bottom"/>
          </w:tcPr>
          <w:p w14:paraId="67D03788" w14:textId="6EAFE47D" w:rsidR="00A94612" w:rsidRPr="00B148F9" w:rsidRDefault="00A94612" w:rsidP="00A94612">
            <w:pPr>
              <w:jc w:val="right"/>
              <w:rPr>
                <w:rFonts w:cs="Arial"/>
                <w:b/>
                <w:bCs/>
                <w:sz w:val="18"/>
                <w:lang w:eastAsia="en-GB"/>
              </w:rPr>
            </w:pPr>
            <w:r w:rsidRPr="00B148F9">
              <w:rPr>
                <w:rFonts w:cs="Arial"/>
                <w:b/>
                <w:bCs/>
                <w:sz w:val="18"/>
                <w:lang w:eastAsia="en-GB"/>
              </w:rPr>
              <w:t>162,116,404</w:t>
            </w:r>
          </w:p>
        </w:tc>
        <w:tc>
          <w:tcPr>
            <w:tcW w:w="1418" w:type="dxa"/>
            <w:tcBorders>
              <w:top w:val="single" w:sz="4" w:space="0" w:color="auto"/>
            </w:tcBorders>
            <w:vAlign w:val="bottom"/>
          </w:tcPr>
          <w:p w14:paraId="39EF4216" w14:textId="1394B4DB" w:rsidR="00A94612" w:rsidRPr="00B148F9" w:rsidRDefault="00A94612" w:rsidP="00A94612">
            <w:pPr>
              <w:jc w:val="right"/>
              <w:rPr>
                <w:rFonts w:cs="Arial"/>
                <w:b/>
                <w:bCs/>
                <w:sz w:val="18"/>
                <w:lang w:eastAsia="en-GB"/>
              </w:rPr>
            </w:pPr>
            <w:r w:rsidRPr="00B148F9">
              <w:rPr>
                <w:rFonts w:cs="Arial"/>
                <w:b/>
                <w:bCs/>
                <w:sz w:val="18"/>
                <w:lang w:eastAsia="en-GB"/>
              </w:rPr>
              <w:t>1</w:t>
            </w:r>
          </w:p>
        </w:tc>
        <w:tc>
          <w:tcPr>
            <w:tcW w:w="1417" w:type="dxa"/>
            <w:tcBorders>
              <w:top w:val="single" w:sz="4" w:space="0" w:color="auto"/>
            </w:tcBorders>
            <w:vAlign w:val="bottom"/>
          </w:tcPr>
          <w:p w14:paraId="2AC70C20" w14:textId="5AF927BC" w:rsidR="00A94612" w:rsidRPr="00B148F9" w:rsidRDefault="00A94612" w:rsidP="00A94612">
            <w:pPr>
              <w:jc w:val="right"/>
              <w:rPr>
                <w:rFonts w:cs="Arial"/>
                <w:b/>
                <w:bCs/>
                <w:sz w:val="18"/>
                <w:lang w:eastAsia="en-GB"/>
              </w:rPr>
            </w:pPr>
            <w:r w:rsidRPr="00B148F9">
              <w:rPr>
                <w:rFonts w:cs="Arial"/>
                <w:b/>
                <w:bCs/>
                <w:sz w:val="18"/>
                <w:lang w:eastAsia="en-GB"/>
              </w:rPr>
              <w:t>-</w:t>
            </w:r>
          </w:p>
        </w:tc>
        <w:tc>
          <w:tcPr>
            <w:tcW w:w="1560" w:type="dxa"/>
            <w:tcBorders>
              <w:top w:val="single" w:sz="4" w:space="0" w:color="auto"/>
            </w:tcBorders>
            <w:vAlign w:val="bottom"/>
          </w:tcPr>
          <w:p w14:paraId="79174600" w14:textId="4AEAF5B2" w:rsidR="00A94612" w:rsidRPr="00B148F9" w:rsidRDefault="00A94612" w:rsidP="00A94612">
            <w:pPr>
              <w:jc w:val="right"/>
              <w:rPr>
                <w:rFonts w:cs="Arial"/>
                <w:b/>
                <w:sz w:val="18"/>
                <w:lang w:eastAsia="en-GB"/>
              </w:rPr>
            </w:pPr>
            <w:r w:rsidRPr="00B148F9">
              <w:rPr>
                <w:rFonts w:cs="Arial"/>
                <w:b/>
                <w:sz w:val="18"/>
                <w:lang w:eastAsia="en-GB"/>
              </w:rPr>
              <w:t>162,116,405</w:t>
            </w:r>
          </w:p>
        </w:tc>
        <w:tc>
          <w:tcPr>
            <w:tcW w:w="1557" w:type="dxa"/>
            <w:tcBorders>
              <w:top w:val="single" w:sz="4" w:space="0" w:color="auto"/>
            </w:tcBorders>
            <w:noWrap/>
            <w:vAlign w:val="bottom"/>
          </w:tcPr>
          <w:p w14:paraId="0D4102DF" w14:textId="316A4F52" w:rsidR="00A94612" w:rsidRPr="00B148F9" w:rsidRDefault="00A94612" w:rsidP="00A94612">
            <w:pPr>
              <w:jc w:val="right"/>
              <w:rPr>
                <w:rFonts w:cs="Arial"/>
                <w:b/>
                <w:bCs/>
                <w:sz w:val="18"/>
                <w:lang w:eastAsia="en-GB"/>
              </w:rPr>
            </w:pPr>
            <w:r w:rsidRPr="00B148F9">
              <w:rPr>
                <w:rFonts w:cs="Arial"/>
                <w:b/>
                <w:bCs/>
                <w:sz w:val="18"/>
                <w:lang w:eastAsia="en-GB"/>
              </w:rPr>
              <w:t>109,945,610</w:t>
            </w:r>
          </w:p>
        </w:tc>
      </w:tr>
      <w:tr w:rsidR="00A94612" w:rsidRPr="00B148F9" w14:paraId="2594CB83" w14:textId="77777777" w:rsidTr="00A94612">
        <w:trPr>
          <w:trHeight w:val="270"/>
        </w:trPr>
        <w:tc>
          <w:tcPr>
            <w:tcW w:w="3544" w:type="dxa"/>
            <w:noWrap/>
            <w:hideMark/>
          </w:tcPr>
          <w:p w14:paraId="7679CB6C" w14:textId="77777777" w:rsidR="00A94612" w:rsidRPr="00B148F9" w:rsidRDefault="00A94612" w:rsidP="00A94612">
            <w:pPr>
              <w:rPr>
                <w:rFonts w:cs="Arial"/>
                <w:sz w:val="18"/>
                <w:lang w:eastAsia="en-GB"/>
              </w:rPr>
            </w:pPr>
          </w:p>
        </w:tc>
        <w:tc>
          <w:tcPr>
            <w:tcW w:w="1418" w:type="dxa"/>
            <w:vAlign w:val="bottom"/>
          </w:tcPr>
          <w:p w14:paraId="425598E4" w14:textId="77777777" w:rsidR="00A94612" w:rsidRPr="00B148F9" w:rsidRDefault="00A94612" w:rsidP="00A94612">
            <w:pPr>
              <w:jc w:val="right"/>
              <w:rPr>
                <w:rFonts w:cs="Arial"/>
                <w:sz w:val="18"/>
                <w:lang w:eastAsia="en-GB"/>
              </w:rPr>
            </w:pPr>
          </w:p>
        </w:tc>
        <w:tc>
          <w:tcPr>
            <w:tcW w:w="1559" w:type="dxa"/>
            <w:vAlign w:val="bottom"/>
          </w:tcPr>
          <w:p w14:paraId="68D73EC3" w14:textId="77777777" w:rsidR="00A94612" w:rsidRPr="00B148F9" w:rsidRDefault="00A94612" w:rsidP="00A94612">
            <w:pPr>
              <w:jc w:val="right"/>
              <w:rPr>
                <w:rFonts w:cs="Arial"/>
                <w:sz w:val="18"/>
                <w:lang w:eastAsia="en-GB"/>
              </w:rPr>
            </w:pPr>
          </w:p>
        </w:tc>
        <w:tc>
          <w:tcPr>
            <w:tcW w:w="1559" w:type="dxa"/>
            <w:vAlign w:val="bottom"/>
          </w:tcPr>
          <w:p w14:paraId="248FBA2C" w14:textId="77777777" w:rsidR="00A94612" w:rsidRPr="00B148F9" w:rsidRDefault="00A94612" w:rsidP="00A94612">
            <w:pPr>
              <w:jc w:val="right"/>
              <w:rPr>
                <w:rFonts w:cs="Arial"/>
                <w:sz w:val="18"/>
                <w:lang w:eastAsia="en-GB"/>
              </w:rPr>
            </w:pPr>
          </w:p>
        </w:tc>
        <w:tc>
          <w:tcPr>
            <w:tcW w:w="1559" w:type="dxa"/>
            <w:vAlign w:val="bottom"/>
          </w:tcPr>
          <w:p w14:paraId="397DDE1A" w14:textId="08ADA4E0" w:rsidR="00A94612" w:rsidRPr="00B148F9" w:rsidRDefault="00A94612" w:rsidP="00A94612">
            <w:pPr>
              <w:jc w:val="right"/>
              <w:rPr>
                <w:rFonts w:cs="Arial"/>
                <w:sz w:val="18"/>
                <w:lang w:eastAsia="en-GB"/>
              </w:rPr>
            </w:pPr>
          </w:p>
        </w:tc>
        <w:tc>
          <w:tcPr>
            <w:tcW w:w="1418" w:type="dxa"/>
            <w:vAlign w:val="bottom"/>
          </w:tcPr>
          <w:p w14:paraId="2CBE6CA1" w14:textId="77777777" w:rsidR="00A94612" w:rsidRPr="00B148F9" w:rsidRDefault="00A94612" w:rsidP="00A94612">
            <w:pPr>
              <w:jc w:val="right"/>
              <w:rPr>
                <w:rFonts w:cs="Arial"/>
                <w:sz w:val="18"/>
                <w:lang w:eastAsia="en-GB"/>
              </w:rPr>
            </w:pPr>
          </w:p>
        </w:tc>
        <w:tc>
          <w:tcPr>
            <w:tcW w:w="1417" w:type="dxa"/>
            <w:vAlign w:val="bottom"/>
          </w:tcPr>
          <w:p w14:paraId="205A2685" w14:textId="77777777" w:rsidR="00A94612" w:rsidRPr="00B148F9" w:rsidRDefault="00A94612" w:rsidP="00A94612">
            <w:pPr>
              <w:jc w:val="right"/>
              <w:rPr>
                <w:rFonts w:cs="Arial"/>
                <w:sz w:val="18"/>
                <w:lang w:eastAsia="en-GB"/>
              </w:rPr>
            </w:pPr>
          </w:p>
        </w:tc>
        <w:tc>
          <w:tcPr>
            <w:tcW w:w="1560" w:type="dxa"/>
            <w:vAlign w:val="bottom"/>
          </w:tcPr>
          <w:p w14:paraId="58E9D0D3" w14:textId="6420CF58" w:rsidR="00A94612" w:rsidRPr="00B148F9" w:rsidRDefault="00A94612" w:rsidP="00A94612">
            <w:pPr>
              <w:jc w:val="right"/>
              <w:rPr>
                <w:rFonts w:cs="Arial"/>
                <w:sz w:val="18"/>
                <w:lang w:eastAsia="en-GB"/>
              </w:rPr>
            </w:pPr>
          </w:p>
        </w:tc>
        <w:tc>
          <w:tcPr>
            <w:tcW w:w="1557" w:type="dxa"/>
            <w:noWrap/>
            <w:vAlign w:val="bottom"/>
          </w:tcPr>
          <w:p w14:paraId="1F67F1E6" w14:textId="0CE56F41" w:rsidR="00A94612" w:rsidRPr="00B148F9" w:rsidRDefault="00A94612" w:rsidP="00A94612">
            <w:pPr>
              <w:jc w:val="right"/>
              <w:rPr>
                <w:rFonts w:cs="Arial"/>
                <w:sz w:val="18"/>
                <w:lang w:eastAsia="en-GB"/>
              </w:rPr>
            </w:pPr>
          </w:p>
        </w:tc>
      </w:tr>
      <w:tr w:rsidR="00A94612" w:rsidRPr="00B148F9" w14:paraId="7DE791EF" w14:textId="77777777" w:rsidTr="00A94612">
        <w:trPr>
          <w:trHeight w:val="285"/>
        </w:trPr>
        <w:tc>
          <w:tcPr>
            <w:tcW w:w="3544" w:type="dxa"/>
            <w:noWrap/>
            <w:hideMark/>
          </w:tcPr>
          <w:p w14:paraId="585035DB" w14:textId="77777777" w:rsidR="00A94612" w:rsidRPr="00B148F9" w:rsidRDefault="00A94612" w:rsidP="00A94612">
            <w:pPr>
              <w:rPr>
                <w:rFonts w:cs="Arial"/>
                <w:b/>
                <w:bCs/>
                <w:sz w:val="18"/>
                <w:lang w:eastAsia="en-GB"/>
              </w:rPr>
            </w:pPr>
            <w:r w:rsidRPr="00B148F9">
              <w:rPr>
                <w:rFonts w:cs="Arial"/>
                <w:b/>
                <w:bCs/>
                <w:sz w:val="18"/>
                <w:lang w:eastAsia="en-GB"/>
              </w:rPr>
              <w:t>Net change in net assets</w:t>
            </w:r>
          </w:p>
        </w:tc>
        <w:tc>
          <w:tcPr>
            <w:tcW w:w="1418" w:type="dxa"/>
            <w:vAlign w:val="bottom"/>
          </w:tcPr>
          <w:p w14:paraId="6B10C89D" w14:textId="020A7A0D" w:rsidR="00A94612" w:rsidRPr="00B148F9" w:rsidRDefault="00A94612" w:rsidP="00A94612">
            <w:pPr>
              <w:jc w:val="right"/>
              <w:rPr>
                <w:rFonts w:cs="Arial"/>
                <w:b/>
                <w:bCs/>
                <w:sz w:val="18"/>
                <w:lang w:eastAsia="en-GB"/>
              </w:rPr>
            </w:pPr>
            <w:r w:rsidRPr="00B148F9">
              <w:rPr>
                <w:rFonts w:cs="Arial"/>
                <w:b/>
                <w:sz w:val="18"/>
                <w:lang w:eastAsia="en-GB"/>
              </w:rPr>
              <w:t>(140,981)</w:t>
            </w:r>
          </w:p>
        </w:tc>
        <w:tc>
          <w:tcPr>
            <w:tcW w:w="1559" w:type="dxa"/>
            <w:vAlign w:val="bottom"/>
          </w:tcPr>
          <w:p w14:paraId="7DED31A2" w14:textId="66F8FC2B" w:rsidR="00A94612" w:rsidRPr="00B148F9" w:rsidRDefault="00A94612" w:rsidP="00A94612">
            <w:pPr>
              <w:jc w:val="right"/>
              <w:rPr>
                <w:rFonts w:cs="Arial"/>
                <w:b/>
                <w:bCs/>
                <w:sz w:val="18"/>
                <w:lang w:eastAsia="en-GB"/>
              </w:rPr>
            </w:pPr>
            <w:r w:rsidRPr="00B148F9">
              <w:rPr>
                <w:rFonts w:cs="Arial"/>
                <w:b/>
                <w:sz w:val="18"/>
                <w:lang w:eastAsia="en-GB"/>
              </w:rPr>
              <w:t>(65,582,522)</w:t>
            </w:r>
          </w:p>
        </w:tc>
        <w:tc>
          <w:tcPr>
            <w:tcW w:w="1559" w:type="dxa"/>
            <w:vAlign w:val="bottom"/>
          </w:tcPr>
          <w:p w14:paraId="0F9604C6" w14:textId="78EEE758" w:rsidR="00A94612" w:rsidRPr="00B148F9" w:rsidRDefault="00A94612" w:rsidP="00A94612">
            <w:pPr>
              <w:jc w:val="right"/>
              <w:rPr>
                <w:rFonts w:cs="Arial"/>
                <w:b/>
                <w:bCs/>
                <w:sz w:val="18"/>
                <w:lang w:eastAsia="en-GB"/>
              </w:rPr>
            </w:pPr>
            <w:r w:rsidRPr="00B148F9">
              <w:rPr>
                <w:rFonts w:cs="Arial"/>
                <w:b/>
                <w:sz w:val="18"/>
                <w:lang w:eastAsia="en-GB"/>
              </w:rPr>
              <w:t>(65,723,503)</w:t>
            </w:r>
          </w:p>
        </w:tc>
        <w:tc>
          <w:tcPr>
            <w:tcW w:w="1559" w:type="dxa"/>
            <w:vAlign w:val="bottom"/>
          </w:tcPr>
          <w:p w14:paraId="182F0786" w14:textId="378F3418" w:rsidR="00A94612" w:rsidRPr="00B148F9" w:rsidRDefault="00A94612" w:rsidP="00A94612">
            <w:pPr>
              <w:jc w:val="right"/>
              <w:rPr>
                <w:rFonts w:cs="Arial"/>
                <w:b/>
                <w:bCs/>
                <w:sz w:val="18"/>
                <w:lang w:eastAsia="en-GB"/>
              </w:rPr>
            </w:pPr>
            <w:r w:rsidRPr="00B148F9">
              <w:rPr>
                <w:rFonts w:cs="Arial"/>
                <w:b/>
                <w:bCs/>
                <w:sz w:val="18"/>
                <w:lang w:eastAsia="en-GB"/>
              </w:rPr>
              <w:t>205,695,869</w:t>
            </w:r>
          </w:p>
        </w:tc>
        <w:tc>
          <w:tcPr>
            <w:tcW w:w="1418" w:type="dxa"/>
            <w:vAlign w:val="bottom"/>
          </w:tcPr>
          <w:p w14:paraId="5F4067E9" w14:textId="6D841176" w:rsidR="00A94612" w:rsidRPr="00B148F9" w:rsidRDefault="00A94612" w:rsidP="00A94612">
            <w:pPr>
              <w:jc w:val="right"/>
              <w:rPr>
                <w:rFonts w:cs="Arial"/>
                <w:b/>
                <w:bCs/>
                <w:sz w:val="18"/>
                <w:lang w:eastAsia="en-GB"/>
              </w:rPr>
            </w:pPr>
            <w:r w:rsidRPr="00B148F9">
              <w:rPr>
                <w:rFonts w:cs="Arial"/>
                <w:b/>
                <w:bCs/>
                <w:sz w:val="18"/>
                <w:lang w:eastAsia="en-GB"/>
              </w:rPr>
              <w:t>8,691,106</w:t>
            </w:r>
          </w:p>
        </w:tc>
        <w:tc>
          <w:tcPr>
            <w:tcW w:w="1417" w:type="dxa"/>
            <w:vAlign w:val="bottom"/>
          </w:tcPr>
          <w:p w14:paraId="44DF3361" w14:textId="7BC9F637" w:rsidR="00A94612" w:rsidRPr="00B148F9" w:rsidRDefault="00A94612" w:rsidP="00A94612">
            <w:pPr>
              <w:jc w:val="right"/>
              <w:rPr>
                <w:rFonts w:cs="Arial"/>
                <w:b/>
                <w:bCs/>
                <w:sz w:val="18"/>
                <w:lang w:eastAsia="en-GB"/>
              </w:rPr>
            </w:pPr>
            <w:r w:rsidRPr="00B148F9">
              <w:rPr>
                <w:rFonts w:cs="Arial"/>
                <w:b/>
                <w:bCs/>
                <w:sz w:val="18"/>
                <w:lang w:eastAsia="en-GB"/>
              </w:rPr>
              <w:t>-</w:t>
            </w:r>
          </w:p>
        </w:tc>
        <w:tc>
          <w:tcPr>
            <w:tcW w:w="1560" w:type="dxa"/>
            <w:vAlign w:val="bottom"/>
          </w:tcPr>
          <w:p w14:paraId="360FCF59" w14:textId="7E9EC30A" w:rsidR="00A94612" w:rsidRPr="00B148F9" w:rsidRDefault="00A94612" w:rsidP="00A94612">
            <w:pPr>
              <w:jc w:val="right"/>
              <w:rPr>
                <w:rFonts w:cs="Arial"/>
                <w:b/>
                <w:sz w:val="18"/>
                <w:lang w:eastAsia="en-GB"/>
              </w:rPr>
            </w:pPr>
            <w:r w:rsidRPr="00B148F9">
              <w:rPr>
                <w:rFonts w:cs="Arial"/>
                <w:b/>
                <w:sz w:val="18"/>
                <w:lang w:eastAsia="en-GB"/>
              </w:rPr>
              <w:t>214,386,975</w:t>
            </w:r>
          </w:p>
        </w:tc>
        <w:tc>
          <w:tcPr>
            <w:tcW w:w="1557" w:type="dxa"/>
            <w:noWrap/>
            <w:vAlign w:val="bottom"/>
          </w:tcPr>
          <w:p w14:paraId="6EF0E38C" w14:textId="2628727B" w:rsidR="00A94612" w:rsidRPr="00B148F9" w:rsidRDefault="00A94612" w:rsidP="00A94612">
            <w:pPr>
              <w:jc w:val="right"/>
              <w:rPr>
                <w:rFonts w:cs="Arial"/>
                <w:b/>
                <w:bCs/>
                <w:sz w:val="18"/>
                <w:lang w:eastAsia="en-GB"/>
              </w:rPr>
            </w:pPr>
            <w:r w:rsidRPr="00B148F9">
              <w:rPr>
                <w:rFonts w:cs="Arial"/>
                <w:b/>
                <w:sz w:val="18"/>
                <w:lang w:eastAsia="en-GB"/>
              </w:rPr>
              <w:t>148,663,472</w:t>
            </w:r>
          </w:p>
        </w:tc>
      </w:tr>
      <w:tr w:rsidR="00A94612" w:rsidRPr="00B148F9" w14:paraId="773D2488" w14:textId="77777777" w:rsidTr="00A94612">
        <w:trPr>
          <w:trHeight w:val="300"/>
        </w:trPr>
        <w:tc>
          <w:tcPr>
            <w:tcW w:w="3544" w:type="dxa"/>
            <w:noWrap/>
            <w:hideMark/>
          </w:tcPr>
          <w:p w14:paraId="37D67363" w14:textId="77777777" w:rsidR="00A94612" w:rsidRPr="00B148F9" w:rsidRDefault="00A94612" w:rsidP="00A94612">
            <w:pPr>
              <w:rPr>
                <w:rFonts w:cs="Arial"/>
                <w:sz w:val="18"/>
                <w:lang w:eastAsia="en-GB"/>
              </w:rPr>
            </w:pPr>
          </w:p>
        </w:tc>
        <w:tc>
          <w:tcPr>
            <w:tcW w:w="1418" w:type="dxa"/>
            <w:vAlign w:val="bottom"/>
          </w:tcPr>
          <w:p w14:paraId="3BD1200B" w14:textId="77777777" w:rsidR="00A94612" w:rsidRPr="00B148F9" w:rsidRDefault="00A94612" w:rsidP="00A94612">
            <w:pPr>
              <w:jc w:val="right"/>
              <w:rPr>
                <w:rFonts w:cs="Arial"/>
                <w:sz w:val="18"/>
                <w:lang w:eastAsia="en-GB"/>
              </w:rPr>
            </w:pPr>
          </w:p>
        </w:tc>
        <w:tc>
          <w:tcPr>
            <w:tcW w:w="1559" w:type="dxa"/>
            <w:vAlign w:val="bottom"/>
          </w:tcPr>
          <w:p w14:paraId="60C71066" w14:textId="77777777" w:rsidR="00A94612" w:rsidRPr="00B148F9" w:rsidRDefault="00A94612" w:rsidP="00A94612">
            <w:pPr>
              <w:jc w:val="right"/>
              <w:rPr>
                <w:rFonts w:cs="Arial"/>
                <w:sz w:val="18"/>
                <w:lang w:eastAsia="en-GB"/>
              </w:rPr>
            </w:pPr>
          </w:p>
        </w:tc>
        <w:tc>
          <w:tcPr>
            <w:tcW w:w="1559" w:type="dxa"/>
            <w:vAlign w:val="bottom"/>
          </w:tcPr>
          <w:p w14:paraId="4FCD010E" w14:textId="77777777" w:rsidR="00A94612" w:rsidRPr="00B148F9" w:rsidRDefault="00A94612" w:rsidP="00A94612">
            <w:pPr>
              <w:jc w:val="right"/>
              <w:rPr>
                <w:rFonts w:cs="Arial"/>
                <w:sz w:val="18"/>
                <w:lang w:eastAsia="en-GB"/>
              </w:rPr>
            </w:pPr>
          </w:p>
        </w:tc>
        <w:tc>
          <w:tcPr>
            <w:tcW w:w="1559" w:type="dxa"/>
            <w:vAlign w:val="bottom"/>
          </w:tcPr>
          <w:p w14:paraId="391576A8" w14:textId="0215A914" w:rsidR="00A94612" w:rsidRPr="00B148F9" w:rsidRDefault="00A94612" w:rsidP="00A94612">
            <w:pPr>
              <w:jc w:val="right"/>
              <w:rPr>
                <w:rFonts w:cs="Arial"/>
                <w:sz w:val="18"/>
                <w:lang w:eastAsia="en-GB"/>
              </w:rPr>
            </w:pPr>
          </w:p>
        </w:tc>
        <w:tc>
          <w:tcPr>
            <w:tcW w:w="1418" w:type="dxa"/>
            <w:vAlign w:val="bottom"/>
          </w:tcPr>
          <w:p w14:paraId="0775CEC5" w14:textId="77777777" w:rsidR="00A94612" w:rsidRPr="00B148F9" w:rsidRDefault="00A94612" w:rsidP="00A94612">
            <w:pPr>
              <w:jc w:val="right"/>
              <w:rPr>
                <w:rFonts w:cs="Arial"/>
                <w:sz w:val="18"/>
                <w:lang w:eastAsia="en-GB"/>
              </w:rPr>
            </w:pPr>
          </w:p>
        </w:tc>
        <w:tc>
          <w:tcPr>
            <w:tcW w:w="1417" w:type="dxa"/>
            <w:vAlign w:val="bottom"/>
          </w:tcPr>
          <w:p w14:paraId="4D8A16D6" w14:textId="77777777" w:rsidR="00A94612" w:rsidRPr="00B148F9" w:rsidRDefault="00A94612" w:rsidP="00A94612">
            <w:pPr>
              <w:jc w:val="right"/>
              <w:rPr>
                <w:rFonts w:cs="Arial"/>
                <w:sz w:val="18"/>
                <w:lang w:eastAsia="en-GB"/>
              </w:rPr>
            </w:pPr>
          </w:p>
        </w:tc>
        <w:tc>
          <w:tcPr>
            <w:tcW w:w="1560" w:type="dxa"/>
            <w:vAlign w:val="bottom"/>
          </w:tcPr>
          <w:p w14:paraId="6241AB34" w14:textId="26C848EB" w:rsidR="00A94612" w:rsidRPr="00B148F9" w:rsidRDefault="00A94612" w:rsidP="00A94612">
            <w:pPr>
              <w:jc w:val="right"/>
              <w:rPr>
                <w:rFonts w:cs="Arial"/>
                <w:sz w:val="18"/>
                <w:lang w:eastAsia="en-GB"/>
              </w:rPr>
            </w:pPr>
          </w:p>
        </w:tc>
        <w:tc>
          <w:tcPr>
            <w:tcW w:w="1557" w:type="dxa"/>
            <w:noWrap/>
            <w:vAlign w:val="bottom"/>
          </w:tcPr>
          <w:p w14:paraId="61258023" w14:textId="17924A86" w:rsidR="00A94612" w:rsidRPr="00B148F9" w:rsidRDefault="00A94612" w:rsidP="00A94612">
            <w:pPr>
              <w:jc w:val="right"/>
              <w:rPr>
                <w:rFonts w:cs="Arial"/>
                <w:sz w:val="18"/>
                <w:lang w:eastAsia="en-GB"/>
              </w:rPr>
            </w:pPr>
          </w:p>
        </w:tc>
      </w:tr>
      <w:tr w:rsidR="00A94612" w:rsidRPr="00B148F9" w14:paraId="7FA68105" w14:textId="77777777" w:rsidTr="00A94612">
        <w:trPr>
          <w:trHeight w:val="270"/>
        </w:trPr>
        <w:tc>
          <w:tcPr>
            <w:tcW w:w="3544" w:type="dxa"/>
            <w:noWrap/>
            <w:hideMark/>
          </w:tcPr>
          <w:p w14:paraId="7FAF6040" w14:textId="77777777" w:rsidR="00A94612" w:rsidRPr="00B148F9" w:rsidRDefault="00A94612" w:rsidP="00A94612">
            <w:pPr>
              <w:rPr>
                <w:rFonts w:cs="Arial"/>
                <w:sz w:val="18"/>
                <w:lang w:eastAsia="en-GB"/>
              </w:rPr>
            </w:pPr>
            <w:r w:rsidRPr="00B148F9">
              <w:rPr>
                <w:rFonts w:cs="Arial"/>
                <w:b/>
                <w:bCs/>
                <w:sz w:val="18"/>
                <w:lang w:eastAsia="en-GB"/>
              </w:rPr>
              <w:t>Net Assets,</w:t>
            </w:r>
            <w:r w:rsidRPr="00B148F9">
              <w:rPr>
                <w:rFonts w:cs="Arial"/>
                <w:bCs/>
                <w:sz w:val="18"/>
                <w:lang w:eastAsia="en-GB"/>
              </w:rPr>
              <w:t xml:space="preserve"> </w:t>
            </w:r>
            <w:r w:rsidRPr="00B148F9">
              <w:rPr>
                <w:rFonts w:cs="Arial"/>
                <w:b/>
                <w:bCs/>
                <w:sz w:val="18"/>
                <w:lang w:eastAsia="en-GB"/>
              </w:rPr>
              <w:t>beginning of year</w:t>
            </w:r>
          </w:p>
        </w:tc>
        <w:tc>
          <w:tcPr>
            <w:tcW w:w="1418" w:type="dxa"/>
            <w:tcBorders>
              <w:bottom w:val="single" w:sz="4" w:space="0" w:color="auto"/>
            </w:tcBorders>
            <w:vAlign w:val="bottom"/>
          </w:tcPr>
          <w:p w14:paraId="68E98102" w14:textId="002E1721" w:rsidR="00A94612" w:rsidRPr="00B148F9" w:rsidRDefault="00A94612" w:rsidP="00A94612">
            <w:pPr>
              <w:jc w:val="right"/>
              <w:rPr>
                <w:rFonts w:cs="Arial"/>
                <w:b/>
                <w:sz w:val="18"/>
                <w:lang w:eastAsia="en-GB"/>
              </w:rPr>
            </w:pPr>
            <w:r w:rsidRPr="00B148F9">
              <w:rPr>
                <w:rFonts w:cs="Arial"/>
                <w:b/>
                <w:sz w:val="18"/>
                <w:lang w:eastAsia="en-GB"/>
              </w:rPr>
              <w:t>140,981</w:t>
            </w:r>
          </w:p>
        </w:tc>
        <w:tc>
          <w:tcPr>
            <w:tcW w:w="1559" w:type="dxa"/>
            <w:tcBorders>
              <w:bottom w:val="single" w:sz="4" w:space="0" w:color="auto"/>
            </w:tcBorders>
            <w:vAlign w:val="bottom"/>
          </w:tcPr>
          <w:p w14:paraId="61071865" w14:textId="0339FFB8" w:rsidR="00A94612" w:rsidRPr="00B148F9" w:rsidRDefault="00A94612" w:rsidP="00A94612">
            <w:pPr>
              <w:jc w:val="right"/>
              <w:rPr>
                <w:rFonts w:cs="Arial"/>
                <w:b/>
                <w:sz w:val="18"/>
                <w:lang w:eastAsia="en-GB"/>
              </w:rPr>
            </w:pPr>
            <w:r w:rsidRPr="00B148F9">
              <w:rPr>
                <w:rFonts w:cs="Arial"/>
                <w:b/>
                <w:sz w:val="18"/>
                <w:lang w:eastAsia="en-GB"/>
              </w:rPr>
              <w:t>65,582,522</w:t>
            </w:r>
          </w:p>
        </w:tc>
        <w:tc>
          <w:tcPr>
            <w:tcW w:w="1559" w:type="dxa"/>
            <w:tcBorders>
              <w:bottom w:val="single" w:sz="4" w:space="0" w:color="auto"/>
            </w:tcBorders>
            <w:vAlign w:val="bottom"/>
          </w:tcPr>
          <w:p w14:paraId="683FBF65" w14:textId="6313E832" w:rsidR="00A94612" w:rsidRPr="00B148F9" w:rsidRDefault="00A94612" w:rsidP="00A94612">
            <w:pPr>
              <w:jc w:val="right"/>
              <w:rPr>
                <w:rFonts w:cs="Arial"/>
                <w:b/>
                <w:sz w:val="18"/>
                <w:lang w:eastAsia="en-GB"/>
              </w:rPr>
            </w:pPr>
            <w:r w:rsidRPr="00B148F9">
              <w:rPr>
                <w:rFonts w:cs="Arial"/>
                <w:b/>
                <w:sz w:val="18"/>
                <w:lang w:eastAsia="en-GB"/>
              </w:rPr>
              <w:t>65,723,503</w:t>
            </w:r>
          </w:p>
        </w:tc>
        <w:tc>
          <w:tcPr>
            <w:tcW w:w="1559" w:type="dxa"/>
            <w:tcBorders>
              <w:bottom w:val="single" w:sz="4" w:space="0" w:color="auto"/>
            </w:tcBorders>
            <w:vAlign w:val="bottom"/>
          </w:tcPr>
          <w:p w14:paraId="060C785B" w14:textId="7C886043" w:rsidR="00A94612" w:rsidRPr="00B148F9" w:rsidRDefault="00A94612" w:rsidP="00A94612">
            <w:pPr>
              <w:jc w:val="right"/>
              <w:rPr>
                <w:rFonts w:cs="Arial"/>
                <w:b/>
                <w:sz w:val="18"/>
                <w:lang w:eastAsia="en-GB"/>
              </w:rPr>
            </w:pPr>
            <w:r w:rsidRPr="00B148F9">
              <w:rPr>
                <w:rFonts w:cs="Arial"/>
                <w:b/>
                <w:sz w:val="18"/>
                <w:lang w:eastAsia="en-GB"/>
              </w:rPr>
              <w:t>n/a</w:t>
            </w:r>
          </w:p>
        </w:tc>
        <w:tc>
          <w:tcPr>
            <w:tcW w:w="1418" w:type="dxa"/>
            <w:tcBorders>
              <w:bottom w:val="single" w:sz="4" w:space="0" w:color="auto"/>
            </w:tcBorders>
            <w:vAlign w:val="bottom"/>
          </w:tcPr>
          <w:p w14:paraId="2771ED56" w14:textId="39651911" w:rsidR="00A94612" w:rsidRPr="00B148F9" w:rsidRDefault="00A94612" w:rsidP="00A94612">
            <w:pPr>
              <w:jc w:val="right"/>
              <w:rPr>
                <w:rFonts w:cs="Arial"/>
                <w:b/>
                <w:sz w:val="18"/>
                <w:lang w:eastAsia="en-GB"/>
              </w:rPr>
            </w:pPr>
            <w:r w:rsidRPr="00B148F9">
              <w:rPr>
                <w:rFonts w:cs="Arial"/>
                <w:b/>
                <w:sz w:val="18"/>
                <w:lang w:eastAsia="en-GB"/>
              </w:rPr>
              <w:t>n/a</w:t>
            </w:r>
          </w:p>
        </w:tc>
        <w:tc>
          <w:tcPr>
            <w:tcW w:w="1417" w:type="dxa"/>
            <w:tcBorders>
              <w:bottom w:val="single" w:sz="4" w:space="0" w:color="auto"/>
            </w:tcBorders>
            <w:vAlign w:val="bottom"/>
          </w:tcPr>
          <w:p w14:paraId="58AAD182" w14:textId="3FE64439" w:rsidR="00A94612" w:rsidRPr="00B148F9" w:rsidRDefault="00A94612" w:rsidP="00A94612">
            <w:pPr>
              <w:jc w:val="right"/>
              <w:rPr>
                <w:rFonts w:cs="Arial"/>
                <w:b/>
                <w:sz w:val="18"/>
                <w:lang w:eastAsia="en-GB"/>
              </w:rPr>
            </w:pPr>
            <w:r w:rsidRPr="00B148F9">
              <w:rPr>
                <w:rFonts w:cs="Arial"/>
                <w:b/>
                <w:sz w:val="18"/>
                <w:lang w:eastAsia="en-GB"/>
              </w:rPr>
              <w:t>n/a</w:t>
            </w:r>
          </w:p>
        </w:tc>
        <w:tc>
          <w:tcPr>
            <w:tcW w:w="1560" w:type="dxa"/>
            <w:tcBorders>
              <w:bottom w:val="single" w:sz="4" w:space="0" w:color="auto"/>
            </w:tcBorders>
            <w:vAlign w:val="bottom"/>
          </w:tcPr>
          <w:p w14:paraId="39B478C0" w14:textId="22241036" w:rsidR="00A94612" w:rsidRPr="00B148F9" w:rsidRDefault="00A94612" w:rsidP="00A94612">
            <w:pPr>
              <w:jc w:val="right"/>
              <w:rPr>
                <w:rFonts w:cs="Arial"/>
                <w:b/>
                <w:sz w:val="18"/>
                <w:lang w:eastAsia="en-GB"/>
              </w:rPr>
            </w:pPr>
            <w:r w:rsidRPr="00B148F9">
              <w:rPr>
                <w:rFonts w:cs="Arial"/>
                <w:b/>
                <w:sz w:val="18"/>
                <w:lang w:eastAsia="en-GB"/>
              </w:rPr>
              <w:t>n/a</w:t>
            </w:r>
          </w:p>
        </w:tc>
        <w:tc>
          <w:tcPr>
            <w:tcW w:w="1557" w:type="dxa"/>
            <w:tcBorders>
              <w:bottom w:val="single" w:sz="4" w:space="0" w:color="auto"/>
            </w:tcBorders>
            <w:shd w:val="clear" w:color="auto" w:fill="auto"/>
            <w:noWrap/>
            <w:vAlign w:val="bottom"/>
          </w:tcPr>
          <w:p w14:paraId="6FE7E907" w14:textId="11522503" w:rsidR="00A94612" w:rsidRPr="00B148F9" w:rsidRDefault="00A94612" w:rsidP="00A94612">
            <w:pPr>
              <w:jc w:val="right"/>
              <w:rPr>
                <w:rFonts w:cs="Arial"/>
                <w:b/>
                <w:sz w:val="18"/>
                <w:lang w:eastAsia="en-GB"/>
              </w:rPr>
            </w:pPr>
            <w:r w:rsidRPr="00B148F9">
              <w:rPr>
                <w:rFonts w:cs="Arial"/>
                <w:b/>
                <w:sz w:val="18"/>
                <w:lang w:eastAsia="en-GB"/>
              </w:rPr>
              <w:t>65,723,503</w:t>
            </w:r>
          </w:p>
        </w:tc>
      </w:tr>
      <w:tr w:rsidR="00A94612" w:rsidRPr="00B148F9" w14:paraId="224516FB" w14:textId="77777777" w:rsidTr="00A94612">
        <w:trPr>
          <w:trHeight w:val="255"/>
        </w:trPr>
        <w:tc>
          <w:tcPr>
            <w:tcW w:w="3544" w:type="dxa"/>
            <w:noWrap/>
          </w:tcPr>
          <w:p w14:paraId="31B0A0EB" w14:textId="77777777" w:rsidR="00A94612" w:rsidRPr="00B148F9" w:rsidRDefault="00A94612" w:rsidP="00A94612">
            <w:pPr>
              <w:jc w:val="right"/>
              <w:rPr>
                <w:rFonts w:cs="Arial"/>
                <w:b/>
                <w:bCs/>
                <w:sz w:val="18"/>
                <w:lang w:eastAsia="en-GB"/>
              </w:rPr>
            </w:pPr>
          </w:p>
        </w:tc>
        <w:tc>
          <w:tcPr>
            <w:tcW w:w="1418" w:type="dxa"/>
            <w:tcBorders>
              <w:top w:val="single" w:sz="4" w:space="0" w:color="auto"/>
              <w:bottom w:val="single" w:sz="4" w:space="0" w:color="auto"/>
            </w:tcBorders>
            <w:vAlign w:val="bottom"/>
          </w:tcPr>
          <w:p w14:paraId="077BADCE" w14:textId="77777777" w:rsidR="00A94612" w:rsidRPr="00B148F9" w:rsidRDefault="00A94612" w:rsidP="00A94612">
            <w:pPr>
              <w:jc w:val="right"/>
              <w:rPr>
                <w:rFonts w:cs="Arial"/>
                <w:b/>
                <w:bCs/>
                <w:sz w:val="18"/>
                <w:lang w:eastAsia="en-GB"/>
              </w:rPr>
            </w:pPr>
          </w:p>
        </w:tc>
        <w:tc>
          <w:tcPr>
            <w:tcW w:w="1559" w:type="dxa"/>
            <w:tcBorders>
              <w:top w:val="single" w:sz="4" w:space="0" w:color="auto"/>
              <w:bottom w:val="single" w:sz="4" w:space="0" w:color="auto"/>
            </w:tcBorders>
            <w:vAlign w:val="bottom"/>
          </w:tcPr>
          <w:p w14:paraId="2EC76FCF" w14:textId="77777777" w:rsidR="00A94612" w:rsidRPr="00B148F9" w:rsidRDefault="00A94612" w:rsidP="00A94612">
            <w:pPr>
              <w:jc w:val="right"/>
              <w:rPr>
                <w:rFonts w:cs="Arial"/>
                <w:b/>
                <w:bCs/>
                <w:sz w:val="18"/>
                <w:lang w:eastAsia="en-GB"/>
              </w:rPr>
            </w:pPr>
          </w:p>
        </w:tc>
        <w:tc>
          <w:tcPr>
            <w:tcW w:w="1559" w:type="dxa"/>
            <w:tcBorders>
              <w:top w:val="single" w:sz="4" w:space="0" w:color="auto"/>
              <w:bottom w:val="single" w:sz="4" w:space="0" w:color="auto"/>
            </w:tcBorders>
            <w:vAlign w:val="bottom"/>
          </w:tcPr>
          <w:p w14:paraId="341925FA" w14:textId="77777777" w:rsidR="00A94612" w:rsidRPr="00B148F9" w:rsidRDefault="00A94612" w:rsidP="00A94612">
            <w:pPr>
              <w:jc w:val="right"/>
              <w:rPr>
                <w:rFonts w:cs="Arial"/>
                <w:b/>
                <w:bCs/>
                <w:sz w:val="18"/>
                <w:lang w:eastAsia="en-GB"/>
              </w:rPr>
            </w:pPr>
          </w:p>
        </w:tc>
        <w:tc>
          <w:tcPr>
            <w:tcW w:w="1559" w:type="dxa"/>
            <w:tcBorders>
              <w:top w:val="single" w:sz="4" w:space="0" w:color="auto"/>
              <w:bottom w:val="single" w:sz="4" w:space="0" w:color="auto"/>
            </w:tcBorders>
            <w:vAlign w:val="bottom"/>
          </w:tcPr>
          <w:p w14:paraId="601A13D6" w14:textId="745FC345" w:rsidR="00A94612" w:rsidRPr="00B148F9" w:rsidRDefault="00A94612" w:rsidP="00A94612">
            <w:pPr>
              <w:jc w:val="right"/>
              <w:rPr>
                <w:rFonts w:cs="Arial"/>
                <w:b/>
                <w:bCs/>
                <w:sz w:val="18"/>
                <w:lang w:eastAsia="en-GB"/>
              </w:rPr>
            </w:pPr>
          </w:p>
        </w:tc>
        <w:tc>
          <w:tcPr>
            <w:tcW w:w="1418" w:type="dxa"/>
            <w:tcBorders>
              <w:top w:val="single" w:sz="4" w:space="0" w:color="auto"/>
              <w:bottom w:val="single" w:sz="4" w:space="0" w:color="auto"/>
            </w:tcBorders>
            <w:vAlign w:val="bottom"/>
          </w:tcPr>
          <w:p w14:paraId="6377E8FC" w14:textId="77777777" w:rsidR="00A94612" w:rsidRPr="00B148F9" w:rsidRDefault="00A94612" w:rsidP="00A94612">
            <w:pPr>
              <w:jc w:val="right"/>
              <w:rPr>
                <w:rFonts w:cs="Arial"/>
                <w:b/>
                <w:bCs/>
                <w:sz w:val="18"/>
                <w:lang w:eastAsia="en-GB"/>
              </w:rPr>
            </w:pPr>
          </w:p>
        </w:tc>
        <w:tc>
          <w:tcPr>
            <w:tcW w:w="1417" w:type="dxa"/>
            <w:tcBorders>
              <w:top w:val="single" w:sz="4" w:space="0" w:color="auto"/>
              <w:bottom w:val="single" w:sz="4" w:space="0" w:color="auto"/>
            </w:tcBorders>
            <w:vAlign w:val="bottom"/>
          </w:tcPr>
          <w:p w14:paraId="0A31E923" w14:textId="77777777" w:rsidR="00A94612" w:rsidRPr="00B148F9" w:rsidRDefault="00A94612" w:rsidP="00A94612">
            <w:pPr>
              <w:jc w:val="right"/>
              <w:rPr>
                <w:rFonts w:cs="Arial"/>
                <w:b/>
                <w:bCs/>
                <w:sz w:val="18"/>
                <w:lang w:eastAsia="en-GB"/>
              </w:rPr>
            </w:pPr>
          </w:p>
        </w:tc>
        <w:tc>
          <w:tcPr>
            <w:tcW w:w="1560" w:type="dxa"/>
            <w:tcBorders>
              <w:top w:val="single" w:sz="4" w:space="0" w:color="auto"/>
              <w:bottom w:val="single" w:sz="4" w:space="0" w:color="auto"/>
            </w:tcBorders>
            <w:vAlign w:val="bottom"/>
          </w:tcPr>
          <w:p w14:paraId="39321885" w14:textId="687B9B63" w:rsidR="00A94612" w:rsidRPr="00B148F9" w:rsidRDefault="00A94612" w:rsidP="00A94612">
            <w:pPr>
              <w:jc w:val="right"/>
              <w:rPr>
                <w:rFonts w:cs="Arial"/>
                <w:b/>
                <w:bCs/>
                <w:sz w:val="18"/>
                <w:lang w:eastAsia="en-GB"/>
              </w:rPr>
            </w:pPr>
          </w:p>
        </w:tc>
        <w:tc>
          <w:tcPr>
            <w:tcW w:w="1557" w:type="dxa"/>
            <w:tcBorders>
              <w:top w:val="single" w:sz="4" w:space="0" w:color="auto"/>
              <w:bottom w:val="single" w:sz="4" w:space="0" w:color="auto"/>
            </w:tcBorders>
            <w:noWrap/>
            <w:vAlign w:val="bottom"/>
          </w:tcPr>
          <w:p w14:paraId="4AF96D23" w14:textId="5B893138" w:rsidR="00A94612" w:rsidRPr="00B148F9" w:rsidRDefault="00A94612" w:rsidP="00A94612">
            <w:pPr>
              <w:jc w:val="right"/>
              <w:rPr>
                <w:rFonts w:cs="Arial"/>
                <w:b/>
                <w:bCs/>
                <w:sz w:val="18"/>
                <w:lang w:eastAsia="en-GB"/>
              </w:rPr>
            </w:pPr>
          </w:p>
        </w:tc>
      </w:tr>
      <w:tr w:rsidR="00A94612" w:rsidRPr="00B148F9" w14:paraId="256A1404" w14:textId="77777777" w:rsidTr="00A94612">
        <w:trPr>
          <w:trHeight w:val="255"/>
        </w:trPr>
        <w:tc>
          <w:tcPr>
            <w:tcW w:w="3544" w:type="dxa"/>
            <w:noWrap/>
          </w:tcPr>
          <w:p w14:paraId="4F8F66A3" w14:textId="77777777" w:rsidR="00A94612" w:rsidRPr="00B148F9" w:rsidRDefault="00A94612" w:rsidP="00A94612">
            <w:pPr>
              <w:rPr>
                <w:rFonts w:cs="Arial"/>
                <w:b/>
                <w:bCs/>
                <w:sz w:val="18"/>
                <w:lang w:eastAsia="en-GB"/>
              </w:rPr>
            </w:pPr>
            <w:r w:rsidRPr="00B148F9">
              <w:rPr>
                <w:rFonts w:cs="Arial"/>
                <w:b/>
                <w:bCs/>
                <w:sz w:val="18"/>
                <w:lang w:eastAsia="en-GB"/>
              </w:rPr>
              <w:t>Net Assets,</w:t>
            </w:r>
            <w:r w:rsidRPr="00B148F9">
              <w:rPr>
                <w:rFonts w:cs="Arial"/>
                <w:bCs/>
                <w:sz w:val="18"/>
                <w:lang w:eastAsia="en-GB"/>
              </w:rPr>
              <w:t xml:space="preserve"> </w:t>
            </w:r>
            <w:r w:rsidRPr="00B148F9">
              <w:rPr>
                <w:rFonts w:cs="Arial"/>
                <w:b/>
                <w:bCs/>
                <w:sz w:val="18"/>
                <w:lang w:eastAsia="en-GB"/>
              </w:rPr>
              <w:t>end of year</w:t>
            </w:r>
          </w:p>
        </w:tc>
        <w:tc>
          <w:tcPr>
            <w:tcW w:w="1418" w:type="dxa"/>
            <w:tcBorders>
              <w:top w:val="single" w:sz="4" w:space="0" w:color="auto"/>
              <w:bottom w:val="single" w:sz="4" w:space="0" w:color="auto"/>
            </w:tcBorders>
            <w:vAlign w:val="bottom"/>
          </w:tcPr>
          <w:p w14:paraId="04BBA055" w14:textId="0DBFB0C7" w:rsidR="00A94612" w:rsidRPr="00B148F9" w:rsidRDefault="00A94612" w:rsidP="00A94612">
            <w:pPr>
              <w:jc w:val="right"/>
              <w:rPr>
                <w:rFonts w:cs="Arial"/>
                <w:b/>
                <w:bCs/>
                <w:sz w:val="18"/>
                <w:lang w:eastAsia="en-GB"/>
              </w:rPr>
            </w:pPr>
            <w:r w:rsidRPr="00B148F9">
              <w:rPr>
                <w:rFonts w:cs="Arial"/>
                <w:b/>
                <w:bCs/>
                <w:sz w:val="18"/>
                <w:lang w:eastAsia="en-GB"/>
              </w:rPr>
              <w:t>US$-</w:t>
            </w:r>
          </w:p>
        </w:tc>
        <w:tc>
          <w:tcPr>
            <w:tcW w:w="1559" w:type="dxa"/>
            <w:tcBorders>
              <w:top w:val="single" w:sz="4" w:space="0" w:color="auto"/>
              <w:bottom w:val="single" w:sz="4" w:space="0" w:color="auto"/>
            </w:tcBorders>
            <w:vAlign w:val="bottom"/>
          </w:tcPr>
          <w:p w14:paraId="2D029527" w14:textId="0DED880E" w:rsidR="00A94612" w:rsidRPr="00B148F9" w:rsidRDefault="00A94612" w:rsidP="00A94612">
            <w:pPr>
              <w:jc w:val="right"/>
              <w:rPr>
                <w:rFonts w:cs="Arial"/>
                <w:b/>
                <w:bCs/>
                <w:sz w:val="18"/>
                <w:lang w:eastAsia="en-GB"/>
              </w:rPr>
            </w:pPr>
            <w:r w:rsidRPr="00B148F9">
              <w:rPr>
                <w:rFonts w:cs="Arial"/>
                <w:b/>
                <w:bCs/>
                <w:sz w:val="18"/>
                <w:lang w:eastAsia="en-GB"/>
              </w:rPr>
              <w:t>US$-</w:t>
            </w:r>
          </w:p>
        </w:tc>
        <w:tc>
          <w:tcPr>
            <w:tcW w:w="1559" w:type="dxa"/>
            <w:tcBorders>
              <w:top w:val="single" w:sz="4" w:space="0" w:color="auto"/>
              <w:bottom w:val="single" w:sz="4" w:space="0" w:color="auto"/>
            </w:tcBorders>
            <w:vAlign w:val="bottom"/>
          </w:tcPr>
          <w:p w14:paraId="5720BC74" w14:textId="6C8938AE" w:rsidR="00A94612" w:rsidRPr="00B148F9" w:rsidRDefault="00A94612" w:rsidP="00A94612">
            <w:pPr>
              <w:jc w:val="right"/>
              <w:rPr>
                <w:rFonts w:cs="Arial"/>
                <w:b/>
                <w:bCs/>
                <w:sz w:val="18"/>
                <w:lang w:eastAsia="en-GB"/>
              </w:rPr>
            </w:pPr>
            <w:r w:rsidRPr="00B148F9">
              <w:rPr>
                <w:rFonts w:cs="Arial"/>
                <w:b/>
                <w:bCs/>
                <w:sz w:val="18"/>
                <w:lang w:eastAsia="en-GB"/>
              </w:rPr>
              <w:t>US$-</w:t>
            </w:r>
          </w:p>
        </w:tc>
        <w:tc>
          <w:tcPr>
            <w:tcW w:w="1559" w:type="dxa"/>
            <w:tcBorders>
              <w:top w:val="single" w:sz="4" w:space="0" w:color="auto"/>
              <w:bottom w:val="single" w:sz="4" w:space="0" w:color="auto"/>
            </w:tcBorders>
            <w:vAlign w:val="bottom"/>
          </w:tcPr>
          <w:p w14:paraId="4B6151AF" w14:textId="79917427" w:rsidR="00A94612" w:rsidRPr="00B148F9" w:rsidRDefault="00A94612" w:rsidP="00A94612">
            <w:pPr>
              <w:jc w:val="right"/>
              <w:rPr>
                <w:rFonts w:cs="Arial"/>
                <w:b/>
                <w:bCs/>
                <w:sz w:val="18"/>
                <w:lang w:eastAsia="en-GB"/>
              </w:rPr>
            </w:pPr>
            <w:r w:rsidRPr="00B148F9">
              <w:rPr>
                <w:rFonts w:cs="Arial"/>
                <w:b/>
                <w:bCs/>
                <w:sz w:val="18"/>
                <w:lang w:eastAsia="en-GB"/>
              </w:rPr>
              <w:t>US$205,695,869</w:t>
            </w:r>
          </w:p>
        </w:tc>
        <w:tc>
          <w:tcPr>
            <w:tcW w:w="1418" w:type="dxa"/>
            <w:tcBorders>
              <w:top w:val="single" w:sz="4" w:space="0" w:color="auto"/>
              <w:bottom w:val="single" w:sz="4" w:space="0" w:color="auto"/>
            </w:tcBorders>
            <w:vAlign w:val="bottom"/>
          </w:tcPr>
          <w:p w14:paraId="6F877193" w14:textId="46C43DFD" w:rsidR="00A94612" w:rsidRPr="00B148F9" w:rsidRDefault="00A94612" w:rsidP="00A94612">
            <w:pPr>
              <w:jc w:val="right"/>
              <w:rPr>
                <w:rFonts w:cs="Arial"/>
                <w:b/>
                <w:bCs/>
                <w:sz w:val="18"/>
                <w:lang w:eastAsia="en-GB"/>
              </w:rPr>
            </w:pPr>
            <w:r w:rsidRPr="00B148F9">
              <w:rPr>
                <w:rFonts w:cs="Arial"/>
                <w:b/>
                <w:bCs/>
                <w:sz w:val="18"/>
                <w:lang w:eastAsia="en-GB"/>
              </w:rPr>
              <w:t>US$8,691,106</w:t>
            </w:r>
          </w:p>
        </w:tc>
        <w:tc>
          <w:tcPr>
            <w:tcW w:w="1417" w:type="dxa"/>
            <w:tcBorders>
              <w:top w:val="single" w:sz="4" w:space="0" w:color="auto"/>
              <w:bottom w:val="single" w:sz="4" w:space="0" w:color="auto"/>
            </w:tcBorders>
            <w:vAlign w:val="bottom"/>
          </w:tcPr>
          <w:p w14:paraId="3A1D0DC9" w14:textId="24366201" w:rsidR="00A94612" w:rsidRPr="00B148F9" w:rsidRDefault="00A94612" w:rsidP="00A94612">
            <w:pPr>
              <w:jc w:val="right"/>
              <w:rPr>
                <w:rFonts w:cs="Arial"/>
                <w:b/>
                <w:bCs/>
                <w:sz w:val="18"/>
                <w:lang w:eastAsia="en-GB"/>
              </w:rPr>
            </w:pPr>
            <w:r w:rsidRPr="00B148F9">
              <w:rPr>
                <w:rFonts w:cs="Arial"/>
                <w:b/>
                <w:bCs/>
                <w:sz w:val="18"/>
                <w:lang w:eastAsia="en-GB"/>
              </w:rPr>
              <w:t>US$-</w:t>
            </w:r>
          </w:p>
        </w:tc>
        <w:tc>
          <w:tcPr>
            <w:tcW w:w="1560" w:type="dxa"/>
            <w:tcBorders>
              <w:top w:val="single" w:sz="4" w:space="0" w:color="auto"/>
              <w:bottom w:val="single" w:sz="4" w:space="0" w:color="auto"/>
            </w:tcBorders>
            <w:vAlign w:val="bottom"/>
          </w:tcPr>
          <w:p w14:paraId="2067A851" w14:textId="718AF43D" w:rsidR="00A94612" w:rsidRPr="00B148F9" w:rsidRDefault="00A94612" w:rsidP="00A94612">
            <w:pPr>
              <w:jc w:val="right"/>
              <w:rPr>
                <w:rFonts w:cs="Arial"/>
                <w:b/>
                <w:bCs/>
                <w:sz w:val="18"/>
                <w:lang w:eastAsia="en-GB"/>
              </w:rPr>
            </w:pPr>
            <w:r w:rsidRPr="00B148F9">
              <w:rPr>
                <w:rFonts w:cs="Arial"/>
                <w:b/>
                <w:bCs/>
                <w:sz w:val="18"/>
                <w:lang w:eastAsia="en-GB"/>
              </w:rPr>
              <w:t>US$214,386,975</w:t>
            </w:r>
          </w:p>
        </w:tc>
        <w:tc>
          <w:tcPr>
            <w:tcW w:w="1557" w:type="dxa"/>
            <w:tcBorders>
              <w:top w:val="single" w:sz="4" w:space="0" w:color="auto"/>
              <w:bottom w:val="single" w:sz="4" w:space="0" w:color="auto"/>
            </w:tcBorders>
            <w:noWrap/>
            <w:vAlign w:val="bottom"/>
          </w:tcPr>
          <w:p w14:paraId="227D8586" w14:textId="7E78493D" w:rsidR="00A94612" w:rsidRPr="00B148F9" w:rsidRDefault="00D21470" w:rsidP="00A94612">
            <w:pPr>
              <w:jc w:val="right"/>
              <w:rPr>
                <w:rFonts w:cs="Arial"/>
                <w:b/>
                <w:bCs/>
                <w:sz w:val="18"/>
                <w:lang w:eastAsia="en-GB"/>
              </w:rPr>
            </w:pPr>
            <w:r w:rsidRPr="00B148F9">
              <w:rPr>
                <w:rFonts w:cs="Arial"/>
                <w:b/>
                <w:bCs/>
                <w:sz w:val="18"/>
                <w:lang w:eastAsia="en-GB"/>
              </w:rPr>
              <w:t>US$214,386,975</w:t>
            </w:r>
          </w:p>
        </w:tc>
      </w:tr>
    </w:tbl>
    <w:p w14:paraId="53A5A940" w14:textId="38FE875A" w:rsidR="00AF2A94" w:rsidRPr="00B148F9" w:rsidRDefault="00DB3928" w:rsidP="00326CD3">
      <w:pPr>
        <w:rPr>
          <w:rFonts w:cs="Arial"/>
        </w:rPr>
      </w:pPr>
      <w:r w:rsidRPr="00B148F9">
        <w:rPr>
          <w:rFonts w:cs="Arial"/>
        </w:rPr>
        <w:t>See accompanying notes to the financial statements.</w:t>
      </w:r>
    </w:p>
    <w:p w14:paraId="46B64D81" w14:textId="77777777" w:rsidR="00195DBF" w:rsidRPr="00B148F9" w:rsidRDefault="00195DBF" w:rsidP="00326CD3">
      <w:pPr>
        <w:rPr>
          <w:rFonts w:cs="Arial"/>
        </w:rPr>
      </w:pPr>
    </w:p>
    <w:p w14:paraId="435D81E9" w14:textId="2EB5DFC2" w:rsidR="008E2527" w:rsidRPr="00B148F9" w:rsidRDefault="008E2527" w:rsidP="00326CD3">
      <w:pPr>
        <w:rPr>
          <w:rFonts w:cs="Arial"/>
        </w:rPr>
      </w:pPr>
    </w:p>
    <w:p w14:paraId="1255D2B2" w14:textId="77777777" w:rsidR="008E2527" w:rsidRPr="00B148F9" w:rsidRDefault="008E2527" w:rsidP="00326CD3">
      <w:pPr>
        <w:rPr>
          <w:rFonts w:cs="Arial"/>
        </w:rPr>
      </w:pPr>
    </w:p>
    <w:p w14:paraId="3AE7AE52" w14:textId="58F07265" w:rsidR="003A034F" w:rsidRPr="00B148F9" w:rsidRDefault="00D308A3" w:rsidP="00B961FE">
      <w:pPr>
        <w:pStyle w:val="Heading1"/>
        <w:rPr>
          <w:sz w:val="20"/>
        </w:rPr>
      </w:pPr>
      <w:r w:rsidRPr="00B148F9">
        <w:rPr>
          <w:sz w:val="20"/>
        </w:rPr>
        <w:t xml:space="preserve">Statement of Changes in </w:t>
      </w:r>
      <w:r w:rsidR="003A034F" w:rsidRPr="00B148F9">
        <w:rPr>
          <w:sz w:val="20"/>
        </w:rPr>
        <w:t>Net Assets</w:t>
      </w:r>
    </w:p>
    <w:p w14:paraId="50CC8444" w14:textId="0B2AE337" w:rsidR="00D308A3" w:rsidRPr="00C60076" w:rsidRDefault="003A034F" w:rsidP="00B961FE">
      <w:pPr>
        <w:pStyle w:val="Heading1"/>
        <w:rPr>
          <w:b w:val="0"/>
          <w:sz w:val="20"/>
        </w:rPr>
      </w:pPr>
      <w:r w:rsidRPr="00C60076">
        <w:rPr>
          <w:b w:val="0"/>
          <w:sz w:val="20"/>
        </w:rPr>
        <w:t>(2018 comparative: Statement of Changes in Member’s Equity)</w:t>
      </w:r>
      <w:r w:rsidR="00D308A3" w:rsidRPr="00C60076">
        <w:rPr>
          <w:b w:val="0"/>
          <w:sz w:val="20"/>
        </w:rPr>
        <w:t xml:space="preserve"> </w:t>
      </w:r>
    </w:p>
    <w:p w14:paraId="7E9E2F31" w14:textId="2205BA65" w:rsidR="00AF2A94" w:rsidRPr="00251CF4" w:rsidRDefault="00AF2A94" w:rsidP="00AF2A94">
      <w:pPr>
        <w:jc w:val="center"/>
        <w:rPr>
          <w:rFonts w:cs="Arial"/>
          <w:b/>
          <w:bCs/>
        </w:rPr>
      </w:pPr>
      <w:r w:rsidRPr="00251CF4">
        <w:rPr>
          <w:rFonts w:cs="Arial"/>
          <w:b/>
          <w:bCs/>
        </w:rPr>
        <w:t>For the year ended 31 December 2018</w:t>
      </w:r>
    </w:p>
    <w:p w14:paraId="7B0421D0" w14:textId="47DF873E" w:rsidR="00AF2A94" w:rsidRPr="00B148F9" w:rsidRDefault="00945CE0" w:rsidP="00EE53BF">
      <w:pPr>
        <w:jc w:val="center"/>
        <w:rPr>
          <w:rFonts w:cs="Arial"/>
        </w:rPr>
      </w:pPr>
      <w:r w:rsidRPr="00B148F9">
        <w:rPr>
          <w:rFonts w:cs="Arial"/>
        </w:rPr>
        <w:t>(</w:t>
      </w:r>
      <w:r w:rsidR="002E7F22" w:rsidRPr="00B148F9">
        <w:rPr>
          <w:rFonts w:cs="Arial"/>
        </w:rPr>
        <w:t>Expressed in United States Dollars</w:t>
      </w:r>
      <w:r w:rsidRPr="00B148F9">
        <w:rPr>
          <w:rFonts w:cs="Arial"/>
        </w:rPr>
        <w:t>)</w:t>
      </w:r>
    </w:p>
    <w:p w14:paraId="71E91E9A" w14:textId="77777777" w:rsidR="00AF2A94" w:rsidRPr="00B148F9" w:rsidRDefault="00AF2A94" w:rsidP="00AF2A94">
      <w:pPr>
        <w:tabs>
          <w:tab w:val="left" w:pos="569"/>
        </w:tabs>
        <w:rPr>
          <w:rFonts w:cs="Arial"/>
        </w:rPr>
      </w:pPr>
      <w:r w:rsidRPr="00B148F9">
        <w:rPr>
          <w:rFonts w:cs="Arial"/>
        </w:rPr>
        <w:tab/>
      </w:r>
    </w:p>
    <w:tbl>
      <w:tblPr>
        <w:tblW w:w="13467" w:type="dxa"/>
        <w:jc w:val="center"/>
        <w:tblLook w:val="04A0" w:firstRow="1" w:lastRow="0" w:firstColumn="1" w:lastColumn="0" w:noHBand="0" w:noVBand="1"/>
      </w:tblPr>
      <w:tblGrid>
        <w:gridCol w:w="6946"/>
        <w:gridCol w:w="2268"/>
        <w:gridCol w:w="1843"/>
        <w:gridCol w:w="2410"/>
      </w:tblGrid>
      <w:tr w:rsidR="00373B69" w:rsidRPr="00B148F9" w14:paraId="5B9546AE" w14:textId="77777777" w:rsidTr="00EE53BF">
        <w:trPr>
          <w:trHeight w:val="270"/>
          <w:jc w:val="center"/>
        </w:trPr>
        <w:tc>
          <w:tcPr>
            <w:tcW w:w="6946" w:type="dxa"/>
            <w:noWrap/>
            <w:hideMark/>
          </w:tcPr>
          <w:p w14:paraId="1747F79A" w14:textId="77777777" w:rsidR="00373B69" w:rsidRPr="00B148F9" w:rsidRDefault="00373B69" w:rsidP="000D4F40">
            <w:pPr>
              <w:rPr>
                <w:rFonts w:cs="Arial"/>
                <w:b/>
                <w:bCs/>
                <w:iCs/>
                <w:lang w:eastAsia="en-GB"/>
              </w:rPr>
            </w:pPr>
          </w:p>
        </w:tc>
        <w:tc>
          <w:tcPr>
            <w:tcW w:w="2268" w:type="dxa"/>
            <w:noWrap/>
            <w:hideMark/>
          </w:tcPr>
          <w:p w14:paraId="7C08D24B" w14:textId="26754463" w:rsidR="00373B69" w:rsidRPr="00B148F9" w:rsidRDefault="00373B69" w:rsidP="000D4F40">
            <w:pPr>
              <w:jc w:val="right"/>
              <w:rPr>
                <w:rFonts w:cs="Arial"/>
                <w:b/>
                <w:bCs/>
                <w:lang w:eastAsia="en-GB"/>
              </w:rPr>
            </w:pPr>
            <w:r w:rsidRPr="00B148F9">
              <w:rPr>
                <w:rFonts w:cs="Arial"/>
                <w:b/>
                <w:bCs/>
                <w:lang w:eastAsia="en-GB"/>
              </w:rPr>
              <w:t>Managing Member</w:t>
            </w:r>
          </w:p>
        </w:tc>
        <w:tc>
          <w:tcPr>
            <w:tcW w:w="1843" w:type="dxa"/>
            <w:noWrap/>
            <w:hideMark/>
          </w:tcPr>
          <w:p w14:paraId="79789156" w14:textId="0DAF1339" w:rsidR="00373B69" w:rsidRPr="00B148F9" w:rsidRDefault="00373B69" w:rsidP="000D4F40">
            <w:pPr>
              <w:jc w:val="right"/>
              <w:rPr>
                <w:rFonts w:cs="Arial"/>
                <w:b/>
                <w:bCs/>
                <w:lang w:eastAsia="en-GB"/>
              </w:rPr>
            </w:pPr>
            <w:r w:rsidRPr="00B148F9">
              <w:rPr>
                <w:rFonts w:cs="Arial"/>
                <w:b/>
                <w:bCs/>
                <w:lang w:eastAsia="en-GB"/>
              </w:rPr>
              <w:t>Other Members</w:t>
            </w:r>
          </w:p>
        </w:tc>
        <w:tc>
          <w:tcPr>
            <w:tcW w:w="2410" w:type="dxa"/>
            <w:noWrap/>
            <w:hideMark/>
          </w:tcPr>
          <w:p w14:paraId="216C8775" w14:textId="47313A17" w:rsidR="00373B69" w:rsidRPr="00B148F9" w:rsidRDefault="00373B69" w:rsidP="000D4F40">
            <w:pPr>
              <w:jc w:val="right"/>
              <w:rPr>
                <w:rFonts w:cs="Arial"/>
                <w:b/>
                <w:bCs/>
                <w:lang w:eastAsia="en-GB"/>
              </w:rPr>
            </w:pPr>
            <w:r w:rsidRPr="00B148F9">
              <w:rPr>
                <w:rFonts w:cs="Arial"/>
                <w:b/>
                <w:bCs/>
                <w:lang w:eastAsia="en-GB"/>
              </w:rPr>
              <w:t>Total Member’s Equity</w:t>
            </w:r>
          </w:p>
        </w:tc>
      </w:tr>
      <w:tr w:rsidR="00AA79D1" w:rsidRPr="00B148F9" w14:paraId="2CA486F0" w14:textId="77777777" w:rsidTr="00EE53BF">
        <w:trPr>
          <w:trHeight w:val="270"/>
          <w:jc w:val="center"/>
        </w:trPr>
        <w:tc>
          <w:tcPr>
            <w:tcW w:w="6946" w:type="dxa"/>
            <w:noWrap/>
          </w:tcPr>
          <w:p w14:paraId="7B279D36" w14:textId="77777777" w:rsidR="00AA79D1" w:rsidRPr="00B148F9" w:rsidRDefault="00AA79D1" w:rsidP="00AA79D1">
            <w:pPr>
              <w:rPr>
                <w:rFonts w:cs="Arial"/>
                <w:lang w:eastAsia="en-GB"/>
              </w:rPr>
            </w:pPr>
          </w:p>
        </w:tc>
        <w:tc>
          <w:tcPr>
            <w:tcW w:w="2268" w:type="dxa"/>
            <w:tcBorders>
              <w:top w:val="single" w:sz="4" w:space="0" w:color="auto"/>
            </w:tcBorders>
            <w:noWrap/>
          </w:tcPr>
          <w:p w14:paraId="39C719ED" w14:textId="7E2A13E0" w:rsidR="00AA79D1" w:rsidRPr="00B148F9" w:rsidRDefault="00B37BAF" w:rsidP="00AA79D1">
            <w:pPr>
              <w:jc w:val="right"/>
              <w:rPr>
                <w:rFonts w:cs="Arial"/>
                <w:b/>
                <w:bCs/>
                <w:lang w:eastAsia="en-GB"/>
              </w:rPr>
            </w:pPr>
            <w:r w:rsidRPr="00B148F9">
              <w:rPr>
                <w:rFonts w:cs="Arial"/>
                <w:b/>
                <w:bCs/>
                <w:lang w:eastAsia="en-GB"/>
              </w:rPr>
              <w:t>US$</w:t>
            </w:r>
          </w:p>
        </w:tc>
        <w:tc>
          <w:tcPr>
            <w:tcW w:w="1843" w:type="dxa"/>
            <w:tcBorders>
              <w:top w:val="single" w:sz="4" w:space="0" w:color="auto"/>
            </w:tcBorders>
            <w:noWrap/>
          </w:tcPr>
          <w:p w14:paraId="263A75F0" w14:textId="299E058D" w:rsidR="00AA79D1" w:rsidRPr="00B148F9" w:rsidRDefault="00B37BAF" w:rsidP="00AA79D1">
            <w:pPr>
              <w:jc w:val="right"/>
              <w:rPr>
                <w:rFonts w:cs="Arial"/>
                <w:b/>
                <w:bCs/>
                <w:lang w:eastAsia="en-GB"/>
              </w:rPr>
            </w:pPr>
            <w:r w:rsidRPr="00B148F9">
              <w:rPr>
                <w:rFonts w:cs="Arial"/>
                <w:b/>
                <w:bCs/>
                <w:lang w:eastAsia="en-GB"/>
              </w:rPr>
              <w:t>US$</w:t>
            </w:r>
          </w:p>
        </w:tc>
        <w:tc>
          <w:tcPr>
            <w:tcW w:w="2410" w:type="dxa"/>
            <w:tcBorders>
              <w:top w:val="single" w:sz="4" w:space="0" w:color="auto"/>
            </w:tcBorders>
            <w:noWrap/>
          </w:tcPr>
          <w:p w14:paraId="2BCB2DB0" w14:textId="30FE0421" w:rsidR="00AA79D1" w:rsidRPr="00B148F9" w:rsidRDefault="00B37BAF" w:rsidP="00AA79D1">
            <w:pPr>
              <w:jc w:val="right"/>
              <w:rPr>
                <w:rFonts w:cs="Arial"/>
                <w:b/>
                <w:bCs/>
                <w:lang w:eastAsia="en-GB"/>
              </w:rPr>
            </w:pPr>
            <w:r w:rsidRPr="00B148F9">
              <w:rPr>
                <w:rFonts w:cs="Arial"/>
                <w:b/>
                <w:bCs/>
                <w:lang w:eastAsia="en-GB"/>
              </w:rPr>
              <w:t>US$</w:t>
            </w:r>
          </w:p>
        </w:tc>
      </w:tr>
      <w:tr w:rsidR="00B37BAF" w:rsidRPr="00B148F9" w14:paraId="582ED21C" w14:textId="77777777" w:rsidTr="00DE3E70">
        <w:trPr>
          <w:trHeight w:val="270"/>
          <w:jc w:val="center"/>
        </w:trPr>
        <w:tc>
          <w:tcPr>
            <w:tcW w:w="6946" w:type="dxa"/>
            <w:noWrap/>
          </w:tcPr>
          <w:p w14:paraId="6049A70C" w14:textId="77777777" w:rsidR="00B37BAF" w:rsidRPr="00B148F9" w:rsidRDefault="00B37BAF" w:rsidP="00AA79D1">
            <w:pPr>
              <w:rPr>
                <w:rFonts w:cs="Arial"/>
                <w:b/>
                <w:bCs/>
                <w:lang w:eastAsia="en-GB"/>
              </w:rPr>
            </w:pPr>
          </w:p>
        </w:tc>
        <w:tc>
          <w:tcPr>
            <w:tcW w:w="2268" w:type="dxa"/>
            <w:noWrap/>
          </w:tcPr>
          <w:p w14:paraId="049A5459" w14:textId="77777777" w:rsidR="00B37BAF" w:rsidRPr="00B148F9" w:rsidRDefault="00B37BAF" w:rsidP="00B37BAF">
            <w:pPr>
              <w:jc w:val="center"/>
              <w:rPr>
                <w:rFonts w:cs="Arial"/>
                <w:b/>
                <w:bCs/>
                <w:highlight w:val="yellow"/>
                <w:lang w:eastAsia="en-GB"/>
              </w:rPr>
            </w:pPr>
          </w:p>
        </w:tc>
        <w:tc>
          <w:tcPr>
            <w:tcW w:w="1843" w:type="dxa"/>
            <w:noWrap/>
          </w:tcPr>
          <w:p w14:paraId="2FA29DC5" w14:textId="77777777" w:rsidR="00B37BAF" w:rsidRPr="00B148F9" w:rsidRDefault="00B37BAF" w:rsidP="00AA79D1">
            <w:pPr>
              <w:jc w:val="right"/>
              <w:rPr>
                <w:b/>
                <w:highlight w:val="yellow"/>
              </w:rPr>
            </w:pPr>
          </w:p>
        </w:tc>
        <w:tc>
          <w:tcPr>
            <w:tcW w:w="2410" w:type="dxa"/>
            <w:noWrap/>
          </w:tcPr>
          <w:p w14:paraId="0C8B5454" w14:textId="77777777" w:rsidR="00B37BAF" w:rsidRPr="00B148F9" w:rsidRDefault="00B37BAF" w:rsidP="00AA79D1">
            <w:pPr>
              <w:jc w:val="right"/>
              <w:rPr>
                <w:b/>
                <w:highlight w:val="yellow"/>
              </w:rPr>
            </w:pPr>
          </w:p>
        </w:tc>
      </w:tr>
      <w:tr w:rsidR="00AA79D1" w:rsidRPr="00B148F9" w14:paraId="775D8D86" w14:textId="77777777" w:rsidTr="00DE3E70">
        <w:trPr>
          <w:trHeight w:val="270"/>
          <w:jc w:val="center"/>
        </w:trPr>
        <w:tc>
          <w:tcPr>
            <w:tcW w:w="6946" w:type="dxa"/>
            <w:noWrap/>
            <w:hideMark/>
          </w:tcPr>
          <w:p w14:paraId="79C8890C" w14:textId="77777777" w:rsidR="00AA79D1" w:rsidRPr="00B148F9" w:rsidRDefault="00AA79D1" w:rsidP="00AA79D1">
            <w:pPr>
              <w:rPr>
                <w:rFonts w:cs="Arial"/>
                <w:b/>
                <w:bCs/>
                <w:lang w:eastAsia="en-GB"/>
              </w:rPr>
            </w:pPr>
            <w:r w:rsidRPr="00B148F9">
              <w:rPr>
                <w:rFonts w:cs="Arial"/>
                <w:b/>
                <w:bCs/>
                <w:lang w:eastAsia="en-GB"/>
              </w:rPr>
              <w:t>Operations</w:t>
            </w:r>
          </w:p>
        </w:tc>
        <w:tc>
          <w:tcPr>
            <w:tcW w:w="2268" w:type="dxa"/>
            <w:noWrap/>
          </w:tcPr>
          <w:p w14:paraId="05D022B7" w14:textId="77777777" w:rsidR="00AA79D1" w:rsidRPr="00B148F9" w:rsidRDefault="00AA79D1" w:rsidP="00EE53BF">
            <w:pPr>
              <w:jc w:val="center"/>
              <w:rPr>
                <w:rFonts w:cs="Arial"/>
                <w:b/>
                <w:bCs/>
                <w:highlight w:val="yellow"/>
                <w:lang w:eastAsia="en-GB"/>
              </w:rPr>
            </w:pPr>
          </w:p>
        </w:tc>
        <w:tc>
          <w:tcPr>
            <w:tcW w:w="1843" w:type="dxa"/>
            <w:noWrap/>
          </w:tcPr>
          <w:p w14:paraId="1CD06ECB" w14:textId="77777777" w:rsidR="00AA79D1" w:rsidRPr="00B148F9" w:rsidRDefault="00AA79D1" w:rsidP="00AA79D1">
            <w:pPr>
              <w:jc w:val="right"/>
              <w:rPr>
                <w:b/>
                <w:highlight w:val="yellow"/>
              </w:rPr>
            </w:pPr>
          </w:p>
        </w:tc>
        <w:tc>
          <w:tcPr>
            <w:tcW w:w="2410" w:type="dxa"/>
            <w:noWrap/>
          </w:tcPr>
          <w:p w14:paraId="033730F3" w14:textId="77777777" w:rsidR="00AA79D1" w:rsidRPr="00B148F9" w:rsidRDefault="00AA79D1" w:rsidP="00AA79D1">
            <w:pPr>
              <w:jc w:val="right"/>
              <w:rPr>
                <w:b/>
                <w:highlight w:val="yellow"/>
              </w:rPr>
            </w:pPr>
          </w:p>
        </w:tc>
      </w:tr>
      <w:tr w:rsidR="00AA79D1" w:rsidRPr="00B148F9" w14:paraId="2F55BFEB" w14:textId="77777777" w:rsidTr="00DE3E70">
        <w:trPr>
          <w:trHeight w:val="283"/>
          <w:jc w:val="center"/>
        </w:trPr>
        <w:tc>
          <w:tcPr>
            <w:tcW w:w="6946" w:type="dxa"/>
            <w:tcBorders>
              <w:top w:val="nil"/>
              <w:left w:val="nil"/>
              <w:bottom w:val="nil"/>
              <w:right w:val="nil"/>
            </w:tcBorders>
            <w:shd w:val="clear" w:color="auto" w:fill="auto"/>
            <w:noWrap/>
            <w:vAlign w:val="bottom"/>
          </w:tcPr>
          <w:p w14:paraId="6F4DFCC5" w14:textId="6069A82A" w:rsidR="00AA79D1" w:rsidRPr="00B148F9" w:rsidRDefault="00AA79D1" w:rsidP="00AA79D1">
            <w:pPr>
              <w:rPr>
                <w:rFonts w:cs="Arial"/>
                <w:lang w:eastAsia="en-GB"/>
              </w:rPr>
            </w:pPr>
            <w:r w:rsidRPr="00B148F9">
              <w:rPr>
                <w:rFonts w:cs="Arial"/>
                <w:lang w:eastAsia="en-GB"/>
              </w:rPr>
              <w:t>Net investment loss</w:t>
            </w:r>
          </w:p>
        </w:tc>
        <w:tc>
          <w:tcPr>
            <w:tcW w:w="2268" w:type="dxa"/>
            <w:tcBorders>
              <w:top w:val="nil"/>
              <w:left w:val="nil"/>
              <w:bottom w:val="nil"/>
              <w:right w:val="nil"/>
            </w:tcBorders>
            <w:shd w:val="clear" w:color="auto" w:fill="auto"/>
            <w:noWrap/>
            <w:vAlign w:val="bottom"/>
          </w:tcPr>
          <w:p w14:paraId="43EA969B" w14:textId="4F744DA5" w:rsidR="00AA79D1" w:rsidRPr="00B148F9" w:rsidRDefault="00AA79D1" w:rsidP="00AA79D1">
            <w:pPr>
              <w:jc w:val="right"/>
              <w:rPr>
                <w:rFonts w:cs="Arial"/>
                <w:lang w:eastAsia="en-GB"/>
              </w:rPr>
            </w:pPr>
            <w:r w:rsidRPr="00B148F9">
              <w:rPr>
                <w:rFonts w:cs="Arial"/>
                <w:lang w:eastAsia="en-GB"/>
              </w:rPr>
              <w:t>-</w:t>
            </w:r>
          </w:p>
        </w:tc>
        <w:tc>
          <w:tcPr>
            <w:tcW w:w="1843" w:type="dxa"/>
            <w:tcBorders>
              <w:top w:val="nil"/>
              <w:left w:val="nil"/>
              <w:bottom w:val="nil"/>
              <w:right w:val="nil"/>
            </w:tcBorders>
            <w:shd w:val="clear" w:color="auto" w:fill="auto"/>
            <w:noWrap/>
            <w:vAlign w:val="bottom"/>
          </w:tcPr>
          <w:p w14:paraId="19A09AEB" w14:textId="39134233" w:rsidR="00AA79D1" w:rsidRPr="00B148F9" w:rsidRDefault="00AA79D1" w:rsidP="00AA79D1">
            <w:pPr>
              <w:jc w:val="right"/>
            </w:pPr>
            <w:r w:rsidRPr="00B148F9">
              <w:t>-</w:t>
            </w:r>
          </w:p>
        </w:tc>
        <w:tc>
          <w:tcPr>
            <w:tcW w:w="2410" w:type="dxa"/>
            <w:tcBorders>
              <w:top w:val="nil"/>
              <w:left w:val="nil"/>
              <w:bottom w:val="nil"/>
              <w:right w:val="nil"/>
            </w:tcBorders>
            <w:shd w:val="clear" w:color="auto" w:fill="auto"/>
            <w:noWrap/>
            <w:vAlign w:val="bottom"/>
          </w:tcPr>
          <w:p w14:paraId="4163DE58" w14:textId="7AC8C67C" w:rsidR="00AA79D1" w:rsidRPr="00B148F9" w:rsidRDefault="00AA79D1">
            <w:pPr>
              <w:jc w:val="right"/>
            </w:pPr>
            <w:r w:rsidRPr="00B148F9">
              <w:t>(70,618)</w:t>
            </w:r>
          </w:p>
        </w:tc>
      </w:tr>
      <w:tr w:rsidR="00AA79D1" w:rsidRPr="00B148F9" w14:paraId="78D3FEF3" w14:textId="77777777" w:rsidTr="00DE3E70">
        <w:trPr>
          <w:trHeight w:val="270"/>
          <w:jc w:val="center"/>
        </w:trPr>
        <w:tc>
          <w:tcPr>
            <w:tcW w:w="6946" w:type="dxa"/>
            <w:tcBorders>
              <w:top w:val="nil"/>
              <w:left w:val="nil"/>
              <w:bottom w:val="nil"/>
              <w:right w:val="nil"/>
            </w:tcBorders>
            <w:shd w:val="clear" w:color="auto" w:fill="auto"/>
            <w:noWrap/>
            <w:vAlign w:val="bottom"/>
          </w:tcPr>
          <w:p w14:paraId="13A5299D" w14:textId="6E91B64C" w:rsidR="00AA79D1" w:rsidRPr="00B148F9" w:rsidRDefault="00AA79D1">
            <w:pPr>
              <w:rPr>
                <w:rFonts w:cs="Arial"/>
                <w:lang w:eastAsia="en-GB"/>
              </w:rPr>
            </w:pPr>
            <w:r w:rsidRPr="00B148F9">
              <w:rPr>
                <w:rFonts w:cs="Arial"/>
                <w:lang w:eastAsia="en-GB"/>
              </w:rPr>
              <w:t>Net change in unrealised appreciation on securities</w:t>
            </w:r>
          </w:p>
        </w:tc>
        <w:tc>
          <w:tcPr>
            <w:tcW w:w="2268" w:type="dxa"/>
            <w:tcBorders>
              <w:top w:val="nil"/>
              <w:left w:val="nil"/>
              <w:bottom w:val="nil"/>
              <w:right w:val="nil"/>
            </w:tcBorders>
            <w:shd w:val="clear" w:color="auto" w:fill="auto"/>
            <w:noWrap/>
            <w:vAlign w:val="bottom"/>
          </w:tcPr>
          <w:p w14:paraId="4BAC6CB1" w14:textId="424F303A" w:rsidR="00AA79D1" w:rsidRPr="00B148F9" w:rsidRDefault="00AA79D1" w:rsidP="00AA79D1">
            <w:pPr>
              <w:jc w:val="right"/>
              <w:rPr>
                <w:rFonts w:cs="Arial"/>
                <w:lang w:eastAsia="en-GB"/>
              </w:rPr>
            </w:pPr>
            <w:r w:rsidRPr="00B148F9">
              <w:rPr>
                <w:rFonts w:cs="Arial"/>
                <w:lang w:eastAsia="en-GB"/>
              </w:rPr>
              <w:t>-</w:t>
            </w:r>
          </w:p>
        </w:tc>
        <w:tc>
          <w:tcPr>
            <w:tcW w:w="1843" w:type="dxa"/>
            <w:tcBorders>
              <w:top w:val="nil"/>
              <w:left w:val="nil"/>
              <w:bottom w:val="nil"/>
              <w:right w:val="nil"/>
            </w:tcBorders>
            <w:shd w:val="clear" w:color="auto" w:fill="auto"/>
            <w:noWrap/>
            <w:vAlign w:val="bottom"/>
          </w:tcPr>
          <w:p w14:paraId="30D29DA4" w14:textId="5D49E84D" w:rsidR="00AA79D1" w:rsidRPr="00B148F9" w:rsidRDefault="00AA79D1" w:rsidP="00AA79D1">
            <w:pPr>
              <w:jc w:val="right"/>
            </w:pPr>
            <w:r w:rsidRPr="00B148F9">
              <w:t>-</w:t>
            </w:r>
          </w:p>
        </w:tc>
        <w:tc>
          <w:tcPr>
            <w:tcW w:w="2410" w:type="dxa"/>
            <w:tcBorders>
              <w:top w:val="nil"/>
              <w:left w:val="nil"/>
              <w:bottom w:val="nil"/>
              <w:right w:val="nil"/>
            </w:tcBorders>
            <w:shd w:val="clear" w:color="auto" w:fill="auto"/>
            <w:noWrap/>
            <w:vAlign w:val="bottom"/>
          </w:tcPr>
          <w:p w14:paraId="1AF6602B" w14:textId="02EEEF72" w:rsidR="00AA79D1" w:rsidRPr="00B148F9" w:rsidRDefault="00AA79D1" w:rsidP="00AA79D1">
            <w:pPr>
              <w:jc w:val="right"/>
              <w:rPr>
                <w:highlight w:val="yellow"/>
              </w:rPr>
            </w:pPr>
            <w:r w:rsidRPr="00B148F9">
              <w:t>27,992,812</w:t>
            </w:r>
          </w:p>
        </w:tc>
      </w:tr>
      <w:tr w:rsidR="00AA79D1" w:rsidRPr="00B148F9" w14:paraId="39705D37" w14:textId="77777777" w:rsidTr="00DE3E70">
        <w:trPr>
          <w:trHeight w:val="270"/>
          <w:jc w:val="center"/>
        </w:trPr>
        <w:tc>
          <w:tcPr>
            <w:tcW w:w="6946" w:type="dxa"/>
            <w:tcBorders>
              <w:top w:val="nil"/>
              <w:left w:val="nil"/>
              <w:bottom w:val="nil"/>
              <w:right w:val="nil"/>
            </w:tcBorders>
            <w:shd w:val="clear" w:color="auto" w:fill="auto"/>
            <w:noWrap/>
            <w:vAlign w:val="bottom"/>
          </w:tcPr>
          <w:p w14:paraId="3A05A314" w14:textId="77777777" w:rsidR="00AA79D1" w:rsidRPr="00B148F9" w:rsidRDefault="00AA79D1" w:rsidP="00AA79D1">
            <w:pPr>
              <w:rPr>
                <w:rFonts w:cs="Arial"/>
                <w:lang w:eastAsia="en-GB"/>
              </w:rPr>
            </w:pPr>
          </w:p>
        </w:tc>
        <w:tc>
          <w:tcPr>
            <w:tcW w:w="2268" w:type="dxa"/>
            <w:tcBorders>
              <w:top w:val="nil"/>
              <w:left w:val="nil"/>
              <w:bottom w:val="nil"/>
              <w:right w:val="nil"/>
            </w:tcBorders>
            <w:shd w:val="clear" w:color="auto" w:fill="auto"/>
            <w:noWrap/>
            <w:vAlign w:val="bottom"/>
          </w:tcPr>
          <w:p w14:paraId="1CBEA526" w14:textId="77777777" w:rsidR="00AA79D1" w:rsidRPr="00B148F9" w:rsidRDefault="00AA79D1" w:rsidP="00AA79D1">
            <w:pPr>
              <w:jc w:val="right"/>
              <w:rPr>
                <w:rFonts w:cs="Arial"/>
                <w:highlight w:val="yellow"/>
                <w:lang w:eastAsia="en-GB"/>
              </w:rPr>
            </w:pPr>
          </w:p>
        </w:tc>
        <w:tc>
          <w:tcPr>
            <w:tcW w:w="1843" w:type="dxa"/>
            <w:tcBorders>
              <w:top w:val="nil"/>
              <w:left w:val="nil"/>
              <w:bottom w:val="nil"/>
              <w:right w:val="nil"/>
            </w:tcBorders>
            <w:shd w:val="clear" w:color="auto" w:fill="auto"/>
            <w:noWrap/>
            <w:vAlign w:val="bottom"/>
          </w:tcPr>
          <w:p w14:paraId="58D26F15" w14:textId="77777777" w:rsidR="00AA79D1" w:rsidRPr="00B148F9" w:rsidRDefault="00AA79D1" w:rsidP="00AA79D1">
            <w:pPr>
              <w:jc w:val="right"/>
              <w:rPr>
                <w:highlight w:val="yellow"/>
              </w:rPr>
            </w:pPr>
          </w:p>
        </w:tc>
        <w:tc>
          <w:tcPr>
            <w:tcW w:w="2410" w:type="dxa"/>
            <w:tcBorders>
              <w:top w:val="nil"/>
              <w:left w:val="nil"/>
              <w:bottom w:val="nil"/>
              <w:right w:val="nil"/>
            </w:tcBorders>
            <w:shd w:val="clear" w:color="auto" w:fill="auto"/>
            <w:noWrap/>
            <w:vAlign w:val="bottom"/>
          </w:tcPr>
          <w:p w14:paraId="1BFC4F06" w14:textId="77777777" w:rsidR="00AA79D1" w:rsidRPr="00B148F9" w:rsidRDefault="00AA79D1" w:rsidP="00AA79D1">
            <w:pPr>
              <w:jc w:val="right"/>
              <w:rPr>
                <w:highlight w:val="yellow"/>
              </w:rPr>
            </w:pPr>
          </w:p>
        </w:tc>
      </w:tr>
      <w:tr w:rsidR="00AA79D1" w:rsidRPr="00B148F9" w14:paraId="7A44E6C9" w14:textId="77777777" w:rsidTr="00DE3E70">
        <w:trPr>
          <w:trHeight w:val="525"/>
          <w:jc w:val="center"/>
        </w:trPr>
        <w:tc>
          <w:tcPr>
            <w:tcW w:w="6946" w:type="dxa"/>
            <w:tcBorders>
              <w:top w:val="nil"/>
              <w:left w:val="nil"/>
              <w:bottom w:val="nil"/>
              <w:right w:val="nil"/>
            </w:tcBorders>
            <w:shd w:val="clear" w:color="auto" w:fill="auto"/>
            <w:vAlign w:val="bottom"/>
            <w:hideMark/>
          </w:tcPr>
          <w:p w14:paraId="26B4DE20" w14:textId="77777777" w:rsidR="00AA79D1" w:rsidRPr="00B148F9" w:rsidRDefault="00AA79D1" w:rsidP="00AA79D1">
            <w:pPr>
              <w:rPr>
                <w:rFonts w:cs="Arial"/>
                <w:b/>
                <w:bCs/>
                <w:lang w:eastAsia="en-GB"/>
              </w:rPr>
            </w:pPr>
            <w:r w:rsidRPr="00B148F9">
              <w:rPr>
                <w:rFonts w:cs="Arial"/>
                <w:b/>
                <w:bCs/>
                <w:lang w:eastAsia="en-GB"/>
              </w:rPr>
              <w:t>Net change in net assets resulting from operations</w:t>
            </w:r>
          </w:p>
        </w:tc>
        <w:tc>
          <w:tcPr>
            <w:tcW w:w="2268" w:type="dxa"/>
            <w:tcBorders>
              <w:top w:val="single" w:sz="4" w:space="0" w:color="auto"/>
              <w:left w:val="nil"/>
              <w:bottom w:val="single" w:sz="4" w:space="0" w:color="auto"/>
              <w:right w:val="nil"/>
            </w:tcBorders>
            <w:shd w:val="clear" w:color="auto" w:fill="auto"/>
            <w:noWrap/>
            <w:vAlign w:val="bottom"/>
          </w:tcPr>
          <w:p w14:paraId="189B37B2" w14:textId="2A4AE713" w:rsidR="00AA79D1" w:rsidRPr="00B148F9" w:rsidRDefault="00AA79D1" w:rsidP="00AA79D1">
            <w:pPr>
              <w:jc w:val="right"/>
              <w:rPr>
                <w:rFonts w:cs="Arial"/>
                <w:b/>
                <w:bCs/>
                <w:lang w:eastAsia="en-GB"/>
              </w:rPr>
            </w:pPr>
            <w:r w:rsidRPr="00B148F9">
              <w:rPr>
                <w:rFonts w:cs="Arial"/>
                <w:b/>
                <w:bCs/>
                <w:lang w:eastAsia="en-GB"/>
              </w:rPr>
              <w:t>59,895</w:t>
            </w:r>
          </w:p>
        </w:tc>
        <w:tc>
          <w:tcPr>
            <w:tcW w:w="1843" w:type="dxa"/>
            <w:tcBorders>
              <w:top w:val="single" w:sz="4" w:space="0" w:color="auto"/>
              <w:left w:val="nil"/>
              <w:bottom w:val="single" w:sz="4" w:space="0" w:color="auto"/>
              <w:right w:val="nil"/>
            </w:tcBorders>
            <w:shd w:val="clear" w:color="auto" w:fill="auto"/>
            <w:noWrap/>
            <w:vAlign w:val="bottom"/>
          </w:tcPr>
          <w:p w14:paraId="15B46868" w14:textId="5F0F4ADD" w:rsidR="00AA79D1" w:rsidRPr="00B148F9" w:rsidRDefault="00AA79D1" w:rsidP="00AA79D1">
            <w:pPr>
              <w:jc w:val="right"/>
              <w:rPr>
                <w:b/>
              </w:rPr>
            </w:pPr>
            <w:r w:rsidRPr="00B148F9">
              <w:rPr>
                <w:b/>
              </w:rPr>
              <w:t>27,862,299</w:t>
            </w:r>
          </w:p>
        </w:tc>
        <w:tc>
          <w:tcPr>
            <w:tcW w:w="2410" w:type="dxa"/>
            <w:tcBorders>
              <w:top w:val="single" w:sz="4" w:space="0" w:color="auto"/>
              <w:left w:val="nil"/>
              <w:bottom w:val="single" w:sz="4" w:space="0" w:color="auto"/>
              <w:right w:val="nil"/>
            </w:tcBorders>
            <w:shd w:val="clear" w:color="auto" w:fill="auto"/>
            <w:noWrap/>
            <w:vAlign w:val="bottom"/>
          </w:tcPr>
          <w:p w14:paraId="45160EDC" w14:textId="78AED578" w:rsidR="00AA79D1" w:rsidRPr="00B148F9" w:rsidRDefault="00AA79D1" w:rsidP="00AA79D1">
            <w:pPr>
              <w:jc w:val="right"/>
              <w:rPr>
                <w:b/>
              </w:rPr>
            </w:pPr>
            <w:r w:rsidRPr="00B148F9">
              <w:rPr>
                <w:b/>
              </w:rPr>
              <w:t>27,922,194</w:t>
            </w:r>
          </w:p>
        </w:tc>
      </w:tr>
      <w:tr w:rsidR="00AA79D1" w:rsidRPr="00B148F9" w14:paraId="2BBE2FA7" w14:textId="77777777" w:rsidTr="00DE3E70">
        <w:trPr>
          <w:trHeight w:val="285"/>
          <w:jc w:val="center"/>
        </w:trPr>
        <w:tc>
          <w:tcPr>
            <w:tcW w:w="6946" w:type="dxa"/>
            <w:noWrap/>
            <w:hideMark/>
          </w:tcPr>
          <w:p w14:paraId="40569731" w14:textId="77777777" w:rsidR="00AA79D1" w:rsidRPr="00B148F9" w:rsidRDefault="00AA79D1" w:rsidP="00AA79D1">
            <w:pPr>
              <w:rPr>
                <w:rFonts w:cs="Arial"/>
                <w:lang w:eastAsia="en-GB"/>
              </w:rPr>
            </w:pPr>
          </w:p>
        </w:tc>
        <w:tc>
          <w:tcPr>
            <w:tcW w:w="2268" w:type="dxa"/>
            <w:tcBorders>
              <w:top w:val="single" w:sz="4" w:space="0" w:color="auto"/>
            </w:tcBorders>
            <w:noWrap/>
          </w:tcPr>
          <w:p w14:paraId="0D71E7A6" w14:textId="77777777" w:rsidR="00AA79D1" w:rsidRPr="00B148F9" w:rsidRDefault="00AA79D1" w:rsidP="00AA79D1">
            <w:pPr>
              <w:rPr>
                <w:rFonts w:cs="Arial"/>
                <w:lang w:eastAsia="en-GB"/>
              </w:rPr>
            </w:pPr>
          </w:p>
        </w:tc>
        <w:tc>
          <w:tcPr>
            <w:tcW w:w="1843" w:type="dxa"/>
            <w:tcBorders>
              <w:top w:val="single" w:sz="4" w:space="0" w:color="auto"/>
            </w:tcBorders>
            <w:noWrap/>
          </w:tcPr>
          <w:p w14:paraId="65D073FD" w14:textId="77777777" w:rsidR="00AA79D1" w:rsidRPr="00B148F9" w:rsidRDefault="00AA79D1" w:rsidP="00AA79D1">
            <w:pPr>
              <w:rPr>
                <w:rFonts w:cs="Arial"/>
                <w:lang w:eastAsia="en-GB"/>
              </w:rPr>
            </w:pPr>
          </w:p>
        </w:tc>
        <w:tc>
          <w:tcPr>
            <w:tcW w:w="2410" w:type="dxa"/>
            <w:tcBorders>
              <w:top w:val="single" w:sz="4" w:space="0" w:color="auto"/>
            </w:tcBorders>
            <w:noWrap/>
          </w:tcPr>
          <w:p w14:paraId="08FEA2F4" w14:textId="77777777" w:rsidR="00AA79D1" w:rsidRPr="00B148F9" w:rsidRDefault="00AA79D1" w:rsidP="00AA79D1">
            <w:pPr>
              <w:rPr>
                <w:rFonts w:cs="Arial"/>
                <w:lang w:eastAsia="en-GB"/>
              </w:rPr>
            </w:pPr>
          </w:p>
        </w:tc>
      </w:tr>
      <w:tr w:rsidR="00AA79D1" w:rsidRPr="00B148F9" w14:paraId="629FA95B" w14:textId="77777777" w:rsidTr="00DE3E70">
        <w:trPr>
          <w:trHeight w:val="285"/>
          <w:jc w:val="center"/>
        </w:trPr>
        <w:tc>
          <w:tcPr>
            <w:tcW w:w="6946" w:type="dxa"/>
            <w:noWrap/>
            <w:hideMark/>
          </w:tcPr>
          <w:p w14:paraId="2257FA83" w14:textId="2813BC92" w:rsidR="00AA79D1" w:rsidRPr="00B148F9" w:rsidRDefault="00AA79D1" w:rsidP="006B686E">
            <w:pPr>
              <w:rPr>
                <w:rFonts w:cs="Arial"/>
                <w:b/>
                <w:bCs/>
                <w:lang w:eastAsia="en-GB"/>
              </w:rPr>
            </w:pPr>
            <w:r w:rsidRPr="00B148F9">
              <w:rPr>
                <w:rFonts w:cs="Arial"/>
                <w:b/>
                <w:bCs/>
                <w:lang w:eastAsia="en-GB"/>
              </w:rPr>
              <w:t xml:space="preserve">Net change in </w:t>
            </w:r>
            <w:r w:rsidR="006B686E" w:rsidRPr="00B148F9">
              <w:rPr>
                <w:rFonts w:cs="Arial"/>
                <w:b/>
                <w:bCs/>
                <w:lang w:eastAsia="en-GB"/>
              </w:rPr>
              <w:t>members equity</w:t>
            </w:r>
          </w:p>
        </w:tc>
        <w:tc>
          <w:tcPr>
            <w:tcW w:w="2268" w:type="dxa"/>
            <w:noWrap/>
          </w:tcPr>
          <w:p w14:paraId="33F1BEC3" w14:textId="10974ABF" w:rsidR="00AA79D1" w:rsidRPr="00B148F9" w:rsidRDefault="00AA79D1" w:rsidP="00AA79D1">
            <w:pPr>
              <w:jc w:val="right"/>
              <w:rPr>
                <w:rFonts w:cs="Arial"/>
                <w:b/>
                <w:bCs/>
                <w:lang w:eastAsia="en-GB"/>
              </w:rPr>
            </w:pPr>
            <w:r w:rsidRPr="00B148F9">
              <w:rPr>
                <w:rFonts w:cs="Arial"/>
                <w:b/>
                <w:bCs/>
                <w:lang w:eastAsia="en-GB"/>
              </w:rPr>
              <w:t>59,895</w:t>
            </w:r>
          </w:p>
        </w:tc>
        <w:tc>
          <w:tcPr>
            <w:tcW w:w="1843" w:type="dxa"/>
            <w:noWrap/>
          </w:tcPr>
          <w:p w14:paraId="5C3009B1" w14:textId="15543CC5" w:rsidR="00AA79D1" w:rsidRPr="00B148F9" w:rsidRDefault="00AA79D1" w:rsidP="00AA79D1">
            <w:pPr>
              <w:jc w:val="right"/>
              <w:rPr>
                <w:b/>
              </w:rPr>
            </w:pPr>
            <w:r w:rsidRPr="00B148F9">
              <w:rPr>
                <w:b/>
              </w:rPr>
              <w:t>27,862,299</w:t>
            </w:r>
          </w:p>
        </w:tc>
        <w:tc>
          <w:tcPr>
            <w:tcW w:w="2410" w:type="dxa"/>
            <w:noWrap/>
          </w:tcPr>
          <w:p w14:paraId="39F0B6C0" w14:textId="7A9013F0" w:rsidR="00AA79D1" w:rsidRPr="00B148F9" w:rsidRDefault="00AA79D1" w:rsidP="00AA79D1">
            <w:pPr>
              <w:jc w:val="right"/>
              <w:rPr>
                <w:b/>
              </w:rPr>
            </w:pPr>
            <w:r w:rsidRPr="00B148F9">
              <w:rPr>
                <w:b/>
              </w:rPr>
              <w:t>27,922,194</w:t>
            </w:r>
          </w:p>
        </w:tc>
      </w:tr>
      <w:tr w:rsidR="00AA79D1" w:rsidRPr="00B148F9" w14:paraId="1B0A7229" w14:textId="77777777" w:rsidTr="00DE3E70">
        <w:trPr>
          <w:trHeight w:val="300"/>
          <w:jc w:val="center"/>
        </w:trPr>
        <w:tc>
          <w:tcPr>
            <w:tcW w:w="6946" w:type="dxa"/>
            <w:noWrap/>
            <w:hideMark/>
          </w:tcPr>
          <w:p w14:paraId="2230FE73" w14:textId="77777777" w:rsidR="00AA79D1" w:rsidRPr="00B148F9" w:rsidRDefault="00AA79D1" w:rsidP="00AA79D1">
            <w:pPr>
              <w:rPr>
                <w:rFonts w:cs="Arial"/>
                <w:lang w:eastAsia="en-GB"/>
              </w:rPr>
            </w:pPr>
          </w:p>
        </w:tc>
        <w:tc>
          <w:tcPr>
            <w:tcW w:w="2268" w:type="dxa"/>
            <w:noWrap/>
            <w:hideMark/>
          </w:tcPr>
          <w:p w14:paraId="6C6250CD" w14:textId="77777777" w:rsidR="00AA79D1" w:rsidRPr="00B148F9" w:rsidRDefault="00AA79D1" w:rsidP="00AA79D1">
            <w:pPr>
              <w:rPr>
                <w:rFonts w:cs="Arial"/>
                <w:lang w:eastAsia="en-GB"/>
              </w:rPr>
            </w:pPr>
          </w:p>
        </w:tc>
        <w:tc>
          <w:tcPr>
            <w:tcW w:w="1843" w:type="dxa"/>
            <w:noWrap/>
            <w:hideMark/>
          </w:tcPr>
          <w:p w14:paraId="12C2B259" w14:textId="77777777" w:rsidR="00AA79D1" w:rsidRPr="00B148F9" w:rsidRDefault="00AA79D1" w:rsidP="00AA79D1">
            <w:pPr>
              <w:rPr>
                <w:rFonts w:cs="Arial"/>
                <w:lang w:eastAsia="en-GB"/>
              </w:rPr>
            </w:pPr>
          </w:p>
        </w:tc>
        <w:tc>
          <w:tcPr>
            <w:tcW w:w="2410" w:type="dxa"/>
            <w:noWrap/>
            <w:hideMark/>
          </w:tcPr>
          <w:p w14:paraId="5240CD22" w14:textId="77777777" w:rsidR="00AA79D1" w:rsidRPr="00B148F9" w:rsidRDefault="00AA79D1" w:rsidP="00AA79D1">
            <w:pPr>
              <w:rPr>
                <w:rFonts w:cs="Arial"/>
                <w:lang w:eastAsia="en-GB"/>
              </w:rPr>
            </w:pPr>
          </w:p>
        </w:tc>
      </w:tr>
      <w:tr w:rsidR="00AA79D1" w:rsidRPr="00B148F9" w14:paraId="4086BECD" w14:textId="77777777" w:rsidTr="00DE3E70">
        <w:trPr>
          <w:trHeight w:val="270"/>
          <w:jc w:val="center"/>
        </w:trPr>
        <w:tc>
          <w:tcPr>
            <w:tcW w:w="6946" w:type="dxa"/>
            <w:noWrap/>
            <w:hideMark/>
          </w:tcPr>
          <w:p w14:paraId="7ACA5C71" w14:textId="2B561186" w:rsidR="00AA79D1" w:rsidRPr="00B148F9" w:rsidRDefault="006B686E" w:rsidP="00AA79D1">
            <w:pPr>
              <w:rPr>
                <w:rFonts w:cs="Arial"/>
                <w:lang w:eastAsia="en-GB"/>
              </w:rPr>
            </w:pPr>
            <w:r w:rsidRPr="00B148F9">
              <w:rPr>
                <w:rFonts w:cs="Arial"/>
                <w:b/>
                <w:bCs/>
                <w:lang w:eastAsia="en-GB"/>
              </w:rPr>
              <w:t>Member</w:t>
            </w:r>
            <w:r w:rsidR="003A034F" w:rsidRPr="00B148F9">
              <w:rPr>
                <w:rFonts w:cs="Arial"/>
                <w:b/>
                <w:bCs/>
                <w:lang w:eastAsia="en-GB"/>
              </w:rPr>
              <w:t>’</w:t>
            </w:r>
            <w:r w:rsidRPr="00B148F9">
              <w:rPr>
                <w:rFonts w:cs="Arial"/>
                <w:b/>
                <w:bCs/>
                <w:lang w:eastAsia="en-GB"/>
              </w:rPr>
              <w:t>s Equity</w:t>
            </w:r>
            <w:r w:rsidR="00AA79D1" w:rsidRPr="00B148F9">
              <w:rPr>
                <w:rFonts w:cs="Arial"/>
                <w:b/>
                <w:bCs/>
                <w:lang w:eastAsia="en-GB"/>
              </w:rPr>
              <w:t>,</w:t>
            </w:r>
            <w:r w:rsidR="00AA79D1" w:rsidRPr="00B148F9">
              <w:rPr>
                <w:rFonts w:cs="Arial"/>
                <w:bCs/>
                <w:lang w:eastAsia="en-GB"/>
              </w:rPr>
              <w:t xml:space="preserve"> </w:t>
            </w:r>
            <w:r w:rsidR="00AA79D1" w:rsidRPr="00B148F9">
              <w:rPr>
                <w:rFonts w:cs="Arial"/>
                <w:b/>
                <w:bCs/>
                <w:lang w:eastAsia="en-GB"/>
              </w:rPr>
              <w:t>beginning of year</w:t>
            </w:r>
          </w:p>
        </w:tc>
        <w:tc>
          <w:tcPr>
            <w:tcW w:w="2268" w:type="dxa"/>
            <w:tcBorders>
              <w:bottom w:val="single" w:sz="4" w:space="0" w:color="auto"/>
            </w:tcBorders>
            <w:noWrap/>
            <w:hideMark/>
          </w:tcPr>
          <w:p w14:paraId="593BBE90" w14:textId="4CB26EB6" w:rsidR="00AA79D1" w:rsidRPr="00B148F9" w:rsidRDefault="00AA79D1" w:rsidP="00AA79D1">
            <w:pPr>
              <w:jc w:val="right"/>
              <w:rPr>
                <w:rFonts w:cs="Arial"/>
                <w:lang w:eastAsia="en-GB"/>
              </w:rPr>
            </w:pPr>
            <w:r w:rsidRPr="00B148F9">
              <w:rPr>
                <w:rFonts w:cs="Arial"/>
                <w:b/>
                <w:bCs/>
                <w:lang w:eastAsia="en-GB"/>
              </w:rPr>
              <w:t>81,086</w:t>
            </w:r>
          </w:p>
        </w:tc>
        <w:tc>
          <w:tcPr>
            <w:tcW w:w="1843" w:type="dxa"/>
            <w:tcBorders>
              <w:bottom w:val="single" w:sz="4" w:space="0" w:color="auto"/>
            </w:tcBorders>
            <w:noWrap/>
            <w:hideMark/>
          </w:tcPr>
          <w:p w14:paraId="640A85C2" w14:textId="6564DCCA" w:rsidR="00AA79D1" w:rsidRPr="00B148F9" w:rsidRDefault="00AA79D1" w:rsidP="00AA79D1">
            <w:pPr>
              <w:jc w:val="right"/>
              <w:rPr>
                <w:rFonts w:cs="Arial"/>
                <w:lang w:eastAsia="en-GB"/>
              </w:rPr>
            </w:pPr>
            <w:r w:rsidRPr="00B148F9">
              <w:rPr>
                <w:b/>
              </w:rPr>
              <w:t>37,720,223</w:t>
            </w:r>
          </w:p>
        </w:tc>
        <w:tc>
          <w:tcPr>
            <w:tcW w:w="2410" w:type="dxa"/>
            <w:tcBorders>
              <w:bottom w:val="single" w:sz="4" w:space="0" w:color="auto"/>
            </w:tcBorders>
            <w:noWrap/>
            <w:hideMark/>
          </w:tcPr>
          <w:p w14:paraId="02BA4F74" w14:textId="18D665C9" w:rsidR="00AA79D1" w:rsidRPr="00B148F9" w:rsidRDefault="00AA79D1" w:rsidP="00AA79D1">
            <w:pPr>
              <w:jc w:val="right"/>
              <w:rPr>
                <w:rFonts w:cs="Arial"/>
                <w:lang w:eastAsia="en-GB"/>
              </w:rPr>
            </w:pPr>
            <w:r w:rsidRPr="00B148F9">
              <w:rPr>
                <w:b/>
              </w:rPr>
              <w:t>37,801,309</w:t>
            </w:r>
          </w:p>
        </w:tc>
      </w:tr>
      <w:tr w:rsidR="00AA79D1" w:rsidRPr="00B148F9" w14:paraId="1559D199" w14:textId="77777777" w:rsidTr="00DE3E70">
        <w:trPr>
          <w:trHeight w:val="255"/>
          <w:jc w:val="center"/>
        </w:trPr>
        <w:tc>
          <w:tcPr>
            <w:tcW w:w="6946" w:type="dxa"/>
            <w:noWrap/>
          </w:tcPr>
          <w:p w14:paraId="0C529805" w14:textId="77777777" w:rsidR="00AA79D1" w:rsidRPr="00B148F9" w:rsidRDefault="00AA79D1" w:rsidP="00AA79D1">
            <w:pPr>
              <w:jc w:val="right"/>
              <w:rPr>
                <w:rFonts w:cs="Arial"/>
                <w:b/>
                <w:bCs/>
                <w:lang w:eastAsia="en-GB"/>
              </w:rPr>
            </w:pPr>
          </w:p>
        </w:tc>
        <w:tc>
          <w:tcPr>
            <w:tcW w:w="2268" w:type="dxa"/>
            <w:tcBorders>
              <w:top w:val="single" w:sz="4" w:space="0" w:color="auto"/>
              <w:bottom w:val="single" w:sz="4" w:space="0" w:color="auto"/>
            </w:tcBorders>
            <w:noWrap/>
          </w:tcPr>
          <w:p w14:paraId="7B2A046B" w14:textId="77777777" w:rsidR="00AA79D1" w:rsidRPr="00B148F9" w:rsidRDefault="00AA79D1" w:rsidP="00AA79D1">
            <w:pPr>
              <w:jc w:val="right"/>
              <w:rPr>
                <w:rFonts w:cs="Arial"/>
                <w:b/>
                <w:bCs/>
                <w:lang w:eastAsia="en-GB"/>
              </w:rPr>
            </w:pPr>
          </w:p>
        </w:tc>
        <w:tc>
          <w:tcPr>
            <w:tcW w:w="1843" w:type="dxa"/>
            <w:tcBorders>
              <w:top w:val="single" w:sz="4" w:space="0" w:color="auto"/>
              <w:bottom w:val="single" w:sz="4" w:space="0" w:color="auto"/>
            </w:tcBorders>
            <w:noWrap/>
          </w:tcPr>
          <w:p w14:paraId="15F870CA" w14:textId="77777777" w:rsidR="00AA79D1" w:rsidRPr="00B148F9" w:rsidRDefault="00AA79D1" w:rsidP="00AA79D1">
            <w:pPr>
              <w:jc w:val="right"/>
              <w:rPr>
                <w:rFonts w:cs="Arial"/>
                <w:b/>
                <w:bCs/>
                <w:lang w:eastAsia="en-GB"/>
              </w:rPr>
            </w:pPr>
          </w:p>
        </w:tc>
        <w:tc>
          <w:tcPr>
            <w:tcW w:w="2410" w:type="dxa"/>
            <w:tcBorders>
              <w:top w:val="single" w:sz="4" w:space="0" w:color="auto"/>
              <w:bottom w:val="single" w:sz="4" w:space="0" w:color="auto"/>
            </w:tcBorders>
            <w:noWrap/>
          </w:tcPr>
          <w:p w14:paraId="770BA8DB" w14:textId="77777777" w:rsidR="00AA79D1" w:rsidRPr="00B148F9" w:rsidRDefault="00AA79D1" w:rsidP="00AA79D1">
            <w:pPr>
              <w:jc w:val="right"/>
              <w:rPr>
                <w:rFonts w:cs="Arial"/>
                <w:b/>
                <w:bCs/>
                <w:lang w:eastAsia="en-GB"/>
              </w:rPr>
            </w:pPr>
          </w:p>
        </w:tc>
      </w:tr>
      <w:tr w:rsidR="00AA79D1" w:rsidRPr="00B148F9" w14:paraId="71CD7143" w14:textId="77777777" w:rsidTr="00DE3E70">
        <w:trPr>
          <w:trHeight w:val="255"/>
          <w:jc w:val="center"/>
        </w:trPr>
        <w:tc>
          <w:tcPr>
            <w:tcW w:w="6946" w:type="dxa"/>
            <w:noWrap/>
          </w:tcPr>
          <w:p w14:paraId="31CA8DC2" w14:textId="210B526F" w:rsidR="00AA79D1" w:rsidRPr="00B148F9" w:rsidRDefault="006B686E" w:rsidP="00AA79D1">
            <w:pPr>
              <w:rPr>
                <w:rFonts w:cs="Arial"/>
                <w:b/>
                <w:bCs/>
                <w:lang w:eastAsia="en-GB"/>
              </w:rPr>
            </w:pPr>
            <w:r w:rsidRPr="00B148F9">
              <w:rPr>
                <w:rFonts w:cs="Arial"/>
                <w:b/>
                <w:bCs/>
                <w:lang w:eastAsia="en-GB"/>
              </w:rPr>
              <w:t>Member</w:t>
            </w:r>
            <w:r w:rsidR="003A034F" w:rsidRPr="00B148F9">
              <w:rPr>
                <w:rFonts w:cs="Arial"/>
                <w:b/>
                <w:bCs/>
                <w:lang w:eastAsia="en-GB"/>
              </w:rPr>
              <w:t>’</w:t>
            </w:r>
            <w:r w:rsidRPr="00B148F9">
              <w:rPr>
                <w:rFonts w:cs="Arial"/>
                <w:b/>
                <w:bCs/>
                <w:lang w:eastAsia="en-GB"/>
              </w:rPr>
              <w:t>s Equity</w:t>
            </w:r>
            <w:r w:rsidR="00AA79D1" w:rsidRPr="00B148F9">
              <w:rPr>
                <w:rFonts w:cs="Arial"/>
                <w:b/>
                <w:bCs/>
                <w:lang w:eastAsia="en-GB"/>
              </w:rPr>
              <w:t>,</w:t>
            </w:r>
            <w:r w:rsidR="00AA79D1" w:rsidRPr="00B148F9">
              <w:rPr>
                <w:rFonts w:cs="Arial"/>
                <w:bCs/>
                <w:lang w:eastAsia="en-GB"/>
              </w:rPr>
              <w:t xml:space="preserve"> </w:t>
            </w:r>
            <w:r w:rsidR="00AA79D1" w:rsidRPr="00B148F9">
              <w:rPr>
                <w:rFonts w:cs="Arial"/>
                <w:b/>
                <w:bCs/>
                <w:lang w:eastAsia="en-GB"/>
              </w:rPr>
              <w:t>end of year</w:t>
            </w:r>
          </w:p>
        </w:tc>
        <w:tc>
          <w:tcPr>
            <w:tcW w:w="2268" w:type="dxa"/>
            <w:tcBorders>
              <w:top w:val="single" w:sz="4" w:space="0" w:color="auto"/>
              <w:bottom w:val="single" w:sz="4" w:space="0" w:color="auto"/>
            </w:tcBorders>
            <w:noWrap/>
          </w:tcPr>
          <w:p w14:paraId="07D68218" w14:textId="2D4A4EB4" w:rsidR="00AA79D1" w:rsidRPr="00B148F9" w:rsidRDefault="00AA79D1" w:rsidP="00AA79D1">
            <w:pPr>
              <w:jc w:val="right"/>
              <w:rPr>
                <w:rFonts w:cs="Arial"/>
                <w:b/>
                <w:bCs/>
                <w:lang w:eastAsia="en-GB"/>
              </w:rPr>
            </w:pPr>
            <w:r w:rsidRPr="00B148F9">
              <w:rPr>
                <w:rFonts w:cs="Arial"/>
                <w:b/>
                <w:bCs/>
                <w:lang w:eastAsia="en-GB"/>
              </w:rPr>
              <w:t>US$140,981</w:t>
            </w:r>
          </w:p>
        </w:tc>
        <w:tc>
          <w:tcPr>
            <w:tcW w:w="1843" w:type="dxa"/>
            <w:tcBorders>
              <w:top w:val="single" w:sz="4" w:space="0" w:color="auto"/>
              <w:bottom w:val="single" w:sz="4" w:space="0" w:color="auto"/>
            </w:tcBorders>
            <w:noWrap/>
          </w:tcPr>
          <w:p w14:paraId="4B497915" w14:textId="1EE8A167" w:rsidR="00AA79D1" w:rsidRPr="00B148F9" w:rsidRDefault="00AA79D1" w:rsidP="00AA79D1">
            <w:pPr>
              <w:jc w:val="right"/>
              <w:rPr>
                <w:rFonts w:cs="Arial"/>
                <w:b/>
                <w:bCs/>
                <w:lang w:eastAsia="en-GB"/>
              </w:rPr>
            </w:pPr>
            <w:r w:rsidRPr="00B148F9">
              <w:rPr>
                <w:b/>
              </w:rPr>
              <w:t>US$65,582,522</w:t>
            </w:r>
          </w:p>
        </w:tc>
        <w:tc>
          <w:tcPr>
            <w:tcW w:w="2410" w:type="dxa"/>
            <w:tcBorders>
              <w:top w:val="single" w:sz="4" w:space="0" w:color="auto"/>
              <w:bottom w:val="single" w:sz="4" w:space="0" w:color="auto"/>
            </w:tcBorders>
            <w:noWrap/>
          </w:tcPr>
          <w:p w14:paraId="5CB6F477" w14:textId="24E5B8F9" w:rsidR="00AA79D1" w:rsidRPr="00B148F9" w:rsidRDefault="00AA79D1" w:rsidP="00AA79D1">
            <w:pPr>
              <w:jc w:val="right"/>
              <w:rPr>
                <w:rFonts w:cs="Arial"/>
                <w:b/>
                <w:bCs/>
                <w:lang w:eastAsia="en-GB"/>
              </w:rPr>
            </w:pPr>
            <w:r w:rsidRPr="00B148F9">
              <w:rPr>
                <w:b/>
              </w:rPr>
              <w:t>US$65,723,503</w:t>
            </w:r>
          </w:p>
        </w:tc>
      </w:tr>
    </w:tbl>
    <w:p w14:paraId="30944988" w14:textId="77777777" w:rsidR="00373B69" w:rsidRPr="00B148F9" w:rsidRDefault="00373B69" w:rsidP="00AF2A94">
      <w:pPr>
        <w:rPr>
          <w:rFonts w:cs="Arial"/>
        </w:rPr>
      </w:pPr>
    </w:p>
    <w:p w14:paraId="50732362" w14:textId="3A0BB723" w:rsidR="000D4F40" w:rsidRPr="00B148F9" w:rsidRDefault="00C04A64" w:rsidP="00AF2A94">
      <w:pPr>
        <w:rPr>
          <w:rFonts w:cs="Arial"/>
        </w:rPr>
        <w:sectPr w:rsidR="000D4F40" w:rsidRPr="00B148F9" w:rsidSect="008E2527">
          <w:pgSz w:w="16838" w:h="11906" w:orient="landscape"/>
          <w:pgMar w:top="720" w:right="720" w:bottom="720" w:left="720" w:header="708" w:footer="113" w:gutter="0"/>
          <w:cols w:space="708"/>
          <w:docGrid w:linePitch="360"/>
        </w:sectPr>
      </w:pPr>
      <w:r w:rsidRPr="00B148F9">
        <w:rPr>
          <w:rFonts w:cs="Arial"/>
        </w:rPr>
        <w:t>See accompanying notes to the financial statements</w:t>
      </w:r>
      <w:r w:rsidR="00164F4F" w:rsidRPr="00B148F9">
        <w:rPr>
          <w:rFonts w:cs="Arial"/>
        </w:rPr>
        <w:t>.</w:t>
      </w:r>
    </w:p>
    <w:p w14:paraId="45725967" w14:textId="4F00DC43" w:rsidR="006002C4" w:rsidRPr="00B148F9" w:rsidRDefault="006002C4" w:rsidP="00B961FE">
      <w:pPr>
        <w:pStyle w:val="Heading1"/>
      </w:pPr>
      <w:r w:rsidRPr="00B148F9">
        <w:rPr>
          <w:sz w:val="20"/>
        </w:rPr>
        <w:lastRenderedPageBreak/>
        <w:t>Statement of Cash Flows</w:t>
      </w:r>
    </w:p>
    <w:p w14:paraId="4187B241" w14:textId="4F6AA9F6" w:rsidR="006002C4" w:rsidRPr="00B148F9" w:rsidRDefault="006002C4" w:rsidP="00326CD3">
      <w:pPr>
        <w:jc w:val="center"/>
        <w:rPr>
          <w:rFonts w:cs="Arial"/>
          <w:b/>
          <w:bCs/>
        </w:rPr>
      </w:pPr>
      <w:r w:rsidRPr="00B148F9">
        <w:rPr>
          <w:rFonts w:cs="Arial"/>
          <w:b/>
          <w:bCs/>
        </w:rPr>
        <w:t xml:space="preserve">For the </w:t>
      </w:r>
      <w:r w:rsidR="009E4EB6" w:rsidRPr="00B148F9">
        <w:rPr>
          <w:rFonts w:cs="Arial"/>
          <w:b/>
          <w:bCs/>
        </w:rPr>
        <w:t xml:space="preserve">year ended 31 </w:t>
      </w:r>
      <w:r w:rsidR="00BA4C4B" w:rsidRPr="00B148F9">
        <w:rPr>
          <w:rFonts w:cs="Arial"/>
          <w:b/>
          <w:bCs/>
        </w:rPr>
        <w:t>December</w:t>
      </w:r>
      <w:r w:rsidR="009E4EB6" w:rsidRPr="00B148F9">
        <w:rPr>
          <w:rFonts w:cs="Arial"/>
          <w:b/>
          <w:bCs/>
        </w:rPr>
        <w:t xml:space="preserve"> </w:t>
      </w:r>
      <w:r w:rsidR="008B4D31" w:rsidRPr="00B148F9">
        <w:rPr>
          <w:rFonts w:cs="Arial"/>
          <w:b/>
          <w:bCs/>
        </w:rPr>
        <w:t>201</w:t>
      </w:r>
      <w:r w:rsidR="00E67491" w:rsidRPr="00B148F9">
        <w:rPr>
          <w:rFonts w:cs="Arial"/>
          <w:b/>
          <w:bCs/>
        </w:rPr>
        <w:t>9</w:t>
      </w:r>
      <w:r w:rsidR="00466D2D" w:rsidRPr="00B148F9">
        <w:rPr>
          <w:rFonts w:cs="Arial"/>
          <w:b/>
          <w:bCs/>
        </w:rPr>
        <w:t xml:space="preserve"> and 31 December 2018</w:t>
      </w:r>
    </w:p>
    <w:p w14:paraId="42737B16" w14:textId="53C11760" w:rsidR="002E7F22" w:rsidRPr="00B148F9" w:rsidRDefault="00945CE0" w:rsidP="00326CD3">
      <w:pPr>
        <w:jc w:val="center"/>
        <w:rPr>
          <w:rFonts w:cs="Arial"/>
          <w:bCs/>
        </w:rPr>
      </w:pPr>
      <w:r w:rsidRPr="00B148F9">
        <w:rPr>
          <w:rFonts w:cs="Arial"/>
          <w:bCs/>
        </w:rPr>
        <w:t>(</w:t>
      </w:r>
      <w:r w:rsidR="002E7F22" w:rsidRPr="00B148F9">
        <w:rPr>
          <w:rFonts w:cs="Arial"/>
          <w:bCs/>
        </w:rPr>
        <w:t>Expressed in United States Dollars</w:t>
      </w:r>
      <w:r w:rsidRPr="00B148F9">
        <w:rPr>
          <w:rFonts w:cs="Arial"/>
          <w:bCs/>
        </w:rPr>
        <w:t>)</w:t>
      </w:r>
    </w:p>
    <w:p w14:paraId="0DCE2C53" w14:textId="77777777" w:rsidR="006002C4" w:rsidRPr="00B148F9" w:rsidRDefault="006002C4" w:rsidP="00326CD3">
      <w:pPr>
        <w:pStyle w:val="HeadBreak"/>
        <w:pageBreakBefore w:val="0"/>
        <w:jc w:val="left"/>
        <w:rPr>
          <w:rFonts w:ascii="Century Gothic" w:hAnsi="Century Gothic"/>
          <w:b w:val="0"/>
          <w:sz w:val="20"/>
          <w:lang w:eastAsia="en-GB"/>
        </w:rPr>
      </w:pPr>
    </w:p>
    <w:tbl>
      <w:tblPr>
        <w:tblW w:w="10062" w:type="dxa"/>
        <w:tblInd w:w="108" w:type="dxa"/>
        <w:tblLayout w:type="fixed"/>
        <w:tblLook w:val="04A0" w:firstRow="1" w:lastRow="0" w:firstColumn="1" w:lastColumn="0" w:noHBand="0" w:noVBand="1"/>
      </w:tblPr>
      <w:tblGrid>
        <w:gridCol w:w="4949"/>
        <w:gridCol w:w="737"/>
        <w:gridCol w:w="561"/>
        <w:gridCol w:w="1695"/>
        <w:gridCol w:w="567"/>
        <w:gridCol w:w="1553"/>
      </w:tblGrid>
      <w:tr w:rsidR="007741F1" w:rsidRPr="00B148F9" w14:paraId="7690E0E2" w14:textId="77777777" w:rsidTr="00EE53BF">
        <w:trPr>
          <w:trHeight w:val="87"/>
        </w:trPr>
        <w:tc>
          <w:tcPr>
            <w:tcW w:w="4949" w:type="dxa"/>
            <w:tcBorders>
              <w:top w:val="nil"/>
              <w:left w:val="nil"/>
              <w:bottom w:val="nil"/>
              <w:right w:val="nil"/>
            </w:tcBorders>
            <w:shd w:val="clear" w:color="auto" w:fill="auto"/>
            <w:noWrap/>
            <w:vAlign w:val="bottom"/>
            <w:hideMark/>
          </w:tcPr>
          <w:p w14:paraId="39873548" w14:textId="77777777" w:rsidR="005D4DB9" w:rsidRPr="00B148F9" w:rsidRDefault="005D4DB9" w:rsidP="00326CD3">
            <w:pPr>
              <w:rPr>
                <w:rFonts w:cs="Arial"/>
                <w:lang w:eastAsia="en-GB"/>
              </w:rPr>
            </w:pPr>
          </w:p>
        </w:tc>
        <w:tc>
          <w:tcPr>
            <w:tcW w:w="737" w:type="dxa"/>
            <w:tcBorders>
              <w:top w:val="nil"/>
              <w:left w:val="nil"/>
              <w:bottom w:val="nil"/>
              <w:right w:val="nil"/>
            </w:tcBorders>
            <w:shd w:val="clear" w:color="auto" w:fill="auto"/>
            <w:noWrap/>
            <w:vAlign w:val="bottom"/>
            <w:hideMark/>
          </w:tcPr>
          <w:p w14:paraId="1313EFCA" w14:textId="77777777" w:rsidR="005D4DB9" w:rsidRPr="00B148F9" w:rsidRDefault="005D4DB9" w:rsidP="00326CD3">
            <w:pPr>
              <w:jc w:val="right"/>
              <w:rPr>
                <w:rFonts w:cs="Arial"/>
                <w:b/>
                <w:bCs/>
                <w:lang w:eastAsia="en-GB"/>
              </w:rPr>
            </w:pPr>
          </w:p>
        </w:tc>
        <w:tc>
          <w:tcPr>
            <w:tcW w:w="561" w:type="dxa"/>
            <w:tcBorders>
              <w:top w:val="nil"/>
              <w:left w:val="nil"/>
              <w:bottom w:val="nil"/>
              <w:right w:val="nil"/>
            </w:tcBorders>
          </w:tcPr>
          <w:p w14:paraId="25DCA9E5" w14:textId="77777777" w:rsidR="005D4DB9" w:rsidRPr="00B148F9" w:rsidRDefault="005D4DB9" w:rsidP="00E67491">
            <w:pPr>
              <w:jc w:val="right"/>
              <w:rPr>
                <w:rFonts w:cs="Arial"/>
                <w:b/>
                <w:bCs/>
                <w:lang w:eastAsia="en-GB"/>
              </w:rPr>
            </w:pPr>
          </w:p>
        </w:tc>
        <w:tc>
          <w:tcPr>
            <w:tcW w:w="1695" w:type="dxa"/>
            <w:tcBorders>
              <w:top w:val="nil"/>
              <w:left w:val="nil"/>
              <w:right w:val="nil"/>
            </w:tcBorders>
            <w:shd w:val="clear" w:color="auto" w:fill="auto"/>
            <w:noWrap/>
            <w:vAlign w:val="bottom"/>
            <w:hideMark/>
          </w:tcPr>
          <w:p w14:paraId="7EE2C9AF" w14:textId="72183601" w:rsidR="005D4DB9" w:rsidRPr="00B148F9" w:rsidRDefault="005D4DB9" w:rsidP="00E67491">
            <w:pPr>
              <w:jc w:val="right"/>
              <w:rPr>
                <w:rFonts w:cs="Arial"/>
                <w:b/>
                <w:bCs/>
                <w:lang w:eastAsia="en-GB"/>
              </w:rPr>
            </w:pPr>
            <w:r w:rsidRPr="00B148F9">
              <w:rPr>
                <w:rFonts w:cs="Arial"/>
                <w:b/>
                <w:bCs/>
                <w:lang w:eastAsia="en-GB"/>
              </w:rPr>
              <w:t>2019</w:t>
            </w:r>
          </w:p>
        </w:tc>
        <w:tc>
          <w:tcPr>
            <w:tcW w:w="567" w:type="dxa"/>
            <w:tcBorders>
              <w:top w:val="nil"/>
              <w:left w:val="nil"/>
              <w:bottom w:val="nil"/>
              <w:right w:val="nil"/>
            </w:tcBorders>
            <w:shd w:val="clear" w:color="auto" w:fill="auto"/>
            <w:noWrap/>
            <w:vAlign w:val="bottom"/>
            <w:hideMark/>
          </w:tcPr>
          <w:p w14:paraId="5D602C58" w14:textId="77777777" w:rsidR="005D4DB9" w:rsidRPr="00B148F9" w:rsidRDefault="005D4DB9" w:rsidP="00326CD3">
            <w:pPr>
              <w:rPr>
                <w:rFonts w:cs="Arial"/>
                <w:lang w:eastAsia="en-GB"/>
              </w:rPr>
            </w:pPr>
          </w:p>
        </w:tc>
        <w:tc>
          <w:tcPr>
            <w:tcW w:w="1553" w:type="dxa"/>
            <w:tcBorders>
              <w:top w:val="nil"/>
              <w:left w:val="nil"/>
              <w:bottom w:val="nil"/>
              <w:right w:val="nil"/>
            </w:tcBorders>
            <w:shd w:val="clear" w:color="auto" w:fill="auto"/>
            <w:noWrap/>
            <w:vAlign w:val="bottom"/>
            <w:hideMark/>
          </w:tcPr>
          <w:p w14:paraId="4D9209DA" w14:textId="77777777" w:rsidR="005D4DB9" w:rsidRPr="00B148F9" w:rsidRDefault="005D4DB9" w:rsidP="00E67491">
            <w:pPr>
              <w:jc w:val="right"/>
              <w:rPr>
                <w:rFonts w:cs="Arial"/>
                <w:b/>
                <w:bCs/>
                <w:lang w:eastAsia="en-GB"/>
              </w:rPr>
            </w:pPr>
            <w:r w:rsidRPr="00B148F9">
              <w:rPr>
                <w:rFonts w:cs="Arial"/>
                <w:b/>
                <w:bCs/>
                <w:lang w:eastAsia="en-GB"/>
              </w:rPr>
              <w:t>2018</w:t>
            </w:r>
          </w:p>
        </w:tc>
      </w:tr>
      <w:tr w:rsidR="007741F1" w:rsidRPr="00B148F9" w14:paraId="69ADB98E" w14:textId="77777777" w:rsidTr="00EE53BF">
        <w:trPr>
          <w:trHeight w:val="129"/>
        </w:trPr>
        <w:tc>
          <w:tcPr>
            <w:tcW w:w="4949" w:type="dxa"/>
            <w:tcBorders>
              <w:top w:val="nil"/>
              <w:left w:val="nil"/>
              <w:bottom w:val="nil"/>
              <w:right w:val="nil"/>
            </w:tcBorders>
            <w:shd w:val="clear" w:color="auto" w:fill="auto"/>
            <w:noWrap/>
            <w:vAlign w:val="bottom"/>
          </w:tcPr>
          <w:p w14:paraId="442376E3" w14:textId="77777777" w:rsidR="007741F1" w:rsidRPr="00B148F9" w:rsidRDefault="007741F1" w:rsidP="00326CD3">
            <w:pPr>
              <w:rPr>
                <w:rFonts w:cs="Arial"/>
                <w:lang w:eastAsia="en-GB"/>
              </w:rPr>
            </w:pPr>
          </w:p>
        </w:tc>
        <w:tc>
          <w:tcPr>
            <w:tcW w:w="737" w:type="dxa"/>
            <w:tcBorders>
              <w:top w:val="nil"/>
              <w:left w:val="nil"/>
              <w:bottom w:val="nil"/>
              <w:right w:val="nil"/>
            </w:tcBorders>
            <w:shd w:val="clear" w:color="auto" w:fill="auto"/>
            <w:noWrap/>
            <w:vAlign w:val="bottom"/>
          </w:tcPr>
          <w:p w14:paraId="1F94C73F" w14:textId="77777777" w:rsidR="007741F1" w:rsidRPr="00B148F9" w:rsidRDefault="007741F1" w:rsidP="00326CD3">
            <w:pPr>
              <w:jc w:val="right"/>
              <w:rPr>
                <w:rFonts w:cs="Arial"/>
                <w:b/>
                <w:bCs/>
                <w:lang w:eastAsia="en-GB"/>
              </w:rPr>
            </w:pPr>
          </w:p>
        </w:tc>
        <w:tc>
          <w:tcPr>
            <w:tcW w:w="561" w:type="dxa"/>
            <w:tcBorders>
              <w:top w:val="nil"/>
              <w:left w:val="nil"/>
              <w:bottom w:val="nil"/>
              <w:right w:val="nil"/>
            </w:tcBorders>
          </w:tcPr>
          <w:p w14:paraId="29AC7B21" w14:textId="77777777" w:rsidR="007741F1" w:rsidRPr="00B148F9" w:rsidRDefault="007741F1" w:rsidP="00326CD3">
            <w:pPr>
              <w:jc w:val="right"/>
              <w:rPr>
                <w:rFonts w:cs="Arial"/>
                <w:b/>
                <w:bCs/>
                <w:lang w:eastAsia="en-GB"/>
              </w:rPr>
            </w:pPr>
          </w:p>
        </w:tc>
        <w:tc>
          <w:tcPr>
            <w:tcW w:w="1695" w:type="dxa"/>
            <w:tcBorders>
              <w:top w:val="single" w:sz="4" w:space="0" w:color="auto"/>
              <w:left w:val="nil"/>
              <w:bottom w:val="nil"/>
              <w:right w:val="nil"/>
            </w:tcBorders>
            <w:shd w:val="clear" w:color="auto" w:fill="auto"/>
            <w:noWrap/>
            <w:vAlign w:val="bottom"/>
          </w:tcPr>
          <w:p w14:paraId="3608FFDE" w14:textId="77777777" w:rsidR="007741F1" w:rsidRPr="00B148F9" w:rsidRDefault="007741F1">
            <w:pPr>
              <w:jc w:val="center"/>
              <w:rPr>
                <w:rFonts w:cs="Arial"/>
                <w:b/>
                <w:bCs/>
                <w:lang w:eastAsia="en-GB"/>
              </w:rPr>
            </w:pPr>
          </w:p>
        </w:tc>
        <w:tc>
          <w:tcPr>
            <w:tcW w:w="567" w:type="dxa"/>
            <w:tcBorders>
              <w:top w:val="nil"/>
              <w:left w:val="nil"/>
              <w:bottom w:val="nil"/>
              <w:right w:val="nil"/>
            </w:tcBorders>
            <w:shd w:val="clear" w:color="auto" w:fill="auto"/>
            <w:vAlign w:val="bottom"/>
          </w:tcPr>
          <w:p w14:paraId="124CC889" w14:textId="77777777" w:rsidR="007741F1" w:rsidRPr="00B148F9" w:rsidRDefault="007741F1">
            <w:pPr>
              <w:jc w:val="center"/>
              <w:rPr>
                <w:rFonts w:cs="Arial"/>
                <w:b/>
                <w:bCs/>
                <w:lang w:eastAsia="en-GB"/>
              </w:rPr>
            </w:pPr>
          </w:p>
        </w:tc>
        <w:tc>
          <w:tcPr>
            <w:tcW w:w="1553" w:type="dxa"/>
            <w:tcBorders>
              <w:top w:val="single" w:sz="4" w:space="0" w:color="auto"/>
              <w:left w:val="nil"/>
              <w:bottom w:val="nil"/>
              <w:right w:val="nil"/>
            </w:tcBorders>
            <w:shd w:val="clear" w:color="auto" w:fill="auto"/>
            <w:vAlign w:val="bottom"/>
          </w:tcPr>
          <w:p w14:paraId="09004041" w14:textId="70638C44" w:rsidR="007741F1" w:rsidRPr="00B148F9" w:rsidRDefault="007741F1" w:rsidP="00B746FC">
            <w:pPr>
              <w:jc w:val="center"/>
              <w:rPr>
                <w:rFonts w:cs="Arial"/>
                <w:b/>
                <w:bCs/>
                <w:lang w:eastAsia="en-GB"/>
              </w:rPr>
            </w:pPr>
          </w:p>
        </w:tc>
      </w:tr>
      <w:tr w:rsidR="007741F1" w:rsidRPr="00B148F9" w14:paraId="4FA7502E" w14:textId="77777777" w:rsidTr="00B746FC">
        <w:trPr>
          <w:trHeight w:val="270"/>
        </w:trPr>
        <w:tc>
          <w:tcPr>
            <w:tcW w:w="4949" w:type="dxa"/>
            <w:tcBorders>
              <w:top w:val="nil"/>
              <w:left w:val="nil"/>
              <w:bottom w:val="nil"/>
              <w:right w:val="nil"/>
            </w:tcBorders>
            <w:shd w:val="clear" w:color="auto" w:fill="auto"/>
            <w:noWrap/>
            <w:vAlign w:val="bottom"/>
            <w:hideMark/>
          </w:tcPr>
          <w:p w14:paraId="6DBCCF98" w14:textId="77777777" w:rsidR="005D4DB9" w:rsidRPr="00B148F9" w:rsidRDefault="005D4DB9" w:rsidP="00326CD3">
            <w:pPr>
              <w:rPr>
                <w:rFonts w:cs="Arial"/>
                <w:b/>
                <w:bCs/>
                <w:lang w:eastAsia="en-GB"/>
              </w:rPr>
            </w:pPr>
            <w:r w:rsidRPr="00B148F9">
              <w:rPr>
                <w:rFonts w:cs="Arial"/>
                <w:b/>
                <w:bCs/>
                <w:lang w:eastAsia="en-GB"/>
              </w:rPr>
              <w:t>Cash flows from operating activities</w:t>
            </w:r>
          </w:p>
        </w:tc>
        <w:tc>
          <w:tcPr>
            <w:tcW w:w="737" w:type="dxa"/>
            <w:tcBorders>
              <w:top w:val="nil"/>
              <w:left w:val="nil"/>
              <w:bottom w:val="nil"/>
              <w:right w:val="nil"/>
            </w:tcBorders>
            <w:shd w:val="clear" w:color="auto" w:fill="auto"/>
            <w:noWrap/>
            <w:vAlign w:val="bottom"/>
            <w:hideMark/>
          </w:tcPr>
          <w:p w14:paraId="7F74F493" w14:textId="77777777" w:rsidR="005D4DB9" w:rsidRPr="00B148F9" w:rsidRDefault="005D4DB9" w:rsidP="00326CD3">
            <w:pPr>
              <w:rPr>
                <w:rFonts w:cs="Arial"/>
                <w:lang w:eastAsia="en-GB"/>
              </w:rPr>
            </w:pPr>
          </w:p>
        </w:tc>
        <w:tc>
          <w:tcPr>
            <w:tcW w:w="561" w:type="dxa"/>
            <w:tcBorders>
              <w:top w:val="nil"/>
              <w:left w:val="nil"/>
              <w:bottom w:val="nil"/>
              <w:right w:val="nil"/>
            </w:tcBorders>
          </w:tcPr>
          <w:p w14:paraId="1AE7F0EB" w14:textId="77777777" w:rsidR="005D4DB9" w:rsidRPr="00B148F9" w:rsidRDefault="005D4DB9" w:rsidP="00326CD3">
            <w:pPr>
              <w:rPr>
                <w:rFonts w:cs="Arial"/>
                <w:lang w:eastAsia="en-GB"/>
              </w:rPr>
            </w:pPr>
          </w:p>
        </w:tc>
        <w:tc>
          <w:tcPr>
            <w:tcW w:w="1695" w:type="dxa"/>
            <w:tcBorders>
              <w:top w:val="nil"/>
              <w:left w:val="nil"/>
              <w:bottom w:val="nil"/>
              <w:right w:val="nil"/>
            </w:tcBorders>
            <w:shd w:val="clear" w:color="auto" w:fill="auto"/>
            <w:noWrap/>
            <w:vAlign w:val="bottom"/>
            <w:hideMark/>
          </w:tcPr>
          <w:p w14:paraId="44D79D12" w14:textId="34B83C24" w:rsidR="005D4DB9" w:rsidRPr="00B148F9" w:rsidRDefault="005D4DB9" w:rsidP="00326CD3">
            <w:pPr>
              <w:rPr>
                <w:rFonts w:cs="Arial"/>
                <w:lang w:eastAsia="en-GB"/>
              </w:rPr>
            </w:pPr>
          </w:p>
        </w:tc>
        <w:tc>
          <w:tcPr>
            <w:tcW w:w="567" w:type="dxa"/>
            <w:tcBorders>
              <w:top w:val="nil"/>
              <w:left w:val="nil"/>
              <w:bottom w:val="nil"/>
              <w:right w:val="nil"/>
            </w:tcBorders>
            <w:shd w:val="clear" w:color="auto" w:fill="auto"/>
            <w:noWrap/>
            <w:vAlign w:val="bottom"/>
            <w:hideMark/>
          </w:tcPr>
          <w:p w14:paraId="1EB18426" w14:textId="77777777" w:rsidR="005D4DB9" w:rsidRPr="00B148F9" w:rsidRDefault="005D4DB9" w:rsidP="00326CD3">
            <w:pPr>
              <w:rPr>
                <w:rFonts w:cs="Arial"/>
                <w:lang w:eastAsia="en-GB"/>
              </w:rPr>
            </w:pPr>
          </w:p>
        </w:tc>
        <w:tc>
          <w:tcPr>
            <w:tcW w:w="1553" w:type="dxa"/>
            <w:tcBorders>
              <w:top w:val="nil"/>
              <w:left w:val="nil"/>
              <w:bottom w:val="nil"/>
              <w:right w:val="nil"/>
            </w:tcBorders>
            <w:shd w:val="clear" w:color="auto" w:fill="auto"/>
            <w:noWrap/>
            <w:vAlign w:val="bottom"/>
            <w:hideMark/>
          </w:tcPr>
          <w:p w14:paraId="1B2759A8" w14:textId="77777777" w:rsidR="005D4DB9" w:rsidRPr="00B148F9" w:rsidRDefault="005D4DB9" w:rsidP="00326CD3">
            <w:pPr>
              <w:rPr>
                <w:rFonts w:cs="Arial"/>
                <w:lang w:eastAsia="en-GB"/>
              </w:rPr>
            </w:pPr>
          </w:p>
        </w:tc>
      </w:tr>
      <w:tr w:rsidR="007741F1" w:rsidRPr="00B148F9" w14:paraId="5C0618ED" w14:textId="77777777" w:rsidTr="00B746FC">
        <w:trPr>
          <w:trHeight w:val="270"/>
        </w:trPr>
        <w:tc>
          <w:tcPr>
            <w:tcW w:w="4949" w:type="dxa"/>
            <w:tcBorders>
              <w:top w:val="nil"/>
              <w:left w:val="nil"/>
              <w:bottom w:val="nil"/>
              <w:right w:val="nil"/>
            </w:tcBorders>
            <w:shd w:val="clear" w:color="auto" w:fill="auto"/>
            <w:noWrap/>
            <w:vAlign w:val="bottom"/>
            <w:hideMark/>
          </w:tcPr>
          <w:p w14:paraId="60BBDFDB" w14:textId="51BEFD38" w:rsidR="005D4DB9" w:rsidRPr="00B148F9" w:rsidRDefault="005D4DB9">
            <w:pPr>
              <w:rPr>
                <w:rFonts w:cs="Arial"/>
                <w:highlight w:val="yellow"/>
                <w:lang w:eastAsia="en-GB"/>
              </w:rPr>
            </w:pPr>
            <w:r w:rsidRPr="00B148F9">
              <w:rPr>
                <w:rFonts w:cs="Arial"/>
                <w:lang w:eastAsia="en-GB"/>
              </w:rPr>
              <w:t>Net change in net assets resulting from operations</w:t>
            </w:r>
          </w:p>
        </w:tc>
        <w:tc>
          <w:tcPr>
            <w:tcW w:w="737" w:type="dxa"/>
            <w:tcBorders>
              <w:top w:val="nil"/>
              <w:left w:val="nil"/>
              <w:bottom w:val="nil"/>
              <w:right w:val="nil"/>
            </w:tcBorders>
            <w:shd w:val="clear" w:color="auto" w:fill="auto"/>
            <w:noWrap/>
            <w:vAlign w:val="bottom"/>
            <w:hideMark/>
          </w:tcPr>
          <w:p w14:paraId="2287CB06" w14:textId="77777777" w:rsidR="005D4DB9" w:rsidRPr="00B148F9" w:rsidRDefault="005D4DB9" w:rsidP="00326CD3">
            <w:pPr>
              <w:rPr>
                <w:rFonts w:cs="Arial"/>
                <w:lang w:eastAsia="en-GB"/>
              </w:rPr>
            </w:pPr>
          </w:p>
        </w:tc>
        <w:tc>
          <w:tcPr>
            <w:tcW w:w="561" w:type="dxa"/>
            <w:tcBorders>
              <w:top w:val="nil"/>
              <w:left w:val="nil"/>
              <w:bottom w:val="nil"/>
              <w:right w:val="nil"/>
            </w:tcBorders>
            <w:vAlign w:val="bottom"/>
          </w:tcPr>
          <w:p w14:paraId="08F81654" w14:textId="56EA804F" w:rsidR="005D4DB9" w:rsidRPr="00B148F9" w:rsidRDefault="00392D8E">
            <w:pPr>
              <w:jc w:val="right"/>
              <w:rPr>
                <w:highlight w:val="yellow"/>
              </w:rPr>
            </w:pPr>
            <w:r w:rsidRPr="00B148F9">
              <w:t>US$</w:t>
            </w:r>
          </w:p>
        </w:tc>
        <w:tc>
          <w:tcPr>
            <w:tcW w:w="1695" w:type="dxa"/>
            <w:tcBorders>
              <w:top w:val="nil"/>
              <w:left w:val="nil"/>
              <w:bottom w:val="nil"/>
              <w:right w:val="nil"/>
            </w:tcBorders>
            <w:shd w:val="clear" w:color="auto" w:fill="auto"/>
            <w:noWrap/>
            <w:vAlign w:val="bottom"/>
          </w:tcPr>
          <w:p w14:paraId="4E845F53" w14:textId="1E362C9C" w:rsidR="005D4DB9" w:rsidRPr="00B148F9" w:rsidRDefault="00093CAD" w:rsidP="00780DC6">
            <w:pPr>
              <w:jc w:val="right"/>
              <w:rPr>
                <w:highlight w:val="yellow"/>
              </w:rPr>
            </w:pPr>
            <w:r w:rsidRPr="00B148F9">
              <w:rPr>
                <w:rFonts w:cs="Arial"/>
                <w:bCs/>
                <w:lang w:eastAsia="en-GB"/>
              </w:rPr>
              <w:t>3</w:t>
            </w:r>
            <w:r w:rsidR="00466D2D" w:rsidRPr="00B148F9">
              <w:rPr>
                <w:rFonts w:cs="Arial"/>
                <w:bCs/>
                <w:lang w:eastAsia="en-GB"/>
              </w:rPr>
              <w:t>8</w:t>
            </w:r>
            <w:r w:rsidRPr="00B148F9">
              <w:rPr>
                <w:rFonts w:cs="Arial"/>
                <w:bCs/>
                <w:lang w:eastAsia="en-GB"/>
              </w:rPr>
              <w:t>,</w:t>
            </w:r>
            <w:r w:rsidR="00466D2D" w:rsidRPr="00B148F9">
              <w:rPr>
                <w:rFonts w:cs="Arial"/>
                <w:bCs/>
                <w:lang w:eastAsia="en-GB"/>
              </w:rPr>
              <w:t>717</w:t>
            </w:r>
            <w:r w:rsidRPr="00B148F9">
              <w:rPr>
                <w:rFonts w:cs="Arial"/>
                <w:bCs/>
                <w:lang w:eastAsia="en-GB"/>
              </w:rPr>
              <w:t>,</w:t>
            </w:r>
            <w:r w:rsidR="00466D2D" w:rsidRPr="00B148F9">
              <w:rPr>
                <w:rFonts w:cs="Arial"/>
                <w:bCs/>
                <w:lang w:eastAsia="en-GB"/>
              </w:rPr>
              <w:t>862</w:t>
            </w:r>
          </w:p>
        </w:tc>
        <w:tc>
          <w:tcPr>
            <w:tcW w:w="567" w:type="dxa"/>
            <w:tcBorders>
              <w:top w:val="nil"/>
              <w:left w:val="nil"/>
              <w:bottom w:val="nil"/>
              <w:right w:val="nil"/>
            </w:tcBorders>
            <w:shd w:val="clear" w:color="auto" w:fill="auto"/>
            <w:noWrap/>
            <w:vAlign w:val="bottom"/>
            <w:hideMark/>
          </w:tcPr>
          <w:p w14:paraId="4749CB31" w14:textId="1BF1A905" w:rsidR="005D4DB9" w:rsidRPr="00B148F9" w:rsidRDefault="005D4DB9" w:rsidP="00DE3E70">
            <w:pPr>
              <w:jc w:val="right"/>
              <w:rPr>
                <w:rFonts w:cs="Arial"/>
                <w:highlight w:val="yellow"/>
                <w:lang w:eastAsia="en-GB"/>
              </w:rPr>
            </w:pPr>
            <w:r w:rsidRPr="00B148F9">
              <w:t>US$</w:t>
            </w:r>
          </w:p>
        </w:tc>
        <w:tc>
          <w:tcPr>
            <w:tcW w:w="1553" w:type="dxa"/>
            <w:tcBorders>
              <w:top w:val="nil"/>
              <w:left w:val="nil"/>
              <w:bottom w:val="nil"/>
              <w:right w:val="nil"/>
            </w:tcBorders>
            <w:shd w:val="clear" w:color="auto" w:fill="auto"/>
            <w:noWrap/>
            <w:vAlign w:val="bottom"/>
            <w:hideMark/>
          </w:tcPr>
          <w:p w14:paraId="7505010C" w14:textId="5498DA2D" w:rsidR="005D4DB9" w:rsidRPr="00B148F9" w:rsidRDefault="005D4DB9" w:rsidP="00E67491">
            <w:pPr>
              <w:jc w:val="right"/>
            </w:pPr>
            <w:r w:rsidRPr="00B148F9">
              <w:t>27,922,194</w:t>
            </w:r>
          </w:p>
        </w:tc>
      </w:tr>
      <w:tr w:rsidR="007741F1" w:rsidRPr="00B148F9" w14:paraId="0E69B801" w14:textId="77777777" w:rsidTr="00B746FC">
        <w:trPr>
          <w:trHeight w:val="270"/>
        </w:trPr>
        <w:tc>
          <w:tcPr>
            <w:tcW w:w="4949" w:type="dxa"/>
            <w:tcBorders>
              <w:top w:val="nil"/>
              <w:left w:val="nil"/>
              <w:bottom w:val="nil"/>
              <w:right w:val="nil"/>
            </w:tcBorders>
            <w:shd w:val="clear" w:color="auto" w:fill="auto"/>
            <w:noWrap/>
            <w:vAlign w:val="bottom"/>
            <w:hideMark/>
          </w:tcPr>
          <w:p w14:paraId="70F727C4" w14:textId="72CB89A4" w:rsidR="005D4DB9" w:rsidRPr="00B148F9" w:rsidRDefault="005D4DB9" w:rsidP="000F0124">
            <w:pPr>
              <w:rPr>
                <w:rFonts w:cs="Arial"/>
                <w:lang w:eastAsia="en-GB"/>
              </w:rPr>
            </w:pPr>
            <w:r w:rsidRPr="00B148F9">
              <w:rPr>
                <w:rFonts w:cs="Arial"/>
                <w:lang w:eastAsia="en-GB"/>
              </w:rPr>
              <w:t>Adjustments to reconcile net change in net assets resulting from operation</w:t>
            </w:r>
            <w:r w:rsidR="00AA79D1" w:rsidRPr="00B148F9">
              <w:rPr>
                <w:rFonts w:cs="Arial"/>
                <w:lang w:eastAsia="en-GB"/>
              </w:rPr>
              <w:t>s</w:t>
            </w:r>
            <w:r w:rsidRPr="00B148F9">
              <w:rPr>
                <w:rFonts w:cs="Arial"/>
                <w:lang w:eastAsia="en-GB"/>
              </w:rPr>
              <w:t xml:space="preserve"> to net cash used in operating activities:</w:t>
            </w:r>
          </w:p>
        </w:tc>
        <w:tc>
          <w:tcPr>
            <w:tcW w:w="737" w:type="dxa"/>
            <w:tcBorders>
              <w:top w:val="nil"/>
              <w:left w:val="nil"/>
              <w:bottom w:val="nil"/>
              <w:right w:val="nil"/>
            </w:tcBorders>
            <w:shd w:val="clear" w:color="auto" w:fill="auto"/>
            <w:noWrap/>
            <w:vAlign w:val="bottom"/>
            <w:hideMark/>
          </w:tcPr>
          <w:p w14:paraId="54BD8B14" w14:textId="77777777" w:rsidR="005D4DB9" w:rsidRPr="00B148F9" w:rsidRDefault="005D4DB9" w:rsidP="00326CD3">
            <w:pPr>
              <w:rPr>
                <w:rFonts w:cs="Arial"/>
                <w:lang w:eastAsia="en-GB"/>
              </w:rPr>
            </w:pPr>
          </w:p>
        </w:tc>
        <w:tc>
          <w:tcPr>
            <w:tcW w:w="561" w:type="dxa"/>
            <w:tcBorders>
              <w:top w:val="nil"/>
              <w:left w:val="nil"/>
              <w:bottom w:val="nil"/>
              <w:right w:val="nil"/>
            </w:tcBorders>
          </w:tcPr>
          <w:p w14:paraId="5305D883" w14:textId="77777777" w:rsidR="005D4DB9" w:rsidRPr="00B148F9" w:rsidRDefault="005D4DB9" w:rsidP="00326CD3">
            <w:pPr>
              <w:rPr>
                <w:rFonts w:cs="Arial"/>
                <w:highlight w:val="yellow"/>
                <w:lang w:eastAsia="en-GB"/>
              </w:rPr>
            </w:pPr>
          </w:p>
        </w:tc>
        <w:tc>
          <w:tcPr>
            <w:tcW w:w="1695" w:type="dxa"/>
            <w:tcBorders>
              <w:top w:val="nil"/>
              <w:left w:val="nil"/>
              <w:bottom w:val="nil"/>
              <w:right w:val="nil"/>
            </w:tcBorders>
            <w:shd w:val="clear" w:color="auto" w:fill="auto"/>
            <w:noWrap/>
            <w:vAlign w:val="bottom"/>
          </w:tcPr>
          <w:p w14:paraId="068D684B" w14:textId="307D53D5" w:rsidR="005D4DB9" w:rsidRPr="00B148F9" w:rsidRDefault="005D4DB9" w:rsidP="00326CD3">
            <w:pPr>
              <w:rPr>
                <w:rFonts w:cs="Arial"/>
                <w:highlight w:val="yellow"/>
                <w:lang w:eastAsia="en-GB"/>
              </w:rPr>
            </w:pPr>
          </w:p>
        </w:tc>
        <w:tc>
          <w:tcPr>
            <w:tcW w:w="567" w:type="dxa"/>
            <w:tcBorders>
              <w:top w:val="nil"/>
              <w:left w:val="nil"/>
              <w:bottom w:val="nil"/>
              <w:right w:val="nil"/>
            </w:tcBorders>
            <w:shd w:val="clear" w:color="auto" w:fill="auto"/>
            <w:noWrap/>
            <w:vAlign w:val="bottom"/>
            <w:hideMark/>
          </w:tcPr>
          <w:p w14:paraId="79E6B98B" w14:textId="77777777" w:rsidR="005D4DB9" w:rsidRPr="00B148F9" w:rsidRDefault="005D4DB9" w:rsidP="00326CD3">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23690175" w14:textId="77777777" w:rsidR="005D4DB9" w:rsidRPr="00B148F9" w:rsidRDefault="005D4DB9" w:rsidP="00B3585A">
            <w:pPr>
              <w:rPr>
                <w:rFonts w:cs="Arial"/>
                <w:lang w:eastAsia="en-GB"/>
              </w:rPr>
            </w:pPr>
          </w:p>
        </w:tc>
      </w:tr>
      <w:tr w:rsidR="007741F1" w:rsidRPr="00B148F9" w14:paraId="46F17C7C" w14:textId="77777777" w:rsidTr="00B746FC">
        <w:trPr>
          <w:trHeight w:val="283"/>
        </w:trPr>
        <w:tc>
          <w:tcPr>
            <w:tcW w:w="4949" w:type="dxa"/>
            <w:tcBorders>
              <w:top w:val="nil"/>
              <w:left w:val="nil"/>
              <w:bottom w:val="nil"/>
              <w:right w:val="nil"/>
            </w:tcBorders>
            <w:shd w:val="clear" w:color="auto" w:fill="auto"/>
            <w:vAlign w:val="bottom"/>
            <w:hideMark/>
          </w:tcPr>
          <w:p w14:paraId="08C4B151" w14:textId="02CC9F67" w:rsidR="005D4DB9" w:rsidRPr="00B148F9" w:rsidRDefault="005D4DB9" w:rsidP="003A034F">
            <w:pPr>
              <w:ind w:left="216"/>
              <w:rPr>
                <w:rFonts w:cs="Arial"/>
                <w:lang w:eastAsia="en-GB"/>
              </w:rPr>
            </w:pPr>
            <w:r w:rsidRPr="00B148F9">
              <w:rPr>
                <w:rFonts w:cs="Arial"/>
                <w:lang w:eastAsia="en-GB"/>
              </w:rPr>
              <w:t>Net realised gain on securities</w:t>
            </w:r>
            <w:r w:rsidR="00AA79D1" w:rsidRPr="00B148F9">
              <w:rPr>
                <w:rFonts w:cs="Arial"/>
                <w:lang w:eastAsia="en-GB"/>
              </w:rPr>
              <w:t xml:space="preserve"> and foreign currency </w:t>
            </w:r>
            <w:r w:rsidR="003A034F" w:rsidRPr="00B148F9">
              <w:rPr>
                <w:rFonts w:cs="Arial"/>
                <w:lang w:eastAsia="en-GB"/>
              </w:rPr>
              <w:t>transactions</w:t>
            </w:r>
          </w:p>
        </w:tc>
        <w:tc>
          <w:tcPr>
            <w:tcW w:w="737" w:type="dxa"/>
            <w:tcBorders>
              <w:top w:val="nil"/>
              <w:left w:val="nil"/>
              <w:bottom w:val="nil"/>
              <w:right w:val="nil"/>
            </w:tcBorders>
            <w:shd w:val="clear" w:color="auto" w:fill="auto"/>
            <w:noWrap/>
            <w:vAlign w:val="bottom"/>
            <w:hideMark/>
          </w:tcPr>
          <w:p w14:paraId="7CD337AE" w14:textId="77777777" w:rsidR="005D4DB9" w:rsidRPr="00B148F9" w:rsidRDefault="005D4DB9" w:rsidP="00326CD3">
            <w:pPr>
              <w:rPr>
                <w:rFonts w:cs="Arial"/>
                <w:lang w:eastAsia="en-GB"/>
              </w:rPr>
            </w:pPr>
          </w:p>
        </w:tc>
        <w:tc>
          <w:tcPr>
            <w:tcW w:w="561" w:type="dxa"/>
            <w:tcBorders>
              <w:top w:val="nil"/>
              <w:left w:val="nil"/>
              <w:bottom w:val="nil"/>
              <w:right w:val="nil"/>
            </w:tcBorders>
          </w:tcPr>
          <w:p w14:paraId="70519398" w14:textId="77777777" w:rsidR="005D4DB9" w:rsidRPr="00B148F9" w:rsidRDefault="005D4DB9">
            <w:pPr>
              <w:jc w:val="right"/>
              <w:rPr>
                <w:highlight w:val="yellow"/>
              </w:rPr>
            </w:pPr>
          </w:p>
        </w:tc>
        <w:tc>
          <w:tcPr>
            <w:tcW w:w="1695" w:type="dxa"/>
            <w:tcBorders>
              <w:top w:val="nil"/>
              <w:left w:val="nil"/>
              <w:bottom w:val="nil"/>
              <w:right w:val="nil"/>
            </w:tcBorders>
            <w:shd w:val="clear" w:color="auto" w:fill="auto"/>
            <w:noWrap/>
            <w:vAlign w:val="bottom"/>
          </w:tcPr>
          <w:p w14:paraId="4E0C0472" w14:textId="3DFB65BF" w:rsidR="005D4DB9" w:rsidRPr="00B148F9" w:rsidRDefault="002862D2">
            <w:pPr>
              <w:jc w:val="right"/>
              <w:rPr>
                <w:highlight w:val="yellow"/>
              </w:rPr>
            </w:pPr>
            <w:r w:rsidRPr="00B148F9">
              <w:t>(14,561,226)</w:t>
            </w:r>
          </w:p>
        </w:tc>
        <w:tc>
          <w:tcPr>
            <w:tcW w:w="567" w:type="dxa"/>
            <w:tcBorders>
              <w:top w:val="nil"/>
              <w:left w:val="nil"/>
              <w:bottom w:val="nil"/>
              <w:right w:val="nil"/>
            </w:tcBorders>
            <w:shd w:val="clear" w:color="auto" w:fill="auto"/>
            <w:noWrap/>
            <w:vAlign w:val="bottom"/>
            <w:hideMark/>
          </w:tcPr>
          <w:p w14:paraId="3E137B88" w14:textId="77777777" w:rsidR="005D4DB9" w:rsidRPr="00B148F9" w:rsidRDefault="005D4DB9" w:rsidP="00326CD3">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0C76DC63" w14:textId="71CACED4" w:rsidR="005D4DB9" w:rsidRPr="00B148F9" w:rsidRDefault="005D4DB9" w:rsidP="00B3585A">
            <w:pPr>
              <w:jc w:val="right"/>
            </w:pPr>
            <w:r w:rsidRPr="00B148F9">
              <w:t>-</w:t>
            </w:r>
          </w:p>
        </w:tc>
      </w:tr>
      <w:tr w:rsidR="007741F1" w:rsidRPr="00B148F9" w14:paraId="3EE10193" w14:textId="77777777" w:rsidTr="00B746FC">
        <w:trPr>
          <w:trHeight w:val="270"/>
        </w:trPr>
        <w:tc>
          <w:tcPr>
            <w:tcW w:w="4949" w:type="dxa"/>
            <w:tcBorders>
              <w:top w:val="nil"/>
              <w:left w:val="nil"/>
              <w:bottom w:val="nil"/>
              <w:right w:val="nil"/>
            </w:tcBorders>
            <w:shd w:val="clear" w:color="auto" w:fill="auto"/>
            <w:noWrap/>
            <w:vAlign w:val="bottom"/>
          </w:tcPr>
          <w:p w14:paraId="0581F184" w14:textId="4C3F60C0" w:rsidR="005D4DB9" w:rsidRPr="00B148F9" w:rsidRDefault="005D4DB9" w:rsidP="00DE3E70">
            <w:pPr>
              <w:ind w:left="216"/>
              <w:rPr>
                <w:rFonts w:cs="Arial"/>
                <w:lang w:eastAsia="en-GB"/>
              </w:rPr>
            </w:pPr>
            <w:r w:rsidRPr="00B148F9">
              <w:rPr>
                <w:rFonts w:cs="Arial"/>
                <w:lang w:eastAsia="en-GB"/>
              </w:rPr>
              <w:t xml:space="preserve">Net change in unrealised appreciation on </w:t>
            </w:r>
            <w:r w:rsidR="007E0476" w:rsidRPr="00B148F9">
              <w:rPr>
                <w:rFonts w:cs="Arial"/>
                <w:lang w:eastAsia="en-GB"/>
              </w:rPr>
              <w:t xml:space="preserve">securities and foreign currency translation </w:t>
            </w:r>
          </w:p>
        </w:tc>
        <w:tc>
          <w:tcPr>
            <w:tcW w:w="737" w:type="dxa"/>
            <w:tcBorders>
              <w:top w:val="nil"/>
              <w:left w:val="nil"/>
              <w:bottom w:val="nil"/>
              <w:right w:val="nil"/>
            </w:tcBorders>
            <w:shd w:val="clear" w:color="auto" w:fill="auto"/>
            <w:noWrap/>
            <w:vAlign w:val="bottom"/>
          </w:tcPr>
          <w:p w14:paraId="651B18B0" w14:textId="77777777" w:rsidR="005D4DB9" w:rsidRPr="00B148F9" w:rsidRDefault="005D4DB9" w:rsidP="00326CD3">
            <w:pPr>
              <w:rPr>
                <w:rFonts w:cs="Arial"/>
                <w:lang w:eastAsia="en-GB"/>
              </w:rPr>
            </w:pPr>
          </w:p>
        </w:tc>
        <w:tc>
          <w:tcPr>
            <w:tcW w:w="561" w:type="dxa"/>
            <w:tcBorders>
              <w:top w:val="nil"/>
              <w:left w:val="nil"/>
              <w:bottom w:val="nil"/>
              <w:right w:val="nil"/>
            </w:tcBorders>
          </w:tcPr>
          <w:p w14:paraId="5DF76E72" w14:textId="77777777" w:rsidR="005D4DB9" w:rsidRPr="00B148F9" w:rsidRDefault="005D4DB9">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5B8EF991" w14:textId="2018C9DB" w:rsidR="005D4DB9" w:rsidRPr="00B148F9" w:rsidRDefault="002862D2">
            <w:pPr>
              <w:jc w:val="right"/>
              <w:rPr>
                <w:rFonts w:cs="Arial"/>
                <w:highlight w:val="yellow"/>
                <w:lang w:eastAsia="en-GB"/>
              </w:rPr>
            </w:pPr>
            <w:r w:rsidRPr="00B148F9">
              <w:t>(24,1</w:t>
            </w:r>
            <w:r w:rsidR="00EA14C9" w:rsidRPr="00B148F9">
              <w:t>3</w:t>
            </w:r>
            <w:r w:rsidR="00BE4AD1" w:rsidRPr="00B148F9">
              <w:t>8</w:t>
            </w:r>
            <w:r w:rsidRPr="00B148F9">
              <w:t>,</w:t>
            </w:r>
            <w:r w:rsidR="00EA14C9" w:rsidRPr="00B148F9">
              <w:t>9</w:t>
            </w:r>
            <w:r w:rsidR="00BE4AD1" w:rsidRPr="00B148F9">
              <w:t>87</w:t>
            </w:r>
            <w:r w:rsidRPr="00B148F9">
              <w:t>)</w:t>
            </w:r>
          </w:p>
        </w:tc>
        <w:tc>
          <w:tcPr>
            <w:tcW w:w="567" w:type="dxa"/>
            <w:tcBorders>
              <w:top w:val="nil"/>
              <w:left w:val="nil"/>
              <w:bottom w:val="nil"/>
              <w:right w:val="nil"/>
            </w:tcBorders>
            <w:shd w:val="clear" w:color="auto" w:fill="auto"/>
            <w:noWrap/>
            <w:vAlign w:val="bottom"/>
          </w:tcPr>
          <w:p w14:paraId="17092385" w14:textId="77777777" w:rsidR="005D4DB9" w:rsidRPr="00B148F9" w:rsidRDefault="005D4DB9" w:rsidP="00326CD3">
            <w:pPr>
              <w:rPr>
                <w:rFonts w:cs="Arial"/>
                <w:highlight w:val="yellow"/>
                <w:lang w:eastAsia="en-GB"/>
              </w:rPr>
            </w:pPr>
          </w:p>
        </w:tc>
        <w:tc>
          <w:tcPr>
            <w:tcW w:w="1553" w:type="dxa"/>
            <w:tcBorders>
              <w:top w:val="nil"/>
              <w:left w:val="nil"/>
              <w:bottom w:val="nil"/>
              <w:right w:val="nil"/>
            </w:tcBorders>
            <w:shd w:val="clear" w:color="auto" w:fill="auto"/>
            <w:noWrap/>
            <w:vAlign w:val="bottom"/>
          </w:tcPr>
          <w:p w14:paraId="54A451BF" w14:textId="670B7E23" w:rsidR="005D4DB9" w:rsidRPr="00B148F9" w:rsidRDefault="005D4DB9" w:rsidP="00B3585A">
            <w:pPr>
              <w:jc w:val="right"/>
              <w:rPr>
                <w:rFonts w:cs="Arial"/>
                <w:lang w:eastAsia="en-GB"/>
              </w:rPr>
            </w:pPr>
            <w:r w:rsidRPr="00B148F9">
              <w:rPr>
                <w:rFonts w:cs="Arial"/>
                <w:lang w:eastAsia="en-GB"/>
              </w:rPr>
              <w:t>(27,992,8</w:t>
            </w:r>
            <w:r w:rsidR="008F62B4" w:rsidRPr="00B148F9">
              <w:rPr>
                <w:rFonts w:cs="Arial"/>
                <w:lang w:eastAsia="en-GB"/>
              </w:rPr>
              <w:t>1</w:t>
            </w:r>
            <w:r w:rsidRPr="00B148F9">
              <w:rPr>
                <w:rFonts w:cs="Arial"/>
                <w:lang w:eastAsia="en-GB"/>
              </w:rPr>
              <w:t>2)</w:t>
            </w:r>
          </w:p>
        </w:tc>
      </w:tr>
      <w:tr w:rsidR="007741F1" w:rsidRPr="00B148F9" w14:paraId="614D8645" w14:textId="77777777" w:rsidTr="00B746FC">
        <w:trPr>
          <w:trHeight w:val="270"/>
        </w:trPr>
        <w:tc>
          <w:tcPr>
            <w:tcW w:w="4949" w:type="dxa"/>
            <w:tcBorders>
              <w:top w:val="nil"/>
              <w:left w:val="nil"/>
              <w:bottom w:val="nil"/>
              <w:right w:val="nil"/>
            </w:tcBorders>
            <w:shd w:val="clear" w:color="auto" w:fill="auto"/>
            <w:noWrap/>
            <w:vAlign w:val="bottom"/>
          </w:tcPr>
          <w:p w14:paraId="55C88318" w14:textId="2BDE424E" w:rsidR="005D4DB9" w:rsidRPr="00B148F9" w:rsidRDefault="005D4DB9" w:rsidP="00DE3E70">
            <w:pPr>
              <w:ind w:left="216"/>
              <w:rPr>
                <w:rFonts w:cs="Arial"/>
                <w:lang w:eastAsia="en-GB"/>
              </w:rPr>
            </w:pPr>
            <w:r w:rsidRPr="00B148F9">
              <w:rPr>
                <w:rFonts w:cs="Arial"/>
                <w:lang w:eastAsia="en-GB"/>
              </w:rPr>
              <w:t>Net change in unrealised appreciation on derivative contracts</w:t>
            </w:r>
          </w:p>
        </w:tc>
        <w:tc>
          <w:tcPr>
            <w:tcW w:w="737" w:type="dxa"/>
            <w:tcBorders>
              <w:top w:val="nil"/>
              <w:left w:val="nil"/>
              <w:bottom w:val="nil"/>
              <w:right w:val="nil"/>
            </w:tcBorders>
            <w:shd w:val="clear" w:color="auto" w:fill="auto"/>
            <w:noWrap/>
            <w:vAlign w:val="bottom"/>
          </w:tcPr>
          <w:p w14:paraId="085A231D" w14:textId="77777777" w:rsidR="005D4DB9" w:rsidRPr="00B148F9" w:rsidRDefault="005D4DB9" w:rsidP="00326CD3">
            <w:pPr>
              <w:rPr>
                <w:rFonts w:cs="Arial"/>
                <w:lang w:eastAsia="en-GB"/>
              </w:rPr>
            </w:pPr>
          </w:p>
        </w:tc>
        <w:tc>
          <w:tcPr>
            <w:tcW w:w="561" w:type="dxa"/>
            <w:tcBorders>
              <w:top w:val="nil"/>
              <w:left w:val="nil"/>
              <w:bottom w:val="nil"/>
              <w:right w:val="nil"/>
            </w:tcBorders>
          </w:tcPr>
          <w:p w14:paraId="0ABF3622" w14:textId="77777777" w:rsidR="005D4DB9" w:rsidRPr="00B148F9" w:rsidRDefault="005D4DB9">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0501B886" w14:textId="264F5C39" w:rsidR="005D4DB9" w:rsidRPr="00B148F9" w:rsidRDefault="002862D2">
            <w:pPr>
              <w:jc w:val="right"/>
              <w:rPr>
                <w:rFonts w:cs="Arial"/>
                <w:highlight w:val="yellow"/>
                <w:lang w:eastAsia="en-GB"/>
              </w:rPr>
            </w:pPr>
            <w:r w:rsidRPr="00B148F9">
              <w:t>(1,315,511)</w:t>
            </w:r>
          </w:p>
        </w:tc>
        <w:tc>
          <w:tcPr>
            <w:tcW w:w="567" w:type="dxa"/>
            <w:tcBorders>
              <w:top w:val="nil"/>
              <w:left w:val="nil"/>
              <w:bottom w:val="nil"/>
              <w:right w:val="nil"/>
            </w:tcBorders>
            <w:shd w:val="clear" w:color="auto" w:fill="auto"/>
            <w:noWrap/>
            <w:vAlign w:val="bottom"/>
          </w:tcPr>
          <w:p w14:paraId="2E10ADDE" w14:textId="77777777" w:rsidR="005D4DB9" w:rsidRPr="00B148F9" w:rsidRDefault="005D4DB9" w:rsidP="00326CD3">
            <w:pPr>
              <w:rPr>
                <w:rFonts w:cs="Arial"/>
                <w:highlight w:val="yellow"/>
                <w:lang w:eastAsia="en-GB"/>
              </w:rPr>
            </w:pPr>
          </w:p>
        </w:tc>
        <w:tc>
          <w:tcPr>
            <w:tcW w:w="1553" w:type="dxa"/>
            <w:tcBorders>
              <w:top w:val="nil"/>
              <w:left w:val="nil"/>
              <w:bottom w:val="nil"/>
              <w:right w:val="nil"/>
            </w:tcBorders>
            <w:shd w:val="clear" w:color="auto" w:fill="auto"/>
            <w:noWrap/>
            <w:vAlign w:val="bottom"/>
          </w:tcPr>
          <w:p w14:paraId="50EAF889" w14:textId="7C5C7BD7" w:rsidR="005D4DB9" w:rsidRPr="00B148F9" w:rsidRDefault="005D4DB9" w:rsidP="00B3585A">
            <w:pPr>
              <w:jc w:val="right"/>
              <w:rPr>
                <w:rFonts w:cs="Arial"/>
                <w:lang w:eastAsia="en-GB"/>
              </w:rPr>
            </w:pPr>
            <w:r w:rsidRPr="00B148F9">
              <w:rPr>
                <w:rFonts w:cs="Arial"/>
                <w:lang w:eastAsia="en-GB"/>
              </w:rPr>
              <w:t>-</w:t>
            </w:r>
          </w:p>
        </w:tc>
      </w:tr>
      <w:tr w:rsidR="007741F1" w:rsidRPr="00B148F9" w14:paraId="70021D23" w14:textId="77777777" w:rsidTr="00B746FC">
        <w:trPr>
          <w:trHeight w:val="270"/>
        </w:trPr>
        <w:tc>
          <w:tcPr>
            <w:tcW w:w="4949" w:type="dxa"/>
            <w:tcBorders>
              <w:top w:val="nil"/>
              <w:left w:val="nil"/>
              <w:bottom w:val="nil"/>
              <w:right w:val="nil"/>
            </w:tcBorders>
            <w:shd w:val="clear" w:color="auto" w:fill="auto"/>
            <w:noWrap/>
            <w:vAlign w:val="bottom"/>
          </w:tcPr>
          <w:p w14:paraId="3482885E" w14:textId="49E48211" w:rsidR="00DD54CD" w:rsidRPr="00B148F9" w:rsidRDefault="00DD54CD" w:rsidP="00DD54CD">
            <w:pPr>
              <w:ind w:left="216"/>
              <w:rPr>
                <w:rFonts w:cs="Arial"/>
                <w:lang w:eastAsia="en-GB"/>
              </w:rPr>
            </w:pPr>
            <w:r w:rsidRPr="00B148F9">
              <w:rPr>
                <w:rFonts w:cs="Arial"/>
                <w:lang w:eastAsia="en-GB"/>
              </w:rPr>
              <w:t>Purchase</w:t>
            </w:r>
            <w:r w:rsidR="00AA79D1" w:rsidRPr="00B148F9">
              <w:rPr>
                <w:rFonts w:cs="Arial"/>
                <w:lang w:eastAsia="en-GB"/>
              </w:rPr>
              <w:t>s</w:t>
            </w:r>
            <w:r w:rsidRPr="00B148F9">
              <w:rPr>
                <w:rFonts w:cs="Arial"/>
                <w:lang w:eastAsia="en-GB"/>
              </w:rPr>
              <w:t xml:space="preserve"> of investments in securities</w:t>
            </w:r>
          </w:p>
        </w:tc>
        <w:tc>
          <w:tcPr>
            <w:tcW w:w="737" w:type="dxa"/>
            <w:tcBorders>
              <w:top w:val="nil"/>
              <w:left w:val="nil"/>
              <w:bottom w:val="nil"/>
              <w:right w:val="nil"/>
            </w:tcBorders>
            <w:shd w:val="clear" w:color="auto" w:fill="auto"/>
            <w:noWrap/>
            <w:vAlign w:val="bottom"/>
          </w:tcPr>
          <w:p w14:paraId="0EB645B5" w14:textId="77777777" w:rsidR="00DD54CD" w:rsidRPr="00B148F9" w:rsidRDefault="00DD54CD" w:rsidP="00DD54CD">
            <w:pPr>
              <w:rPr>
                <w:rFonts w:cs="Arial"/>
                <w:lang w:eastAsia="en-GB"/>
              </w:rPr>
            </w:pPr>
          </w:p>
        </w:tc>
        <w:tc>
          <w:tcPr>
            <w:tcW w:w="561" w:type="dxa"/>
            <w:tcBorders>
              <w:top w:val="nil"/>
              <w:left w:val="nil"/>
              <w:bottom w:val="nil"/>
              <w:right w:val="nil"/>
            </w:tcBorders>
          </w:tcPr>
          <w:p w14:paraId="019CF624" w14:textId="77777777" w:rsidR="00DD54CD" w:rsidRPr="00B148F9" w:rsidRDefault="00DD54CD" w:rsidP="00DD54CD">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7D9B7E31" w14:textId="0FC7FB9C" w:rsidR="00DD54CD" w:rsidRPr="00B148F9" w:rsidRDefault="00DD54CD">
            <w:pPr>
              <w:jc w:val="right"/>
            </w:pPr>
            <w:r w:rsidRPr="00B148F9">
              <w:t>(98,73</w:t>
            </w:r>
            <w:r w:rsidR="00BE4AD1" w:rsidRPr="00B148F9">
              <w:t>5</w:t>
            </w:r>
            <w:r w:rsidRPr="00B148F9">
              <w:t>,1</w:t>
            </w:r>
            <w:r w:rsidR="00BE4AD1" w:rsidRPr="00B148F9">
              <w:t>05</w:t>
            </w:r>
            <w:r w:rsidRPr="00B148F9">
              <w:t>)</w:t>
            </w:r>
          </w:p>
        </w:tc>
        <w:tc>
          <w:tcPr>
            <w:tcW w:w="567" w:type="dxa"/>
            <w:tcBorders>
              <w:top w:val="nil"/>
              <w:left w:val="nil"/>
              <w:bottom w:val="nil"/>
              <w:right w:val="nil"/>
            </w:tcBorders>
            <w:shd w:val="clear" w:color="auto" w:fill="auto"/>
            <w:noWrap/>
            <w:vAlign w:val="bottom"/>
          </w:tcPr>
          <w:p w14:paraId="51452A11" w14:textId="77777777" w:rsidR="00DD54CD" w:rsidRPr="00B148F9" w:rsidRDefault="00DD54CD" w:rsidP="00DD54CD">
            <w:pPr>
              <w:rPr>
                <w:rFonts w:cs="Arial"/>
                <w:highlight w:val="yellow"/>
                <w:lang w:eastAsia="en-GB"/>
              </w:rPr>
            </w:pPr>
          </w:p>
        </w:tc>
        <w:tc>
          <w:tcPr>
            <w:tcW w:w="1553" w:type="dxa"/>
            <w:tcBorders>
              <w:top w:val="nil"/>
              <w:left w:val="nil"/>
              <w:bottom w:val="nil"/>
              <w:right w:val="nil"/>
            </w:tcBorders>
            <w:shd w:val="clear" w:color="auto" w:fill="auto"/>
            <w:noWrap/>
            <w:vAlign w:val="bottom"/>
          </w:tcPr>
          <w:p w14:paraId="656BB4C0" w14:textId="078FFFCE" w:rsidR="00DD54CD" w:rsidRPr="00B148F9" w:rsidRDefault="00DD54CD" w:rsidP="00DD54CD">
            <w:pPr>
              <w:jc w:val="right"/>
              <w:rPr>
                <w:rFonts w:cs="Arial"/>
                <w:lang w:eastAsia="en-GB"/>
              </w:rPr>
            </w:pPr>
            <w:r w:rsidRPr="00B148F9">
              <w:t>-</w:t>
            </w:r>
          </w:p>
        </w:tc>
      </w:tr>
      <w:tr w:rsidR="007741F1" w:rsidRPr="00B148F9" w14:paraId="49651C6F" w14:textId="77777777" w:rsidTr="00B746FC">
        <w:trPr>
          <w:trHeight w:val="270"/>
        </w:trPr>
        <w:tc>
          <w:tcPr>
            <w:tcW w:w="4949" w:type="dxa"/>
            <w:tcBorders>
              <w:top w:val="nil"/>
              <w:left w:val="nil"/>
              <w:bottom w:val="nil"/>
              <w:right w:val="nil"/>
            </w:tcBorders>
            <w:shd w:val="clear" w:color="auto" w:fill="auto"/>
            <w:noWrap/>
            <w:vAlign w:val="bottom"/>
          </w:tcPr>
          <w:p w14:paraId="072E15CE" w14:textId="24CB1732" w:rsidR="00DD54CD" w:rsidRPr="00B148F9" w:rsidRDefault="00DD54CD" w:rsidP="00DD54CD">
            <w:pPr>
              <w:ind w:left="216"/>
              <w:rPr>
                <w:rFonts w:cs="Arial"/>
                <w:lang w:eastAsia="en-GB"/>
              </w:rPr>
            </w:pPr>
            <w:r w:rsidRPr="00B148F9">
              <w:rPr>
                <w:rFonts w:cs="Arial"/>
                <w:lang w:eastAsia="en-GB"/>
              </w:rPr>
              <w:t>Proceeds from sale</w:t>
            </w:r>
            <w:r w:rsidR="00AA79D1" w:rsidRPr="00B148F9">
              <w:rPr>
                <w:rFonts w:cs="Arial"/>
                <w:lang w:eastAsia="en-GB"/>
              </w:rPr>
              <w:t>s</w:t>
            </w:r>
            <w:r w:rsidRPr="00B148F9">
              <w:rPr>
                <w:rFonts w:cs="Arial"/>
                <w:lang w:eastAsia="en-GB"/>
              </w:rPr>
              <w:t xml:space="preserve"> of investments in securities</w:t>
            </w:r>
          </w:p>
        </w:tc>
        <w:tc>
          <w:tcPr>
            <w:tcW w:w="737" w:type="dxa"/>
            <w:tcBorders>
              <w:top w:val="nil"/>
              <w:left w:val="nil"/>
              <w:bottom w:val="nil"/>
              <w:right w:val="nil"/>
            </w:tcBorders>
            <w:shd w:val="clear" w:color="auto" w:fill="auto"/>
            <w:noWrap/>
            <w:vAlign w:val="bottom"/>
          </w:tcPr>
          <w:p w14:paraId="0E0723CE" w14:textId="77777777" w:rsidR="00DD54CD" w:rsidRPr="00B148F9" w:rsidRDefault="00DD54CD" w:rsidP="00DD54CD">
            <w:pPr>
              <w:rPr>
                <w:rFonts w:cs="Arial"/>
                <w:lang w:eastAsia="en-GB"/>
              </w:rPr>
            </w:pPr>
          </w:p>
        </w:tc>
        <w:tc>
          <w:tcPr>
            <w:tcW w:w="561" w:type="dxa"/>
            <w:tcBorders>
              <w:top w:val="nil"/>
              <w:left w:val="nil"/>
              <w:bottom w:val="nil"/>
              <w:right w:val="nil"/>
            </w:tcBorders>
          </w:tcPr>
          <w:p w14:paraId="42F55081" w14:textId="77777777" w:rsidR="00DD54CD" w:rsidRPr="00B148F9" w:rsidRDefault="00DD54CD" w:rsidP="00DD54CD">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581E4751" w14:textId="0F78B469" w:rsidR="00DD54CD" w:rsidRPr="00B148F9" w:rsidRDefault="00DD54CD">
            <w:pPr>
              <w:jc w:val="right"/>
            </w:pPr>
            <w:r w:rsidRPr="00B148F9">
              <w:t>32,</w:t>
            </w:r>
            <w:r w:rsidR="00EA14C9" w:rsidRPr="00B148F9">
              <w:t>513</w:t>
            </w:r>
            <w:r w:rsidRPr="00B148F9">
              <w:t>,</w:t>
            </w:r>
            <w:r w:rsidR="00EA14C9" w:rsidRPr="00B148F9">
              <w:t>14</w:t>
            </w:r>
            <w:r w:rsidRPr="00B148F9">
              <w:t>9</w:t>
            </w:r>
          </w:p>
        </w:tc>
        <w:tc>
          <w:tcPr>
            <w:tcW w:w="567" w:type="dxa"/>
            <w:tcBorders>
              <w:top w:val="nil"/>
              <w:left w:val="nil"/>
              <w:bottom w:val="nil"/>
              <w:right w:val="nil"/>
            </w:tcBorders>
            <w:shd w:val="clear" w:color="auto" w:fill="auto"/>
            <w:noWrap/>
            <w:vAlign w:val="bottom"/>
          </w:tcPr>
          <w:p w14:paraId="1CA2E231" w14:textId="77777777" w:rsidR="00DD54CD" w:rsidRPr="00B148F9" w:rsidRDefault="00DD54CD" w:rsidP="00DD54CD">
            <w:pPr>
              <w:rPr>
                <w:rFonts w:cs="Arial"/>
                <w:highlight w:val="yellow"/>
                <w:lang w:eastAsia="en-GB"/>
              </w:rPr>
            </w:pPr>
          </w:p>
        </w:tc>
        <w:tc>
          <w:tcPr>
            <w:tcW w:w="1553" w:type="dxa"/>
            <w:tcBorders>
              <w:top w:val="nil"/>
              <w:left w:val="nil"/>
              <w:bottom w:val="nil"/>
              <w:right w:val="nil"/>
            </w:tcBorders>
            <w:shd w:val="clear" w:color="auto" w:fill="auto"/>
            <w:noWrap/>
            <w:vAlign w:val="bottom"/>
          </w:tcPr>
          <w:p w14:paraId="2FCC3DA1" w14:textId="2688B2D9" w:rsidR="00DD54CD" w:rsidRPr="00B148F9" w:rsidRDefault="00DD54CD" w:rsidP="00DD54CD">
            <w:pPr>
              <w:jc w:val="right"/>
              <w:rPr>
                <w:rFonts w:cs="Arial"/>
                <w:lang w:eastAsia="en-GB"/>
              </w:rPr>
            </w:pPr>
            <w:r w:rsidRPr="00B148F9">
              <w:t>-</w:t>
            </w:r>
          </w:p>
        </w:tc>
      </w:tr>
      <w:tr w:rsidR="007741F1" w:rsidRPr="00B148F9" w14:paraId="627DDAED" w14:textId="77777777" w:rsidTr="00B746FC">
        <w:trPr>
          <w:trHeight w:val="270"/>
        </w:trPr>
        <w:tc>
          <w:tcPr>
            <w:tcW w:w="4949" w:type="dxa"/>
            <w:tcBorders>
              <w:top w:val="nil"/>
              <w:left w:val="nil"/>
              <w:bottom w:val="nil"/>
              <w:right w:val="nil"/>
            </w:tcBorders>
            <w:shd w:val="clear" w:color="auto" w:fill="auto"/>
            <w:noWrap/>
            <w:vAlign w:val="bottom"/>
          </w:tcPr>
          <w:p w14:paraId="3BD5BC2B" w14:textId="6541F87C" w:rsidR="00DD54CD" w:rsidRPr="00B148F9" w:rsidRDefault="00DD54CD" w:rsidP="00DD54CD">
            <w:pPr>
              <w:ind w:left="216"/>
              <w:rPr>
                <w:rFonts w:cs="Arial"/>
                <w:lang w:eastAsia="en-GB"/>
              </w:rPr>
            </w:pPr>
            <w:r w:rsidRPr="00B148F9">
              <w:rPr>
                <w:rFonts w:cs="Arial"/>
                <w:lang w:eastAsia="en-GB"/>
              </w:rPr>
              <w:t>Proceeds from securities sold short</w:t>
            </w:r>
          </w:p>
        </w:tc>
        <w:tc>
          <w:tcPr>
            <w:tcW w:w="737" w:type="dxa"/>
            <w:tcBorders>
              <w:top w:val="nil"/>
              <w:left w:val="nil"/>
              <w:bottom w:val="nil"/>
              <w:right w:val="nil"/>
            </w:tcBorders>
            <w:shd w:val="clear" w:color="auto" w:fill="auto"/>
            <w:noWrap/>
            <w:vAlign w:val="bottom"/>
          </w:tcPr>
          <w:p w14:paraId="11A093B8" w14:textId="77777777" w:rsidR="00DD54CD" w:rsidRPr="00B148F9" w:rsidRDefault="00DD54CD" w:rsidP="00DD54CD">
            <w:pPr>
              <w:rPr>
                <w:rFonts w:cs="Arial"/>
                <w:lang w:eastAsia="en-GB"/>
              </w:rPr>
            </w:pPr>
          </w:p>
        </w:tc>
        <w:tc>
          <w:tcPr>
            <w:tcW w:w="561" w:type="dxa"/>
            <w:tcBorders>
              <w:top w:val="nil"/>
              <w:left w:val="nil"/>
              <w:bottom w:val="nil"/>
              <w:right w:val="nil"/>
            </w:tcBorders>
          </w:tcPr>
          <w:p w14:paraId="584FA201" w14:textId="77777777" w:rsidR="00DD54CD" w:rsidRPr="00B148F9" w:rsidRDefault="00DD54CD" w:rsidP="00DD54CD">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0206E7FE" w14:textId="763E242E" w:rsidR="00DD54CD" w:rsidRPr="00B148F9" w:rsidRDefault="00EA14C9" w:rsidP="00DD54CD">
            <w:pPr>
              <w:jc w:val="right"/>
            </w:pPr>
            <w:r w:rsidRPr="00B148F9">
              <w:t>193,650</w:t>
            </w:r>
          </w:p>
        </w:tc>
        <w:tc>
          <w:tcPr>
            <w:tcW w:w="567" w:type="dxa"/>
            <w:tcBorders>
              <w:top w:val="nil"/>
              <w:left w:val="nil"/>
              <w:bottom w:val="nil"/>
              <w:right w:val="nil"/>
            </w:tcBorders>
            <w:shd w:val="clear" w:color="auto" w:fill="auto"/>
            <w:noWrap/>
            <w:vAlign w:val="bottom"/>
          </w:tcPr>
          <w:p w14:paraId="5DFEB6C4" w14:textId="77777777" w:rsidR="00DD54CD" w:rsidRPr="00B148F9" w:rsidRDefault="00DD54CD" w:rsidP="00DD54CD">
            <w:pPr>
              <w:rPr>
                <w:rFonts w:cs="Arial"/>
                <w:highlight w:val="yellow"/>
                <w:lang w:eastAsia="en-GB"/>
              </w:rPr>
            </w:pPr>
          </w:p>
        </w:tc>
        <w:tc>
          <w:tcPr>
            <w:tcW w:w="1553" w:type="dxa"/>
            <w:tcBorders>
              <w:top w:val="nil"/>
              <w:left w:val="nil"/>
              <w:bottom w:val="nil"/>
              <w:right w:val="nil"/>
            </w:tcBorders>
            <w:shd w:val="clear" w:color="auto" w:fill="auto"/>
            <w:noWrap/>
            <w:vAlign w:val="bottom"/>
          </w:tcPr>
          <w:p w14:paraId="0FB65F97" w14:textId="77777777" w:rsidR="00DD54CD" w:rsidRPr="00B148F9" w:rsidRDefault="00DD54CD" w:rsidP="00DD54CD">
            <w:pPr>
              <w:jc w:val="right"/>
              <w:rPr>
                <w:rFonts w:cs="Arial"/>
                <w:lang w:eastAsia="en-GB"/>
              </w:rPr>
            </w:pPr>
          </w:p>
        </w:tc>
      </w:tr>
      <w:tr w:rsidR="007741F1" w:rsidRPr="00B148F9" w14:paraId="5DA82ACC" w14:textId="77777777" w:rsidTr="00B746FC">
        <w:trPr>
          <w:trHeight w:val="270"/>
        </w:trPr>
        <w:tc>
          <w:tcPr>
            <w:tcW w:w="4949" w:type="dxa"/>
            <w:tcBorders>
              <w:top w:val="nil"/>
              <w:left w:val="nil"/>
              <w:bottom w:val="nil"/>
              <w:right w:val="nil"/>
            </w:tcBorders>
            <w:shd w:val="clear" w:color="auto" w:fill="auto"/>
            <w:noWrap/>
            <w:vAlign w:val="bottom"/>
          </w:tcPr>
          <w:p w14:paraId="7D986882" w14:textId="15A8FACC" w:rsidR="00DD54CD" w:rsidRPr="00B148F9" w:rsidRDefault="00DD54CD" w:rsidP="00DD54CD">
            <w:pPr>
              <w:ind w:left="216"/>
              <w:rPr>
                <w:rFonts w:cs="Arial"/>
                <w:lang w:eastAsia="en-GB"/>
              </w:rPr>
            </w:pPr>
            <w:r w:rsidRPr="00B148F9">
              <w:rPr>
                <w:rFonts w:cs="Arial"/>
                <w:lang w:eastAsia="en-GB"/>
              </w:rPr>
              <w:t>Payments for derivative contracts</w:t>
            </w:r>
          </w:p>
        </w:tc>
        <w:tc>
          <w:tcPr>
            <w:tcW w:w="737" w:type="dxa"/>
            <w:tcBorders>
              <w:top w:val="nil"/>
              <w:left w:val="nil"/>
              <w:bottom w:val="nil"/>
              <w:right w:val="nil"/>
            </w:tcBorders>
            <w:shd w:val="clear" w:color="auto" w:fill="auto"/>
            <w:noWrap/>
            <w:vAlign w:val="bottom"/>
          </w:tcPr>
          <w:p w14:paraId="5AEE454D" w14:textId="77777777" w:rsidR="00DD54CD" w:rsidRPr="00B148F9" w:rsidRDefault="00DD54CD" w:rsidP="00DD54CD">
            <w:pPr>
              <w:rPr>
                <w:rFonts w:cs="Arial"/>
                <w:lang w:eastAsia="en-GB"/>
              </w:rPr>
            </w:pPr>
          </w:p>
        </w:tc>
        <w:tc>
          <w:tcPr>
            <w:tcW w:w="561" w:type="dxa"/>
            <w:tcBorders>
              <w:top w:val="nil"/>
              <w:left w:val="nil"/>
              <w:bottom w:val="nil"/>
              <w:right w:val="nil"/>
            </w:tcBorders>
          </w:tcPr>
          <w:p w14:paraId="01E58167" w14:textId="77777777" w:rsidR="00DD54CD" w:rsidRPr="00B148F9" w:rsidRDefault="00DD54CD" w:rsidP="00DD54CD">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5CA20B82" w14:textId="192A7CF6" w:rsidR="00DD54CD" w:rsidRPr="00B148F9" w:rsidRDefault="00EA14C9" w:rsidP="00DD54CD">
            <w:pPr>
              <w:jc w:val="right"/>
            </w:pPr>
            <w:r w:rsidRPr="00B148F9">
              <w:t>(10,930)</w:t>
            </w:r>
          </w:p>
        </w:tc>
        <w:tc>
          <w:tcPr>
            <w:tcW w:w="567" w:type="dxa"/>
            <w:tcBorders>
              <w:top w:val="nil"/>
              <w:left w:val="nil"/>
              <w:bottom w:val="nil"/>
              <w:right w:val="nil"/>
            </w:tcBorders>
            <w:shd w:val="clear" w:color="auto" w:fill="auto"/>
            <w:noWrap/>
            <w:vAlign w:val="bottom"/>
          </w:tcPr>
          <w:p w14:paraId="4FA051D2" w14:textId="77777777" w:rsidR="00DD54CD" w:rsidRPr="00B148F9" w:rsidRDefault="00DD54CD" w:rsidP="00DD54CD">
            <w:pPr>
              <w:rPr>
                <w:rFonts w:cs="Arial"/>
                <w:highlight w:val="yellow"/>
                <w:lang w:eastAsia="en-GB"/>
              </w:rPr>
            </w:pPr>
          </w:p>
        </w:tc>
        <w:tc>
          <w:tcPr>
            <w:tcW w:w="1553" w:type="dxa"/>
            <w:tcBorders>
              <w:top w:val="nil"/>
              <w:left w:val="nil"/>
              <w:bottom w:val="nil"/>
              <w:right w:val="nil"/>
            </w:tcBorders>
            <w:shd w:val="clear" w:color="auto" w:fill="auto"/>
            <w:noWrap/>
            <w:vAlign w:val="bottom"/>
          </w:tcPr>
          <w:p w14:paraId="546FBCBB" w14:textId="77777777" w:rsidR="00DD54CD" w:rsidRPr="00B148F9" w:rsidRDefault="00DD54CD" w:rsidP="00DD54CD">
            <w:pPr>
              <w:jc w:val="right"/>
              <w:rPr>
                <w:rFonts w:cs="Arial"/>
                <w:lang w:eastAsia="en-GB"/>
              </w:rPr>
            </w:pPr>
          </w:p>
        </w:tc>
      </w:tr>
      <w:tr w:rsidR="007741F1" w:rsidRPr="00B148F9" w14:paraId="692638BD" w14:textId="77777777" w:rsidTr="00B746FC">
        <w:trPr>
          <w:trHeight w:val="270"/>
        </w:trPr>
        <w:tc>
          <w:tcPr>
            <w:tcW w:w="4949" w:type="dxa"/>
            <w:tcBorders>
              <w:top w:val="nil"/>
              <w:left w:val="nil"/>
              <w:bottom w:val="nil"/>
              <w:right w:val="nil"/>
            </w:tcBorders>
            <w:shd w:val="clear" w:color="auto" w:fill="auto"/>
            <w:noWrap/>
            <w:vAlign w:val="bottom"/>
          </w:tcPr>
          <w:p w14:paraId="0BFA29DE" w14:textId="08A287A0" w:rsidR="00DD54CD" w:rsidRPr="00B148F9" w:rsidDel="0036441A" w:rsidRDefault="00DD54CD" w:rsidP="00DD54CD">
            <w:pPr>
              <w:rPr>
                <w:rFonts w:cs="Arial"/>
                <w:lang w:eastAsia="en-GB"/>
              </w:rPr>
            </w:pPr>
            <w:r w:rsidRPr="00B148F9">
              <w:rPr>
                <w:rFonts w:cs="Arial"/>
                <w:lang w:eastAsia="en-GB"/>
              </w:rPr>
              <w:t>Changes in operating assets and liabilities:</w:t>
            </w:r>
          </w:p>
        </w:tc>
        <w:tc>
          <w:tcPr>
            <w:tcW w:w="737" w:type="dxa"/>
            <w:tcBorders>
              <w:top w:val="nil"/>
              <w:left w:val="nil"/>
              <w:bottom w:val="nil"/>
              <w:right w:val="nil"/>
            </w:tcBorders>
            <w:shd w:val="clear" w:color="auto" w:fill="auto"/>
            <w:noWrap/>
            <w:vAlign w:val="bottom"/>
          </w:tcPr>
          <w:p w14:paraId="1724DF9A" w14:textId="77777777" w:rsidR="00DD54CD" w:rsidRPr="00B148F9" w:rsidRDefault="00DD54CD" w:rsidP="00DD54CD">
            <w:pPr>
              <w:rPr>
                <w:rFonts w:cs="Arial"/>
                <w:lang w:eastAsia="en-GB"/>
              </w:rPr>
            </w:pPr>
          </w:p>
        </w:tc>
        <w:tc>
          <w:tcPr>
            <w:tcW w:w="561" w:type="dxa"/>
            <w:tcBorders>
              <w:top w:val="nil"/>
              <w:left w:val="nil"/>
              <w:bottom w:val="nil"/>
              <w:right w:val="nil"/>
            </w:tcBorders>
          </w:tcPr>
          <w:p w14:paraId="79743F4E" w14:textId="77777777" w:rsidR="00DD54CD" w:rsidRPr="00B148F9" w:rsidRDefault="00DD54CD" w:rsidP="00DD54CD">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7CA2C207" w14:textId="648C67BA" w:rsidR="00DD54CD" w:rsidRPr="00B148F9" w:rsidRDefault="00DD54CD" w:rsidP="00DD54CD">
            <w:pPr>
              <w:jc w:val="right"/>
              <w:rPr>
                <w:rFonts w:cs="Arial"/>
                <w:highlight w:val="yellow"/>
                <w:lang w:eastAsia="en-GB"/>
              </w:rPr>
            </w:pPr>
          </w:p>
        </w:tc>
        <w:tc>
          <w:tcPr>
            <w:tcW w:w="567" w:type="dxa"/>
            <w:tcBorders>
              <w:top w:val="nil"/>
              <w:left w:val="nil"/>
              <w:bottom w:val="nil"/>
              <w:right w:val="nil"/>
            </w:tcBorders>
            <w:shd w:val="clear" w:color="auto" w:fill="auto"/>
            <w:noWrap/>
            <w:vAlign w:val="bottom"/>
          </w:tcPr>
          <w:p w14:paraId="0AFA7165" w14:textId="77777777" w:rsidR="00DD54CD" w:rsidRPr="00B148F9" w:rsidRDefault="00DD54CD" w:rsidP="00DD54CD">
            <w:pPr>
              <w:rPr>
                <w:rFonts w:cs="Arial"/>
                <w:highlight w:val="yellow"/>
                <w:lang w:eastAsia="en-GB"/>
              </w:rPr>
            </w:pPr>
          </w:p>
        </w:tc>
        <w:tc>
          <w:tcPr>
            <w:tcW w:w="1553" w:type="dxa"/>
            <w:tcBorders>
              <w:top w:val="nil"/>
              <w:left w:val="nil"/>
              <w:bottom w:val="nil"/>
              <w:right w:val="nil"/>
            </w:tcBorders>
            <w:shd w:val="clear" w:color="auto" w:fill="auto"/>
            <w:noWrap/>
            <w:vAlign w:val="bottom"/>
          </w:tcPr>
          <w:p w14:paraId="44DCE411" w14:textId="77777777" w:rsidR="00DD54CD" w:rsidRPr="00B148F9" w:rsidRDefault="00DD54CD" w:rsidP="00DD54CD">
            <w:pPr>
              <w:jc w:val="right"/>
              <w:rPr>
                <w:rFonts w:cs="Arial"/>
                <w:lang w:eastAsia="en-GB"/>
              </w:rPr>
            </w:pPr>
          </w:p>
        </w:tc>
      </w:tr>
      <w:tr w:rsidR="007741F1" w:rsidRPr="00B148F9" w14:paraId="2E371D71" w14:textId="77777777" w:rsidTr="00B746FC">
        <w:trPr>
          <w:trHeight w:val="270"/>
        </w:trPr>
        <w:tc>
          <w:tcPr>
            <w:tcW w:w="4949" w:type="dxa"/>
            <w:tcBorders>
              <w:top w:val="nil"/>
              <w:left w:val="nil"/>
              <w:bottom w:val="nil"/>
              <w:right w:val="nil"/>
            </w:tcBorders>
            <w:shd w:val="clear" w:color="auto" w:fill="auto"/>
            <w:noWrap/>
            <w:vAlign w:val="bottom"/>
          </w:tcPr>
          <w:p w14:paraId="262D51CA" w14:textId="4CD11C35" w:rsidR="00DD54CD" w:rsidRPr="00B148F9" w:rsidRDefault="00DD54CD" w:rsidP="00DE3E70">
            <w:pPr>
              <w:ind w:left="216"/>
              <w:rPr>
                <w:rFonts w:cs="Arial"/>
                <w:lang w:eastAsia="en-GB"/>
              </w:rPr>
            </w:pPr>
            <w:r w:rsidRPr="00B148F9">
              <w:rPr>
                <w:rFonts w:cs="Arial"/>
                <w:lang w:eastAsia="en-GB"/>
              </w:rPr>
              <w:t>Other Assets</w:t>
            </w:r>
          </w:p>
        </w:tc>
        <w:tc>
          <w:tcPr>
            <w:tcW w:w="737" w:type="dxa"/>
            <w:tcBorders>
              <w:top w:val="nil"/>
              <w:left w:val="nil"/>
              <w:bottom w:val="nil"/>
              <w:right w:val="nil"/>
            </w:tcBorders>
            <w:shd w:val="clear" w:color="auto" w:fill="auto"/>
            <w:noWrap/>
            <w:vAlign w:val="bottom"/>
          </w:tcPr>
          <w:p w14:paraId="33A784F4" w14:textId="77777777" w:rsidR="00DD54CD" w:rsidRPr="00B148F9" w:rsidRDefault="00DD54CD" w:rsidP="00DD54CD">
            <w:pPr>
              <w:rPr>
                <w:rFonts w:cs="Arial"/>
                <w:lang w:eastAsia="en-GB"/>
              </w:rPr>
            </w:pPr>
          </w:p>
        </w:tc>
        <w:tc>
          <w:tcPr>
            <w:tcW w:w="561" w:type="dxa"/>
            <w:tcBorders>
              <w:top w:val="nil"/>
              <w:left w:val="nil"/>
              <w:bottom w:val="nil"/>
              <w:right w:val="nil"/>
            </w:tcBorders>
          </w:tcPr>
          <w:p w14:paraId="205390FD" w14:textId="77777777" w:rsidR="00DD54CD" w:rsidRPr="00B148F9" w:rsidRDefault="00DD54CD" w:rsidP="00DD54CD">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3CA464ED" w14:textId="060C4879" w:rsidR="00DD54CD" w:rsidRPr="00B148F9" w:rsidRDefault="00DD54CD">
            <w:pPr>
              <w:jc w:val="right"/>
              <w:rPr>
                <w:rFonts w:cs="Arial"/>
                <w:lang w:eastAsia="en-GB"/>
              </w:rPr>
            </w:pPr>
            <w:r w:rsidRPr="00B148F9">
              <w:rPr>
                <w:rFonts w:cs="Arial"/>
                <w:lang w:eastAsia="en-GB"/>
              </w:rPr>
              <w:t>(</w:t>
            </w:r>
            <w:r w:rsidR="004E13A1" w:rsidRPr="00B148F9">
              <w:rPr>
                <w:rFonts w:cs="Arial"/>
                <w:lang w:eastAsia="en-GB"/>
              </w:rPr>
              <w:t>2,949</w:t>
            </w:r>
            <w:r w:rsidRPr="00B148F9">
              <w:rPr>
                <w:rFonts w:cs="Arial"/>
                <w:lang w:eastAsia="en-GB"/>
              </w:rPr>
              <w:t>)</w:t>
            </w:r>
          </w:p>
        </w:tc>
        <w:tc>
          <w:tcPr>
            <w:tcW w:w="567" w:type="dxa"/>
            <w:tcBorders>
              <w:top w:val="nil"/>
              <w:left w:val="nil"/>
              <w:bottom w:val="nil"/>
              <w:right w:val="nil"/>
            </w:tcBorders>
            <w:shd w:val="clear" w:color="auto" w:fill="auto"/>
            <w:noWrap/>
            <w:vAlign w:val="bottom"/>
          </w:tcPr>
          <w:p w14:paraId="09C09B3D" w14:textId="77777777" w:rsidR="00DD54CD" w:rsidRPr="00B148F9" w:rsidRDefault="00DD54CD" w:rsidP="00DD54CD">
            <w:pPr>
              <w:rPr>
                <w:rFonts w:cs="Arial"/>
                <w:lang w:eastAsia="en-GB"/>
              </w:rPr>
            </w:pPr>
          </w:p>
        </w:tc>
        <w:tc>
          <w:tcPr>
            <w:tcW w:w="1553" w:type="dxa"/>
            <w:tcBorders>
              <w:top w:val="nil"/>
              <w:left w:val="nil"/>
              <w:bottom w:val="nil"/>
              <w:right w:val="nil"/>
            </w:tcBorders>
            <w:shd w:val="clear" w:color="auto" w:fill="auto"/>
            <w:noWrap/>
            <w:vAlign w:val="bottom"/>
          </w:tcPr>
          <w:p w14:paraId="3D101D0C" w14:textId="5CE9BBD0" w:rsidR="00DD54CD" w:rsidRPr="00B148F9" w:rsidRDefault="00DD54CD" w:rsidP="00DD54CD">
            <w:pPr>
              <w:jc w:val="right"/>
              <w:rPr>
                <w:rFonts w:cs="Arial"/>
                <w:lang w:eastAsia="en-GB"/>
              </w:rPr>
            </w:pPr>
            <w:r w:rsidRPr="00B148F9">
              <w:rPr>
                <w:rFonts w:cs="Arial"/>
                <w:lang w:eastAsia="en-GB"/>
              </w:rPr>
              <w:t>17,151</w:t>
            </w:r>
          </w:p>
        </w:tc>
      </w:tr>
      <w:tr w:rsidR="007741F1" w:rsidRPr="00B148F9" w14:paraId="43DCCEAC" w14:textId="77777777" w:rsidTr="00B746FC">
        <w:trPr>
          <w:trHeight w:val="270"/>
        </w:trPr>
        <w:tc>
          <w:tcPr>
            <w:tcW w:w="4949" w:type="dxa"/>
            <w:tcBorders>
              <w:top w:val="nil"/>
              <w:left w:val="nil"/>
              <w:bottom w:val="nil"/>
              <w:right w:val="nil"/>
            </w:tcBorders>
            <w:shd w:val="clear" w:color="auto" w:fill="auto"/>
            <w:noWrap/>
            <w:vAlign w:val="bottom"/>
          </w:tcPr>
          <w:p w14:paraId="782D6EDB" w14:textId="3EF300B9" w:rsidR="00DD54CD" w:rsidRPr="00B148F9" w:rsidRDefault="005E7789" w:rsidP="00DE3E70">
            <w:pPr>
              <w:ind w:left="216"/>
              <w:rPr>
                <w:rFonts w:cs="Arial"/>
                <w:lang w:eastAsia="en-GB"/>
              </w:rPr>
            </w:pPr>
            <w:r w:rsidRPr="00B148F9">
              <w:rPr>
                <w:rFonts w:cs="Arial"/>
                <w:lang w:eastAsia="en-GB"/>
              </w:rPr>
              <w:t>Payable from unsettled trades</w:t>
            </w:r>
          </w:p>
        </w:tc>
        <w:tc>
          <w:tcPr>
            <w:tcW w:w="737" w:type="dxa"/>
            <w:tcBorders>
              <w:top w:val="nil"/>
              <w:left w:val="nil"/>
              <w:bottom w:val="nil"/>
              <w:right w:val="nil"/>
            </w:tcBorders>
            <w:shd w:val="clear" w:color="auto" w:fill="auto"/>
            <w:noWrap/>
            <w:vAlign w:val="bottom"/>
          </w:tcPr>
          <w:p w14:paraId="0202BCD3" w14:textId="77777777" w:rsidR="00DD54CD" w:rsidRPr="00B148F9" w:rsidRDefault="00DD54CD" w:rsidP="00DD54CD">
            <w:pPr>
              <w:rPr>
                <w:rFonts w:cs="Arial"/>
                <w:lang w:eastAsia="en-GB"/>
              </w:rPr>
            </w:pPr>
          </w:p>
        </w:tc>
        <w:tc>
          <w:tcPr>
            <w:tcW w:w="561" w:type="dxa"/>
            <w:tcBorders>
              <w:top w:val="nil"/>
              <w:left w:val="nil"/>
              <w:bottom w:val="nil"/>
              <w:right w:val="nil"/>
            </w:tcBorders>
          </w:tcPr>
          <w:p w14:paraId="6F09507C" w14:textId="77777777" w:rsidR="00DD54CD" w:rsidRPr="00B148F9" w:rsidRDefault="00DD54CD" w:rsidP="00DD54CD">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3E12A878" w14:textId="0B6F844A" w:rsidR="00DD54CD" w:rsidRPr="00B148F9" w:rsidRDefault="005E7789" w:rsidP="00DD54CD">
            <w:pPr>
              <w:jc w:val="right"/>
              <w:rPr>
                <w:rFonts w:cs="Arial"/>
                <w:highlight w:val="yellow"/>
                <w:lang w:eastAsia="en-GB"/>
              </w:rPr>
            </w:pPr>
            <w:r w:rsidRPr="00B148F9">
              <w:rPr>
                <w:rFonts w:cs="Arial"/>
                <w:bCs/>
                <w:lang w:eastAsia="en-GB"/>
              </w:rPr>
              <w:t>532,702</w:t>
            </w:r>
          </w:p>
        </w:tc>
        <w:tc>
          <w:tcPr>
            <w:tcW w:w="567" w:type="dxa"/>
            <w:tcBorders>
              <w:top w:val="nil"/>
              <w:left w:val="nil"/>
              <w:bottom w:val="nil"/>
              <w:right w:val="nil"/>
            </w:tcBorders>
            <w:shd w:val="clear" w:color="auto" w:fill="auto"/>
            <w:noWrap/>
            <w:vAlign w:val="bottom"/>
          </w:tcPr>
          <w:p w14:paraId="6CD5D7D0" w14:textId="77777777" w:rsidR="00DD54CD" w:rsidRPr="00B148F9" w:rsidRDefault="00DD54CD" w:rsidP="00DD54CD">
            <w:pPr>
              <w:rPr>
                <w:rFonts w:cs="Arial"/>
                <w:highlight w:val="yellow"/>
                <w:lang w:eastAsia="en-GB"/>
              </w:rPr>
            </w:pPr>
          </w:p>
        </w:tc>
        <w:tc>
          <w:tcPr>
            <w:tcW w:w="1553" w:type="dxa"/>
            <w:tcBorders>
              <w:top w:val="nil"/>
              <w:left w:val="nil"/>
              <w:bottom w:val="nil"/>
              <w:right w:val="nil"/>
            </w:tcBorders>
            <w:shd w:val="clear" w:color="auto" w:fill="auto"/>
            <w:noWrap/>
            <w:vAlign w:val="bottom"/>
          </w:tcPr>
          <w:p w14:paraId="62C53DB2" w14:textId="5CA8E145" w:rsidR="00DD54CD" w:rsidRPr="00B148F9" w:rsidRDefault="00DD54CD" w:rsidP="00DD54CD">
            <w:pPr>
              <w:jc w:val="right"/>
              <w:rPr>
                <w:rFonts w:cs="Arial"/>
                <w:lang w:eastAsia="en-GB"/>
              </w:rPr>
            </w:pPr>
            <w:r w:rsidRPr="00B148F9">
              <w:rPr>
                <w:rFonts w:cs="Arial"/>
                <w:lang w:eastAsia="en-GB"/>
              </w:rPr>
              <w:t>-</w:t>
            </w:r>
          </w:p>
        </w:tc>
      </w:tr>
      <w:tr w:rsidR="00B37BAF" w:rsidRPr="00B148F9" w14:paraId="7CECCBAC" w14:textId="77777777" w:rsidTr="00B746FC">
        <w:trPr>
          <w:trHeight w:val="270"/>
        </w:trPr>
        <w:tc>
          <w:tcPr>
            <w:tcW w:w="4949" w:type="dxa"/>
            <w:tcBorders>
              <w:top w:val="nil"/>
              <w:left w:val="nil"/>
              <w:bottom w:val="nil"/>
              <w:right w:val="nil"/>
            </w:tcBorders>
            <w:shd w:val="clear" w:color="auto" w:fill="auto"/>
            <w:noWrap/>
            <w:vAlign w:val="bottom"/>
          </w:tcPr>
          <w:p w14:paraId="7D1EBE69" w14:textId="0A144EAE" w:rsidR="00B37BAF" w:rsidRPr="00B148F9" w:rsidRDefault="00B37BAF" w:rsidP="00B37BAF">
            <w:pPr>
              <w:ind w:left="216"/>
              <w:rPr>
                <w:rFonts w:cs="Arial"/>
                <w:lang w:eastAsia="en-GB"/>
              </w:rPr>
            </w:pPr>
            <w:r w:rsidRPr="00B148F9">
              <w:rPr>
                <w:rFonts w:cs="Arial"/>
                <w:lang w:eastAsia="en-GB"/>
              </w:rPr>
              <w:t>Change in due to brokers</w:t>
            </w:r>
          </w:p>
        </w:tc>
        <w:tc>
          <w:tcPr>
            <w:tcW w:w="737" w:type="dxa"/>
            <w:tcBorders>
              <w:top w:val="nil"/>
              <w:left w:val="nil"/>
              <w:bottom w:val="nil"/>
              <w:right w:val="nil"/>
            </w:tcBorders>
            <w:shd w:val="clear" w:color="auto" w:fill="auto"/>
            <w:vAlign w:val="bottom"/>
          </w:tcPr>
          <w:p w14:paraId="1F7BCB31" w14:textId="77777777" w:rsidR="00B37BAF" w:rsidRPr="00B148F9" w:rsidRDefault="00B37BAF" w:rsidP="00B37BAF">
            <w:pPr>
              <w:rPr>
                <w:rFonts w:cs="Arial"/>
                <w:lang w:eastAsia="en-GB"/>
              </w:rPr>
            </w:pPr>
          </w:p>
        </w:tc>
        <w:tc>
          <w:tcPr>
            <w:tcW w:w="561" w:type="dxa"/>
            <w:tcBorders>
              <w:top w:val="nil"/>
              <w:left w:val="nil"/>
              <w:right w:val="nil"/>
            </w:tcBorders>
          </w:tcPr>
          <w:p w14:paraId="6B2ED2D1" w14:textId="77777777" w:rsidR="00B37BAF" w:rsidRPr="00B148F9" w:rsidRDefault="00B37BAF" w:rsidP="00B37BAF">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7E5A88B8" w14:textId="481B1425" w:rsidR="00B37BAF" w:rsidRPr="00B148F9" w:rsidRDefault="00B37BAF" w:rsidP="00B37BAF">
            <w:pPr>
              <w:jc w:val="right"/>
              <w:rPr>
                <w:rFonts w:cs="Arial"/>
                <w:lang w:eastAsia="en-GB"/>
              </w:rPr>
            </w:pPr>
            <w:r w:rsidRPr="00B148F9">
              <w:rPr>
                <w:rFonts w:cs="Arial"/>
                <w:lang w:eastAsia="en-GB"/>
              </w:rPr>
              <w:t>17,484</w:t>
            </w:r>
          </w:p>
        </w:tc>
        <w:tc>
          <w:tcPr>
            <w:tcW w:w="567" w:type="dxa"/>
            <w:tcBorders>
              <w:top w:val="nil"/>
              <w:left w:val="nil"/>
              <w:bottom w:val="nil"/>
              <w:right w:val="nil"/>
            </w:tcBorders>
            <w:shd w:val="clear" w:color="auto" w:fill="auto"/>
            <w:noWrap/>
            <w:vAlign w:val="bottom"/>
          </w:tcPr>
          <w:p w14:paraId="723BF127"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tcPr>
          <w:p w14:paraId="009F5E2E" w14:textId="799CF89B" w:rsidR="00B37BAF" w:rsidRPr="00B148F9" w:rsidRDefault="00B37BAF" w:rsidP="00B37BAF">
            <w:pPr>
              <w:jc w:val="right"/>
              <w:rPr>
                <w:rFonts w:cs="Arial"/>
                <w:lang w:eastAsia="en-GB"/>
              </w:rPr>
            </w:pPr>
            <w:r w:rsidRPr="00B148F9">
              <w:rPr>
                <w:rFonts w:cs="Arial"/>
                <w:lang w:eastAsia="en-GB"/>
              </w:rPr>
              <w:t>-</w:t>
            </w:r>
          </w:p>
        </w:tc>
      </w:tr>
      <w:tr w:rsidR="00B37BAF" w:rsidRPr="00B148F9" w14:paraId="2B8692F8" w14:textId="77777777" w:rsidTr="00B746FC">
        <w:trPr>
          <w:trHeight w:val="270"/>
        </w:trPr>
        <w:tc>
          <w:tcPr>
            <w:tcW w:w="4949" w:type="dxa"/>
            <w:tcBorders>
              <w:top w:val="nil"/>
              <w:left w:val="nil"/>
              <w:bottom w:val="nil"/>
              <w:right w:val="nil"/>
            </w:tcBorders>
            <w:shd w:val="clear" w:color="auto" w:fill="auto"/>
            <w:noWrap/>
            <w:vAlign w:val="bottom"/>
          </w:tcPr>
          <w:p w14:paraId="6144C00E" w14:textId="77777777" w:rsidR="00B37BAF" w:rsidRPr="00B148F9" w:rsidRDefault="00B37BAF" w:rsidP="00B37BAF">
            <w:pPr>
              <w:ind w:left="216"/>
              <w:rPr>
                <w:rFonts w:cs="Arial"/>
                <w:lang w:eastAsia="en-GB"/>
              </w:rPr>
            </w:pPr>
            <w:r w:rsidRPr="00B148F9">
              <w:rPr>
                <w:rFonts w:cs="Arial"/>
                <w:lang w:eastAsia="en-GB"/>
              </w:rPr>
              <w:t>Other liabilities</w:t>
            </w:r>
          </w:p>
        </w:tc>
        <w:tc>
          <w:tcPr>
            <w:tcW w:w="737" w:type="dxa"/>
            <w:tcBorders>
              <w:top w:val="nil"/>
              <w:left w:val="nil"/>
              <w:bottom w:val="nil"/>
              <w:right w:val="nil"/>
            </w:tcBorders>
            <w:shd w:val="clear" w:color="auto" w:fill="auto"/>
            <w:vAlign w:val="bottom"/>
          </w:tcPr>
          <w:p w14:paraId="158B71D2" w14:textId="7D23CB8C" w:rsidR="00B37BAF" w:rsidRPr="00B148F9" w:rsidRDefault="00B37BAF" w:rsidP="00B37BAF">
            <w:pPr>
              <w:rPr>
                <w:rFonts w:cs="Arial"/>
                <w:lang w:eastAsia="en-GB"/>
              </w:rPr>
            </w:pPr>
          </w:p>
        </w:tc>
        <w:tc>
          <w:tcPr>
            <w:tcW w:w="561" w:type="dxa"/>
            <w:tcBorders>
              <w:top w:val="nil"/>
              <w:left w:val="nil"/>
              <w:right w:val="nil"/>
            </w:tcBorders>
          </w:tcPr>
          <w:p w14:paraId="64461A3C" w14:textId="77777777" w:rsidR="00B37BAF" w:rsidRPr="00B148F9" w:rsidRDefault="00B37BAF" w:rsidP="00B37BAF">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219A371E" w14:textId="002B81EE" w:rsidR="00B37BAF" w:rsidRPr="00B148F9" w:rsidRDefault="00B37BAF" w:rsidP="00B37BAF">
            <w:pPr>
              <w:jc w:val="right"/>
              <w:rPr>
                <w:rFonts w:cs="Arial"/>
                <w:highlight w:val="yellow"/>
                <w:lang w:eastAsia="en-GB"/>
              </w:rPr>
            </w:pPr>
            <w:r w:rsidRPr="00B148F9">
              <w:rPr>
                <w:rFonts w:cs="Arial"/>
                <w:lang w:eastAsia="en-GB"/>
              </w:rPr>
              <w:t>627,995</w:t>
            </w:r>
          </w:p>
        </w:tc>
        <w:tc>
          <w:tcPr>
            <w:tcW w:w="567" w:type="dxa"/>
            <w:tcBorders>
              <w:top w:val="nil"/>
              <w:left w:val="nil"/>
              <w:bottom w:val="nil"/>
              <w:right w:val="nil"/>
            </w:tcBorders>
            <w:shd w:val="clear" w:color="auto" w:fill="auto"/>
            <w:noWrap/>
            <w:vAlign w:val="bottom"/>
          </w:tcPr>
          <w:p w14:paraId="34414BB9"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tcPr>
          <w:p w14:paraId="4802B92B" w14:textId="2F2FA508" w:rsidR="00B37BAF" w:rsidRPr="00B148F9" w:rsidRDefault="00B37BAF" w:rsidP="00B37BAF">
            <w:pPr>
              <w:jc w:val="right"/>
              <w:rPr>
                <w:rFonts w:cs="Arial"/>
                <w:lang w:eastAsia="en-GB"/>
              </w:rPr>
            </w:pPr>
            <w:r w:rsidRPr="00B148F9">
              <w:rPr>
                <w:rFonts w:cs="Arial"/>
                <w:lang w:eastAsia="en-GB"/>
              </w:rPr>
              <w:t>9,184</w:t>
            </w:r>
          </w:p>
        </w:tc>
      </w:tr>
      <w:tr w:rsidR="00B37BAF" w:rsidRPr="00B148F9" w14:paraId="3AA8D9EC" w14:textId="77777777" w:rsidTr="00B746FC">
        <w:trPr>
          <w:trHeight w:val="270"/>
        </w:trPr>
        <w:tc>
          <w:tcPr>
            <w:tcW w:w="4949" w:type="dxa"/>
            <w:tcBorders>
              <w:top w:val="nil"/>
              <w:left w:val="nil"/>
              <w:bottom w:val="nil"/>
              <w:right w:val="nil"/>
            </w:tcBorders>
            <w:shd w:val="clear" w:color="auto" w:fill="auto"/>
            <w:noWrap/>
            <w:vAlign w:val="bottom"/>
            <w:hideMark/>
          </w:tcPr>
          <w:p w14:paraId="64C10098" w14:textId="7890773F" w:rsidR="00B37BAF" w:rsidRPr="00B148F9" w:rsidRDefault="00B37BAF" w:rsidP="00B37BAF">
            <w:pPr>
              <w:rPr>
                <w:rFonts w:cs="Arial"/>
                <w:b/>
                <w:bCs/>
                <w:highlight w:val="yellow"/>
                <w:lang w:eastAsia="en-GB"/>
              </w:rPr>
            </w:pPr>
            <w:r w:rsidRPr="00B148F9">
              <w:rPr>
                <w:rFonts w:cs="Arial"/>
                <w:b/>
                <w:bCs/>
                <w:lang w:eastAsia="en-GB"/>
              </w:rPr>
              <w:t>Net cash used in operating activities</w:t>
            </w:r>
            <w:r w:rsidR="006B686E" w:rsidRPr="00B148F9">
              <w:rPr>
                <w:rFonts w:cs="Arial"/>
                <w:b/>
                <w:bCs/>
                <w:lang w:eastAsia="en-GB"/>
              </w:rPr>
              <w:t xml:space="preserve"> (including restricted cash)</w:t>
            </w:r>
          </w:p>
        </w:tc>
        <w:tc>
          <w:tcPr>
            <w:tcW w:w="737" w:type="dxa"/>
            <w:tcBorders>
              <w:top w:val="nil"/>
              <w:left w:val="nil"/>
              <w:bottom w:val="nil"/>
              <w:right w:val="nil"/>
            </w:tcBorders>
            <w:shd w:val="clear" w:color="auto" w:fill="auto"/>
            <w:noWrap/>
            <w:vAlign w:val="bottom"/>
            <w:hideMark/>
          </w:tcPr>
          <w:p w14:paraId="5B40B284" w14:textId="77777777" w:rsidR="00B37BAF" w:rsidRPr="00B148F9" w:rsidRDefault="00B37BAF" w:rsidP="00B37BAF">
            <w:pPr>
              <w:rPr>
                <w:rFonts w:cs="Arial"/>
                <w:lang w:eastAsia="en-GB"/>
              </w:rPr>
            </w:pPr>
          </w:p>
        </w:tc>
        <w:tc>
          <w:tcPr>
            <w:tcW w:w="561" w:type="dxa"/>
            <w:tcBorders>
              <w:left w:val="nil"/>
              <w:right w:val="nil"/>
            </w:tcBorders>
          </w:tcPr>
          <w:p w14:paraId="1659B46D" w14:textId="77777777" w:rsidR="00B37BAF" w:rsidRPr="00B148F9" w:rsidRDefault="00B37BAF" w:rsidP="00B37BAF">
            <w:pPr>
              <w:jc w:val="right"/>
              <w:rPr>
                <w:rFonts w:cs="Arial"/>
                <w:b/>
                <w:bCs/>
                <w:highlight w:val="yellow"/>
                <w:lang w:eastAsia="en-GB"/>
              </w:rPr>
            </w:pPr>
          </w:p>
        </w:tc>
        <w:tc>
          <w:tcPr>
            <w:tcW w:w="1695" w:type="dxa"/>
            <w:tcBorders>
              <w:top w:val="single" w:sz="4" w:space="0" w:color="auto"/>
              <w:left w:val="nil"/>
              <w:bottom w:val="single" w:sz="4" w:space="0" w:color="auto"/>
              <w:right w:val="nil"/>
            </w:tcBorders>
            <w:shd w:val="clear" w:color="auto" w:fill="auto"/>
            <w:noWrap/>
            <w:vAlign w:val="bottom"/>
          </w:tcPr>
          <w:p w14:paraId="5C0D4FFD" w14:textId="5DB725EB" w:rsidR="00B37BAF" w:rsidRPr="00B148F9" w:rsidRDefault="00B37BAF">
            <w:pPr>
              <w:jc w:val="right"/>
              <w:rPr>
                <w:rFonts w:cs="Arial"/>
                <w:b/>
                <w:bCs/>
                <w:highlight w:val="yellow"/>
                <w:lang w:eastAsia="en-GB"/>
              </w:rPr>
            </w:pPr>
            <w:r w:rsidRPr="00B148F9">
              <w:rPr>
                <w:rFonts w:cs="Arial"/>
                <w:b/>
                <w:bCs/>
                <w:lang w:eastAsia="en-GB"/>
              </w:rPr>
              <w:t>(66,161,866)</w:t>
            </w:r>
          </w:p>
        </w:tc>
        <w:tc>
          <w:tcPr>
            <w:tcW w:w="567" w:type="dxa"/>
            <w:tcBorders>
              <w:top w:val="nil"/>
              <w:left w:val="nil"/>
              <w:bottom w:val="nil"/>
              <w:right w:val="nil"/>
            </w:tcBorders>
            <w:shd w:val="clear" w:color="auto" w:fill="auto"/>
            <w:noWrap/>
            <w:vAlign w:val="bottom"/>
            <w:hideMark/>
          </w:tcPr>
          <w:p w14:paraId="05C2752E" w14:textId="77777777" w:rsidR="00B37BAF" w:rsidRPr="00B148F9" w:rsidRDefault="00B37BAF" w:rsidP="00B37BAF">
            <w:pPr>
              <w:rPr>
                <w:rFonts w:cs="Arial"/>
                <w:highlight w:val="yellow"/>
                <w:lang w:eastAsia="en-GB"/>
              </w:rPr>
            </w:pPr>
          </w:p>
        </w:tc>
        <w:tc>
          <w:tcPr>
            <w:tcW w:w="1553" w:type="dxa"/>
            <w:tcBorders>
              <w:top w:val="single" w:sz="4" w:space="0" w:color="auto"/>
              <w:left w:val="nil"/>
              <w:bottom w:val="single" w:sz="4" w:space="0" w:color="auto"/>
              <w:right w:val="nil"/>
            </w:tcBorders>
            <w:shd w:val="clear" w:color="auto" w:fill="auto"/>
            <w:noWrap/>
            <w:vAlign w:val="bottom"/>
            <w:hideMark/>
          </w:tcPr>
          <w:p w14:paraId="10161824" w14:textId="772523FB" w:rsidR="00B37BAF" w:rsidRPr="00B148F9" w:rsidRDefault="00B37BAF" w:rsidP="00B37BAF">
            <w:pPr>
              <w:jc w:val="right"/>
              <w:rPr>
                <w:rFonts w:cs="Arial"/>
                <w:b/>
                <w:bCs/>
                <w:lang w:eastAsia="en-GB"/>
              </w:rPr>
            </w:pPr>
            <w:r w:rsidRPr="00B148F9">
              <w:rPr>
                <w:rFonts w:cs="Arial"/>
                <w:b/>
                <w:bCs/>
                <w:lang w:eastAsia="en-GB"/>
              </w:rPr>
              <w:t>(44,283)</w:t>
            </w:r>
          </w:p>
        </w:tc>
      </w:tr>
      <w:tr w:rsidR="00B37BAF" w:rsidRPr="00B148F9" w14:paraId="314339D4" w14:textId="77777777" w:rsidTr="00B746FC">
        <w:trPr>
          <w:trHeight w:val="111"/>
        </w:trPr>
        <w:tc>
          <w:tcPr>
            <w:tcW w:w="4949" w:type="dxa"/>
            <w:tcBorders>
              <w:top w:val="nil"/>
              <w:left w:val="nil"/>
              <w:bottom w:val="nil"/>
              <w:right w:val="nil"/>
            </w:tcBorders>
            <w:shd w:val="clear" w:color="auto" w:fill="auto"/>
            <w:noWrap/>
            <w:vAlign w:val="bottom"/>
            <w:hideMark/>
          </w:tcPr>
          <w:p w14:paraId="7ABCF917" w14:textId="77777777" w:rsidR="00B37BAF" w:rsidRPr="00B148F9" w:rsidRDefault="00B37BAF" w:rsidP="00B37BAF">
            <w:pPr>
              <w:rPr>
                <w:rFonts w:cs="Arial"/>
                <w:lang w:eastAsia="en-GB"/>
              </w:rPr>
            </w:pPr>
          </w:p>
        </w:tc>
        <w:tc>
          <w:tcPr>
            <w:tcW w:w="737" w:type="dxa"/>
            <w:tcBorders>
              <w:left w:val="nil"/>
              <w:bottom w:val="nil"/>
              <w:right w:val="nil"/>
            </w:tcBorders>
            <w:shd w:val="clear" w:color="auto" w:fill="auto"/>
            <w:noWrap/>
            <w:vAlign w:val="bottom"/>
            <w:hideMark/>
          </w:tcPr>
          <w:p w14:paraId="3EACD6B3" w14:textId="77777777" w:rsidR="00B37BAF" w:rsidRPr="00B148F9" w:rsidRDefault="00B37BAF" w:rsidP="00B37BAF">
            <w:pPr>
              <w:rPr>
                <w:rFonts w:cs="Arial"/>
                <w:lang w:eastAsia="en-GB"/>
              </w:rPr>
            </w:pPr>
          </w:p>
        </w:tc>
        <w:tc>
          <w:tcPr>
            <w:tcW w:w="561" w:type="dxa"/>
            <w:tcBorders>
              <w:left w:val="nil"/>
              <w:bottom w:val="nil"/>
              <w:right w:val="nil"/>
            </w:tcBorders>
          </w:tcPr>
          <w:p w14:paraId="5985DE12" w14:textId="77777777" w:rsidR="00B37BAF" w:rsidRPr="00B148F9" w:rsidRDefault="00B37BAF" w:rsidP="00B37BAF">
            <w:pPr>
              <w:rPr>
                <w:rFonts w:cs="Arial"/>
                <w:highlight w:val="yellow"/>
                <w:lang w:eastAsia="en-GB"/>
              </w:rPr>
            </w:pPr>
          </w:p>
        </w:tc>
        <w:tc>
          <w:tcPr>
            <w:tcW w:w="1695" w:type="dxa"/>
            <w:tcBorders>
              <w:top w:val="nil"/>
              <w:left w:val="nil"/>
              <w:bottom w:val="nil"/>
              <w:right w:val="nil"/>
            </w:tcBorders>
            <w:shd w:val="clear" w:color="auto" w:fill="auto"/>
            <w:noWrap/>
            <w:vAlign w:val="bottom"/>
          </w:tcPr>
          <w:p w14:paraId="07B567DF" w14:textId="0A6B82CE" w:rsidR="00B37BAF" w:rsidRPr="00B148F9" w:rsidRDefault="00B37BAF" w:rsidP="00B37BAF">
            <w:pPr>
              <w:rPr>
                <w:rFonts w:cs="Arial"/>
                <w:highlight w:val="yellow"/>
                <w:lang w:eastAsia="en-GB"/>
              </w:rPr>
            </w:pPr>
          </w:p>
        </w:tc>
        <w:tc>
          <w:tcPr>
            <w:tcW w:w="567" w:type="dxa"/>
            <w:tcBorders>
              <w:top w:val="nil"/>
              <w:left w:val="nil"/>
              <w:bottom w:val="nil"/>
              <w:right w:val="nil"/>
            </w:tcBorders>
            <w:shd w:val="clear" w:color="auto" w:fill="auto"/>
            <w:noWrap/>
            <w:vAlign w:val="bottom"/>
            <w:hideMark/>
          </w:tcPr>
          <w:p w14:paraId="555E9D7E"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29CCCF8E" w14:textId="77777777" w:rsidR="00B37BAF" w:rsidRPr="00B148F9" w:rsidRDefault="00B37BAF" w:rsidP="00B37BAF">
            <w:pPr>
              <w:rPr>
                <w:rFonts w:cs="Arial"/>
                <w:lang w:eastAsia="en-GB"/>
              </w:rPr>
            </w:pPr>
          </w:p>
        </w:tc>
      </w:tr>
      <w:tr w:rsidR="00B37BAF" w:rsidRPr="00B148F9" w14:paraId="2FB86A5B" w14:textId="77777777" w:rsidTr="00B746FC">
        <w:trPr>
          <w:trHeight w:val="270"/>
        </w:trPr>
        <w:tc>
          <w:tcPr>
            <w:tcW w:w="4949" w:type="dxa"/>
            <w:tcBorders>
              <w:top w:val="nil"/>
              <w:left w:val="nil"/>
              <w:bottom w:val="nil"/>
              <w:right w:val="nil"/>
            </w:tcBorders>
            <w:shd w:val="clear" w:color="auto" w:fill="auto"/>
            <w:noWrap/>
            <w:vAlign w:val="bottom"/>
            <w:hideMark/>
          </w:tcPr>
          <w:p w14:paraId="7B0E392D" w14:textId="77777777" w:rsidR="00B37BAF" w:rsidRPr="00B148F9" w:rsidRDefault="00B37BAF" w:rsidP="00B37BAF">
            <w:pPr>
              <w:rPr>
                <w:rFonts w:cs="Arial"/>
                <w:b/>
                <w:bCs/>
                <w:lang w:eastAsia="en-GB"/>
              </w:rPr>
            </w:pPr>
            <w:r w:rsidRPr="00B148F9">
              <w:rPr>
                <w:rFonts w:cs="Arial"/>
                <w:b/>
                <w:bCs/>
                <w:lang w:eastAsia="en-GB"/>
              </w:rPr>
              <w:t>Cash flow from financing activities</w:t>
            </w:r>
          </w:p>
        </w:tc>
        <w:tc>
          <w:tcPr>
            <w:tcW w:w="737" w:type="dxa"/>
            <w:tcBorders>
              <w:top w:val="nil"/>
              <w:left w:val="nil"/>
              <w:bottom w:val="nil"/>
              <w:right w:val="nil"/>
            </w:tcBorders>
            <w:shd w:val="clear" w:color="auto" w:fill="auto"/>
            <w:noWrap/>
            <w:vAlign w:val="bottom"/>
            <w:hideMark/>
          </w:tcPr>
          <w:p w14:paraId="6BB47845"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7E990FC5" w14:textId="77777777" w:rsidR="00B37BAF" w:rsidRPr="00B148F9" w:rsidRDefault="00B37BAF" w:rsidP="00B37BAF">
            <w:pPr>
              <w:rPr>
                <w:rFonts w:cs="Arial"/>
                <w:highlight w:val="yellow"/>
                <w:lang w:eastAsia="en-GB"/>
              </w:rPr>
            </w:pPr>
          </w:p>
        </w:tc>
        <w:tc>
          <w:tcPr>
            <w:tcW w:w="1695" w:type="dxa"/>
            <w:tcBorders>
              <w:top w:val="nil"/>
              <w:left w:val="nil"/>
              <w:bottom w:val="nil"/>
              <w:right w:val="nil"/>
            </w:tcBorders>
            <w:shd w:val="clear" w:color="auto" w:fill="auto"/>
            <w:noWrap/>
            <w:vAlign w:val="bottom"/>
          </w:tcPr>
          <w:p w14:paraId="0576D1E7" w14:textId="7FA52C15" w:rsidR="00B37BAF" w:rsidRPr="00B148F9" w:rsidRDefault="00B37BAF" w:rsidP="00B37BAF">
            <w:pPr>
              <w:rPr>
                <w:rFonts w:cs="Arial"/>
                <w:highlight w:val="yellow"/>
                <w:lang w:eastAsia="en-GB"/>
              </w:rPr>
            </w:pPr>
          </w:p>
        </w:tc>
        <w:tc>
          <w:tcPr>
            <w:tcW w:w="567" w:type="dxa"/>
            <w:tcBorders>
              <w:top w:val="nil"/>
              <w:left w:val="nil"/>
              <w:bottom w:val="nil"/>
              <w:right w:val="nil"/>
            </w:tcBorders>
            <w:shd w:val="clear" w:color="auto" w:fill="auto"/>
            <w:noWrap/>
            <w:vAlign w:val="bottom"/>
            <w:hideMark/>
          </w:tcPr>
          <w:p w14:paraId="3A5F2E82"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708815C7" w14:textId="77777777" w:rsidR="00B37BAF" w:rsidRPr="00B148F9" w:rsidRDefault="00B37BAF" w:rsidP="00B37BAF">
            <w:pPr>
              <w:rPr>
                <w:rFonts w:cs="Arial"/>
                <w:lang w:eastAsia="en-GB"/>
              </w:rPr>
            </w:pPr>
          </w:p>
        </w:tc>
      </w:tr>
      <w:tr w:rsidR="00B37BAF" w:rsidRPr="00B148F9" w14:paraId="082B2FB7" w14:textId="77777777" w:rsidTr="00B746FC">
        <w:trPr>
          <w:trHeight w:val="270"/>
        </w:trPr>
        <w:tc>
          <w:tcPr>
            <w:tcW w:w="4949" w:type="dxa"/>
            <w:tcBorders>
              <w:top w:val="nil"/>
              <w:left w:val="nil"/>
              <w:bottom w:val="nil"/>
              <w:right w:val="nil"/>
            </w:tcBorders>
            <w:shd w:val="clear" w:color="auto" w:fill="auto"/>
            <w:noWrap/>
            <w:vAlign w:val="bottom"/>
            <w:hideMark/>
          </w:tcPr>
          <w:p w14:paraId="50D4F0A9" w14:textId="5E73659D" w:rsidR="00B37BAF" w:rsidRPr="00B148F9" w:rsidRDefault="00B37BAF" w:rsidP="00B37BAF">
            <w:pPr>
              <w:ind w:left="216"/>
              <w:rPr>
                <w:rFonts w:cs="Arial"/>
                <w:lang w:eastAsia="en-GB"/>
              </w:rPr>
            </w:pPr>
            <w:r w:rsidRPr="00B148F9">
              <w:rPr>
                <w:rFonts w:cs="Arial"/>
                <w:lang w:eastAsia="en-GB"/>
              </w:rPr>
              <w:t>Proceeds from issuance of shares</w:t>
            </w:r>
          </w:p>
        </w:tc>
        <w:tc>
          <w:tcPr>
            <w:tcW w:w="737" w:type="dxa"/>
            <w:tcBorders>
              <w:top w:val="nil"/>
              <w:left w:val="nil"/>
              <w:bottom w:val="nil"/>
              <w:right w:val="nil"/>
            </w:tcBorders>
            <w:shd w:val="clear" w:color="auto" w:fill="auto"/>
            <w:noWrap/>
            <w:vAlign w:val="bottom"/>
            <w:hideMark/>
          </w:tcPr>
          <w:p w14:paraId="142167CD"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60B16E47" w14:textId="77777777" w:rsidR="00B37BAF" w:rsidRPr="00B148F9" w:rsidRDefault="00B37BAF" w:rsidP="00B37BAF">
            <w:pPr>
              <w:jc w:val="right"/>
              <w:rPr>
                <w:rFonts w:cs="Arial"/>
                <w:highlight w:val="yellow"/>
                <w:lang w:eastAsia="en-GB"/>
              </w:rPr>
            </w:pPr>
          </w:p>
        </w:tc>
        <w:tc>
          <w:tcPr>
            <w:tcW w:w="1695" w:type="dxa"/>
            <w:tcBorders>
              <w:top w:val="nil"/>
              <w:left w:val="nil"/>
              <w:bottom w:val="nil"/>
              <w:right w:val="nil"/>
            </w:tcBorders>
            <w:shd w:val="clear" w:color="auto" w:fill="auto"/>
            <w:noWrap/>
          </w:tcPr>
          <w:p w14:paraId="6097E63B" w14:textId="1D6A61CF" w:rsidR="00B37BAF" w:rsidRPr="00B148F9" w:rsidRDefault="00B37BAF" w:rsidP="00B37BAF">
            <w:pPr>
              <w:jc w:val="right"/>
              <w:rPr>
                <w:rFonts w:cs="Arial"/>
                <w:highlight w:val="yellow"/>
                <w:lang w:eastAsia="en-GB"/>
              </w:rPr>
            </w:pPr>
            <w:r w:rsidRPr="00B148F9">
              <w:rPr>
                <w:rFonts w:cs="Arial"/>
                <w:bCs/>
                <w:lang w:eastAsia="en-GB"/>
              </w:rPr>
              <w:t>14,972,316</w:t>
            </w:r>
          </w:p>
        </w:tc>
        <w:tc>
          <w:tcPr>
            <w:tcW w:w="567" w:type="dxa"/>
            <w:tcBorders>
              <w:top w:val="nil"/>
              <w:left w:val="nil"/>
              <w:bottom w:val="nil"/>
              <w:right w:val="nil"/>
            </w:tcBorders>
            <w:shd w:val="clear" w:color="auto" w:fill="auto"/>
            <w:noWrap/>
            <w:vAlign w:val="bottom"/>
            <w:hideMark/>
          </w:tcPr>
          <w:p w14:paraId="3E685F91"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45271A5D" w14:textId="7AF0597E" w:rsidR="00B37BAF" w:rsidRPr="00B148F9" w:rsidRDefault="00B37BAF" w:rsidP="00B37BAF">
            <w:pPr>
              <w:jc w:val="right"/>
              <w:rPr>
                <w:rFonts w:cs="Arial"/>
                <w:lang w:eastAsia="en-GB"/>
              </w:rPr>
            </w:pPr>
            <w:r w:rsidRPr="00B148F9">
              <w:rPr>
                <w:rFonts w:cs="Arial"/>
                <w:lang w:eastAsia="en-GB"/>
              </w:rPr>
              <w:t>-</w:t>
            </w:r>
          </w:p>
        </w:tc>
      </w:tr>
      <w:tr w:rsidR="00B37BAF" w:rsidRPr="00B148F9" w14:paraId="28501C00" w14:textId="77777777" w:rsidTr="00B746FC">
        <w:trPr>
          <w:trHeight w:val="270"/>
        </w:trPr>
        <w:tc>
          <w:tcPr>
            <w:tcW w:w="4949" w:type="dxa"/>
            <w:tcBorders>
              <w:top w:val="nil"/>
              <w:left w:val="nil"/>
              <w:bottom w:val="nil"/>
              <w:right w:val="nil"/>
            </w:tcBorders>
            <w:shd w:val="clear" w:color="auto" w:fill="auto"/>
            <w:noWrap/>
            <w:vAlign w:val="bottom"/>
          </w:tcPr>
          <w:p w14:paraId="29E1857F" w14:textId="2B1A6AB2" w:rsidR="00B37BAF" w:rsidRPr="00B148F9" w:rsidRDefault="00B37BAF" w:rsidP="00B37BAF">
            <w:pPr>
              <w:ind w:left="216"/>
              <w:rPr>
                <w:rFonts w:cs="Arial"/>
                <w:lang w:eastAsia="en-GB"/>
              </w:rPr>
            </w:pPr>
            <w:r w:rsidRPr="00B148F9">
              <w:rPr>
                <w:rFonts w:cs="Arial"/>
                <w:lang w:eastAsia="en-GB"/>
              </w:rPr>
              <w:t>Payments for redemption of shares</w:t>
            </w:r>
          </w:p>
        </w:tc>
        <w:tc>
          <w:tcPr>
            <w:tcW w:w="737" w:type="dxa"/>
            <w:tcBorders>
              <w:top w:val="nil"/>
              <w:left w:val="nil"/>
              <w:bottom w:val="nil"/>
              <w:right w:val="nil"/>
            </w:tcBorders>
            <w:shd w:val="clear" w:color="auto" w:fill="auto"/>
            <w:noWrap/>
            <w:vAlign w:val="bottom"/>
          </w:tcPr>
          <w:p w14:paraId="4BCB2830"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4BD1851D" w14:textId="77777777" w:rsidR="00B37BAF" w:rsidRPr="00B148F9" w:rsidRDefault="00B37BAF" w:rsidP="00B37BAF">
            <w:pPr>
              <w:jc w:val="right"/>
              <w:rPr>
                <w:rFonts w:cs="Arial"/>
                <w:highlight w:val="yellow"/>
                <w:lang w:eastAsia="en-GB"/>
              </w:rPr>
            </w:pPr>
          </w:p>
        </w:tc>
        <w:tc>
          <w:tcPr>
            <w:tcW w:w="1695" w:type="dxa"/>
            <w:tcBorders>
              <w:top w:val="nil"/>
              <w:left w:val="nil"/>
              <w:bottom w:val="nil"/>
              <w:right w:val="nil"/>
            </w:tcBorders>
            <w:shd w:val="clear" w:color="auto" w:fill="auto"/>
            <w:noWrap/>
          </w:tcPr>
          <w:p w14:paraId="3FEC94E8" w14:textId="5F218528" w:rsidR="00B37BAF" w:rsidRPr="00B148F9" w:rsidRDefault="00B37BAF" w:rsidP="00B37BAF">
            <w:pPr>
              <w:jc w:val="right"/>
              <w:rPr>
                <w:rFonts w:cs="Arial"/>
                <w:lang w:eastAsia="en-GB"/>
              </w:rPr>
            </w:pPr>
            <w:r w:rsidRPr="00B148F9">
              <w:rPr>
                <w:rFonts w:cs="Arial"/>
                <w:lang w:eastAsia="en-GB"/>
              </w:rPr>
              <w:t>(1)</w:t>
            </w:r>
          </w:p>
        </w:tc>
        <w:tc>
          <w:tcPr>
            <w:tcW w:w="567" w:type="dxa"/>
            <w:tcBorders>
              <w:top w:val="nil"/>
              <w:left w:val="nil"/>
              <w:bottom w:val="nil"/>
              <w:right w:val="nil"/>
            </w:tcBorders>
            <w:shd w:val="clear" w:color="auto" w:fill="auto"/>
            <w:noWrap/>
            <w:vAlign w:val="bottom"/>
          </w:tcPr>
          <w:p w14:paraId="72196D48"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tcPr>
          <w:p w14:paraId="54825DAA" w14:textId="3CE9A9EC" w:rsidR="00B37BAF" w:rsidRPr="00B148F9" w:rsidRDefault="00B37BAF" w:rsidP="00B37BAF">
            <w:pPr>
              <w:jc w:val="right"/>
              <w:rPr>
                <w:rFonts w:cs="Arial"/>
                <w:lang w:eastAsia="en-GB"/>
              </w:rPr>
            </w:pPr>
            <w:r w:rsidRPr="00B148F9">
              <w:rPr>
                <w:rFonts w:cs="Arial"/>
                <w:lang w:eastAsia="en-GB"/>
              </w:rPr>
              <w:t>-</w:t>
            </w:r>
          </w:p>
        </w:tc>
      </w:tr>
      <w:tr w:rsidR="00B37BAF" w:rsidRPr="00B148F9" w14:paraId="2CB64ED1" w14:textId="77777777" w:rsidTr="00B746FC">
        <w:trPr>
          <w:trHeight w:val="270"/>
        </w:trPr>
        <w:tc>
          <w:tcPr>
            <w:tcW w:w="4949" w:type="dxa"/>
            <w:tcBorders>
              <w:top w:val="nil"/>
              <w:left w:val="nil"/>
              <w:bottom w:val="nil"/>
              <w:right w:val="nil"/>
            </w:tcBorders>
            <w:shd w:val="clear" w:color="auto" w:fill="auto"/>
            <w:noWrap/>
            <w:vAlign w:val="bottom"/>
          </w:tcPr>
          <w:p w14:paraId="7D255208" w14:textId="7F0BD63B" w:rsidR="00B37BAF" w:rsidRPr="00B148F9" w:rsidRDefault="00B37BAF">
            <w:pPr>
              <w:ind w:left="216"/>
              <w:rPr>
                <w:rFonts w:cs="Arial"/>
                <w:lang w:eastAsia="en-GB"/>
              </w:rPr>
            </w:pPr>
            <w:r w:rsidRPr="00B148F9">
              <w:rPr>
                <w:rFonts w:cs="Arial"/>
                <w:lang w:eastAsia="en-GB"/>
              </w:rPr>
              <w:t>Capital subscriptions</w:t>
            </w:r>
          </w:p>
        </w:tc>
        <w:tc>
          <w:tcPr>
            <w:tcW w:w="737" w:type="dxa"/>
            <w:tcBorders>
              <w:top w:val="nil"/>
              <w:left w:val="nil"/>
              <w:bottom w:val="nil"/>
              <w:right w:val="nil"/>
            </w:tcBorders>
            <w:shd w:val="clear" w:color="auto" w:fill="auto"/>
            <w:noWrap/>
            <w:vAlign w:val="bottom"/>
          </w:tcPr>
          <w:p w14:paraId="1BC8F94A"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6C89EAF5" w14:textId="77777777" w:rsidR="00B37BAF" w:rsidRPr="00B148F9" w:rsidRDefault="00B37BAF" w:rsidP="00B37BAF">
            <w:pPr>
              <w:jc w:val="right"/>
              <w:rPr>
                <w:rFonts w:cs="Arial"/>
                <w:highlight w:val="yellow"/>
                <w:lang w:eastAsia="en-GB"/>
              </w:rPr>
            </w:pPr>
          </w:p>
        </w:tc>
        <w:tc>
          <w:tcPr>
            <w:tcW w:w="1695" w:type="dxa"/>
            <w:tcBorders>
              <w:top w:val="nil"/>
              <w:left w:val="nil"/>
              <w:bottom w:val="nil"/>
              <w:right w:val="nil"/>
            </w:tcBorders>
            <w:shd w:val="clear" w:color="auto" w:fill="auto"/>
            <w:noWrap/>
          </w:tcPr>
          <w:p w14:paraId="08105371" w14:textId="5BCB535C" w:rsidR="00B37BAF" w:rsidRPr="00B148F9" w:rsidRDefault="00B37BAF" w:rsidP="00B37BAF">
            <w:pPr>
              <w:jc w:val="right"/>
              <w:rPr>
                <w:rFonts w:cs="Arial"/>
                <w:highlight w:val="yellow"/>
                <w:lang w:eastAsia="en-GB"/>
              </w:rPr>
            </w:pPr>
            <w:r w:rsidRPr="00B148F9">
              <w:rPr>
                <w:rFonts w:cs="Arial"/>
                <w:lang w:eastAsia="en-GB"/>
              </w:rPr>
              <w:t>111,345,000</w:t>
            </w:r>
          </w:p>
        </w:tc>
        <w:tc>
          <w:tcPr>
            <w:tcW w:w="567" w:type="dxa"/>
            <w:tcBorders>
              <w:top w:val="nil"/>
              <w:left w:val="nil"/>
              <w:bottom w:val="nil"/>
              <w:right w:val="nil"/>
            </w:tcBorders>
            <w:shd w:val="clear" w:color="auto" w:fill="auto"/>
            <w:noWrap/>
            <w:vAlign w:val="bottom"/>
          </w:tcPr>
          <w:p w14:paraId="755DDB6E"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tcPr>
          <w:p w14:paraId="2CB812CF" w14:textId="0BCF9C8E" w:rsidR="00B37BAF" w:rsidRPr="00B148F9" w:rsidRDefault="00B37BAF" w:rsidP="00B37BAF">
            <w:pPr>
              <w:jc w:val="right"/>
              <w:rPr>
                <w:rFonts w:cs="Arial"/>
                <w:lang w:eastAsia="en-GB"/>
              </w:rPr>
            </w:pPr>
            <w:r w:rsidRPr="00B148F9">
              <w:rPr>
                <w:rFonts w:cs="Arial"/>
                <w:lang w:eastAsia="en-GB"/>
              </w:rPr>
              <w:t>-</w:t>
            </w:r>
          </w:p>
        </w:tc>
      </w:tr>
      <w:tr w:rsidR="00B37BAF" w:rsidRPr="00B148F9" w14:paraId="6F497321" w14:textId="77777777" w:rsidTr="00B746FC">
        <w:trPr>
          <w:trHeight w:val="270"/>
        </w:trPr>
        <w:tc>
          <w:tcPr>
            <w:tcW w:w="4949" w:type="dxa"/>
            <w:tcBorders>
              <w:top w:val="nil"/>
              <w:left w:val="nil"/>
              <w:bottom w:val="nil"/>
              <w:right w:val="nil"/>
            </w:tcBorders>
            <w:shd w:val="clear" w:color="auto" w:fill="auto"/>
            <w:noWrap/>
            <w:vAlign w:val="bottom"/>
          </w:tcPr>
          <w:p w14:paraId="0C9C72BD" w14:textId="070199C4" w:rsidR="00B37BAF" w:rsidRPr="00B148F9" w:rsidRDefault="00B37BAF" w:rsidP="00B37BAF">
            <w:pPr>
              <w:ind w:left="216"/>
              <w:rPr>
                <w:rFonts w:cs="Arial"/>
                <w:lang w:eastAsia="en-GB"/>
              </w:rPr>
            </w:pPr>
            <w:r w:rsidRPr="00B148F9">
              <w:rPr>
                <w:rFonts w:cs="Arial"/>
                <w:lang w:eastAsia="en-GB"/>
              </w:rPr>
              <w:t>Capital redemptions</w:t>
            </w:r>
          </w:p>
        </w:tc>
        <w:tc>
          <w:tcPr>
            <w:tcW w:w="737" w:type="dxa"/>
            <w:tcBorders>
              <w:top w:val="nil"/>
              <w:left w:val="nil"/>
              <w:bottom w:val="nil"/>
              <w:right w:val="nil"/>
            </w:tcBorders>
            <w:shd w:val="clear" w:color="auto" w:fill="auto"/>
            <w:noWrap/>
            <w:vAlign w:val="bottom"/>
          </w:tcPr>
          <w:p w14:paraId="68EA7FF2"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7CD1DE00" w14:textId="77777777" w:rsidR="00B37BAF" w:rsidRPr="00B148F9" w:rsidRDefault="00B37BAF" w:rsidP="00B37BAF">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073B451A" w14:textId="30279663" w:rsidR="00B37BAF" w:rsidRPr="00B148F9" w:rsidRDefault="00B37BAF" w:rsidP="00B37BAF">
            <w:pPr>
              <w:jc w:val="right"/>
              <w:rPr>
                <w:rFonts w:cs="Arial"/>
                <w:highlight w:val="yellow"/>
                <w:lang w:eastAsia="en-GB"/>
              </w:rPr>
            </w:pPr>
            <w:r w:rsidRPr="00B148F9">
              <w:rPr>
                <w:rFonts w:cs="Arial"/>
                <w:lang w:eastAsia="en-GB"/>
              </w:rPr>
              <w:t>(16,371,705)</w:t>
            </w:r>
          </w:p>
        </w:tc>
        <w:tc>
          <w:tcPr>
            <w:tcW w:w="567" w:type="dxa"/>
            <w:tcBorders>
              <w:top w:val="nil"/>
              <w:left w:val="nil"/>
              <w:bottom w:val="nil"/>
              <w:right w:val="nil"/>
            </w:tcBorders>
            <w:shd w:val="clear" w:color="auto" w:fill="auto"/>
            <w:noWrap/>
            <w:vAlign w:val="bottom"/>
          </w:tcPr>
          <w:p w14:paraId="07D6B64A"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tcPr>
          <w:p w14:paraId="531BDF11" w14:textId="724CB903" w:rsidR="00B37BAF" w:rsidRPr="00B148F9" w:rsidRDefault="00B37BAF" w:rsidP="00B37BAF">
            <w:pPr>
              <w:jc w:val="right"/>
              <w:rPr>
                <w:rFonts w:cs="Arial"/>
                <w:lang w:eastAsia="en-GB"/>
              </w:rPr>
            </w:pPr>
            <w:r w:rsidRPr="00B148F9">
              <w:rPr>
                <w:rFonts w:cs="Arial"/>
                <w:lang w:eastAsia="en-GB"/>
              </w:rPr>
              <w:t>-</w:t>
            </w:r>
          </w:p>
        </w:tc>
      </w:tr>
      <w:tr w:rsidR="00B37BAF" w:rsidRPr="00B148F9" w14:paraId="275322B8" w14:textId="77777777" w:rsidTr="00B746FC">
        <w:trPr>
          <w:trHeight w:val="270"/>
        </w:trPr>
        <w:tc>
          <w:tcPr>
            <w:tcW w:w="4949" w:type="dxa"/>
            <w:tcBorders>
              <w:top w:val="nil"/>
              <w:left w:val="nil"/>
              <w:bottom w:val="nil"/>
              <w:right w:val="nil"/>
            </w:tcBorders>
            <w:shd w:val="clear" w:color="auto" w:fill="auto"/>
            <w:noWrap/>
            <w:vAlign w:val="bottom"/>
            <w:hideMark/>
          </w:tcPr>
          <w:p w14:paraId="7BD22F5B" w14:textId="1867BE90" w:rsidR="00B37BAF" w:rsidRPr="00B148F9" w:rsidRDefault="00B37BAF" w:rsidP="00B37BAF">
            <w:pPr>
              <w:rPr>
                <w:rFonts w:cs="Arial"/>
                <w:b/>
                <w:bCs/>
                <w:highlight w:val="yellow"/>
                <w:lang w:eastAsia="en-GB"/>
              </w:rPr>
            </w:pPr>
            <w:r w:rsidRPr="00B148F9">
              <w:rPr>
                <w:rFonts w:cs="Arial"/>
                <w:b/>
                <w:bCs/>
                <w:lang w:eastAsia="en-GB"/>
              </w:rPr>
              <w:t>Net cash provided by financing activities</w:t>
            </w:r>
          </w:p>
        </w:tc>
        <w:tc>
          <w:tcPr>
            <w:tcW w:w="737" w:type="dxa"/>
            <w:tcBorders>
              <w:top w:val="nil"/>
              <w:left w:val="nil"/>
              <w:bottom w:val="nil"/>
              <w:right w:val="nil"/>
            </w:tcBorders>
            <w:shd w:val="clear" w:color="auto" w:fill="auto"/>
            <w:noWrap/>
            <w:vAlign w:val="bottom"/>
            <w:hideMark/>
          </w:tcPr>
          <w:p w14:paraId="496FB8E2" w14:textId="77777777" w:rsidR="00B37BAF" w:rsidRPr="00B148F9" w:rsidRDefault="00B37BAF" w:rsidP="00B37BAF">
            <w:pPr>
              <w:rPr>
                <w:rFonts w:cs="Arial"/>
                <w:lang w:eastAsia="en-GB"/>
              </w:rPr>
            </w:pPr>
          </w:p>
        </w:tc>
        <w:tc>
          <w:tcPr>
            <w:tcW w:w="561" w:type="dxa"/>
            <w:tcBorders>
              <w:left w:val="nil"/>
              <w:right w:val="nil"/>
            </w:tcBorders>
          </w:tcPr>
          <w:p w14:paraId="237C74CB" w14:textId="77777777" w:rsidR="00B37BAF" w:rsidRPr="00B148F9" w:rsidRDefault="00B37BAF" w:rsidP="00B37BAF">
            <w:pPr>
              <w:jc w:val="right"/>
              <w:rPr>
                <w:rFonts w:cs="Arial"/>
                <w:b/>
                <w:bCs/>
                <w:highlight w:val="yellow"/>
                <w:lang w:eastAsia="en-GB"/>
              </w:rPr>
            </w:pPr>
          </w:p>
        </w:tc>
        <w:tc>
          <w:tcPr>
            <w:tcW w:w="1695" w:type="dxa"/>
            <w:tcBorders>
              <w:top w:val="single" w:sz="4" w:space="0" w:color="auto"/>
              <w:left w:val="nil"/>
              <w:bottom w:val="single" w:sz="4" w:space="0" w:color="auto"/>
              <w:right w:val="nil"/>
            </w:tcBorders>
            <w:shd w:val="clear" w:color="auto" w:fill="auto"/>
            <w:noWrap/>
            <w:vAlign w:val="bottom"/>
          </w:tcPr>
          <w:p w14:paraId="5E1495A2" w14:textId="111163FD" w:rsidR="00B37BAF" w:rsidRPr="00B148F9" w:rsidRDefault="00B37BAF">
            <w:pPr>
              <w:jc w:val="right"/>
              <w:rPr>
                <w:rFonts w:cs="Arial"/>
                <w:b/>
                <w:bCs/>
                <w:lang w:eastAsia="en-GB"/>
              </w:rPr>
            </w:pPr>
            <w:r w:rsidRPr="00B148F9">
              <w:rPr>
                <w:rFonts w:cs="Arial"/>
                <w:b/>
                <w:bCs/>
                <w:lang w:eastAsia="en-GB"/>
              </w:rPr>
              <w:t>109,945,610</w:t>
            </w:r>
          </w:p>
        </w:tc>
        <w:tc>
          <w:tcPr>
            <w:tcW w:w="567" w:type="dxa"/>
            <w:tcBorders>
              <w:top w:val="nil"/>
              <w:left w:val="nil"/>
              <w:bottom w:val="nil"/>
              <w:right w:val="nil"/>
            </w:tcBorders>
            <w:shd w:val="clear" w:color="auto" w:fill="auto"/>
            <w:noWrap/>
            <w:vAlign w:val="bottom"/>
            <w:hideMark/>
          </w:tcPr>
          <w:p w14:paraId="56BD5865" w14:textId="77777777" w:rsidR="00B37BAF" w:rsidRPr="00B148F9" w:rsidRDefault="00B37BAF" w:rsidP="00B37BAF">
            <w:pPr>
              <w:rPr>
                <w:rFonts w:cs="Arial"/>
                <w:highlight w:val="yellow"/>
                <w:lang w:eastAsia="en-GB"/>
              </w:rPr>
            </w:pPr>
          </w:p>
        </w:tc>
        <w:tc>
          <w:tcPr>
            <w:tcW w:w="1553" w:type="dxa"/>
            <w:tcBorders>
              <w:top w:val="single" w:sz="4" w:space="0" w:color="auto"/>
              <w:left w:val="nil"/>
              <w:bottom w:val="single" w:sz="4" w:space="0" w:color="auto"/>
              <w:right w:val="nil"/>
            </w:tcBorders>
            <w:shd w:val="clear" w:color="auto" w:fill="auto"/>
            <w:noWrap/>
            <w:vAlign w:val="bottom"/>
            <w:hideMark/>
          </w:tcPr>
          <w:p w14:paraId="38F4EDCA" w14:textId="06A59BD4" w:rsidR="00B37BAF" w:rsidRPr="00B148F9" w:rsidRDefault="00B37BAF" w:rsidP="00B37BAF">
            <w:pPr>
              <w:jc w:val="right"/>
              <w:rPr>
                <w:rFonts w:cs="Arial"/>
                <w:b/>
                <w:bCs/>
                <w:lang w:eastAsia="en-GB"/>
              </w:rPr>
            </w:pPr>
            <w:r w:rsidRPr="00B148F9">
              <w:rPr>
                <w:rFonts w:cs="Arial"/>
                <w:b/>
                <w:bCs/>
                <w:lang w:eastAsia="en-GB"/>
              </w:rPr>
              <w:t>-</w:t>
            </w:r>
          </w:p>
        </w:tc>
      </w:tr>
      <w:tr w:rsidR="00B37BAF" w:rsidRPr="00B148F9" w14:paraId="45FB697C" w14:textId="77777777" w:rsidTr="00B746FC">
        <w:trPr>
          <w:trHeight w:val="77"/>
        </w:trPr>
        <w:tc>
          <w:tcPr>
            <w:tcW w:w="4949" w:type="dxa"/>
            <w:tcBorders>
              <w:top w:val="nil"/>
              <w:left w:val="nil"/>
              <w:bottom w:val="nil"/>
              <w:right w:val="nil"/>
            </w:tcBorders>
            <w:shd w:val="clear" w:color="auto" w:fill="auto"/>
            <w:noWrap/>
            <w:vAlign w:val="bottom"/>
            <w:hideMark/>
          </w:tcPr>
          <w:p w14:paraId="3B67B97F" w14:textId="77777777" w:rsidR="00B37BAF" w:rsidRPr="00B148F9" w:rsidRDefault="00B37BAF" w:rsidP="00B37BAF">
            <w:pPr>
              <w:rPr>
                <w:rFonts w:cs="Arial"/>
                <w:lang w:eastAsia="en-GB"/>
              </w:rPr>
            </w:pPr>
          </w:p>
        </w:tc>
        <w:tc>
          <w:tcPr>
            <w:tcW w:w="737" w:type="dxa"/>
            <w:tcBorders>
              <w:top w:val="nil"/>
              <w:left w:val="nil"/>
              <w:bottom w:val="nil"/>
              <w:right w:val="nil"/>
            </w:tcBorders>
            <w:shd w:val="clear" w:color="auto" w:fill="auto"/>
            <w:noWrap/>
            <w:vAlign w:val="bottom"/>
            <w:hideMark/>
          </w:tcPr>
          <w:p w14:paraId="15441003" w14:textId="77777777" w:rsidR="00B37BAF" w:rsidRPr="00B148F9" w:rsidRDefault="00B37BAF" w:rsidP="00B37BAF">
            <w:pPr>
              <w:rPr>
                <w:rFonts w:cs="Arial"/>
                <w:lang w:eastAsia="en-GB"/>
              </w:rPr>
            </w:pPr>
          </w:p>
        </w:tc>
        <w:tc>
          <w:tcPr>
            <w:tcW w:w="561" w:type="dxa"/>
            <w:tcBorders>
              <w:left w:val="nil"/>
              <w:bottom w:val="nil"/>
              <w:right w:val="nil"/>
            </w:tcBorders>
          </w:tcPr>
          <w:p w14:paraId="2FDC1805" w14:textId="77777777" w:rsidR="00B37BAF" w:rsidRPr="00B148F9" w:rsidRDefault="00B37BAF" w:rsidP="00B37BAF">
            <w:pPr>
              <w:rPr>
                <w:rFonts w:cs="Arial"/>
                <w:highlight w:val="yellow"/>
                <w:lang w:eastAsia="en-GB"/>
              </w:rPr>
            </w:pPr>
          </w:p>
        </w:tc>
        <w:tc>
          <w:tcPr>
            <w:tcW w:w="1695" w:type="dxa"/>
            <w:tcBorders>
              <w:top w:val="nil"/>
              <w:left w:val="nil"/>
              <w:bottom w:val="nil"/>
              <w:right w:val="nil"/>
            </w:tcBorders>
            <w:shd w:val="clear" w:color="auto" w:fill="auto"/>
            <w:noWrap/>
            <w:vAlign w:val="bottom"/>
          </w:tcPr>
          <w:p w14:paraId="6F26F284" w14:textId="7899659C" w:rsidR="00B37BAF" w:rsidRPr="00B148F9" w:rsidRDefault="00B37BAF" w:rsidP="00B37BAF">
            <w:pPr>
              <w:rPr>
                <w:rFonts w:cs="Arial"/>
                <w:highlight w:val="yellow"/>
                <w:lang w:eastAsia="en-GB"/>
              </w:rPr>
            </w:pPr>
          </w:p>
        </w:tc>
        <w:tc>
          <w:tcPr>
            <w:tcW w:w="567" w:type="dxa"/>
            <w:tcBorders>
              <w:top w:val="nil"/>
              <w:left w:val="nil"/>
              <w:bottom w:val="nil"/>
              <w:right w:val="nil"/>
            </w:tcBorders>
            <w:shd w:val="clear" w:color="auto" w:fill="auto"/>
            <w:noWrap/>
            <w:vAlign w:val="bottom"/>
            <w:hideMark/>
          </w:tcPr>
          <w:p w14:paraId="4432B155"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67C9DBA0" w14:textId="77777777" w:rsidR="00B37BAF" w:rsidRPr="00B148F9" w:rsidRDefault="00B37BAF" w:rsidP="00B37BAF">
            <w:pPr>
              <w:rPr>
                <w:rFonts w:cs="Arial"/>
                <w:lang w:eastAsia="en-GB"/>
              </w:rPr>
            </w:pPr>
          </w:p>
        </w:tc>
      </w:tr>
      <w:tr w:rsidR="00B37BAF" w:rsidRPr="00B148F9" w14:paraId="5428AFCE" w14:textId="77777777" w:rsidTr="00B746FC">
        <w:trPr>
          <w:trHeight w:val="540"/>
        </w:trPr>
        <w:tc>
          <w:tcPr>
            <w:tcW w:w="4949" w:type="dxa"/>
            <w:tcBorders>
              <w:top w:val="nil"/>
              <w:left w:val="nil"/>
              <w:bottom w:val="nil"/>
              <w:right w:val="nil"/>
            </w:tcBorders>
            <w:shd w:val="clear" w:color="auto" w:fill="auto"/>
            <w:vAlign w:val="bottom"/>
            <w:hideMark/>
          </w:tcPr>
          <w:p w14:paraId="590A8426" w14:textId="7B54E4E4" w:rsidR="00B37BAF" w:rsidRPr="00B148F9" w:rsidRDefault="00B37BAF" w:rsidP="00B37BAF">
            <w:pPr>
              <w:rPr>
                <w:rFonts w:cs="Arial"/>
                <w:lang w:eastAsia="en-GB"/>
              </w:rPr>
            </w:pPr>
            <w:r w:rsidRPr="00B148F9">
              <w:rPr>
                <w:rFonts w:cs="Arial"/>
                <w:lang w:eastAsia="en-GB"/>
              </w:rPr>
              <w:t>Net change in cash and cash equivalents (including restricted cash)</w:t>
            </w:r>
          </w:p>
        </w:tc>
        <w:tc>
          <w:tcPr>
            <w:tcW w:w="737" w:type="dxa"/>
            <w:tcBorders>
              <w:top w:val="nil"/>
              <w:left w:val="nil"/>
              <w:bottom w:val="nil"/>
              <w:right w:val="nil"/>
            </w:tcBorders>
            <w:shd w:val="clear" w:color="auto" w:fill="auto"/>
            <w:noWrap/>
            <w:vAlign w:val="bottom"/>
            <w:hideMark/>
          </w:tcPr>
          <w:p w14:paraId="037C984D"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6B81C0A7" w14:textId="77777777" w:rsidR="00B37BAF" w:rsidRPr="00B148F9" w:rsidRDefault="00B37BAF" w:rsidP="00B37BAF">
            <w:pPr>
              <w:jc w:val="right"/>
              <w:rPr>
                <w:rFonts w:cs="Arial"/>
                <w:highlight w:val="yellow"/>
                <w:lang w:eastAsia="en-GB"/>
              </w:rPr>
            </w:pPr>
          </w:p>
        </w:tc>
        <w:tc>
          <w:tcPr>
            <w:tcW w:w="1695" w:type="dxa"/>
            <w:tcBorders>
              <w:top w:val="nil"/>
              <w:left w:val="nil"/>
              <w:bottom w:val="nil"/>
              <w:right w:val="nil"/>
            </w:tcBorders>
            <w:shd w:val="clear" w:color="auto" w:fill="auto"/>
            <w:noWrap/>
            <w:vAlign w:val="bottom"/>
          </w:tcPr>
          <w:p w14:paraId="5DEB6410" w14:textId="6267A892" w:rsidR="00B37BAF" w:rsidRPr="00B148F9" w:rsidRDefault="00B37BAF" w:rsidP="00B37BAF">
            <w:pPr>
              <w:jc w:val="right"/>
              <w:rPr>
                <w:rFonts w:cs="Arial"/>
                <w:highlight w:val="yellow"/>
                <w:lang w:eastAsia="en-GB"/>
              </w:rPr>
            </w:pPr>
            <w:r w:rsidRPr="00B148F9">
              <w:rPr>
                <w:rFonts w:cs="Arial"/>
                <w:lang w:eastAsia="en-GB"/>
              </w:rPr>
              <w:t>43,783,744</w:t>
            </w:r>
          </w:p>
        </w:tc>
        <w:tc>
          <w:tcPr>
            <w:tcW w:w="567" w:type="dxa"/>
            <w:tcBorders>
              <w:top w:val="nil"/>
              <w:left w:val="nil"/>
              <w:bottom w:val="nil"/>
              <w:right w:val="nil"/>
            </w:tcBorders>
            <w:shd w:val="clear" w:color="auto" w:fill="auto"/>
            <w:noWrap/>
            <w:vAlign w:val="bottom"/>
            <w:hideMark/>
          </w:tcPr>
          <w:p w14:paraId="2A6AAC74"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5966B488" w14:textId="3DBAC683" w:rsidR="00B37BAF" w:rsidRPr="00B148F9" w:rsidRDefault="00B37BAF" w:rsidP="00B37BAF">
            <w:pPr>
              <w:jc w:val="right"/>
              <w:rPr>
                <w:rFonts w:cs="Arial"/>
                <w:lang w:eastAsia="en-GB"/>
              </w:rPr>
            </w:pPr>
            <w:r w:rsidRPr="00B148F9">
              <w:rPr>
                <w:rFonts w:cs="Arial"/>
                <w:lang w:eastAsia="en-GB"/>
              </w:rPr>
              <w:t>(44,283)</w:t>
            </w:r>
          </w:p>
        </w:tc>
      </w:tr>
      <w:tr w:rsidR="00B37BAF" w:rsidRPr="00B148F9" w14:paraId="15D2A789" w14:textId="77777777" w:rsidTr="00B746FC">
        <w:trPr>
          <w:trHeight w:val="540"/>
        </w:trPr>
        <w:tc>
          <w:tcPr>
            <w:tcW w:w="4949" w:type="dxa"/>
            <w:tcBorders>
              <w:top w:val="nil"/>
              <w:left w:val="nil"/>
              <w:bottom w:val="nil"/>
              <w:right w:val="nil"/>
            </w:tcBorders>
            <w:shd w:val="clear" w:color="auto" w:fill="auto"/>
            <w:vAlign w:val="bottom"/>
            <w:hideMark/>
          </w:tcPr>
          <w:p w14:paraId="37ED48FA" w14:textId="25486A5C" w:rsidR="00B37BAF" w:rsidRPr="00B148F9" w:rsidRDefault="00B37BAF" w:rsidP="00B37BAF">
            <w:pPr>
              <w:rPr>
                <w:rFonts w:cs="Arial"/>
                <w:b/>
                <w:lang w:eastAsia="en-GB"/>
              </w:rPr>
            </w:pPr>
            <w:r w:rsidRPr="00B148F9">
              <w:rPr>
                <w:rFonts w:cs="Arial"/>
                <w:b/>
                <w:lang w:eastAsia="en-GB"/>
              </w:rPr>
              <w:t>Cash and cash equivalents (including restricted cash), beginning of the year</w:t>
            </w:r>
          </w:p>
        </w:tc>
        <w:tc>
          <w:tcPr>
            <w:tcW w:w="737" w:type="dxa"/>
            <w:tcBorders>
              <w:top w:val="nil"/>
              <w:left w:val="nil"/>
              <w:bottom w:val="nil"/>
              <w:right w:val="nil"/>
            </w:tcBorders>
            <w:shd w:val="clear" w:color="auto" w:fill="auto"/>
            <w:noWrap/>
            <w:vAlign w:val="bottom"/>
            <w:hideMark/>
          </w:tcPr>
          <w:p w14:paraId="2515822D"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0D01531D" w14:textId="77777777" w:rsidR="00B37BAF" w:rsidRPr="00B148F9" w:rsidRDefault="00B37BAF" w:rsidP="00B37BAF">
            <w:pPr>
              <w:jc w:val="right"/>
              <w:rPr>
                <w:rFonts w:cs="Arial"/>
                <w:lang w:eastAsia="en-GB"/>
              </w:rPr>
            </w:pPr>
          </w:p>
        </w:tc>
        <w:tc>
          <w:tcPr>
            <w:tcW w:w="1695" w:type="dxa"/>
            <w:tcBorders>
              <w:top w:val="nil"/>
              <w:left w:val="nil"/>
              <w:bottom w:val="nil"/>
              <w:right w:val="nil"/>
            </w:tcBorders>
            <w:shd w:val="clear" w:color="auto" w:fill="auto"/>
            <w:noWrap/>
            <w:vAlign w:val="bottom"/>
          </w:tcPr>
          <w:p w14:paraId="452FCCA4" w14:textId="6BC8AF7E" w:rsidR="00B37BAF" w:rsidRPr="00B148F9" w:rsidRDefault="00B37BAF" w:rsidP="00B37BAF">
            <w:pPr>
              <w:jc w:val="right"/>
              <w:rPr>
                <w:rFonts w:cs="Arial"/>
                <w:highlight w:val="yellow"/>
                <w:lang w:eastAsia="en-GB"/>
              </w:rPr>
            </w:pPr>
            <w:r w:rsidRPr="00B148F9">
              <w:rPr>
                <w:rFonts w:cs="Arial"/>
                <w:lang w:eastAsia="en-GB"/>
              </w:rPr>
              <w:t>31,324</w:t>
            </w:r>
          </w:p>
        </w:tc>
        <w:tc>
          <w:tcPr>
            <w:tcW w:w="567" w:type="dxa"/>
            <w:tcBorders>
              <w:top w:val="nil"/>
              <w:left w:val="nil"/>
              <w:bottom w:val="nil"/>
              <w:right w:val="nil"/>
            </w:tcBorders>
            <w:shd w:val="clear" w:color="auto" w:fill="auto"/>
            <w:noWrap/>
            <w:vAlign w:val="bottom"/>
            <w:hideMark/>
          </w:tcPr>
          <w:p w14:paraId="55CA96AE" w14:textId="77777777" w:rsidR="00B37BAF" w:rsidRPr="00B148F9" w:rsidRDefault="00B37BAF" w:rsidP="00B37BAF">
            <w:pPr>
              <w:rPr>
                <w:rFonts w:cs="Arial"/>
                <w:highlight w:val="yellow"/>
                <w:lang w:eastAsia="en-GB"/>
              </w:rPr>
            </w:pPr>
          </w:p>
        </w:tc>
        <w:tc>
          <w:tcPr>
            <w:tcW w:w="1553" w:type="dxa"/>
            <w:tcBorders>
              <w:top w:val="nil"/>
              <w:left w:val="nil"/>
              <w:bottom w:val="nil"/>
              <w:right w:val="nil"/>
            </w:tcBorders>
            <w:shd w:val="clear" w:color="auto" w:fill="auto"/>
            <w:noWrap/>
            <w:vAlign w:val="bottom"/>
            <w:hideMark/>
          </w:tcPr>
          <w:p w14:paraId="580368A7" w14:textId="3C12D94B" w:rsidR="00B37BAF" w:rsidRPr="00B148F9" w:rsidRDefault="00B37BAF" w:rsidP="00B37BAF">
            <w:pPr>
              <w:jc w:val="right"/>
              <w:rPr>
                <w:rFonts w:cs="Arial"/>
                <w:lang w:eastAsia="en-GB"/>
              </w:rPr>
            </w:pPr>
            <w:r w:rsidRPr="00B148F9">
              <w:rPr>
                <w:rFonts w:cs="Arial"/>
                <w:lang w:eastAsia="en-GB"/>
              </w:rPr>
              <w:t>75,607</w:t>
            </w:r>
          </w:p>
        </w:tc>
      </w:tr>
      <w:tr w:rsidR="00B37BAF" w:rsidRPr="00B148F9" w14:paraId="59CB5AEF" w14:textId="77777777" w:rsidTr="00B746FC">
        <w:trPr>
          <w:trHeight w:val="149"/>
        </w:trPr>
        <w:tc>
          <w:tcPr>
            <w:tcW w:w="4949" w:type="dxa"/>
            <w:tcBorders>
              <w:top w:val="nil"/>
              <w:left w:val="nil"/>
              <w:bottom w:val="nil"/>
              <w:right w:val="nil"/>
            </w:tcBorders>
            <w:shd w:val="clear" w:color="auto" w:fill="auto"/>
            <w:noWrap/>
            <w:vAlign w:val="bottom"/>
            <w:hideMark/>
          </w:tcPr>
          <w:p w14:paraId="4D71F694" w14:textId="77777777" w:rsidR="00B37BAF" w:rsidRPr="00B148F9" w:rsidRDefault="00B37BAF" w:rsidP="00B37BAF">
            <w:pPr>
              <w:rPr>
                <w:rFonts w:cs="Arial"/>
                <w:lang w:eastAsia="en-GB"/>
              </w:rPr>
            </w:pPr>
          </w:p>
        </w:tc>
        <w:tc>
          <w:tcPr>
            <w:tcW w:w="737" w:type="dxa"/>
            <w:tcBorders>
              <w:top w:val="nil"/>
              <w:left w:val="nil"/>
              <w:bottom w:val="nil"/>
              <w:right w:val="nil"/>
            </w:tcBorders>
            <w:shd w:val="clear" w:color="auto" w:fill="auto"/>
            <w:noWrap/>
            <w:vAlign w:val="bottom"/>
            <w:hideMark/>
          </w:tcPr>
          <w:p w14:paraId="280D745E" w14:textId="77777777" w:rsidR="00B37BAF" w:rsidRPr="00B148F9" w:rsidRDefault="00B37BAF" w:rsidP="00B37BAF">
            <w:pPr>
              <w:rPr>
                <w:rFonts w:cs="Arial"/>
                <w:lang w:eastAsia="en-GB"/>
              </w:rPr>
            </w:pPr>
          </w:p>
        </w:tc>
        <w:tc>
          <w:tcPr>
            <w:tcW w:w="561" w:type="dxa"/>
            <w:tcBorders>
              <w:top w:val="nil"/>
              <w:left w:val="nil"/>
              <w:right w:val="nil"/>
            </w:tcBorders>
          </w:tcPr>
          <w:p w14:paraId="138BE075" w14:textId="77777777" w:rsidR="00B37BAF" w:rsidRPr="00B148F9" w:rsidRDefault="00B37BAF" w:rsidP="00B37BAF">
            <w:pPr>
              <w:rPr>
                <w:rFonts w:cs="Arial"/>
                <w:highlight w:val="yellow"/>
                <w:lang w:eastAsia="en-GB"/>
              </w:rPr>
            </w:pPr>
          </w:p>
        </w:tc>
        <w:tc>
          <w:tcPr>
            <w:tcW w:w="1695" w:type="dxa"/>
            <w:tcBorders>
              <w:top w:val="nil"/>
              <w:left w:val="nil"/>
              <w:bottom w:val="single" w:sz="4" w:space="0" w:color="auto"/>
              <w:right w:val="nil"/>
            </w:tcBorders>
            <w:shd w:val="clear" w:color="auto" w:fill="auto"/>
            <w:noWrap/>
            <w:vAlign w:val="bottom"/>
          </w:tcPr>
          <w:p w14:paraId="27360381" w14:textId="06DE2707" w:rsidR="00B37BAF" w:rsidRPr="00B148F9" w:rsidRDefault="00B37BAF" w:rsidP="00B37BAF">
            <w:pPr>
              <w:rPr>
                <w:rFonts w:cs="Arial"/>
                <w:highlight w:val="yellow"/>
                <w:lang w:eastAsia="en-GB"/>
              </w:rPr>
            </w:pPr>
          </w:p>
        </w:tc>
        <w:tc>
          <w:tcPr>
            <w:tcW w:w="567" w:type="dxa"/>
            <w:tcBorders>
              <w:top w:val="nil"/>
              <w:left w:val="nil"/>
              <w:bottom w:val="nil"/>
              <w:right w:val="nil"/>
            </w:tcBorders>
            <w:shd w:val="clear" w:color="auto" w:fill="auto"/>
            <w:noWrap/>
            <w:vAlign w:val="bottom"/>
            <w:hideMark/>
          </w:tcPr>
          <w:p w14:paraId="5E313F08" w14:textId="77777777" w:rsidR="00B37BAF" w:rsidRPr="00B148F9" w:rsidRDefault="00B37BAF" w:rsidP="00B37BAF">
            <w:pPr>
              <w:rPr>
                <w:rFonts w:cs="Arial"/>
                <w:highlight w:val="yellow"/>
                <w:lang w:eastAsia="en-GB"/>
              </w:rPr>
            </w:pPr>
          </w:p>
        </w:tc>
        <w:tc>
          <w:tcPr>
            <w:tcW w:w="1553" w:type="dxa"/>
            <w:tcBorders>
              <w:top w:val="nil"/>
              <w:left w:val="nil"/>
              <w:bottom w:val="single" w:sz="4" w:space="0" w:color="auto"/>
              <w:right w:val="nil"/>
            </w:tcBorders>
            <w:shd w:val="clear" w:color="auto" w:fill="auto"/>
            <w:noWrap/>
            <w:vAlign w:val="bottom"/>
            <w:hideMark/>
          </w:tcPr>
          <w:p w14:paraId="224C0793" w14:textId="77777777" w:rsidR="00B37BAF" w:rsidRPr="00B148F9" w:rsidRDefault="00B37BAF" w:rsidP="00B37BAF">
            <w:pPr>
              <w:rPr>
                <w:rFonts w:cs="Arial"/>
                <w:lang w:eastAsia="en-GB"/>
              </w:rPr>
            </w:pPr>
          </w:p>
        </w:tc>
      </w:tr>
      <w:tr w:rsidR="00B37BAF" w:rsidRPr="00B148F9" w14:paraId="3B660083" w14:textId="77777777" w:rsidTr="00B746FC">
        <w:trPr>
          <w:trHeight w:val="540"/>
        </w:trPr>
        <w:tc>
          <w:tcPr>
            <w:tcW w:w="4949" w:type="dxa"/>
            <w:tcBorders>
              <w:top w:val="nil"/>
              <w:left w:val="nil"/>
              <w:bottom w:val="nil"/>
              <w:right w:val="nil"/>
            </w:tcBorders>
            <w:shd w:val="clear" w:color="auto" w:fill="auto"/>
            <w:vAlign w:val="bottom"/>
            <w:hideMark/>
          </w:tcPr>
          <w:p w14:paraId="696C5611" w14:textId="6EBC9B55" w:rsidR="00B37BAF" w:rsidRPr="00B148F9" w:rsidRDefault="00B37BAF" w:rsidP="00B37BAF">
            <w:pPr>
              <w:rPr>
                <w:rFonts w:cs="Arial"/>
                <w:b/>
                <w:bCs/>
                <w:lang w:eastAsia="en-GB"/>
              </w:rPr>
            </w:pPr>
            <w:r w:rsidRPr="00B148F9">
              <w:rPr>
                <w:rFonts w:cs="Arial"/>
                <w:b/>
                <w:bCs/>
                <w:lang w:eastAsia="en-GB"/>
              </w:rPr>
              <w:t>Cash and cash equivalents (including restricted cash), end of the year</w:t>
            </w:r>
          </w:p>
        </w:tc>
        <w:tc>
          <w:tcPr>
            <w:tcW w:w="737" w:type="dxa"/>
            <w:tcBorders>
              <w:top w:val="nil"/>
              <w:left w:val="nil"/>
              <w:bottom w:val="nil"/>
              <w:right w:val="nil"/>
            </w:tcBorders>
            <w:shd w:val="clear" w:color="auto" w:fill="auto"/>
            <w:noWrap/>
            <w:vAlign w:val="bottom"/>
            <w:hideMark/>
          </w:tcPr>
          <w:p w14:paraId="7C2EC2CF" w14:textId="77777777" w:rsidR="00B37BAF" w:rsidRPr="00B148F9" w:rsidRDefault="00B37BAF" w:rsidP="00B37BAF">
            <w:pPr>
              <w:rPr>
                <w:rFonts w:cs="Arial"/>
                <w:lang w:eastAsia="en-GB"/>
              </w:rPr>
            </w:pPr>
          </w:p>
        </w:tc>
        <w:tc>
          <w:tcPr>
            <w:tcW w:w="561" w:type="dxa"/>
            <w:tcBorders>
              <w:top w:val="nil"/>
              <w:left w:val="nil"/>
              <w:right w:val="nil"/>
            </w:tcBorders>
            <w:vAlign w:val="bottom"/>
          </w:tcPr>
          <w:p w14:paraId="30257238" w14:textId="0F0995CD" w:rsidR="00B37BAF" w:rsidRPr="00B148F9" w:rsidRDefault="00B37BAF" w:rsidP="00B37BAF">
            <w:pPr>
              <w:jc w:val="right"/>
              <w:rPr>
                <w:rFonts w:cs="Arial"/>
                <w:b/>
                <w:bCs/>
                <w:highlight w:val="yellow"/>
                <w:lang w:eastAsia="en-GB"/>
              </w:rPr>
            </w:pPr>
            <w:r w:rsidRPr="00B148F9">
              <w:rPr>
                <w:rFonts w:cs="Arial"/>
                <w:b/>
                <w:bCs/>
                <w:lang w:eastAsia="en-GB"/>
              </w:rPr>
              <w:t>US$</w:t>
            </w:r>
          </w:p>
        </w:tc>
        <w:tc>
          <w:tcPr>
            <w:tcW w:w="1695" w:type="dxa"/>
            <w:tcBorders>
              <w:top w:val="nil"/>
              <w:left w:val="nil"/>
              <w:right w:val="nil"/>
            </w:tcBorders>
            <w:shd w:val="clear" w:color="auto" w:fill="auto"/>
            <w:noWrap/>
            <w:vAlign w:val="bottom"/>
          </w:tcPr>
          <w:p w14:paraId="28F469F9" w14:textId="29872642" w:rsidR="00B37BAF" w:rsidRPr="00B148F9" w:rsidRDefault="00B37BAF" w:rsidP="00B37BAF">
            <w:pPr>
              <w:jc w:val="right"/>
              <w:rPr>
                <w:rFonts w:cs="Arial"/>
                <w:b/>
                <w:bCs/>
                <w:highlight w:val="yellow"/>
                <w:lang w:eastAsia="en-GB"/>
              </w:rPr>
            </w:pPr>
            <w:r w:rsidRPr="00B148F9">
              <w:rPr>
                <w:b/>
              </w:rPr>
              <w:t>43,815,068</w:t>
            </w:r>
          </w:p>
        </w:tc>
        <w:tc>
          <w:tcPr>
            <w:tcW w:w="567" w:type="dxa"/>
            <w:tcBorders>
              <w:top w:val="nil"/>
              <w:left w:val="nil"/>
              <w:right w:val="nil"/>
            </w:tcBorders>
            <w:shd w:val="clear" w:color="auto" w:fill="auto"/>
            <w:noWrap/>
            <w:vAlign w:val="bottom"/>
            <w:hideMark/>
          </w:tcPr>
          <w:p w14:paraId="43924927" w14:textId="68C3D9FD" w:rsidR="00B37BAF" w:rsidRPr="00B148F9" w:rsidRDefault="00B37BAF" w:rsidP="00B37BAF">
            <w:pPr>
              <w:jc w:val="right"/>
              <w:rPr>
                <w:rFonts w:cs="Arial"/>
                <w:b/>
                <w:bCs/>
                <w:highlight w:val="yellow"/>
                <w:lang w:eastAsia="en-GB"/>
              </w:rPr>
            </w:pPr>
            <w:r w:rsidRPr="00B148F9">
              <w:rPr>
                <w:rFonts w:cs="Arial"/>
                <w:b/>
                <w:bCs/>
                <w:lang w:eastAsia="en-GB"/>
              </w:rPr>
              <w:t>US$</w:t>
            </w:r>
          </w:p>
        </w:tc>
        <w:tc>
          <w:tcPr>
            <w:tcW w:w="1553" w:type="dxa"/>
            <w:tcBorders>
              <w:top w:val="nil"/>
              <w:left w:val="nil"/>
              <w:right w:val="nil"/>
            </w:tcBorders>
            <w:shd w:val="clear" w:color="auto" w:fill="auto"/>
            <w:noWrap/>
            <w:vAlign w:val="bottom"/>
            <w:hideMark/>
          </w:tcPr>
          <w:p w14:paraId="5E0D32E2" w14:textId="4C3DA315" w:rsidR="00B37BAF" w:rsidRPr="00B148F9" w:rsidRDefault="00B37BAF" w:rsidP="00B37BAF">
            <w:pPr>
              <w:jc w:val="right"/>
              <w:rPr>
                <w:rFonts w:cs="Arial"/>
                <w:b/>
                <w:bCs/>
                <w:lang w:eastAsia="en-GB"/>
              </w:rPr>
            </w:pPr>
            <w:r w:rsidRPr="00B148F9">
              <w:rPr>
                <w:rFonts w:cs="Arial"/>
                <w:b/>
                <w:bCs/>
                <w:lang w:eastAsia="en-GB"/>
              </w:rPr>
              <w:t>31,324</w:t>
            </w:r>
          </w:p>
        </w:tc>
      </w:tr>
      <w:tr w:rsidR="00B37BAF" w:rsidRPr="00B148F9" w14:paraId="08BB9984" w14:textId="77777777" w:rsidTr="00B746FC">
        <w:trPr>
          <w:trHeight w:val="87"/>
        </w:trPr>
        <w:tc>
          <w:tcPr>
            <w:tcW w:w="4949" w:type="dxa"/>
            <w:tcBorders>
              <w:top w:val="nil"/>
              <w:left w:val="nil"/>
              <w:bottom w:val="nil"/>
              <w:right w:val="nil"/>
            </w:tcBorders>
            <w:shd w:val="clear" w:color="auto" w:fill="auto"/>
            <w:vAlign w:val="bottom"/>
          </w:tcPr>
          <w:p w14:paraId="30E25470" w14:textId="77777777" w:rsidR="00B37BAF" w:rsidRPr="00B148F9" w:rsidRDefault="00B37BAF" w:rsidP="00B37BAF">
            <w:pPr>
              <w:rPr>
                <w:rFonts w:cs="Arial"/>
                <w:b/>
                <w:bCs/>
                <w:lang w:eastAsia="en-GB"/>
              </w:rPr>
            </w:pPr>
          </w:p>
        </w:tc>
        <w:tc>
          <w:tcPr>
            <w:tcW w:w="737" w:type="dxa"/>
            <w:tcBorders>
              <w:top w:val="nil"/>
              <w:left w:val="nil"/>
              <w:bottom w:val="nil"/>
              <w:right w:val="nil"/>
            </w:tcBorders>
            <w:shd w:val="clear" w:color="auto" w:fill="auto"/>
            <w:noWrap/>
            <w:vAlign w:val="bottom"/>
          </w:tcPr>
          <w:p w14:paraId="75CE112B"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15A791C1" w14:textId="77777777" w:rsidR="00B37BAF" w:rsidRPr="00B148F9" w:rsidRDefault="00B37BAF" w:rsidP="00B37BAF">
            <w:pPr>
              <w:jc w:val="right"/>
              <w:rPr>
                <w:rFonts w:cs="Arial"/>
                <w:b/>
                <w:bCs/>
                <w:lang w:eastAsia="en-GB"/>
              </w:rPr>
            </w:pPr>
          </w:p>
        </w:tc>
        <w:tc>
          <w:tcPr>
            <w:tcW w:w="1695" w:type="dxa"/>
            <w:tcBorders>
              <w:top w:val="nil"/>
              <w:left w:val="nil"/>
              <w:bottom w:val="nil"/>
              <w:right w:val="nil"/>
            </w:tcBorders>
            <w:shd w:val="clear" w:color="auto" w:fill="auto"/>
            <w:noWrap/>
            <w:vAlign w:val="bottom"/>
          </w:tcPr>
          <w:p w14:paraId="7D759F92" w14:textId="279B8E1C" w:rsidR="00B37BAF" w:rsidRPr="00B148F9" w:rsidRDefault="00B37BAF" w:rsidP="00B37BAF">
            <w:pPr>
              <w:jc w:val="right"/>
              <w:rPr>
                <w:rFonts w:cs="Arial"/>
                <w:b/>
                <w:bCs/>
                <w:lang w:eastAsia="en-GB"/>
              </w:rPr>
            </w:pPr>
          </w:p>
        </w:tc>
        <w:tc>
          <w:tcPr>
            <w:tcW w:w="567" w:type="dxa"/>
            <w:tcBorders>
              <w:top w:val="nil"/>
              <w:left w:val="nil"/>
              <w:bottom w:val="nil"/>
              <w:right w:val="nil"/>
            </w:tcBorders>
            <w:shd w:val="clear" w:color="auto" w:fill="auto"/>
            <w:noWrap/>
            <w:vAlign w:val="bottom"/>
          </w:tcPr>
          <w:p w14:paraId="2477951C" w14:textId="77777777" w:rsidR="00B37BAF" w:rsidRPr="00B148F9" w:rsidRDefault="00B37BAF" w:rsidP="00B37BAF">
            <w:pPr>
              <w:rPr>
                <w:rFonts w:cs="Arial"/>
                <w:lang w:eastAsia="en-GB"/>
              </w:rPr>
            </w:pPr>
          </w:p>
        </w:tc>
        <w:tc>
          <w:tcPr>
            <w:tcW w:w="1553" w:type="dxa"/>
            <w:tcBorders>
              <w:top w:val="nil"/>
              <w:left w:val="nil"/>
              <w:bottom w:val="nil"/>
              <w:right w:val="nil"/>
            </w:tcBorders>
            <w:shd w:val="clear" w:color="auto" w:fill="auto"/>
            <w:noWrap/>
            <w:vAlign w:val="bottom"/>
          </w:tcPr>
          <w:p w14:paraId="1AA00A66" w14:textId="77777777" w:rsidR="00B37BAF" w:rsidRPr="00B148F9" w:rsidRDefault="00B37BAF" w:rsidP="00B37BAF">
            <w:pPr>
              <w:jc w:val="right"/>
              <w:rPr>
                <w:rFonts w:cs="Arial"/>
                <w:b/>
                <w:bCs/>
                <w:lang w:eastAsia="en-GB"/>
              </w:rPr>
            </w:pPr>
          </w:p>
        </w:tc>
      </w:tr>
      <w:tr w:rsidR="00B37BAF" w:rsidRPr="00B148F9" w14:paraId="3127D42B" w14:textId="77777777" w:rsidTr="00B746FC">
        <w:trPr>
          <w:trHeight w:val="567"/>
        </w:trPr>
        <w:tc>
          <w:tcPr>
            <w:tcW w:w="10062" w:type="dxa"/>
            <w:gridSpan w:val="6"/>
            <w:tcBorders>
              <w:top w:val="nil"/>
              <w:left w:val="nil"/>
              <w:bottom w:val="nil"/>
              <w:right w:val="nil"/>
            </w:tcBorders>
            <w:shd w:val="clear" w:color="auto" w:fill="auto"/>
            <w:vAlign w:val="center"/>
          </w:tcPr>
          <w:p w14:paraId="798652EA" w14:textId="229F0015" w:rsidR="00B37BAF" w:rsidRPr="00B148F9" w:rsidRDefault="00B37BAF" w:rsidP="00B37BAF">
            <w:pPr>
              <w:jc w:val="left"/>
              <w:rPr>
                <w:rFonts w:cs="Arial"/>
                <w:bCs/>
                <w:lang w:eastAsia="en-GB"/>
              </w:rPr>
            </w:pPr>
            <w:r w:rsidRPr="00B148F9">
              <w:rPr>
                <w:rFonts w:cs="Arial"/>
                <w:bCs/>
                <w:lang w:eastAsia="en-GB"/>
              </w:rPr>
              <w:t>At 31 December 2019 the amounts included in cash and cash equivalents (including restricted cash) include the following:</w:t>
            </w:r>
          </w:p>
        </w:tc>
      </w:tr>
      <w:tr w:rsidR="00B37BAF" w:rsidRPr="00B148F9" w14:paraId="7FCDA094" w14:textId="77777777" w:rsidTr="00B746FC">
        <w:trPr>
          <w:trHeight w:val="87"/>
        </w:trPr>
        <w:tc>
          <w:tcPr>
            <w:tcW w:w="4949" w:type="dxa"/>
            <w:tcBorders>
              <w:top w:val="nil"/>
              <w:left w:val="nil"/>
              <w:bottom w:val="nil"/>
              <w:right w:val="nil"/>
            </w:tcBorders>
            <w:shd w:val="clear" w:color="auto" w:fill="auto"/>
            <w:vAlign w:val="bottom"/>
          </w:tcPr>
          <w:p w14:paraId="3EAD91F6" w14:textId="1DB1BE21" w:rsidR="00B37BAF" w:rsidRPr="00B148F9" w:rsidRDefault="00B37BAF" w:rsidP="00B37BAF">
            <w:pPr>
              <w:ind w:left="216"/>
              <w:rPr>
                <w:rFonts w:cs="Arial"/>
                <w:bCs/>
                <w:lang w:eastAsia="en-GB"/>
              </w:rPr>
            </w:pPr>
            <w:r w:rsidRPr="00B148F9">
              <w:rPr>
                <w:rFonts w:cs="Arial"/>
                <w:bCs/>
                <w:lang w:eastAsia="en-GB"/>
              </w:rPr>
              <w:t>Cash and cash equivalents</w:t>
            </w:r>
          </w:p>
        </w:tc>
        <w:tc>
          <w:tcPr>
            <w:tcW w:w="737" w:type="dxa"/>
            <w:tcBorders>
              <w:top w:val="nil"/>
              <w:left w:val="nil"/>
              <w:bottom w:val="nil"/>
              <w:right w:val="nil"/>
            </w:tcBorders>
            <w:shd w:val="clear" w:color="auto" w:fill="auto"/>
            <w:noWrap/>
            <w:vAlign w:val="bottom"/>
          </w:tcPr>
          <w:p w14:paraId="23C55958" w14:textId="77777777" w:rsidR="00B37BAF" w:rsidRPr="00B148F9" w:rsidRDefault="00B37BAF" w:rsidP="00B37BAF">
            <w:pPr>
              <w:rPr>
                <w:rFonts w:cs="Arial"/>
                <w:lang w:eastAsia="en-GB"/>
              </w:rPr>
            </w:pPr>
          </w:p>
        </w:tc>
        <w:tc>
          <w:tcPr>
            <w:tcW w:w="561" w:type="dxa"/>
            <w:tcBorders>
              <w:top w:val="nil"/>
              <w:left w:val="nil"/>
              <w:bottom w:val="nil"/>
              <w:right w:val="nil"/>
            </w:tcBorders>
            <w:vAlign w:val="bottom"/>
          </w:tcPr>
          <w:p w14:paraId="650149AD" w14:textId="427ADCDE" w:rsidR="00B37BAF" w:rsidRPr="00B148F9" w:rsidRDefault="00B37BAF" w:rsidP="00B37BAF">
            <w:pPr>
              <w:jc w:val="right"/>
              <w:rPr>
                <w:rFonts w:cs="Arial"/>
                <w:bCs/>
                <w:lang w:eastAsia="en-GB"/>
              </w:rPr>
            </w:pPr>
            <w:r w:rsidRPr="00B148F9">
              <w:rPr>
                <w:rFonts w:cs="Arial"/>
                <w:bCs/>
                <w:lang w:eastAsia="en-GB"/>
              </w:rPr>
              <w:t>US$</w:t>
            </w:r>
          </w:p>
        </w:tc>
        <w:tc>
          <w:tcPr>
            <w:tcW w:w="1695" w:type="dxa"/>
            <w:tcBorders>
              <w:top w:val="nil"/>
              <w:left w:val="nil"/>
              <w:bottom w:val="nil"/>
              <w:right w:val="nil"/>
            </w:tcBorders>
            <w:shd w:val="clear" w:color="auto" w:fill="auto"/>
            <w:noWrap/>
            <w:vAlign w:val="bottom"/>
          </w:tcPr>
          <w:p w14:paraId="7D746156" w14:textId="0D34D3A1" w:rsidR="00B37BAF" w:rsidRPr="00B148F9" w:rsidRDefault="00B37BAF" w:rsidP="00B37BAF">
            <w:pPr>
              <w:jc w:val="right"/>
              <w:rPr>
                <w:rFonts w:cs="Arial"/>
                <w:bCs/>
                <w:lang w:eastAsia="en-GB"/>
              </w:rPr>
            </w:pPr>
            <w:r w:rsidRPr="00B148F9">
              <w:rPr>
                <w:rFonts w:cs="Arial"/>
                <w:bCs/>
                <w:lang w:eastAsia="en-GB"/>
              </w:rPr>
              <w:t>10,731,354</w:t>
            </w:r>
          </w:p>
        </w:tc>
        <w:tc>
          <w:tcPr>
            <w:tcW w:w="567" w:type="dxa"/>
            <w:tcBorders>
              <w:top w:val="nil"/>
              <w:left w:val="nil"/>
              <w:bottom w:val="nil"/>
              <w:right w:val="nil"/>
            </w:tcBorders>
            <w:shd w:val="clear" w:color="auto" w:fill="auto"/>
            <w:noWrap/>
            <w:vAlign w:val="bottom"/>
          </w:tcPr>
          <w:p w14:paraId="74C72B3B" w14:textId="59C26C73" w:rsidR="00B37BAF" w:rsidRPr="00B148F9" w:rsidRDefault="00B37BAF" w:rsidP="00B37BAF">
            <w:pPr>
              <w:jc w:val="right"/>
              <w:rPr>
                <w:rFonts w:cs="Arial"/>
                <w:lang w:eastAsia="en-GB"/>
              </w:rPr>
            </w:pPr>
            <w:r w:rsidRPr="00B148F9">
              <w:rPr>
                <w:rFonts w:cs="Arial"/>
                <w:lang w:eastAsia="en-GB"/>
              </w:rPr>
              <w:t>US$</w:t>
            </w:r>
          </w:p>
        </w:tc>
        <w:tc>
          <w:tcPr>
            <w:tcW w:w="1553" w:type="dxa"/>
            <w:tcBorders>
              <w:top w:val="nil"/>
              <w:left w:val="nil"/>
              <w:bottom w:val="nil"/>
              <w:right w:val="nil"/>
            </w:tcBorders>
            <w:shd w:val="clear" w:color="auto" w:fill="auto"/>
            <w:noWrap/>
            <w:vAlign w:val="bottom"/>
          </w:tcPr>
          <w:p w14:paraId="17D2748A" w14:textId="5CD4D1BA" w:rsidR="00B37BAF" w:rsidRPr="00B148F9" w:rsidRDefault="00B37BAF" w:rsidP="00B37BAF">
            <w:pPr>
              <w:jc w:val="right"/>
              <w:rPr>
                <w:rFonts w:cs="Arial"/>
                <w:bCs/>
                <w:lang w:eastAsia="en-GB"/>
              </w:rPr>
            </w:pPr>
            <w:r w:rsidRPr="00B148F9">
              <w:rPr>
                <w:rFonts w:cs="Arial"/>
                <w:bCs/>
                <w:lang w:eastAsia="en-GB"/>
              </w:rPr>
              <w:t>31,324</w:t>
            </w:r>
          </w:p>
        </w:tc>
      </w:tr>
      <w:tr w:rsidR="00B37BAF" w:rsidRPr="00B148F9" w14:paraId="1F6AD0F4" w14:textId="77777777" w:rsidTr="00B746FC">
        <w:trPr>
          <w:trHeight w:val="87"/>
        </w:trPr>
        <w:tc>
          <w:tcPr>
            <w:tcW w:w="4949" w:type="dxa"/>
            <w:tcBorders>
              <w:top w:val="nil"/>
              <w:left w:val="nil"/>
              <w:bottom w:val="nil"/>
              <w:right w:val="nil"/>
            </w:tcBorders>
            <w:shd w:val="clear" w:color="auto" w:fill="auto"/>
            <w:vAlign w:val="bottom"/>
          </w:tcPr>
          <w:p w14:paraId="39741DE7" w14:textId="7F8FAC78" w:rsidR="00B37BAF" w:rsidRPr="00B148F9" w:rsidRDefault="00B37BAF" w:rsidP="00B37BAF">
            <w:pPr>
              <w:ind w:left="216"/>
              <w:rPr>
                <w:rFonts w:cs="Arial"/>
                <w:bCs/>
                <w:lang w:eastAsia="en-GB"/>
              </w:rPr>
            </w:pPr>
            <w:r w:rsidRPr="00B148F9">
              <w:rPr>
                <w:rFonts w:cs="Arial"/>
                <w:bCs/>
                <w:lang w:eastAsia="en-GB"/>
              </w:rPr>
              <w:t>Due from brokers</w:t>
            </w:r>
          </w:p>
        </w:tc>
        <w:tc>
          <w:tcPr>
            <w:tcW w:w="737" w:type="dxa"/>
            <w:tcBorders>
              <w:top w:val="nil"/>
              <w:left w:val="nil"/>
              <w:bottom w:val="nil"/>
              <w:right w:val="nil"/>
            </w:tcBorders>
            <w:shd w:val="clear" w:color="auto" w:fill="auto"/>
            <w:noWrap/>
            <w:vAlign w:val="bottom"/>
          </w:tcPr>
          <w:p w14:paraId="36ABEEC6"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7CF4032F" w14:textId="77777777" w:rsidR="00B37BAF" w:rsidRPr="00B148F9" w:rsidRDefault="00B37BAF" w:rsidP="00B37BAF">
            <w:pPr>
              <w:jc w:val="right"/>
              <w:rPr>
                <w:rFonts w:cs="Arial"/>
                <w:b/>
                <w:bCs/>
                <w:lang w:eastAsia="en-GB"/>
              </w:rPr>
            </w:pPr>
          </w:p>
        </w:tc>
        <w:tc>
          <w:tcPr>
            <w:tcW w:w="1695" w:type="dxa"/>
            <w:tcBorders>
              <w:top w:val="nil"/>
              <w:left w:val="nil"/>
              <w:bottom w:val="single" w:sz="4" w:space="0" w:color="auto"/>
              <w:right w:val="nil"/>
            </w:tcBorders>
            <w:shd w:val="clear" w:color="auto" w:fill="auto"/>
            <w:noWrap/>
            <w:vAlign w:val="bottom"/>
          </w:tcPr>
          <w:p w14:paraId="382B1970" w14:textId="29A65284" w:rsidR="00B37BAF" w:rsidRPr="00B148F9" w:rsidRDefault="00B37BAF" w:rsidP="00B37BAF">
            <w:pPr>
              <w:jc w:val="right"/>
              <w:rPr>
                <w:rFonts w:cs="Arial"/>
                <w:bCs/>
                <w:lang w:eastAsia="en-GB"/>
              </w:rPr>
            </w:pPr>
            <w:r w:rsidRPr="00B148F9">
              <w:rPr>
                <w:rFonts w:cs="Arial"/>
                <w:bCs/>
                <w:lang w:eastAsia="en-GB"/>
              </w:rPr>
              <w:t>33,083,714</w:t>
            </w:r>
          </w:p>
        </w:tc>
        <w:tc>
          <w:tcPr>
            <w:tcW w:w="567" w:type="dxa"/>
            <w:tcBorders>
              <w:top w:val="nil"/>
              <w:left w:val="nil"/>
              <w:bottom w:val="nil"/>
              <w:right w:val="nil"/>
            </w:tcBorders>
            <w:shd w:val="clear" w:color="auto" w:fill="auto"/>
            <w:noWrap/>
            <w:vAlign w:val="bottom"/>
          </w:tcPr>
          <w:p w14:paraId="687B9ECC" w14:textId="77777777" w:rsidR="00B37BAF" w:rsidRPr="00B148F9" w:rsidRDefault="00B37BAF" w:rsidP="00B37BAF">
            <w:pPr>
              <w:rPr>
                <w:rFonts w:cs="Arial"/>
                <w:lang w:eastAsia="en-GB"/>
              </w:rPr>
            </w:pPr>
          </w:p>
        </w:tc>
        <w:tc>
          <w:tcPr>
            <w:tcW w:w="1553" w:type="dxa"/>
            <w:tcBorders>
              <w:top w:val="nil"/>
              <w:left w:val="nil"/>
              <w:bottom w:val="single" w:sz="4" w:space="0" w:color="auto"/>
              <w:right w:val="nil"/>
            </w:tcBorders>
            <w:shd w:val="clear" w:color="auto" w:fill="auto"/>
            <w:noWrap/>
            <w:vAlign w:val="bottom"/>
          </w:tcPr>
          <w:p w14:paraId="6987F264" w14:textId="104FA1D9" w:rsidR="00B37BAF" w:rsidRPr="00B148F9" w:rsidRDefault="00B37BAF" w:rsidP="00B37BAF">
            <w:pPr>
              <w:jc w:val="right"/>
              <w:rPr>
                <w:rFonts w:cs="Arial"/>
                <w:bCs/>
                <w:lang w:eastAsia="en-GB"/>
              </w:rPr>
            </w:pPr>
            <w:r w:rsidRPr="00B148F9">
              <w:rPr>
                <w:rFonts w:cs="Arial"/>
                <w:bCs/>
                <w:lang w:eastAsia="en-GB"/>
              </w:rPr>
              <w:t>-</w:t>
            </w:r>
          </w:p>
        </w:tc>
      </w:tr>
      <w:tr w:rsidR="00B37BAF" w:rsidRPr="00B148F9" w14:paraId="4C8206DC" w14:textId="77777777" w:rsidTr="00B746FC">
        <w:trPr>
          <w:trHeight w:val="87"/>
        </w:trPr>
        <w:tc>
          <w:tcPr>
            <w:tcW w:w="4949" w:type="dxa"/>
            <w:tcBorders>
              <w:top w:val="nil"/>
              <w:left w:val="nil"/>
              <w:bottom w:val="nil"/>
              <w:right w:val="nil"/>
            </w:tcBorders>
            <w:shd w:val="clear" w:color="auto" w:fill="auto"/>
            <w:vAlign w:val="bottom"/>
          </w:tcPr>
          <w:p w14:paraId="7EA87300" w14:textId="64B05BCE" w:rsidR="00B37BAF" w:rsidRPr="00B148F9" w:rsidRDefault="00B37BAF" w:rsidP="00B37BAF">
            <w:pPr>
              <w:rPr>
                <w:rFonts w:cs="Arial"/>
                <w:b/>
                <w:bCs/>
                <w:lang w:eastAsia="en-GB"/>
              </w:rPr>
            </w:pPr>
            <w:r w:rsidRPr="00B148F9">
              <w:rPr>
                <w:rFonts w:cs="Arial"/>
                <w:b/>
                <w:bCs/>
                <w:lang w:eastAsia="en-GB"/>
              </w:rPr>
              <w:t>Total Cash and cash equivalents (including restricted cash)</w:t>
            </w:r>
          </w:p>
        </w:tc>
        <w:tc>
          <w:tcPr>
            <w:tcW w:w="737" w:type="dxa"/>
            <w:tcBorders>
              <w:top w:val="nil"/>
              <w:left w:val="nil"/>
              <w:bottom w:val="nil"/>
              <w:right w:val="nil"/>
            </w:tcBorders>
            <w:shd w:val="clear" w:color="auto" w:fill="auto"/>
            <w:noWrap/>
            <w:vAlign w:val="bottom"/>
          </w:tcPr>
          <w:p w14:paraId="1F50D60A" w14:textId="77777777" w:rsidR="00B37BAF" w:rsidRPr="00B148F9" w:rsidRDefault="00B37BAF" w:rsidP="00B37BAF">
            <w:pPr>
              <w:rPr>
                <w:rFonts w:cs="Arial"/>
                <w:lang w:eastAsia="en-GB"/>
              </w:rPr>
            </w:pPr>
          </w:p>
        </w:tc>
        <w:tc>
          <w:tcPr>
            <w:tcW w:w="561" w:type="dxa"/>
            <w:tcBorders>
              <w:top w:val="nil"/>
              <w:left w:val="nil"/>
              <w:bottom w:val="nil"/>
              <w:right w:val="nil"/>
            </w:tcBorders>
            <w:vAlign w:val="bottom"/>
          </w:tcPr>
          <w:p w14:paraId="7B300E07" w14:textId="173C4176" w:rsidR="00B37BAF" w:rsidRPr="00B148F9" w:rsidRDefault="00B37BAF" w:rsidP="00B37BAF">
            <w:pPr>
              <w:jc w:val="right"/>
              <w:rPr>
                <w:rFonts w:cs="Arial"/>
                <w:b/>
                <w:bCs/>
                <w:lang w:eastAsia="en-GB"/>
              </w:rPr>
            </w:pPr>
            <w:r w:rsidRPr="00B148F9">
              <w:rPr>
                <w:rFonts w:cs="Arial"/>
                <w:b/>
                <w:bCs/>
                <w:lang w:eastAsia="en-GB"/>
              </w:rPr>
              <w:t>US$</w:t>
            </w:r>
          </w:p>
        </w:tc>
        <w:tc>
          <w:tcPr>
            <w:tcW w:w="1695" w:type="dxa"/>
            <w:tcBorders>
              <w:top w:val="single" w:sz="4" w:space="0" w:color="auto"/>
              <w:left w:val="nil"/>
              <w:bottom w:val="nil"/>
              <w:right w:val="nil"/>
            </w:tcBorders>
            <w:shd w:val="clear" w:color="auto" w:fill="auto"/>
            <w:noWrap/>
            <w:vAlign w:val="bottom"/>
          </w:tcPr>
          <w:p w14:paraId="7D971EEC" w14:textId="16B42B1E" w:rsidR="00B37BAF" w:rsidRPr="00B148F9" w:rsidRDefault="00B37BAF" w:rsidP="00B37BAF">
            <w:pPr>
              <w:jc w:val="right"/>
              <w:rPr>
                <w:rFonts w:cs="Arial"/>
                <w:b/>
                <w:bCs/>
                <w:lang w:eastAsia="en-GB"/>
              </w:rPr>
            </w:pPr>
            <w:r w:rsidRPr="00B148F9">
              <w:rPr>
                <w:rFonts w:cs="Arial"/>
                <w:b/>
                <w:bCs/>
                <w:lang w:eastAsia="en-GB"/>
              </w:rPr>
              <w:t>43,815,068</w:t>
            </w:r>
          </w:p>
        </w:tc>
        <w:tc>
          <w:tcPr>
            <w:tcW w:w="567" w:type="dxa"/>
            <w:tcBorders>
              <w:top w:val="nil"/>
              <w:left w:val="nil"/>
              <w:bottom w:val="nil"/>
              <w:right w:val="nil"/>
            </w:tcBorders>
            <w:shd w:val="clear" w:color="auto" w:fill="auto"/>
            <w:noWrap/>
            <w:vAlign w:val="bottom"/>
          </w:tcPr>
          <w:p w14:paraId="298A31A8" w14:textId="6E062557" w:rsidR="00B37BAF" w:rsidRPr="00B148F9" w:rsidRDefault="00B37BAF" w:rsidP="00B37BAF">
            <w:pPr>
              <w:jc w:val="right"/>
              <w:rPr>
                <w:rFonts w:cs="Arial"/>
                <w:lang w:eastAsia="en-GB"/>
              </w:rPr>
            </w:pPr>
            <w:r w:rsidRPr="00B148F9">
              <w:rPr>
                <w:rFonts w:cs="Arial"/>
                <w:b/>
                <w:bCs/>
                <w:lang w:eastAsia="en-GB"/>
              </w:rPr>
              <w:t>US$</w:t>
            </w:r>
          </w:p>
        </w:tc>
        <w:tc>
          <w:tcPr>
            <w:tcW w:w="1553" w:type="dxa"/>
            <w:tcBorders>
              <w:top w:val="single" w:sz="4" w:space="0" w:color="auto"/>
              <w:left w:val="nil"/>
              <w:bottom w:val="nil"/>
              <w:right w:val="nil"/>
            </w:tcBorders>
            <w:shd w:val="clear" w:color="auto" w:fill="auto"/>
            <w:noWrap/>
            <w:vAlign w:val="bottom"/>
          </w:tcPr>
          <w:p w14:paraId="359FBF7E" w14:textId="295750CF" w:rsidR="00B37BAF" w:rsidRPr="00B148F9" w:rsidRDefault="00B37BAF" w:rsidP="00B37BAF">
            <w:pPr>
              <w:jc w:val="right"/>
              <w:rPr>
                <w:rFonts w:cs="Arial"/>
                <w:b/>
                <w:bCs/>
                <w:lang w:eastAsia="en-GB"/>
              </w:rPr>
            </w:pPr>
            <w:r w:rsidRPr="00B148F9">
              <w:rPr>
                <w:rFonts w:cs="Arial"/>
                <w:b/>
                <w:bCs/>
                <w:lang w:eastAsia="en-GB"/>
              </w:rPr>
              <w:t>31,324</w:t>
            </w:r>
          </w:p>
        </w:tc>
      </w:tr>
      <w:tr w:rsidR="00B37BAF" w:rsidRPr="00B148F9" w14:paraId="5428F9D1" w14:textId="77777777" w:rsidTr="00B746FC">
        <w:trPr>
          <w:trHeight w:val="87"/>
        </w:trPr>
        <w:tc>
          <w:tcPr>
            <w:tcW w:w="4949" w:type="dxa"/>
            <w:tcBorders>
              <w:top w:val="nil"/>
              <w:left w:val="nil"/>
              <w:bottom w:val="nil"/>
              <w:right w:val="nil"/>
            </w:tcBorders>
            <w:shd w:val="clear" w:color="auto" w:fill="auto"/>
            <w:vAlign w:val="bottom"/>
          </w:tcPr>
          <w:p w14:paraId="4FE81D0B" w14:textId="77777777" w:rsidR="00B37BAF" w:rsidRPr="00B148F9" w:rsidRDefault="00B37BAF" w:rsidP="00B37BAF">
            <w:pPr>
              <w:rPr>
                <w:rFonts w:cs="Arial"/>
                <w:b/>
                <w:bCs/>
                <w:lang w:eastAsia="en-GB"/>
              </w:rPr>
            </w:pPr>
          </w:p>
        </w:tc>
        <w:tc>
          <w:tcPr>
            <w:tcW w:w="737" w:type="dxa"/>
            <w:tcBorders>
              <w:top w:val="nil"/>
              <w:left w:val="nil"/>
              <w:bottom w:val="nil"/>
              <w:right w:val="nil"/>
            </w:tcBorders>
            <w:shd w:val="clear" w:color="auto" w:fill="auto"/>
            <w:noWrap/>
            <w:vAlign w:val="bottom"/>
          </w:tcPr>
          <w:p w14:paraId="16AF06BD" w14:textId="77777777" w:rsidR="00B37BAF" w:rsidRPr="00B148F9" w:rsidRDefault="00B37BAF" w:rsidP="00B37BAF">
            <w:pPr>
              <w:rPr>
                <w:rFonts w:cs="Arial"/>
                <w:lang w:eastAsia="en-GB"/>
              </w:rPr>
            </w:pPr>
          </w:p>
        </w:tc>
        <w:tc>
          <w:tcPr>
            <w:tcW w:w="561" w:type="dxa"/>
            <w:tcBorders>
              <w:top w:val="nil"/>
              <w:left w:val="nil"/>
              <w:bottom w:val="nil"/>
              <w:right w:val="nil"/>
            </w:tcBorders>
          </w:tcPr>
          <w:p w14:paraId="53A24F09" w14:textId="77777777" w:rsidR="00B37BAF" w:rsidRPr="00B148F9" w:rsidRDefault="00B37BAF" w:rsidP="00B37BAF">
            <w:pPr>
              <w:jc w:val="right"/>
              <w:rPr>
                <w:rFonts w:cs="Arial"/>
                <w:b/>
                <w:bCs/>
                <w:lang w:eastAsia="en-GB"/>
              </w:rPr>
            </w:pPr>
          </w:p>
        </w:tc>
        <w:tc>
          <w:tcPr>
            <w:tcW w:w="1695" w:type="dxa"/>
            <w:tcBorders>
              <w:top w:val="nil"/>
              <w:left w:val="nil"/>
              <w:bottom w:val="nil"/>
              <w:right w:val="nil"/>
            </w:tcBorders>
            <w:shd w:val="clear" w:color="auto" w:fill="auto"/>
            <w:noWrap/>
            <w:vAlign w:val="bottom"/>
          </w:tcPr>
          <w:p w14:paraId="14BEE5F6" w14:textId="77777777" w:rsidR="00B37BAF" w:rsidRPr="00B148F9" w:rsidRDefault="00B37BAF" w:rsidP="00B37BAF">
            <w:pPr>
              <w:jc w:val="right"/>
              <w:rPr>
                <w:rFonts w:cs="Arial"/>
                <w:b/>
                <w:bCs/>
                <w:lang w:eastAsia="en-GB"/>
              </w:rPr>
            </w:pPr>
          </w:p>
        </w:tc>
        <w:tc>
          <w:tcPr>
            <w:tcW w:w="567" w:type="dxa"/>
            <w:tcBorders>
              <w:top w:val="nil"/>
              <w:left w:val="nil"/>
              <w:bottom w:val="nil"/>
              <w:right w:val="nil"/>
            </w:tcBorders>
            <w:shd w:val="clear" w:color="auto" w:fill="auto"/>
            <w:noWrap/>
            <w:vAlign w:val="bottom"/>
          </w:tcPr>
          <w:p w14:paraId="7A88D219" w14:textId="77777777" w:rsidR="00B37BAF" w:rsidRPr="00B148F9" w:rsidRDefault="00B37BAF" w:rsidP="00B37BAF">
            <w:pPr>
              <w:rPr>
                <w:rFonts w:cs="Arial"/>
                <w:lang w:eastAsia="en-GB"/>
              </w:rPr>
            </w:pPr>
          </w:p>
        </w:tc>
        <w:tc>
          <w:tcPr>
            <w:tcW w:w="1553" w:type="dxa"/>
            <w:tcBorders>
              <w:top w:val="nil"/>
              <w:left w:val="nil"/>
              <w:bottom w:val="nil"/>
              <w:right w:val="nil"/>
            </w:tcBorders>
            <w:shd w:val="clear" w:color="auto" w:fill="auto"/>
            <w:noWrap/>
            <w:vAlign w:val="bottom"/>
          </w:tcPr>
          <w:p w14:paraId="6DF11113" w14:textId="77777777" w:rsidR="00B37BAF" w:rsidRPr="00B148F9" w:rsidRDefault="00B37BAF" w:rsidP="00B37BAF">
            <w:pPr>
              <w:jc w:val="right"/>
              <w:rPr>
                <w:rFonts w:cs="Arial"/>
                <w:b/>
                <w:bCs/>
                <w:lang w:eastAsia="en-GB"/>
              </w:rPr>
            </w:pPr>
          </w:p>
        </w:tc>
      </w:tr>
      <w:tr w:rsidR="00B37BAF" w:rsidRPr="00B148F9" w14:paraId="49F1F9D0" w14:textId="77777777" w:rsidTr="00EE53BF">
        <w:trPr>
          <w:trHeight w:val="349"/>
        </w:trPr>
        <w:tc>
          <w:tcPr>
            <w:tcW w:w="4949" w:type="dxa"/>
            <w:tcBorders>
              <w:top w:val="nil"/>
              <w:left w:val="nil"/>
              <w:bottom w:val="nil"/>
              <w:right w:val="nil"/>
            </w:tcBorders>
            <w:shd w:val="clear" w:color="auto" w:fill="auto"/>
            <w:vAlign w:val="bottom"/>
          </w:tcPr>
          <w:p w14:paraId="773F36B9" w14:textId="48A95F70" w:rsidR="00B37BAF" w:rsidRPr="00B148F9" w:rsidRDefault="00B37BAF" w:rsidP="00B37BAF">
            <w:pPr>
              <w:rPr>
                <w:rFonts w:cs="Arial"/>
                <w:b/>
                <w:bCs/>
                <w:lang w:eastAsia="en-GB"/>
              </w:rPr>
            </w:pPr>
            <w:r w:rsidRPr="00B148F9">
              <w:rPr>
                <w:rFonts w:cs="Arial"/>
                <w:b/>
                <w:bCs/>
                <w:lang w:eastAsia="en-GB"/>
              </w:rPr>
              <w:t>Supplemental disclosure of cash flow information</w:t>
            </w:r>
          </w:p>
        </w:tc>
        <w:tc>
          <w:tcPr>
            <w:tcW w:w="737" w:type="dxa"/>
            <w:tcBorders>
              <w:top w:val="nil"/>
              <w:left w:val="nil"/>
              <w:bottom w:val="nil"/>
              <w:right w:val="nil"/>
            </w:tcBorders>
            <w:shd w:val="clear" w:color="auto" w:fill="auto"/>
            <w:noWrap/>
            <w:vAlign w:val="bottom"/>
          </w:tcPr>
          <w:p w14:paraId="4F235B4E" w14:textId="77777777" w:rsidR="00B37BAF" w:rsidRPr="00B148F9" w:rsidRDefault="00B37BAF" w:rsidP="00B37BAF">
            <w:pPr>
              <w:rPr>
                <w:rFonts w:cs="Arial"/>
                <w:lang w:eastAsia="en-GB"/>
              </w:rPr>
            </w:pPr>
          </w:p>
        </w:tc>
        <w:tc>
          <w:tcPr>
            <w:tcW w:w="561" w:type="dxa"/>
            <w:tcBorders>
              <w:top w:val="nil"/>
              <w:left w:val="nil"/>
              <w:right w:val="nil"/>
            </w:tcBorders>
          </w:tcPr>
          <w:p w14:paraId="0E9C35F5" w14:textId="77777777" w:rsidR="00B37BAF" w:rsidRPr="00B148F9" w:rsidRDefault="00B37BAF" w:rsidP="00B37BAF">
            <w:pPr>
              <w:jc w:val="right"/>
              <w:rPr>
                <w:rFonts w:cs="Arial"/>
                <w:b/>
                <w:bCs/>
                <w:lang w:eastAsia="en-GB"/>
              </w:rPr>
            </w:pPr>
          </w:p>
        </w:tc>
        <w:tc>
          <w:tcPr>
            <w:tcW w:w="1695" w:type="dxa"/>
            <w:tcBorders>
              <w:top w:val="nil"/>
              <w:left w:val="nil"/>
              <w:right w:val="nil"/>
            </w:tcBorders>
            <w:shd w:val="clear" w:color="auto" w:fill="auto"/>
            <w:noWrap/>
            <w:vAlign w:val="bottom"/>
          </w:tcPr>
          <w:p w14:paraId="1A72A22B" w14:textId="588F5AD3" w:rsidR="00B37BAF" w:rsidRPr="00B148F9" w:rsidRDefault="00B37BAF" w:rsidP="00B37BAF">
            <w:pPr>
              <w:jc w:val="right"/>
              <w:rPr>
                <w:rFonts w:cs="Arial"/>
                <w:b/>
                <w:bCs/>
                <w:lang w:eastAsia="en-GB"/>
              </w:rPr>
            </w:pPr>
          </w:p>
        </w:tc>
        <w:tc>
          <w:tcPr>
            <w:tcW w:w="567" w:type="dxa"/>
            <w:tcBorders>
              <w:top w:val="nil"/>
              <w:left w:val="nil"/>
              <w:right w:val="nil"/>
            </w:tcBorders>
            <w:shd w:val="clear" w:color="auto" w:fill="auto"/>
            <w:noWrap/>
            <w:vAlign w:val="bottom"/>
          </w:tcPr>
          <w:p w14:paraId="3AC41580" w14:textId="77777777" w:rsidR="00B37BAF" w:rsidRPr="00B148F9" w:rsidRDefault="00B37BAF" w:rsidP="00B37BAF">
            <w:pPr>
              <w:rPr>
                <w:rFonts w:cs="Arial"/>
                <w:lang w:eastAsia="en-GB"/>
              </w:rPr>
            </w:pPr>
          </w:p>
        </w:tc>
        <w:tc>
          <w:tcPr>
            <w:tcW w:w="1553" w:type="dxa"/>
            <w:tcBorders>
              <w:top w:val="nil"/>
              <w:left w:val="nil"/>
              <w:right w:val="nil"/>
            </w:tcBorders>
            <w:shd w:val="clear" w:color="auto" w:fill="auto"/>
            <w:noWrap/>
            <w:vAlign w:val="bottom"/>
          </w:tcPr>
          <w:p w14:paraId="0F79AD17" w14:textId="77777777" w:rsidR="00B37BAF" w:rsidRPr="00B148F9" w:rsidRDefault="00B37BAF" w:rsidP="00B37BAF">
            <w:pPr>
              <w:jc w:val="right"/>
              <w:rPr>
                <w:rFonts w:cs="Arial"/>
                <w:b/>
                <w:bCs/>
                <w:lang w:eastAsia="en-GB"/>
              </w:rPr>
            </w:pPr>
          </w:p>
        </w:tc>
      </w:tr>
      <w:tr w:rsidR="00B37BAF" w:rsidRPr="00B148F9" w14:paraId="7F98F223" w14:textId="77777777" w:rsidTr="00EE53BF">
        <w:trPr>
          <w:trHeight w:val="339"/>
        </w:trPr>
        <w:tc>
          <w:tcPr>
            <w:tcW w:w="4949" w:type="dxa"/>
            <w:tcBorders>
              <w:top w:val="nil"/>
              <w:left w:val="nil"/>
              <w:bottom w:val="nil"/>
              <w:right w:val="nil"/>
            </w:tcBorders>
            <w:shd w:val="clear" w:color="auto" w:fill="auto"/>
            <w:vAlign w:val="bottom"/>
          </w:tcPr>
          <w:p w14:paraId="6BEDF181" w14:textId="106B6A78" w:rsidR="00B37BAF" w:rsidRPr="00B148F9" w:rsidRDefault="00B37BAF" w:rsidP="00B37BAF">
            <w:pPr>
              <w:rPr>
                <w:rFonts w:cs="Arial"/>
                <w:bCs/>
                <w:lang w:eastAsia="en-GB"/>
              </w:rPr>
            </w:pPr>
            <w:r w:rsidRPr="00B148F9">
              <w:rPr>
                <w:rFonts w:cs="Arial"/>
                <w:bCs/>
                <w:lang w:eastAsia="en-GB"/>
              </w:rPr>
              <w:t>Cash paid during the year for interest</w:t>
            </w:r>
          </w:p>
        </w:tc>
        <w:tc>
          <w:tcPr>
            <w:tcW w:w="737" w:type="dxa"/>
            <w:tcBorders>
              <w:top w:val="nil"/>
              <w:left w:val="nil"/>
              <w:bottom w:val="nil"/>
              <w:right w:val="nil"/>
            </w:tcBorders>
            <w:shd w:val="clear" w:color="auto" w:fill="auto"/>
            <w:noWrap/>
            <w:vAlign w:val="bottom"/>
          </w:tcPr>
          <w:p w14:paraId="2256E092" w14:textId="77777777" w:rsidR="00B37BAF" w:rsidRPr="00B148F9" w:rsidRDefault="00B37BAF" w:rsidP="00B37BAF">
            <w:pPr>
              <w:rPr>
                <w:rFonts w:cs="Arial"/>
                <w:lang w:eastAsia="en-GB"/>
              </w:rPr>
            </w:pPr>
          </w:p>
        </w:tc>
        <w:tc>
          <w:tcPr>
            <w:tcW w:w="561" w:type="dxa"/>
            <w:tcBorders>
              <w:left w:val="nil"/>
              <w:right w:val="nil"/>
            </w:tcBorders>
            <w:vAlign w:val="bottom"/>
          </w:tcPr>
          <w:p w14:paraId="2BE83914" w14:textId="339BB02F" w:rsidR="00B37BAF" w:rsidRPr="00B148F9" w:rsidRDefault="00B37BAF" w:rsidP="00B37BAF">
            <w:pPr>
              <w:jc w:val="right"/>
              <w:rPr>
                <w:rFonts w:cs="Arial"/>
                <w:b/>
                <w:bCs/>
                <w:lang w:eastAsia="en-GB"/>
              </w:rPr>
            </w:pPr>
            <w:r w:rsidRPr="00B148F9">
              <w:t>US$</w:t>
            </w:r>
          </w:p>
        </w:tc>
        <w:tc>
          <w:tcPr>
            <w:tcW w:w="1695" w:type="dxa"/>
            <w:tcBorders>
              <w:left w:val="nil"/>
              <w:right w:val="nil"/>
            </w:tcBorders>
            <w:shd w:val="clear" w:color="auto" w:fill="auto"/>
            <w:noWrap/>
            <w:vAlign w:val="bottom"/>
          </w:tcPr>
          <w:p w14:paraId="79F1FA81" w14:textId="351669AC" w:rsidR="00B37BAF" w:rsidRPr="00B148F9" w:rsidRDefault="00B37BAF" w:rsidP="00B37BAF">
            <w:pPr>
              <w:jc w:val="right"/>
              <w:rPr>
                <w:rFonts w:cs="Arial"/>
                <w:bCs/>
                <w:lang w:eastAsia="en-GB"/>
              </w:rPr>
            </w:pPr>
            <w:r w:rsidRPr="00B148F9">
              <w:rPr>
                <w:rFonts w:cs="Arial"/>
                <w:bCs/>
                <w:lang w:eastAsia="en-GB"/>
              </w:rPr>
              <w:t>48</w:t>
            </w:r>
          </w:p>
        </w:tc>
        <w:tc>
          <w:tcPr>
            <w:tcW w:w="567" w:type="dxa"/>
            <w:tcBorders>
              <w:left w:val="nil"/>
              <w:right w:val="nil"/>
            </w:tcBorders>
            <w:shd w:val="clear" w:color="auto" w:fill="auto"/>
            <w:noWrap/>
            <w:vAlign w:val="bottom"/>
          </w:tcPr>
          <w:p w14:paraId="53243347" w14:textId="0E00CDD3" w:rsidR="00B37BAF" w:rsidRPr="00B148F9" w:rsidRDefault="00B37BAF" w:rsidP="00B37BAF">
            <w:pPr>
              <w:jc w:val="right"/>
              <w:rPr>
                <w:rFonts w:cs="Arial"/>
                <w:lang w:eastAsia="en-GB"/>
              </w:rPr>
            </w:pPr>
            <w:r w:rsidRPr="00B148F9">
              <w:t>US$</w:t>
            </w:r>
          </w:p>
        </w:tc>
        <w:tc>
          <w:tcPr>
            <w:tcW w:w="1553" w:type="dxa"/>
            <w:tcBorders>
              <w:left w:val="nil"/>
              <w:right w:val="nil"/>
            </w:tcBorders>
            <w:shd w:val="clear" w:color="auto" w:fill="auto"/>
            <w:noWrap/>
            <w:vAlign w:val="bottom"/>
          </w:tcPr>
          <w:p w14:paraId="2ED013EB" w14:textId="293EB773" w:rsidR="00B37BAF" w:rsidRPr="00B148F9" w:rsidRDefault="00B37BAF" w:rsidP="00B37BAF">
            <w:pPr>
              <w:jc w:val="right"/>
              <w:rPr>
                <w:rFonts w:cs="Arial"/>
                <w:bCs/>
                <w:lang w:eastAsia="en-GB"/>
              </w:rPr>
            </w:pPr>
            <w:r w:rsidRPr="00B148F9">
              <w:rPr>
                <w:rFonts w:cs="Arial"/>
                <w:bCs/>
                <w:lang w:eastAsia="en-GB"/>
              </w:rPr>
              <w:t>-</w:t>
            </w:r>
          </w:p>
        </w:tc>
      </w:tr>
    </w:tbl>
    <w:p w14:paraId="38A9A37D" w14:textId="77777777" w:rsidR="006E5659" w:rsidRPr="00B148F9" w:rsidRDefault="006E5659" w:rsidP="00326CD3">
      <w:pPr>
        <w:pStyle w:val="BodyText"/>
        <w:spacing w:after="0"/>
        <w:rPr>
          <w:rFonts w:cs="Arial"/>
        </w:rPr>
      </w:pPr>
    </w:p>
    <w:p w14:paraId="6C3E62F7" w14:textId="11402187" w:rsidR="00E85762" w:rsidRPr="00B148F9" w:rsidRDefault="00E85762" w:rsidP="00E85762">
      <w:pPr>
        <w:rPr>
          <w:rFonts w:cs="Arial"/>
        </w:rPr>
      </w:pPr>
      <w:r w:rsidRPr="00B148F9">
        <w:rPr>
          <w:rFonts w:cs="Arial"/>
        </w:rPr>
        <w:t>See accompanying notes to the financial statements</w:t>
      </w:r>
      <w:r w:rsidR="001D2C4D" w:rsidRPr="00B148F9">
        <w:rPr>
          <w:rFonts w:cs="Arial"/>
        </w:rPr>
        <w:t>.</w:t>
      </w:r>
    </w:p>
    <w:p w14:paraId="34359CDB" w14:textId="0187D27A" w:rsidR="008C382A" w:rsidRPr="00B148F9" w:rsidRDefault="009338C0" w:rsidP="00B961FE">
      <w:pPr>
        <w:pStyle w:val="Heading1"/>
      </w:pPr>
      <w:r w:rsidRPr="00B148F9">
        <w:br w:type="page"/>
      </w:r>
      <w:r w:rsidR="00466D2D" w:rsidRPr="00B148F9">
        <w:rPr>
          <w:sz w:val="20"/>
        </w:rPr>
        <w:lastRenderedPageBreak/>
        <w:t xml:space="preserve">Condensed </w:t>
      </w:r>
      <w:r w:rsidR="008C382A" w:rsidRPr="00B148F9">
        <w:rPr>
          <w:sz w:val="20"/>
        </w:rPr>
        <w:t>Schedule of Investments</w:t>
      </w:r>
    </w:p>
    <w:p w14:paraId="07CF51A2" w14:textId="0E0CA4E3" w:rsidR="008C382A" w:rsidRPr="00B148F9" w:rsidRDefault="00466D2D" w:rsidP="008C382A">
      <w:pPr>
        <w:jc w:val="center"/>
        <w:rPr>
          <w:rFonts w:cs="Arial"/>
          <w:b/>
          <w:bCs/>
        </w:rPr>
      </w:pPr>
      <w:r w:rsidRPr="00B148F9">
        <w:rPr>
          <w:rFonts w:cs="Arial"/>
          <w:b/>
          <w:bCs/>
        </w:rPr>
        <w:t>as at</w:t>
      </w:r>
      <w:r w:rsidR="008C382A" w:rsidRPr="00B148F9">
        <w:rPr>
          <w:rFonts w:cs="Arial"/>
          <w:b/>
          <w:bCs/>
        </w:rPr>
        <w:t xml:space="preserve"> 31 December 2019</w:t>
      </w:r>
    </w:p>
    <w:p w14:paraId="19B33355" w14:textId="77777777" w:rsidR="00382CEF" w:rsidRPr="00B148F9" w:rsidRDefault="00382CEF" w:rsidP="00382CEF">
      <w:pPr>
        <w:jc w:val="center"/>
        <w:rPr>
          <w:rFonts w:cs="Arial"/>
          <w:bCs/>
        </w:rPr>
      </w:pPr>
      <w:r w:rsidRPr="00B148F9">
        <w:rPr>
          <w:rFonts w:cs="Arial"/>
          <w:bCs/>
        </w:rPr>
        <w:t>(Expressed in United States Dollars)</w:t>
      </w:r>
    </w:p>
    <w:p w14:paraId="1CEE6E0E" w14:textId="77777777" w:rsidR="008C382A" w:rsidRPr="00B148F9" w:rsidRDefault="008C382A" w:rsidP="00326CD3">
      <w:pPr>
        <w:jc w:val="center"/>
        <w:rPr>
          <w:rFonts w:cs="Arial"/>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3011"/>
        <w:gridCol w:w="485"/>
        <w:gridCol w:w="932"/>
        <w:gridCol w:w="284"/>
        <w:gridCol w:w="1134"/>
        <w:gridCol w:w="567"/>
        <w:gridCol w:w="1275"/>
        <w:gridCol w:w="675"/>
        <w:gridCol w:w="1418"/>
      </w:tblGrid>
      <w:tr w:rsidR="00A12EB0" w:rsidRPr="00B148F9" w14:paraId="5E18B3AA" w14:textId="77777777" w:rsidTr="00B746FC">
        <w:tc>
          <w:tcPr>
            <w:tcW w:w="3261" w:type="dxa"/>
            <w:gridSpan w:val="2"/>
            <w:tcBorders>
              <w:bottom w:val="single" w:sz="4" w:space="0" w:color="auto"/>
            </w:tcBorders>
          </w:tcPr>
          <w:p w14:paraId="206C56B2" w14:textId="41E6E4BB" w:rsidR="006F59C0" w:rsidRPr="00B148F9" w:rsidRDefault="006F59C0" w:rsidP="000D4E06">
            <w:pPr>
              <w:jc w:val="left"/>
              <w:rPr>
                <w:rFonts w:cs="Arial"/>
              </w:rPr>
            </w:pPr>
          </w:p>
        </w:tc>
        <w:tc>
          <w:tcPr>
            <w:tcW w:w="1417" w:type="dxa"/>
            <w:gridSpan w:val="2"/>
            <w:tcBorders>
              <w:bottom w:val="single" w:sz="4" w:space="0" w:color="auto"/>
            </w:tcBorders>
          </w:tcPr>
          <w:p w14:paraId="6E35B9D4" w14:textId="77777777" w:rsidR="006F59C0" w:rsidRPr="00B148F9" w:rsidRDefault="006F59C0" w:rsidP="00326CD3">
            <w:pPr>
              <w:jc w:val="center"/>
              <w:rPr>
                <w:rFonts w:cs="Arial"/>
              </w:rPr>
            </w:pPr>
          </w:p>
        </w:tc>
        <w:tc>
          <w:tcPr>
            <w:tcW w:w="284" w:type="dxa"/>
            <w:tcBorders>
              <w:bottom w:val="single" w:sz="4" w:space="0" w:color="auto"/>
            </w:tcBorders>
          </w:tcPr>
          <w:p w14:paraId="1E26F99F" w14:textId="77777777" w:rsidR="006F59C0" w:rsidRPr="00B148F9" w:rsidRDefault="006F59C0" w:rsidP="00326CD3">
            <w:pPr>
              <w:jc w:val="center"/>
              <w:rPr>
                <w:rFonts w:cs="Arial"/>
              </w:rPr>
            </w:pPr>
          </w:p>
        </w:tc>
        <w:tc>
          <w:tcPr>
            <w:tcW w:w="1134" w:type="dxa"/>
            <w:tcBorders>
              <w:bottom w:val="single" w:sz="4" w:space="0" w:color="auto"/>
            </w:tcBorders>
          </w:tcPr>
          <w:p w14:paraId="58430920" w14:textId="77777777" w:rsidR="006F59C0" w:rsidRPr="00B148F9" w:rsidRDefault="006F59C0" w:rsidP="00326CD3">
            <w:pPr>
              <w:jc w:val="center"/>
              <w:rPr>
                <w:rFonts w:cs="Arial"/>
              </w:rPr>
            </w:pPr>
          </w:p>
        </w:tc>
        <w:tc>
          <w:tcPr>
            <w:tcW w:w="567" w:type="dxa"/>
            <w:tcBorders>
              <w:bottom w:val="single" w:sz="4" w:space="0" w:color="auto"/>
            </w:tcBorders>
          </w:tcPr>
          <w:p w14:paraId="3EDA9920" w14:textId="77777777" w:rsidR="006F59C0" w:rsidRPr="00B148F9" w:rsidRDefault="006F59C0" w:rsidP="00326CD3">
            <w:pPr>
              <w:jc w:val="center"/>
              <w:rPr>
                <w:rFonts w:cs="Arial"/>
              </w:rPr>
            </w:pPr>
          </w:p>
        </w:tc>
        <w:tc>
          <w:tcPr>
            <w:tcW w:w="1275" w:type="dxa"/>
            <w:tcBorders>
              <w:bottom w:val="single" w:sz="4" w:space="0" w:color="auto"/>
            </w:tcBorders>
          </w:tcPr>
          <w:p w14:paraId="1EC1EB97" w14:textId="0D1A23C3" w:rsidR="006F59C0" w:rsidRPr="00B148F9" w:rsidRDefault="006F59C0" w:rsidP="00326CD3">
            <w:pPr>
              <w:jc w:val="center"/>
              <w:rPr>
                <w:rFonts w:cs="Arial"/>
              </w:rPr>
            </w:pPr>
          </w:p>
        </w:tc>
        <w:tc>
          <w:tcPr>
            <w:tcW w:w="675" w:type="dxa"/>
            <w:tcBorders>
              <w:bottom w:val="single" w:sz="4" w:space="0" w:color="auto"/>
            </w:tcBorders>
          </w:tcPr>
          <w:p w14:paraId="5004CFB4" w14:textId="77777777" w:rsidR="006F59C0" w:rsidRPr="00B148F9" w:rsidRDefault="006F59C0" w:rsidP="00326CD3">
            <w:pPr>
              <w:jc w:val="center"/>
              <w:rPr>
                <w:rFonts w:cs="Arial"/>
              </w:rPr>
            </w:pPr>
          </w:p>
        </w:tc>
        <w:tc>
          <w:tcPr>
            <w:tcW w:w="1418" w:type="dxa"/>
            <w:tcBorders>
              <w:bottom w:val="single" w:sz="4" w:space="0" w:color="auto"/>
            </w:tcBorders>
          </w:tcPr>
          <w:p w14:paraId="1077C6F7" w14:textId="127FE870" w:rsidR="006F59C0" w:rsidRPr="00B148F9" w:rsidRDefault="006F59C0" w:rsidP="00326CD3">
            <w:pPr>
              <w:jc w:val="center"/>
              <w:rPr>
                <w:rFonts w:cs="Arial"/>
              </w:rPr>
            </w:pPr>
          </w:p>
        </w:tc>
      </w:tr>
      <w:tr w:rsidR="00A12EB0" w:rsidRPr="00B148F9" w14:paraId="77DDD09A" w14:textId="77777777" w:rsidTr="00B746FC">
        <w:trPr>
          <w:trHeight w:val="659"/>
        </w:trPr>
        <w:tc>
          <w:tcPr>
            <w:tcW w:w="3261" w:type="dxa"/>
            <w:gridSpan w:val="2"/>
            <w:tcBorders>
              <w:top w:val="single" w:sz="4" w:space="0" w:color="auto"/>
              <w:bottom w:val="single" w:sz="4" w:space="0" w:color="auto"/>
            </w:tcBorders>
            <w:vAlign w:val="bottom"/>
          </w:tcPr>
          <w:p w14:paraId="51EE95AE" w14:textId="1B4455A5" w:rsidR="00E617D9" w:rsidRPr="00B148F9" w:rsidRDefault="00E617D9" w:rsidP="002E0BED">
            <w:pPr>
              <w:jc w:val="center"/>
              <w:rPr>
                <w:rFonts w:cs="Arial"/>
                <w:b/>
              </w:rPr>
            </w:pPr>
            <w:r w:rsidRPr="00B148F9">
              <w:rPr>
                <w:rFonts w:cs="Arial"/>
                <w:b/>
              </w:rPr>
              <w:t>Descriptions</w:t>
            </w:r>
          </w:p>
        </w:tc>
        <w:tc>
          <w:tcPr>
            <w:tcW w:w="1417" w:type="dxa"/>
            <w:gridSpan w:val="2"/>
            <w:tcBorders>
              <w:top w:val="single" w:sz="4" w:space="0" w:color="auto"/>
              <w:bottom w:val="single" w:sz="4" w:space="0" w:color="auto"/>
            </w:tcBorders>
            <w:vAlign w:val="center"/>
          </w:tcPr>
          <w:p w14:paraId="442B17CC" w14:textId="00A4BF0A" w:rsidR="00E617D9" w:rsidRPr="00B148F9" w:rsidRDefault="00AA79D1" w:rsidP="002E0BED">
            <w:pPr>
              <w:jc w:val="center"/>
              <w:rPr>
                <w:rFonts w:cs="Arial"/>
                <w:b/>
              </w:rPr>
            </w:pPr>
            <w:r w:rsidRPr="00B148F9">
              <w:rPr>
                <w:rFonts w:cs="Arial"/>
                <w:b/>
              </w:rPr>
              <w:t>Percentage</w:t>
            </w:r>
            <w:r w:rsidR="00E617D9" w:rsidRPr="00B148F9">
              <w:rPr>
                <w:rFonts w:cs="Arial"/>
                <w:b/>
              </w:rPr>
              <w:t xml:space="preserve"> of Net Assets</w:t>
            </w:r>
          </w:p>
        </w:tc>
        <w:tc>
          <w:tcPr>
            <w:tcW w:w="284" w:type="dxa"/>
            <w:tcBorders>
              <w:top w:val="single" w:sz="4" w:space="0" w:color="auto"/>
              <w:bottom w:val="single" w:sz="4" w:space="0" w:color="auto"/>
            </w:tcBorders>
            <w:vAlign w:val="center"/>
          </w:tcPr>
          <w:p w14:paraId="443CB8A3" w14:textId="77777777" w:rsidR="00E617D9" w:rsidRPr="00B148F9" w:rsidRDefault="00E617D9" w:rsidP="002E0BED">
            <w:pPr>
              <w:jc w:val="center"/>
              <w:rPr>
                <w:rFonts w:cs="Arial"/>
                <w:b/>
              </w:rPr>
            </w:pPr>
          </w:p>
        </w:tc>
        <w:tc>
          <w:tcPr>
            <w:tcW w:w="1134" w:type="dxa"/>
            <w:tcBorders>
              <w:top w:val="single" w:sz="4" w:space="0" w:color="auto"/>
              <w:bottom w:val="single" w:sz="4" w:space="0" w:color="auto"/>
            </w:tcBorders>
            <w:vAlign w:val="center"/>
          </w:tcPr>
          <w:p w14:paraId="688422A6" w14:textId="5310BC6C" w:rsidR="00E617D9" w:rsidRPr="00B148F9" w:rsidRDefault="000D4E06" w:rsidP="002E0BED">
            <w:pPr>
              <w:jc w:val="center"/>
              <w:rPr>
                <w:rFonts w:cs="Arial"/>
                <w:b/>
              </w:rPr>
            </w:pPr>
            <w:r w:rsidRPr="00B148F9">
              <w:rPr>
                <w:rFonts w:cs="Arial"/>
                <w:b/>
              </w:rPr>
              <w:t>Number of Shares</w:t>
            </w:r>
          </w:p>
        </w:tc>
        <w:tc>
          <w:tcPr>
            <w:tcW w:w="567" w:type="dxa"/>
            <w:tcBorders>
              <w:top w:val="single" w:sz="4" w:space="0" w:color="auto"/>
              <w:bottom w:val="single" w:sz="4" w:space="0" w:color="auto"/>
            </w:tcBorders>
          </w:tcPr>
          <w:p w14:paraId="73185357" w14:textId="77777777" w:rsidR="00E617D9" w:rsidRPr="00B148F9" w:rsidRDefault="00E617D9" w:rsidP="002E0BED">
            <w:pPr>
              <w:jc w:val="center"/>
              <w:rPr>
                <w:rFonts w:cs="Arial"/>
                <w:b/>
              </w:rPr>
            </w:pPr>
          </w:p>
        </w:tc>
        <w:tc>
          <w:tcPr>
            <w:tcW w:w="1275" w:type="dxa"/>
            <w:tcBorders>
              <w:top w:val="single" w:sz="4" w:space="0" w:color="auto"/>
              <w:bottom w:val="single" w:sz="4" w:space="0" w:color="auto"/>
            </w:tcBorders>
            <w:vAlign w:val="center"/>
          </w:tcPr>
          <w:p w14:paraId="3032278D" w14:textId="597AA6E7" w:rsidR="00E617D9" w:rsidRPr="00B148F9" w:rsidRDefault="00E617D9" w:rsidP="002E0BED">
            <w:pPr>
              <w:jc w:val="center"/>
              <w:rPr>
                <w:rFonts w:cs="Arial"/>
                <w:b/>
              </w:rPr>
            </w:pPr>
            <w:r w:rsidRPr="00B148F9">
              <w:rPr>
                <w:rFonts w:cs="Arial"/>
                <w:b/>
              </w:rPr>
              <w:t>Cost</w:t>
            </w:r>
          </w:p>
        </w:tc>
        <w:tc>
          <w:tcPr>
            <w:tcW w:w="675" w:type="dxa"/>
            <w:tcBorders>
              <w:top w:val="single" w:sz="4" w:space="0" w:color="auto"/>
              <w:bottom w:val="single" w:sz="4" w:space="0" w:color="auto"/>
            </w:tcBorders>
          </w:tcPr>
          <w:p w14:paraId="32174704" w14:textId="77777777" w:rsidR="00E617D9" w:rsidRPr="00B148F9" w:rsidRDefault="00E617D9" w:rsidP="002E0BED">
            <w:pPr>
              <w:jc w:val="center"/>
              <w:rPr>
                <w:rFonts w:cs="Arial"/>
                <w:b/>
              </w:rPr>
            </w:pPr>
          </w:p>
        </w:tc>
        <w:tc>
          <w:tcPr>
            <w:tcW w:w="1418" w:type="dxa"/>
            <w:tcBorders>
              <w:top w:val="single" w:sz="4" w:space="0" w:color="auto"/>
              <w:bottom w:val="single" w:sz="4" w:space="0" w:color="auto"/>
            </w:tcBorders>
            <w:vAlign w:val="center"/>
          </w:tcPr>
          <w:p w14:paraId="0F241F9F" w14:textId="008B6185" w:rsidR="00E617D9" w:rsidRPr="00B148F9" w:rsidRDefault="00E617D9" w:rsidP="002E0BED">
            <w:pPr>
              <w:jc w:val="center"/>
              <w:rPr>
                <w:rFonts w:cs="Arial"/>
                <w:b/>
              </w:rPr>
            </w:pPr>
            <w:r w:rsidRPr="00B148F9">
              <w:rPr>
                <w:rFonts w:cs="Arial"/>
                <w:b/>
              </w:rPr>
              <w:t>Fair Value</w:t>
            </w:r>
          </w:p>
        </w:tc>
      </w:tr>
      <w:tr w:rsidR="00A12EB0" w:rsidRPr="00B148F9" w14:paraId="5934982D" w14:textId="77777777" w:rsidTr="00B746FC">
        <w:tc>
          <w:tcPr>
            <w:tcW w:w="250" w:type="dxa"/>
            <w:tcBorders>
              <w:top w:val="single" w:sz="4" w:space="0" w:color="auto"/>
            </w:tcBorders>
          </w:tcPr>
          <w:p w14:paraId="1398ACD8" w14:textId="77777777" w:rsidR="006F59C0" w:rsidRPr="00B148F9" w:rsidRDefault="006F59C0" w:rsidP="002E0BED">
            <w:pPr>
              <w:jc w:val="left"/>
              <w:rPr>
                <w:rFonts w:cs="Arial"/>
              </w:rPr>
            </w:pPr>
          </w:p>
        </w:tc>
        <w:tc>
          <w:tcPr>
            <w:tcW w:w="3011" w:type="dxa"/>
            <w:tcBorders>
              <w:top w:val="single" w:sz="4" w:space="0" w:color="auto"/>
            </w:tcBorders>
          </w:tcPr>
          <w:p w14:paraId="632B888C" w14:textId="77777777" w:rsidR="006F59C0" w:rsidRPr="00B148F9" w:rsidRDefault="006F59C0" w:rsidP="002E0BED">
            <w:pPr>
              <w:jc w:val="left"/>
              <w:rPr>
                <w:rFonts w:cs="Arial"/>
              </w:rPr>
            </w:pPr>
          </w:p>
        </w:tc>
        <w:tc>
          <w:tcPr>
            <w:tcW w:w="485" w:type="dxa"/>
            <w:tcBorders>
              <w:top w:val="single" w:sz="4" w:space="0" w:color="auto"/>
            </w:tcBorders>
          </w:tcPr>
          <w:p w14:paraId="182257E6" w14:textId="77777777" w:rsidR="006F59C0" w:rsidRPr="00B148F9" w:rsidRDefault="006F59C0" w:rsidP="00326CD3">
            <w:pPr>
              <w:jc w:val="center"/>
              <w:rPr>
                <w:rFonts w:cs="Arial"/>
              </w:rPr>
            </w:pPr>
          </w:p>
        </w:tc>
        <w:tc>
          <w:tcPr>
            <w:tcW w:w="932" w:type="dxa"/>
            <w:tcBorders>
              <w:top w:val="single" w:sz="4" w:space="0" w:color="auto"/>
            </w:tcBorders>
          </w:tcPr>
          <w:p w14:paraId="35EB82BA" w14:textId="77777777" w:rsidR="006F59C0" w:rsidRPr="00B148F9" w:rsidRDefault="006F59C0" w:rsidP="00326CD3">
            <w:pPr>
              <w:jc w:val="center"/>
              <w:rPr>
                <w:rFonts w:cs="Arial"/>
              </w:rPr>
            </w:pPr>
          </w:p>
        </w:tc>
        <w:tc>
          <w:tcPr>
            <w:tcW w:w="284" w:type="dxa"/>
            <w:tcBorders>
              <w:top w:val="single" w:sz="4" w:space="0" w:color="auto"/>
            </w:tcBorders>
          </w:tcPr>
          <w:p w14:paraId="2702FCB4" w14:textId="77777777" w:rsidR="006F59C0" w:rsidRPr="00B148F9" w:rsidRDefault="006F59C0" w:rsidP="00326CD3">
            <w:pPr>
              <w:jc w:val="center"/>
              <w:rPr>
                <w:rFonts w:cs="Arial"/>
              </w:rPr>
            </w:pPr>
          </w:p>
        </w:tc>
        <w:tc>
          <w:tcPr>
            <w:tcW w:w="1134" w:type="dxa"/>
            <w:tcBorders>
              <w:top w:val="single" w:sz="4" w:space="0" w:color="auto"/>
            </w:tcBorders>
          </w:tcPr>
          <w:p w14:paraId="38A544C8" w14:textId="77777777" w:rsidR="006F59C0" w:rsidRPr="00B148F9" w:rsidRDefault="006F59C0" w:rsidP="00326CD3">
            <w:pPr>
              <w:jc w:val="center"/>
              <w:rPr>
                <w:rFonts w:cs="Arial"/>
              </w:rPr>
            </w:pPr>
          </w:p>
        </w:tc>
        <w:tc>
          <w:tcPr>
            <w:tcW w:w="567" w:type="dxa"/>
            <w:tcBorders>
              <w:top w:val="single" w:sz="4" w:space="0" w:color="auto"/>
            </w:tcBorders>
          </w:tcPr>
          <w:p w14:paraId="0DB6D0A6" w14:textId="77777777" w:rsidR="006F59C0" w:rsidRPr="00B148F9" w:rsidRDefault="006F59C0" w:rsidP="00326CD3">
            <w:pPr>
              <w:jc w:val="center"/>
              <w:rPr>
                <w:rFonts w:cs="Arial"/>
              </w:rPr>
            </w:pPr>
          </w:p>
        </w:tc>
        <w:tc>
          <w:tcPr>
            <w:tcW w:w="1275" w:type="dxa"/>
            <w:tcBorders>
              <w:top w:val="single" w:sz="4" w:space="0" w:color="auto"/>
            </w:tcBorders>
          </w:tcPr>
          <w:p w14:paraId="374C79C2" w14:textId="0742189C" w:rsidR="006F59C0" w:rsidRPr="00B148F9" w:rsidRDefault="006F59C0" w:rsidP="00326CD3">
            <w:pPr>
              <w:jc w:val="center"/>
              <w:rPr>
                <w:rFonts w:cs="Arial"/>
              </w:rPr>
            </w:pPr>
          </w:p>
        </w:tc>
        <w:tc>
          <w:tcPr>
            <w:tcW w:w="675" w:type="dxa"/>
            <w:tcBorders>
              <w:top w:val="single" w:sz="4" w:space="0" w:color="auto"/>
            </w:tcBorders>
          </w:tcPr>
          <w:p w14:paraId="6626E9CF" w14:textId="77777777" w:rsidR="006F59C0" w:rsidRPr="00B148F9" w:rsidRDefault="006F59C0" w:rsidP="00326CD3">
            <w:pPr>
              <w:jc w:val="center"/>
              <w:rPr>
                <w:rFonts w:cs="Arial"/>
              </w:rPr>
            </w:pPr>
          </w:p>
        </w:tc>
        <w:tc>
          <w:tcPr>
            <w:tcW w:w="1418" w:type="dxa"/>
            <w:tcBorders>
              <w:top w:val="single" w:sz="4" w:space="0" w:color="auto"/>
            </w:tcBorders>
          </w:tcPr>
          <w:p w14:paraId="0BE7DDCC" w14:textId="420C1FA6" w:rsidR="006F59C0" w:rsidRPr="00B148F9" w:rsidRDefault="006F59C0" w:rsidP="00326CD3">
            <w:pPr>
              <w:jc w:val="center"/>
              <w:rPr>
                <w:rFonts w:cs="Arial"/>
              </w:rPr>
            </w:pPr>
          </w:p>
        </w:tc>
      </w:tr>
      <w:tr w:rsidR="00A12EB0" w:rsidRPr="00B148F9" w14:paraId="5346A925" w14:textId="77777777" w:rsidTr="00B746FC">
        <w:tc>
          <w:tcPr>
            <w:tcW w:w="3261" w:type="dxa"/>
            <w:gridSpan w:val="2"/>
            <w:vAlign w:val="center"/>
          </w:tcPr>
          <w:p w14:paraId="57634E7C" w14:textId="482F02BB" w:rsidR="006F59C0" w:rsidRPr="00B148F9" w:rsidRDefault="006F59C0" w:rsidP="000A3086">
            <w:pPr>
              <w:jc w:val="left"/>
              <w:rPr>
                <w:rFonts w:cs="Arial"/>
              </w:rPr>
            </w:pPr>
            <w:r w:rsidRPr="00B148F9">
              <w:rPr>
                <w:rFonts w:cs="Arial"/>
              </w:rPr>
              <w:t>Investments, at fair value</w:t>
            </w:r>
          </w:p>
        </w:tc>
        <w:tc>
          <w:tcPr>
            <w:tcW w:w="1417" w:type="dxa"/>
            <w:gridSpan w:val="2"/>
          </w:tcPr>
          <w:p w14:paraId="3ECF91E6" w14:textId="77777777" w:rsidR="006F59C0" w:rsidRPr="00B148F9" w:rsidRDefault="006F59C0" w:rsidP="00326CD3">
            <w:pPr>
              <w:jc w:val="center"/>
              <w:rPr>
                <w:rFonts w:cs="Arial"/>
              </w:rPr>
            </w:pPr>
          </w:p>
        </w:tc>
        <w:tc>
          <w:tcPr>
            <w:tcW w:w="284" w:type="dxa"/>
          </w:tcPr>
          <w:p w14:paraId="3C1CE8AA" w14:textId="77777777" w:rsidR="006F59C0" w:rsidRPr="00B148F9" w:rsidRDefault="006F59C0" w:rsidP="00326CD3">
            <w:pPr>
              <w:jc w:val="center"/>
              <w:rPr>
                <w:rFonts w:cs="Arial"/>
              </w:rPr>
            </w:pPr>
          </w:p>
        </w:tc>
        <w:tc>
          <w:tcPr>
            <w:tcW w:w="1134" w:type="dxa"/>
          </w:tcPr>
          <w:p w14:paraId="3C169FDE" w14:textId="77777777" w:rsidR="006F59C0" w:rsidRPr="00B148F9" w:rsidRDefault="006F59C0" w:rsidP="00326CD3">
            <w:pPr>
              <w:jc w:val="center"/>
              <w:rPr>
                <w:rFonts w:cs="Arial"/>
              </w:rPr>
            </w:pPr>
          </w:p>
        </w:tc>
        <w:tc>
          <w:tcPr>
            <w:tcW w:w="567" w:type="dxa"/>
          </w:tcPr>
          <w:p w14:paraId="75EDB626" w14:textId="77777777" w:rsidR="006F59C0" w:rsidRPr="00B148F9" w:rsidRDefault="006F59C0" w:rsidP="00326CD3">
            <w:pPr>
              <w:jc w:val="center"/>
              <w:rPr>
                <w:rFonts w:cs="Arial"/>
              </w:rPr>
            </w:pPr>
          </w:p>
        </w:tc>
        <w:tc>
          <w:tcPr>
            <w:tcW w:w="1275" w:type="dxa"/>
          </w:tcPr>
          <w:p w14:paraId="4AFFE6E2" w14:textId="396F17B8" w:rsidR="006F59C0" w:rsidRPr="00B148F9" w:rsidRDefault="006F59C0" w:rsidP="00326CD3">
            <w:pPr>
              <w:jc w:val="center"/>
              <w:rPr>
                <w:rFonts w:cs="Arial"/>
              </w:rPr>
            </w:pPr>
          </w:p>
        </w:tc>
        <w:tc>
          <w:tcPr>
            <w:tcW w:w="675" w:type="dxa"/>
          </w:tcPr>
          <w:p w14:paraId="47F9E822" w14:textId="77777777" w:rsidR="006F59C0" w:rsidRPr="00B148F9" w:rsidRDefault="006F59C0" w:rsidP="00326CD3">
            <w:pPr>
              <w:jc w:val="center"/>
              <w:rPr>
                <w:rFonts w:cs="Arial"/>
              </w:rPr>
            </w:pPr>
          </w:p>
        </w:tc>
        <w:tc>
          <w:tcPr>
            <w:tcW w:w="1418" w:type="dxa"/>
          </w:tcPr>
          <w:p w14:paraId="564940C5" w14:textId="7DE4A77A" w:rsidR="006F59C0" w:rsidRPr="00B148F9" w:rsidRDefault="006F59C0" w:rsidP="00326CD3">
            <w:pPr>
              <w:jc w:val="center"/>
              <w:rPr>
                <w:rFonts w:cs="Arial"/>
              </w:rPr>
            </w:pPr>
          </w:p>
        </w:tc>
      </w:tr>
      <w:tr w:rsidR="00A12EB0" w:rsidRPr="00B148F9" w14:paraId="73C07729" w14:textId="77777777" w:rsidTr="00B746FC">
        <w:tc>
          <w:tcPr>
            <w:tcW w:w="250" w:type="dxa"/>
          </w:tcPr>
          <w:p w14:paraId="58D3D9A4" w14:textId="77777777" w:rsidR="006F59C0" w:rsidRPr="00B148F9" w:rsidRDefault="006F59C0" w:rsidP="002E0BED">
            <w:pPr>
              <w:jc w:val="left"/>
              <w:rPr>
                <w:rFonts w:cs="Arial"/>
              </w:rPr>
            </w:pPr>
          </w:p>
        </w:tc>
        <w:tc>
          <w:tcPr>
            <w:tcW w:w="3011" w:type="dxa"/>
          </w:tcPr>
          <w:p w14:paraId="52514351" w14:textId="77777777" w:rsidR="006F59C0" w:rsidRPr="00B148F9" w:rsidRDefault="006F59C0" w:rsidP="002E0BED">
            <w:pPr>
              <w:jc w:val="left"/>
              <w:rPr>
                <w:rFonts w:cs="Arial"/>
              </w:rPr>
            </w:pPr>
          </w:p>
        </w:tc>
        <w:tc>
          <w:tcPr>
            <w:tcW w:w="485" w:type="dxa"/>
          </w:tcPr>
          <w:p w14:paraId="129052FE" w14:textId="77777777" w:rsidR="006F59C0" w:rsidRPr="00B148F9" w:rsidRDefault="006F59C0" w:rsidP="00326CD3">
            <w:pPr>
              <w:jc w:val="center"/>
              <w:rPr>
                <w:rFonts w:cs="Arial"/>
              </w:rPr>
            </w:pPr>
          </w:p>
        </w:tc>
        <w:tc>
          <w:tcPr>
            <w:tcW w:w="932" w:type="dxa"/>
          </w:tcPr>
          <w:p w14:paraId="576BE21F" w14:textId="77777777" w:rsidR="006F59C0" w:rsidRPr="00B148F9" w:rsidRDefault="006F59C0" w:rsidP="00326CD3">
            <w:pPr>
              <w:jc w:val="center"/>
              <w:rPr>
                <w:rFonts w:cs="Arial"/>
              </w:rPr>
            </w:pPr>
          </w:p>
        </w:tc>
        <w:tc>
          <w:tcPr>
            <w:tcW w:w="284" w:type="dxa"/>
          </w:tcPr>
          <w:p w14:paraId="60CEAD7B" w14:textId="77777777" w:rsidR="006F59C0" w:rsidRPr="00B148F9" w:rsidRDefault="006F59C0" w:rsidP="00326CD3">
            <w:pPr>
              <w:jc w:val="center"/>
              <w:rPr>
                <w:rFonts w:cs="Arial"/>
              </w:rPr>
            </w:pPr>
          </w:p>
        </w:tc>
        <w:tc>
          <w:tcPr>
            <w:tcW w:w="1134" w:type="dxa"/>
          </w:tcPr>
          <w:p w14:paraId="73E228F0" w14:textId="77777777" w:rsidR="006F59C0" w:rsidRPr="00B148F9" w:rsidRDefault="006F59C0" w:rsidP="00326CD3">
            <w:pPr>
              <w:jc w:val="center"/>
              <w:rPr>
                <w:rFonts w:cs="Arial"/>
              </w:rPr>
            </w:pPr>
          </w:p>
        </w:tc>
        <w:tc>
          <w:tcPr>
            <w:tcW w:w="567" w:type="dxa"/>
          </w:tcPr>
          <w:p w14:paraId="1426BDDD" w14:textId="77777777" w:rsidR="006F59C0" w:rsidRPr="00B148F9" w:rsidRDefault="006F59C0" w:rsidP="00326CD3">
            <w:pPr>
              <w:jc w:val="center"/>
              <w:rPr>
                <w:rFonts w:cs="Arial"/>
              </w:rPr>
            </w:pPr>
          </w:p>
        </w:tc>
        <w:tc>
          <w:tcPr>
            <w:tcW w:w="1275" w:type="dxa"/>
          </w:tcPr>
          <w:p w14:paraId="4649768C" w14:textId="3B71B482" w:rsidR="006F59C0" w:rsidRPr="00B148F9" w:rsidRDefault="006F59C0" w:rsidP="00326CD3">
            <w:pPr>
              <w:jc w:val="center"/>
              <w:rPr>
                <w:rFonts w:cs="Arial"/>
              </w:rPr>
            </w:pPr>
          </w:p>
        </w:tc>
        <w:tc>
          <w:tcPr>
            <w:tcW w:w="675" w:type="dxa"/>
          </w:tcPr>
          <w:p w14:paraId="370CAF93" w14:textId="77777777" w:rsidR="006F59C0" w:rsidRPr="00B148F9" w:rsidRDefault="006F59C0" w:rsidP="00326CD3">
            <w:pPr>
              <w:jc w:val="center"/>
              <w:rPr>
                <w:rFonts w:cs="Arial"/>
              </w:rPr>
            </w:pPr>
          </w:p>
        </w:tc>
        <w:tc>
          <w:tcPr>
            <w:tcW w:w="1418" w:type="dxa"/>
          </w:tcPr>
          <w:p w14:paraId="0B55C057" w14:textId="594B4115" w:rsidR="006F59C0" w:rsidRPr="00B148F9" w:rsidRDefault="006F59C0" w:rsidP="00326CD3">
            <w:pPr>
              <w:jc w:val="center"/>
              <w:rPr>
                <w:rFonts w:cs="Arial"/>
              </w:rPr>
            </w:pPr>
          </w:p>
        </w:tc>
      </w:tr>
      <w:tr w:rsidR="00A12EB0" w:rsidRPr="00B148F9" w14:paraId="544DF5C3" w14:textId="77777777" w:rsidTr="00B746FC">
        <w:tc>
          <w:tcPr>
            <w:tcW w:w="3261" w:type="dxa"/>
            <w:gridSpan w:val="2"/>
            <w:vAlign w:val="center"/>
          </w:tcPr>
          <w:p w14:paraId="0A6D34DE" w14:textId="73A62CE0" w:rsidR="006F59C0" w:rsidRPr="00B148F9" w:rsidRDefault="006F59C0">
            <w:pPr>
              <w:jc w:val="left"/>
              <w:rPr>
                <w:rFonts w:cs="Arial"/>
                <w:b/>
              </w:rPr>
            </w:pPr>
            <w:r w:rsidRPr="00B148F9">
              <w:rPr>
                <w:rFonts w:cs="Arial"/>
                <w:b/>
              </w:rPr>
              <w:t xml:space="preserve">Common </w:t>
            </w:r>
            <w:r w:rsidR="009349A5" w:rsidRPr="00B148F9">
              <w:rPr>
                <w:rFonts w:cs="Arial"/>
                <w:b/>
              </w:rPr>
              <w:t>s</w:t>
            </w:r>
            <w:r w:rsidRPr="00B148F9">
              <w:rPr>
                <w:rFonts w:cs="Arial"/>
                <w:b/>
              </w:rPr>
              <w:t>tock</w:t>
            </w:r>
            <w:r w:rsidR="009349A5" w:rsidRPr="00B148F9">
              <w:rPr>
                <w:rFonts w:cs="Arial"/>
                <w:b/>
              </w:rPr>
              <w:t>s</w:t>
            </w:r>
          </w:p>
        </w:tc>
        <w:tc>
          <w:tcPr>
            <w:tcW w:w="1417" w:type="dxa"/>
            <w:gridSpan w:val="2"/>
          </w:tcPr>
          <w:p w14:paraId="676ED80A" w14:textId="77777777" w:rsidR="006F59C0" w:rsidRPr="00B148F9" w:rsidRDefault="006F59C0" w:rsidP="00326CD3">
            <w:pPr>
              <w:jc w:val="center"/>
              <w:rPr>
                <w:rFonts w:cs="Arial"/>
              </w:rPr>
            </w:pPr>
          </w:p>
        </w:tc>
        <w:tc>
          <w:tcPr>
            <w:tcW w:w="284" w:type="dxa"/>
          </w:tcPr>
          <w:p w14:paraId="2262DA77" w14:textId="77777777" w:rsidR="006F59C0" w:rsidRPr="00B148F9" w:rsidRDefault="006F59C0" w:rsidP="00326CD3">
            <w:pPr>
              <w:jc w:val="center"/>
              <w:rPr>
                <w:rFonts w:cs="Arial"/>
              </w:rPr>
            </w:pPr>
          </w:p>
        </w:tc>
        <w:tc>
          <w:tcPr>
            <w:tcW w:w="1134" w:type="dxa"/>
          </w:tcPr>
          <w:p w14:paraId="4563D11C" w14:textId="77777777" w:rsidR="006F59C0" w:rsidRPr="00B148F9" w:rsidRDefault="006F59C0" w:rsidP="00326CD3">
            <w:pPr>
              <w:jc w:val="center"/>
              <w:rPr>
                <w:rFonts w:cs="Arial"/>
              </w:rPr>
            </w:pPr>
          </w:p>
        </w:tc>
        <w:tc>
          <w:tcPr>
            <w:tcW w:w="567" w:type="dxa"/>
          </w:tcPr>
          <w:p w14:paraId="3926E13A" w14:textId="77777777" w:rsidR="006F59C0" w:rsidRPr="00B148F9" w:rsidRDefault="006F59C0" w:rsidP="00326CD3">
            <w:pPr>
              <w:jc w:val="center"/>
              <w:rPr>
                <w:rFonts w:cs="Arial"/>
              </w:rPr>
            </w:pPr>
          </w:p>
        </w:tc>
        <w:tc>
          <w:tcPr>
            <w:tcW w:w="1275" w:type="dxa"/>
          </w:tcPr>
          <w:p w14:paraId="2159FCC2" w14:textId="2D4E8A92" w:rsidR="006F59C0" w:rsidRPr="00B148F9" w:rsidRDefault="006F59C0" w:rsidP="00326CD3">
            <w:pPr>
              <w:jc w:val="center"/>
              <w:rPr>
                <w:rFonts w:cs="Arial"/>
              </w:rPr>
            </w:pPr>
          </w:p>
        </w:tc>
        <w:tc>
          <w:tcPr>
            <w:tcW w:w="675" w:type="dxa"/>
          </w:tcPr>
          <w:p w14:paraId="4BEB7936" w14:textId="77777777" w:rsidR="006F59C0" w:rsidRPr="00B148F9" w:rsidRDefault="006F59C0" w:rsidP="00326CD3">
            <w:pPr>
              <w:jc w:val="center"/>
              <w:rPr>
                <w:rFonts w:cs="Arial"/>
              </w:rPr>
            </w:pPr>
          </w:p>
        </w:tc>
        <w:tc>
          <w:tcPr>
            <w:tcW w:w="1418" w:type="dxa"/>
          </w:tcPr>
          <w:p w14:paraId="1442734C" w14:textId="7CB87849" w:rsidR="006F59C0" w:rsidRPr="00B148F9" w:rsidRDefault="006F59C0" w:rsidP="00326CD3">
            <w:pPr>
              <w:jc w:val="center"/>
              <w:rPr>
                <w:rFonts w:cs="Arial"/>
              </w:rPr>
            </w:pPr>
          </w:p>
        </w:tc>
      </w:tr>
      <w:tr w:rsidR="00A12EB0" w:rsidRPr="00B148F9" w14:paraId="1E30DF1A" w14:textId="77777777" w:rsidTr="00B746FC">
        <w:tc>
          <w:tcPr>
            <w:tcW w:w="250" w:type="dxa"/>
          </w:tcPr>
          <w:p w14:paraId="50682BCB" w14:textId="77777777" w:rsidR="006F59C0" w:rsidRPr="00B148F9" w:rsidRDefault="006F59C0" w:rsidP="002E0BED">
            <w:pPr>
              <w:jc w:val="left"/>
              <w:rPr>
                <w:rFonts w:cs="Arial"/>
              </w:rPr>
            </w:pPr>
          </w:p>
        </w:tc>
        <w:tc>
          <w:tcPr>
            <w:tcW w:w="3011" w:type="dxa"/>
          </w:tcPr>
          <w:p w14:paraId="4764FB70" w14:textId="6B584FFA" w:rsidR="006F59C0" w:rsidRPr="00B148F9" w:rsidRDefault="0062249A" w:rsidP="002E0BED">
            <w:pPr>
              <w:jc w:val="left"/>
              <w:rPr>
                <w:rFonts w:cs="Arial"/>
                <w:b/>
              </w:rPr>
            </w:pPr>
            <w:r w:rsidRPr="00B148F9">
              <w:rPr>
                <w:rFonts w:cs="Arial"/>
                <w:b/>
              </w:rPr>
              <w:t>United States</w:t>
            </w:r>
          </w:p>
        </w:tc>
        <w:tc>
          <w:tcPr>
            <w:tcW w:w="485" w:type="dxa"/>
          </w:tcPr>
          <w:p w14:paraId="080ED8B9" w14:textId="77777777" w:rsidR="006F59C0" w:rsidRPr="00B148F9" w:rsidRDefault="006F59C0" w:rsidP="00326CD3">
            <w:pPr>
              <w:jc w:val="center"/>
              <w:rPr>
                <w:rFonts w:cs="Arial"/>
              </w:rPr>
            </w:pPr>
          </w:p>
        </w:tc>
        <w:tc>
          <w:tcPr>
            <w:tcW w:w="932" w:type="dxa"/>
          </w:tcPr>
          <w:p w14:paraId="6B48705F" w14:textId="77777777" w:rsidR="006F59C0" w:rsidRPr="00B148F9" w:rsidRDefault="006F59C0" w:rsidP="00326CD3">
            <w:pPr>
              <w:jc w:val="center"/>
              <w:rPr>
                <w:rFonts w:cs="Arial"/>
              </w:rPr>
            </w:pPr>
          </w:p>
        </w:tc>
        <w:tc>
          <w:tcPr>
            <w:tcW w:w="284" w:type="dxa"/>
          </w:tcPr>
          <w:p w14:paraId="550BDEB4" w14:textId="77777777" w:rsidR="006F59C0" w:rsidRPr="00B148F9" w:rsidRDefault="006F59C0" w:rsidP="00326CD3">
            <w:pPr>
              <w:jc w:val="center"/>
              <w:rPr>
                <w:rFonts w:cs="Arial"/>
              </w:rPr>
            </w:pPr>
          </w:p>
        </w:tc>
        <w:tc>
          <w:tcPr>
            <w:tcW w:w="1134" w:type="dxa"/>
          </w:tcPr>
          <w:p w14:paraId="436B7256" w14:textId="77777777" w:rsidR="006F59C0" w:rsidRPr="00B148F9" w:rsidRDefault="006F59C0" w:rsidP="00326CD3">
            <w:pPr>
              <w:jc w:val="center"/>
              <w:rPr>
                <w:rFonts w:cs="Arial"/>
              </w:rPr>
            </w:pPr>
          </w:p>
        </w:tc>
        <w:tc>
          <w:tcPr>
            <w:tcW w:w="567" w:type="dxa"/>
          </w:tcPr>
          <w:p w14:paraId="10FDF4CB" w14:textId="77777777" w:rsidR="006F59C0" w:rsidRPr="00B148F9" w:rsidRDefault="006F59C0" w:rsidP="00326CD3">
            <w:pPr>
              <w:jc w:val="center"/>
              <w:rPr>
                <w:rFonts w:cs="Arial"/>
              </w:rPr>
            </w:pPr>
          </w:p>
        </w:tc>
        <w:tc>
          <w:tcPr>
            <w:tcW w:w="1275" w:type="dxa"/>
          </w:tcPr>
          <w:p w14:paraId="0C0E2A02" w14:textId="293C7FC2" w:rsidR="006F59C0" w:rsidRPr="00B148F9" w:rsidRDefault="006F59C0" w:rsidP="00326CD3">
            <w:pPr>
              <w:jc w:val="center"/>
              <w:rPr>
                <w:rFonts w:cs="Arial"/>
              </w:rPr>
            </w:pPr>
          </w:p>
        </w:tc>
        <w:tc>
          <w:tcPr>
            <w:tcW w:w="675" w:type="dxa"/>
          </w:tcPr>
          <w:p w14:paraId="4F33375A" w14:textId="77777777" w:rsidR="006F59C0" w:rsidRPr="00B148F9" w:rsidRDefault="006F59C0" w:rsidP="00326CD3">
            <w:pPr>
              <w:jc w:val="center"/>
              <w:rPr>
                <w:rFonts w:cs="Arial"/>
              </w:rPr>
            </w:pPr>
          </w:p>
        </w:tc>
        <w:tc>
          <w:tcPr>
            <w:tcW w:w="1418" w:type="dxa"/>
          </w:tcPr>
          <w:p w14:paraId="166E3D43" w14:textId="065D953F" w:rsidR="006F59C0" w:rsidRPr="00B148F9" w:rsidRDefault="006F59C0" w:rsidP="00326CD3">
            <w:pPr>
              <w:jc w:val="center"/>
              <w:rPr>
                <w:rFonts w:cs="Arial"/>
              </w:rPr>
            </w:pPr>
          </w:p>
        </w:tc>
      </w:tr>
      <w:tr w:rsidR="00A12EB0" w:rsidRPr="00B148F9" w14:paraId="4C0AC4FE" w14:textId="77777777" w:rsidTr="00B746FC">
        <w:tc>
          <w:tcPr>
            <w:tcW w:w="250" w:type="dxa"/>
          </w:tcPr>
          <w:p w14:paraId="332F8F05" w14:textId="77777777" w:rsidR="00CF57AF" w:rsidRPr="00B148F9" w:rsidRDefault="00CF57AF" w:rsidP="000D0DC2">
            <w:pPr>
              <w:jc w:val="left"/>
              <w:rPr>
                <w:rFonts w:cs="Arial"/>
              </w:rPr>
            </w:pPr>
          </w:p>
        </w:tc>
        <w:tc>
          <w:tcPr>
            <w:tcW w:w="3011" w:type="dxa"/>
          </w:tcPr>
          <w:p w14:paraId="428E8935" w14:textId="4B419D14" w:rsidR="00CF57AF" w:rsidRPr="00B148F9" w:rsidRDefault="00AA79D1" w:rsidP="000D0DC2">
            <w:pPr>
              <w:jc w:val="left"/>
              <w:rPr>
                <w:rFonts w:cs="Arial"/>
              </w:rPr>
            </w:pPr>
            <w:r w:rsidRPr="00B148F9">
              <w:rPr>
                <w:rFonts w:cs="Arial"/>
              </w:rPr>
              <w:t>Healthcare</w:t>
            </w:r>
          </w:p>
        </w:tc>
        <w:tc>
          <w:tcPr>
            <w:tcW w:w="485" w:type="dxa"/>
          </w:tcPr>
          <w:p w14:paraId="7132A0A6" w14:textId="77777777" w:rsidR="00CF57AF" w:rsidRPr="00B148F9" w:rsidRDefault="00CF57AF" w:rsidP="000D0DC2">
            <w:pPr>
              <w:jc w:val="center"/>
              <w:rPr>
                <w:rFonts w:cs="Arial"/>
              </w:rPr>
            </w:pPr>
          </w:p>
        </w:tc>
        <w:tc>
          <w:tcPr>
            <w:tcW w:w="932" w:type="dxa"/>
          </w:tcPr>
          <w:p w14:paraId="3E49FDCF" w14:textId="77777777" w:rsidR="00CF57AF" w:rsidRPr="00B148F9" w:rsidRDefault="00CF57AF" w:rsidP="000D0DC2">
            <w:pPr>
              <w:jc w:val="center"/>
              <w:rPr>
                <w:rFonts w:cs="Arial"/>
              </w:rPr>
            </w:pPr>
          </w:p>
        </w:tc>
        <w:tc>
          <w:tcPr>
            <w:tcW w:w="284" w:type="dxa"/>
          </w:tcPr>
          <w:p w14:paraId="379AD1A1" w14:textId="77777777" w:rsidR="00CF57AF" w:rsidRPr="00B148F9" w:rsidRDefault="00CF57AF" w:rsidP="000D0DC2">
            <w:pPr>
              <w:jc w:val="center"/>
              <w:rPr>
                <w:rFonts w:cs="Arial"/>
              </w:rPr>
            </w:pPr>
          </w:p>
        </w:tc>
        <w:tc>
          <w:tcPr>
            <w:tcW w:w="1134" w:type="dxa"/>
          </w:tcPr>
          <w:p w14:paraId="4968E8C0" w14:textId="77777777" w:rsidR="00CF57AF" w:rsidRPr="00B148F9" w:rsidRDefault="00CF57AF" w:rsidP="000D0DC2">
            <w:pPr>
              <w:jc w:val="center"/>
              <w:rPr>
                <w:rFonts w:cs="Arial"/>
              </w:rPr>
            </w:pPr>
          </w:p>
        </w:tc>
        <w:tc>
          <w:tcPr>
            <w:tcW w:w="567" w:type="dxa"/>
          </w:tcPr>
          <w:p w14:paraId="58B5F0BB" w14:textId="77777777" w:rsidR="00CF57AF" w:rsidRPr="00B148F9" w:rsidRDefault="00CF57AF" w:rsidP="000D0DC2">
            <w:pPr>
              <w:jc w:val="center"/>
              <w:rPr>
                <w:rFonts w:cs="Arial"/>
              </w:rPr>
            </w:pPr>
          </w:p>
        </w:tc>
        <w:tc>
          <w:tcPr>
            <w:tcW w:w="1275" w:type="dxa"/>
          </w:tcPr>
          <w:p w14:paraId="56E10DC0" w14:textId="77777777" w:rsidR="00CF57AF" w:rsidRPr="00B148F9" w:rsidRDefault="00CF57AF" w:rsidP="000D0DC2">
            <w:pPr>
              <w:jc w:val="center"/>
              <w:rPr>
                <w:rFonts w:cs="Arial"/>
              </w:rPr>
            </w:pPr>
          </w:p>
        </w:tc>
        <w:tc>
          <w:tcPr>
            <w:tcW w:w="675" w:type="dxa"/>
          </w:tcPr>
          <w:p w14:paraId="12D95419" w14:textId="77777777" w:rsidR="00CF57AF" w:rsidRPr="00B148F9" w:rsidRDefault="00CF57AF" w:rsidP="000D0DC2">
            <w:pPr>
              <w:jc w:val="center"/>
              <w:rPr>
                <w:rFonts w:cs="Arial"/>
              </w:rPr>
            </w:pPr>
          </w:p>
        </w:tc>
        <w:tc>
          <w:tcPr>
            <w:tcW w:w="1418" w:type="dxa"/>
          </w:tcPr>
          <w:p w14:paraId="367BF24A" w14:textId="77777777" w:rsidR="00CF57AF" w:rsidRPr="00B148F9" w:rsidRDefault="00CF57AF" w:rsidP="000D0DC2">
            <w:pPr>
              <w:jc w:val="center"/>
              <w:rPr>
                <w:rFonts w:cs="Arial"/>
              </w:rPr>
            </w:pPr>
          </w:p>
        </w:tc>
      </w:tr>
      <w:tr w:rsidR="00A12EB0" w:rsidRPr="00B148F9" w14:paraId="6CBD6D2B" w14:textId="77777777" w:rsidTr="00B746FC">
        <w:tc>
          <w:tcPr>
            <w:tcW w:w="250" w:type="dxa"/>
          </w:tcPr>
          <w:p w14:paraId="51D66F0B" w14:textId="77777777" w:rsidR="000D0DC2" w:rsidRPr="00B148F9" w:rsidRDefault="000D0DC2" w:rsidP="000D0DC2">
            <w:pPr>
              <w:jc w:val="left"/>
              <w:rPr>
                <w:rFonts w:cs="Arial"/>
              </w:rPr>
            </w:pPr>
          </w:p>
        </w:tc>
        <w:tc>
          <w:tcPr>
            <w:tcW w:w="3011" w:type="dxa"/>
          </w:tcPr>
          <w:p w14:paraId="2A6ED802" w14:textId="03E323D1" w:rsidR="000D0DC2" w:rsidRPr="00B148F9" w:rsidRDefault="000D0DC2" w:rsidP="000D0DC2">
            <w:pPr>
              <w:jc w:val="left"/>
              <w:rPr>
                <w:rFonts w:cs="Arial"/>
              </w:rPr>
            </w:pPr>
            <w:r w:rsidRPr="00B148F9">
              <w:rPr>
                <w:rFonts w:cs="Arial"/>
              </w:rPr>
              <w:t>Rocket Pharmaceuticals</w:t>
            </w:r>
            <w:r w:rsidR="00CB5410" w:rsidRPr="00B148F9">
              <w:rPr>
                <w:rFonts w:cs="Arial"/>
              </w:rPr>
              <w:t>,</w:t>
            </w:r>
            <w:r w:rsidRPr="00B148F9">
              <w:rPr>
                <w:rFonts w:cs="Arial"/>
              </w:rPr>
              <w:t xml:space="preserve"> Inc</w:t>
            </w:r>
            <w:r w:rsidR="00CB5410" w:rsidRPr="00B148F9">
              <w:rPr>
                <w:rFonts w:cs="Arial"/>
              </w:rPr>
              <w:t>.</w:t>
            </w:r>
          </w:p>
        </w:tc>
        <w:tc>
          <w:tcPr>
            <w:tcW w:w="485" w:type="dxa"/>
          </w:tcPr>
          <w:p w14:paraId="7961847D" w14:textId="77777777" w:rsidR="000D0DC2" w:rsidRPr="00B148F9" w:rsidRDefault="000D0DC2" w:rsidP="000D0DC2">
            <w:pPr>
              <w:jc w:val="center"/>
              <w:rPr>
                <w:rFonts w:cs="Arial"/>
              </w:rPr>
            </w:pPr>
          </w:p>
        </w:tc>
        <w:tc>
          <w:tcPr>
            <w:tcW w:w="932" w:type="dxa"/>
          </w:tcPr>
          <w:p w14:paraId="710227EB" w14:textId="3E181258" w:rsidR="000D0DC2" w:rsidRPr="00B148F9" w:rsidRDefault="00D77D1F" w:rsidP="000D0DC2">
            <w:pPr>
              <w:jc w:val="center"/>
              <w:rPr>
                <w:rFonts w:cs="Arial"/>
              </w:rPr>
            </w:pPr>
            <w:r w:rsidRPr="00B148F9">
              <w:rPr>
                <w:rFonts w:cs="Arial"/>
              </w:rPr>
              <w:t>34.19</w:t>
            </w:r>
          </w:p>
        </w:tc>
        <w:tc>
          <w:tcPr>
            <w:tcW w:w="284" w:type="dxa"/>
          </w:tcPr>
          <w:p w14:paraId="7AC2559C" w14:textId="66553105" w:rsidR="000D0DC2" w:rsidRPr="00B148F9" w:rsidRDefault="00AA79D1" w:rsidP="00B746FC">
            <w:pPr>
              <w:jc w:val="left"/>
              <w:rPr>
                <w:rFonts w:cs="Arial"/>
              </w:rPr>
            </w:pPr>
            <w:r w:rsidRPr="00B148F9">
              <w:rPr>
                <w:rFonts w:cs="Arial"/>
              </w:rPr>
              <w:t>%</w:t>
            </w:r>
          </w:p>
        </w:tc>
        <w:tc>
          <w:tcPr>
            <w:tcW w:w="1134" w:type="dxa"/>
          </w:tcPr>
          <w:p w14:paraId="0C5B299A" w14:textId="3751BA8D" w:rsidR="000D0DC2" w:rsidRPr="00B148F9" w:rsidRDefault="00D77D1F" w:rsidP="000D0DC2">
            <w:pPr>
              <w:jc w:val="center"/>
              <w:rPr>
                <w:rFonts w:cs="Arial"/>
              </w:rPr>
            </w:pPr>
            <w:r w:rsidRPr="00B148F9">
              <w:rPr>
                <w:rFonts w:cs="Arial"/>
              </w:rPr>
              <w:t>3,089,728</w:t>
            </w:r>
          </w:p>
        </w:tc>
        <w:tc>
          <w:tcPr>
            <w:tcW w:w="567" w:type="dxa"/>
          </w:tcPr>
          <w:p w14:paraId="79FA102C" w14:textId="6FD32055" w:rsidR="000D0DC2" w:rsidRPr="00B148F9" w:rsidRDefault="00AA79D1" w:rsidP="00B746FC">
            <w:pPr>
              <w:jc w:val="right"/>
              <w:rPr>
                <w:rFonts w:cs="Arial"/>
              </w:rPr>
            </w:pPr>
            <w:r w:rsidRPr="00B148F9">
              <w:rPr>
                <w:rFonts w:cs="Arial"/>
              </w:rPr>
              <w:t>US$</w:t>
            </w:r>
          </w:p>
        </w:tc>
        <w:tc>
          <w:tcPr>
            <w:tcW w:w="1275" w:type="dxa"/>
          </w:tcPr>
          <w:p w14:paraId="2057AA07" w14:textId="2869CAF6" w:rsidR="000D0DC2" w:rsidRPr="00B148F9" w:rsidRDefault="00D77D1F" w:rsidP="000D0DC2">
            <w:pPr>
              <w:jc w:val="center"/>
              <w:rPr>
                <w:rFonts w:cs="Arial"/>
              </w:rPr>
            </w:pPr>
            <w:r w:rsidRPr="00B148F9">
              <w:rPr>
                <w:rFonts w:cs="Arial"/>
              </w:rPr>
              <w:t>8,131,396</w:t>
            </w:r>
          </w:p>
        </w:tc>
        <w:tc>
          <w:tcPr>
            <w:tcW w:w="675" w:type="dxa"/>
          </w:tcPr>
          <w:p w14:paraId="4783C874" w14:textId="030C8E29" w:rsidR="000D0DC2" w:rsidRPr="00B148F9" w:rsidRDefault="00AA79D1" w:rsidP="00B746FC">
            <w:pPr>
              <w:jc w:val="right"/>
              <w:rPr>
                <w:rFonts w:cs="Arial"/>
              </w:rPr>
            </w:pPr>
            <w:r w:rsidRPr="00B148F9">
              <w:rPr>
                <w:rFonts w:cs="Arial"/>
              </w:rPr>
              <w:t>US$</w:t>
            </w:r>
          </w:p>
        </w:tc>
        <w:tc>
          <w:tcPr>
            <w:tcW w:w="1418" w:type="dxa"/>
          </w:tcPr>
          <w:p w14:paraId="5E22810B" w14:textId="016259E5" w:rsidR="000D0DC2" w:rsidRPr="00B148F9" w:rsidRDefault="00D77D1F" w:rsidP="000D0DC2">
            <w:pPr>
              <w:jc w:val="center"/>
              <w:rPr>
                <w:rFonts w:cs="Arial"/>
              </w:rPr>
            </w:pPr>
            <w:r w:rsidRPr="00B148F9">
              <w:rPr>
                <w:rFonts w:cs="Arial"/>
              </w:rPr>
              <w:t>70,322,209</w:t>
            </w:r>
          </w:p>
        </w:tc>
      </w:tr>
      <w:tr w:rsidR="00A12EB0" w:rsidRPr="00B148F9" w14:paraId="30374BF3" w14:textId="77777777" w:rsidTr="00B746FC">
        <w:tc>
          <w:tcPr>
            <w:tcW w:w="250" w:type="dxa"/>
          </w:tcPr>
          <w:p w14:paraId="3A11F339" w14:textId="77777777" w:rsidR="000D0DC2" w:rsidRPr="00B148F9" w:rsidRDefault="000D0DC2" w:rsidP="000D0DC2">
            <w:pPr>
              <w:jc w:val="left"/>
              <w:rPr>
                <w:rFonts w:cs="Arial"/>
              </w:rPr>
            </w:pPr>
          </w:p>
        </w:tc>
        <w:tc>
          <w:tcPr>
            <w:tcW w:w="3011" w:type="dxa"/>
          </w:tcPr>
          <w:p w14:paraId="5DAC9B0F" w14:textId="49147BD2" w:rsidR="000D0DC2" w:rsidRPr="00B148F9" w:rsidRDefault="00CF57AF" w:rsidP="000D0DC2">
            <w:pPr>
              <w:jc w:val="left"/>
              <w:rPr>
                <w:rFonts w:cs="Arial"/>
              </w:rPr>
            </w:pPr>
            <w:r w:rsidRPr="00B148F9">
              <w:rPr>
                <w:rFonts w:cs="Arial"/>
              </w:rPr>
              <w:t>Other</w:t>
            </w:r>
            <w:r w:rsidR="00CC7080" w:rsidRPr="00B148F9">
              <w:rPr>
                <w:rFonts w:cs="Arial"/>
              </w:rPr>
              <w:t>s</w:t>
            </w:r>
            <w:r w:rsidRPr="00B148F9">
              <w:rPr>
                <w:rFonts w:cs="Arial"/>
              </w:rPr>
              <w:t>*</w:t>
            </w:r>
          </w:p>
        </w:tc>
        <w:tc>
          <w:tcPr>
            <w:tcW w:w="485" w:type="dxa"/>
          </w:tcPr>
          <w:p w14:paraId="41C587FC" w14:textId="77777777" w:rsidR="000D0DC2" w:rsidRPr="00B148F9" w:rsidRDefault="000D0DC2" w:rsidP="000D0DC2">
            <w:pPr>
              <w:jc w:val="center"/>
              <w:rPr>
                <w:rFonts w:cs="Arial"/>
              </w:rPr>
            </w:pPr>
          </w:p>
        </w:tc>
        <w:tc>
          <w:tcPr>
            <w:tcW w:w="932" w:type="dxa"/>
          </w:tcPr>
          <w:p w14:paraId="2F6108BA" w14:textId="493FF938" w:rsidR="000D0DC2" w:rsidRPr="00B148F9" w:rsidRDefault="00CF57AF" w:rsidP="00D050E5">
            <w:pPr>
              <w:jc w:val="center"/>
              <w:rPr>
                <w:rFonts w:cs="Arial"/>
              </w:rPr>
            </w:pPr>
            <w:r w:rsidRPr="00B148F9">
              <w:rPr>
                <w:rFonts w:cs="Arial"/>
              </w:rPr>
              <w:t>3</w:t>
            </w:r>
            <w:r w:rsidR="00687A87" w:rsidRPr="00B148F9">
              <w:rPr>
                <w:rFonts w:cs="Arial"/>
              </w:rPr>
              <w:t>1</w:t>
            </w:r>
            <w:r w:rsidR="00CC7080" w:rsidRPr="00B148F9">
              <w:rPr>
                <w:rFonts w:cs="Arial"/>
              </w:rPr>
              <w:t>.</w:t>
            </w:r>
            <w:r w:rsidR="00687A87" w:rsidRPr="00B148F9">
              <w:rPr>
                <w:rFonts w:cs="Arial"/>
              </w:rPr>
              <w:t>88</w:t>
            </w:r>
          </w:p>
        </w:tc>
        <w:tc>
          <w:tcPr>
            <w:tcW w:w="284" w:type="dxa"/>
          </w:tcPr>
          <w:p w14:paraId="38989AD1" w14:textId="77777777" w:rsidR="000D0DC2" w:rsidRPr="00B148F9" w:rsidRDefault="000D0DC2" w:rsidP="000D0DC2">
            <w:pPr>
              <w:jc w:val="center"/>
              <w:rPr>
                <w:rFonts w:cs="Arial"/>
              </w:rPr>
            </w:pPr>
          </w:p>
        </w:tc>
        <w:tc>
          <w:tcPr>
            <w:tcW w:w="1134" w:type="dxa"/>
          </w:tcPr>
          <w:p w14:paraId="51781632" w14:textId="2315CD9B" w:rsidR="000D0DC2" w:rsidRPr="00B148F9" w:rsidRDefault="00687A87" w:rsidP="00D050E5">
            <w:pPr>
              <w:jc w:val="center"/>
              <w:rPr>
                <w:rFonts w:cs="Arial"/>
              </w:rPr>
            </w:pPr>
            <w:r w:rsidRPr="00B148F9">
              <w:rPr>
                <w:rFonts w:cs="Arial"/>
              </w:rPr>
              <w:t>2</w:t>
            </w:r>
            <w:r w:rsidR="00CC7080" w:rsidRPr="00B148F9">
              <w:rPr>
                <w:rFonts w:cs="Arial"/>
              </w:rPr>
              <w:t>,</w:t>
            </w:r>
            <w:r w:rsidRPr="00B148F9">
              <w:rPr>
                <w:rFonts w:cs="Arial"/>
              </w:rPr>
              <w:t>657</w:t>
            </w:r>
            <w:r w:rsidR="00CC7080" w:rsidRPr="00B148F9">
              <w:rPr>
                <w:rFonts w:cs="Arial"/>
              </w:rPr>
              <w:t>,</w:t>
            </w:r>
            <w:r w:rsidRPr="00B148F9">
              <w:rPr>
                <w:rFonts w:cs="Arial"/>
              </w:rPr>
              <w:t>9</w:t>
            </w:r>
            <w:r w:rsidR="00CC7080" w:rsidRPr="00B148F9">
              <w:rPr>
                <w:rFonts w:cs="Arial"/>
              </w:rPr>
              <w:t>0</w:t>
            </w:r>
            <w:r w:rsidRPr="00B148F9">
              <w:rPr>
                <w:rFonts w:cs="Arial"/>
              </w:rPr>
              <w:t>7</w:t>
            </w:r>
          </w:p>
        </w:tc>
        <w:tc>
          <w:tcPr>
            <w:tcW w:w="567" w:type="dxa"/>
          </w:tcPr>
          <w:p w14:paraId="2EB4B67E" w14:textId="77777777" w:rsidR="000D0DC2" w:rsidRPr="00B148F9" w:rsidRDefault="000D0DC2" w:rsidP="000D0DC2">
            <w:pPr>
              <w:jc w:val="center"/>
              <w:rPr>
                <w:rFonts w:cs="Arial"/>
              </w:rPr>
            </w:pPr>
          </w:p>
        </w:tc>
        <w:tc>
          <w:tcPr>
            <w:tcW w:w="1275" w:type="dxa"/>
          </w:tcPr>
          <w:p w14:paraId="06F866F1" w14:textId="48F578EE" w:rsidR="000D0DC2" w:rsidRPr="00B148F9" w:rsidRDefault="00CC7080" w:rsidP="00D050E5">
            <w:pPr>
              <w:jc w:val="center"/>
              <w:rPr>
                <w:rFonts w:cs="Arial"/>
              </w:rPr>
            </w:pPr>
            <w:r w:rsidRPr="00B148F9">
              <w:rPr>
                <w:rFonts w:cs="Arial"/>
              </w:rPr>
              <w:t>5</w:t>
            </w:r>
            <w:r w:rsidR="00687A87" w:rsidRPr="00B148F9">
              <w:rPr>
                <w:rFonts w:cs="Arial"/>
              </w:rPr>
              <w:t>1</w:t>
            </w:r>
            <w:r w:rsidRPr="00B148F9">
              <w:rPr>
                <w:rFonts w:cs="Arial"/>
              </w:rPr>
              <w:t>,</w:t>
            </w:r>
            <w:r w:rsidR="00687A87" w:rsidRPr="00B148F9">
              <w:rPr>
                <w:rFonts w:cs="Arial"/>
              </w:rPr>
              <w:t>241</w:t>
            </w:r>
            <w:r w:rsidRPr="00B148F9">
              <w:rPr>
                <w:rFonts w:cs="Arial"/>
              </w:rPr>
              <w:t>,</w:t>
            </w:r>
            <w:r w:rsidR="00687A87" w:rsidRPr="00B148F9">
              <w:rPr>
                <w:rFonts w:cs="Arial"/>
              </w:rPr>
              <w:t>54</w:t>
            </w:r>
            <w:r w:rsidR="00E20474" w:rsidRPr="00B148F9">
              <w:rPr>
                <w:rFonts w:cs="Arial"/>
              </w:rPr>
              <w:t>7</w:t>
            </w:r>
          </w:p>
        </w:tc>
        <w:tc>
          <w:tcPr>
            <w:tcW w:w="675" w:type="dxa"/>
          </w:tcPr>
          <w:p w14:paraId="198057D6" w14:textId="77777777" w:rsidR="000D0DC2" w:rsidRPr="00B148F9" w:rsidRDefault="000D0DC2" w:rsidP="000D0DC2">
            <w:pPr>
              <w:jc w:val="center"/>
              <w:rPr>
                <w:rFonts w:cs="Arial"/>
              </w:rPr>
            </w:pPr>
          </w:p>
        </w:tc>
        <w:tc>
          <w:tcPr>
            <w:tcW w:w="1418" w:type="dxa"/>
          </w:tcPr>
          <w:p w14:paraId="0291D8D0" w14:textId="612DBD2E" w:rsidR="000D0DC2" w:rsidRPr="00B148F9" w:rsidRDefault="00687A87" w:rsidP="00D050E5">
            <w:pPr>
              <w:jc w:val="center"/>
              <w:rPr>
                <w:rFonts w:cs="Arial"/>
              </w:rPr>
            </w:pPr>
            <w:r w:rsidRPr="00B148F9">
              <w:rPr>
                <w:rFonts w:cs="Arial"/>
              </w:rPr>
              <w:t>65</w:t>
            </w:r>
            <w:r w:rsidR="00CC7080" w:rsidRPr="00B148F9">
              <w:rPr>
                <w:rFonts w:cs="Arial"/>
              </w:rPr>
              <w:t>,</w:t>
            </w:r>
            <w:r w:rsidRPr="00B148F9">
              <w:rPr>
                <w:rFonts w:cs="Arial"/>
              </w:rPr>
              <w:t>572</w:t>
            </w:r>
            <w:r w:rsidR="00CC7080" w:rsidRPr="00B148F9">
              <w:rPr>
                <w:rFonts w:cs="Arial"/>
              </w:rPr>
              <w:t>,</w:t>
            </w:r>
            <w:r w:rsidRPr="00B148F9">
              <w:rPr>
                <w:rFonts w:cs="Arial"/>
              </w:rPr>
              <w:t>7</w:t>
            </w:r>
            <w:r w:rsidR="00E20474" w:rsidRPr="00B148F9">
              <w:rPr>
                <w:rFonts w:cs="Arial"/>
              </w:rPr>
              <w:t>87</w:t>
            </w:r>
          </w:p>
        </w:tc>
      </w:tr>
      <w:tr w:rsidR="00A12EB0" w:rsidRPr="00B148F9" w14:paraId="243D3BF3" w14:textId="77777777" w:rsidTr="00B746FC">
        <w:tc>
          <w:tcPr>
            <w:tcW w:w="250" w:type="dxa"/>
          </w:tcPr>
          <w:p w14:paraId="25158C92" w14:textId="77777777" w:rsidR="000D0DC2" w:rsidRPr="00B148F9" w:rsidRDefault="000D0DC2" w:rsidP="000D0DC2">
            <w:pPr>
              <w:jc w:val="left"/>
              <w:rPr>
                <w:rFonts w:cs="Arial"/>
              </w:rPr>
            </w:pPr>
          </w:p>
        </w:tc>
        <w:tc>
          <w:tcPr>
            <w:tcW w:w="3011" w:type="dxa"/>
          </w:tcPr>
          <w:p w14:paraId="46BE765C" w14:textId="2EA24E35" w:rsidR="000D0DC2" w:rsidRPr="00B148F9" w:rsidRDefault="00D05AFC" w:rsidP="000D0DC2">
            <w:pPr>
              <w:jc w:val="left"/>
              <w:rPr>
                <w:rFonts w:cs="Arial"/>
                <w:b/>
              </w:rPr>
            </w:pPr>
            <w:r w:rsidRPr="00B148F9">
              <w:rPr>
                <w:rFonts w:cs="Arial"/>
                <w:b/>
              </w:rPr>
              <w:t>Total United States</w:t>
            </w:r>
          </w:p>
        </w:tc>
        <w:tc>
          <w:tcPr>
            <w:tcW w:w="485" w:type="dxa"/>
          </w:tcPr>
          <w:p w14:paraId="13CF7F8A" w14:textId="77777777" w:rsidR="000D0DC2" w:rsidRPr="00B148F9" w:rsidRDefault="000D0DC2" w:rsidP="000D0DC2">
            <w:pPr>
              <w:jc w:val="center"/>
              <w:rPr>
                <w:rFonts w:cs="Arial"/>
                <w:b/>
              </w:rPr>
            </w:pPr>
          </w:p>
        </w:tc>
        <w:tc>
          <w:tcPr>
            <w:tcW w:w="932" w:type="dxa"/>
            <w:tcBorders>
              <w:top w:val="single" w:sz="4" w:space="0" w:color="auto"/>
            </w:tcBorders>
          </w:tcPr>
          <w:p w14:paraId="6DD8FDFE" w14:textId="4301B824" w:rsidR="000D0DC2" w:rsidRPr="00B148F9" w:rsidRDefault="00CC7080" w:rsidP="00D050E5">
            <w:pPr>
              <w:jc w:val="center"/>
              <w:rPr>
                <w:rFonts w:cs="Arial"/>
              </w:rPr>
            </w:pPr>
            <w:r w:rsidRPr="00B148F9">
              <w:rPr>
                <w:rFonts w:cs="Arial"/>
              </w:rPr>
              <w:t>6</w:t>
            </w:r>
            <w:r w:rsidR="00687A87" w:rsidRPr="00B148F9">
              <w:rPr>
                <w:rFonts w:cs="Arial"/>
              </w:rPr>
              <w:t>6</w:t>
            </w:r>
            <w:r w:rsidRPr="00B148F9">
              <w:rPr>
                <w:rFonts w:cs="Arial"/>
              </w:rPr>
              <w:t>.</w:t>
            </w:r>
            <w:r w:rsidR="00687A87" w:rsidRPr="00B148F9">
              <w:rPr>
                <w:rFonts w:cs="Arial"/>
              </w:rPr>
              <w:t>07</w:t>
            </w:r>
          </w:p>
        </w:tc>
        <w:tc>
          <w:tcPr>
            <w:tcW w:w="284" w:type="dxa"/>
            <w:tcBorders>
              <w:top w:val="single" w:sz="4" w:space="0" w:color="auto"/>
            </w:tcBorders>
          </w:tcPr>
          <w:p w14:paraId="3894E53F" w14:textId="5A020E9A" w:rsidR="000D0DC2" w:rsidRPr="00B148F9" w:rsidRDefault="000D0DC2" w:rsidP="00B746FC">
            <w:pPr>
              <w:jc w:val="left"/>
              <w:rPr>
                <w:rFonts w:cs="Arial"/>
              </w:rPr>
            </w:pPr>
          </w:p>
        </w:tc>
        <w:tc>
          <w:tcPr>
            <w:tcW w:w="1134" w:type="dxa"/>
            <w:tcBorders>
              <w:top w:val="single" w:sz="4" w:space="0" w:color="auto"/>
            </w:tcBorders>
          </w:tcPr>
          <w:p w14:paraId="432B71FC" w14:textId="77777777" w:rsidR="000D0DC2" w:rsidRPr="00B148F9" w:rsidRDefault="000D0DC2" w:rsidP="000D0DC2">
            <w:pPr>
              <w:jc w:val="center"/>
              <w:rPr>
                <w:rFonts w:cs="Arial"/>
              </w:rPr>
            </w:pPr>
          </w:p>
        </w:tc>
        <w:tc>
          <w:tcPr>
            <w:tcW w:w="567" w:type="dxa"/>
            <w:tcBorders>
              <w:top w:val="single" w:sz="4" w:space="0" w:color="auto"/>
            </w:tcBorders>
          </w:tcPr>
          <w:p w14:paraId="07E1657A" w14:textId="34022634" w:rsidR="000D0DC2" w:rsidRPr="00B148F9" w:rsidRDefault="000D0DC2" w:rsidP="00DE3E70">
            <w:pPr>
              <w:jc w:val="right"/>
              <w:rPr>
                <w:rFonts w:cs="Arial"/>
              </w:rPr>
            </w:pPr>
          </w:p>
        </w:tc>
        <w:tc>
          <w:tcPr>
            <w:tcW w:w="1275" w:type="dxa"/>
            <w:tcBorders>
              <w:top w:val="single" w:sz="4" w:space="0" w:color="auto"/>
            </w:tcBorders>
          </w:tcPr>
          <w:p w14:paraId="74C0B10D" w14:textId="3D6E74D8" w:rsidR="000D0DC2" w:rsidRPr="00B148F9" w:rsidRDefault="00687A87" w:rsidP="00D050E5">
            <w:pPr>
              <w:jc w:val="center"/>
              <w:rPr>
                <w:rFonts w:cs="Arial"/>
              </w:rPr>
            </w:pPr>
            <w:r w:rsidRPr="00B148F9">
              <w:rPr>
                <w:rFonts w:cs="Arial"/>
              </w:rPr>
              <w:t>59</w:t>
            </w:r>
            <w:r w:rsidR="00CC7080" w:rsidRPr="00B148F9">
              <w:rPr>
                <w:rFonts w:cs="Arial"/>
              </w:rPr>
              <w:t>,</w:t>
            </w:r>
            <w:r w:rsidRPr="00B148F9">
              <w:rPr>
                <w:rFonts w:cs="Arial"/>
              </w:rPr>
              <w:t>372</w:t>
            </w:r>
            <w:r w:rsidR="00CC7080" w:rsidRPr="00B148F9">
              <w:rPr>
                <w:rFonts w:cs="Arial"/>
              </w:rPr>
              <w:t>,</w:t>
            </w:r>
            <w:r w:rsidRPr="00B148F9">
              <w:rPr>
                <w:rFonts w:cs="Arial"/>
              </w:rPr>
              <w:t>94</w:t>
            </w:r>
            <w:r w:rsidR="00E20474" w:rsidRPr="00B148F9">
              <w:rPr>
                <w:rFonts w:cs="Arial"/>
              </w:rPr>
              <w:t>3</w:t>
            </w:r>
          </w:p>
        </w:tc>
        <w:tc>
          <w:tcPr>
            <w:tcW w:w="675" w:type="dxa"/>
            <w:tcBorders>
              <w:top w:val="single" w:sz="4" w:space="0" w:color="auto"/>
            </w:tcBorders>
          </w:tcPr>
          <w:p w14:paraId="080917A2" w14:textId="5185684C" w:rsidR="000D0DC2" w:rsidRPr="00B148F9" w:rsidRDefault="000D0DC2" w:rsidP="00DE3E70">
            <w:pPr>
              <w:jc w:val="right"/>
              <w:rPr>
                <w:rFonts w:cs="Arial"/>
              </w:rPr>
            </w:pPr>
          </w:p>
        </w:tc>
        <w:tc>
          <w:tcPr>
            <w:tcW w:w="1418" w:type="dxa"/>
            <w:tcBorders>
              <w:top w:val="single" w:sz="4" w:space="0" w:color="auto"/>
            </w:tcBorders>
          </w:tcPr>
          <w:p w14:paraId="1F553E21" w14:textId="1E9F69F7" w:rsidR="000D0DC2" w:rsidRPr="00B148F9" w:rsidRDefault="00CC7080" w:rsidP="00D050E5">
            <w:pPr>
              <w:jc w:val="center"/>
              <w:rPr>
                <w:rFonts w:cs="Arial"/>
              </w:rPr>
            </w:pPr>
            <w:r w:rsidRPr="00B148F9">
              <w:rPr>
                <w:rFonts w:cs="Arial"/>
              </w:rPr>
              <w:t>1</w:t>
            </w:r>
            <w:r w:rsidR="00687A87" w:rsidRPr="00B148F9">
              <w:rPr>
                <w:rFonts w:cs="Arial"/>
              </w:rPr>
              <w:t>35</w:t>
            </w:r>
            <w:r w:rsidRPr="00B148F9">
              <w:rPr>
                <w:rFonts w:cs="Arial"/>
              </w:rPr>
              <w:t>,</w:t>
            </w:r>
            <w:r w:rsidR="00687A87" w:rsidRPr="00B148F9">
              <w:rPr>
                <w:rFonts w:cs="Arial"/>
              </w:rPr>
              <w:t>89</w:t>
            </w:r>
            <w:r w:rsidR="00E20474" w:rsidRPr="00B148F9">
              <w:rPr>
                <w:rFonts w:cs="Arial"/>
              </w:rPr>
              <w:t>4</w:t>
            </w:r>
            <w:r w:rsidRPr="00B148F9">
              <w:rPr>
                <w:rFonts w:cs="Arial"/>
              </w:rPr>
              <w:t>,</w:t>
            </w:r>
            <w:r w:rsidR="00E20474" w:rsidRPr="00B148F9">
              <w:rPr>
                <w:rFonts w:cs="Arial"/>
              </w:rPr>
              <w:t>996</w:t>
            </w:r>
          </w:p>
        </w:tc>
      </w:tr>
      <w:tr w:rsidR="00A12EB0" w:rsidRPr="00B148F9" w14:paraId="66B97247" w14:textId="77777777" w:rsidTr="00B746FC">
        <w:tc>
          <w:tcPr>
            <w:tcW w:w="250" w:type="dxa"/>
          </w:tcPr>
          <w:p w14:paraId="0B188B1A" w14:textId="77777777" w:rsidR="00CF57AF" w:rsidRPr="00B148F9" w:rsidRDefault="00CF57AF" w:rsidP="000D0DC2">
            <w:pPr>
              <w:jc w:val="left"/>
              <w:rPr>
                <w:rFonts w:cs="Arial"/>
              </w:rPr>
            </w:pPr>
          </w:p>
        </w:tc>
        <w:tc>
          <w:tcPr>
            <w:tcW w:w="3011" w:type="dxa"/>
          </w:tcPr>
          <w:p w14:paraId="479D1A52" w14:textId="77777777" w:rsidR="00CF57AF" w:rsidRPr="00B148F9" w:rsidRDefault="00CF57AF" w:rsidP="000D0DC2">
            <w:pPr>
              <w:jc w:val="left"/>
              <w:rPr>
                <w:rFonts w:cs="Arial"/>
                <w:b/>
              </w:rPr>
            </w:pPr>
          </w:p>
        </w:tc>
        <w:tc>
          <w:tcPr>
            <w:tcW w:w="485" w:type="dxa"/>
          </w:tcPr>
          <w:p w14:paraId="71078644" w14:textId="77777777" w:rsidR="00CF57AF" w:rsidRPr="00B148F9" w:rsidRDefault="00CF57AF" w:rsidP="000D0DC2">
            <w:pPr>
              <w:jc w:val="center"/>
              <w:rPr>
                <w:rFonts w:cs="Arial"/>
                <w:b/>
              </w:rPr>
            </w:pPr>
          </w:p>
        </w:tc>
        <w:tc>
          <w:tcPr>
            <w:tcW w:w="932" w:type="dxa"/>
          </w:tcPr>
          <w:p w14:paraId="48B6CDAC" w14:textId="77777777" w:rsidR="00CF57AF" w:rsidRPr="00B148F9" w:rsidRDefault="00CF57AF" w:rsidP="000D0DC2">
            <w:pPr>
              <w:jc w:val="center"/>
              <w:rPr>
                <w:rFonts w:cs="Arial"/>
                <w:b/>
              </w:rPr>
            </w:pPr>
          </w:p>
        </w:tc>
        <w:tc>
          <w:tcPr>
            <w:tcW w:w="284" w:type="dxa"/>
          </w:tcPr>
          <w:p w14:paraId="27FD19C6" w14:textId="77777777" w:rsidR="00CF57AF" w:rsidRPr="00B148F9" w:rsidRDefault="00CF57AF" w:rsidP="000D0DC2">
            <w:pPr>
              <w:jc w:val="center"/>
              <w:rPr>
                <w:rFonts w:cs="Arial"/>
                <w:b/>
              </w:rPr>
            </w:pPr>
          </w:p>
        </w:tc>
        <w:tc>
          <w:tcPr>
            <w:tcW w:w="1134" w:type="dxa"/>
          </w:tcPr>
          <w:p w14:paraId="33D2960D" w14:textId="77777777" w:rsidR="00CF57AF" w:rsidRPr="00B148F9" w:rsidRDefault="00CF57AF" w:rsidP="000D0DC2">
            <w:pPr>
              <w:jc w:val="center"/>
              <w:rPr>
                <w:rFonts w:cs="Arial"/>
                <w:b/>
              </w:rPr>
            </w:pPr>
          </w:p>
        </w:tc>
        <w:tc>
          <w:tcPr>
            <w:tcW w:w="567" w:type="dxa"/>
          </w:tcPr>
          <w:p w14:paraId="30D33163" w14:textId="77777777" w:rsidR="00CF57AF" w:rsidRPr="00B148F9" w:rsidRDefault="00CF57AF" w:rsidP="000D0DC2">
            <w:pPr>
              <w:jc w:val="center"/>
              <w:rPr>
                <w:rFonts w:cs="Arial"/>
                <w:b/>
              </w:rPr>
            </w:pPr>
          </w:p>
        </w:tc>
        <w:tc>
          <w:tcPr>
            <w:tcW w:w="1275" w:type="dxa"/>
          </w:tcPr>
          <w:p w14:paraId="311A7370" w14:textId="77777777" w:rsidR="00CF57AF" w:rsidRPr="00B148F9" w:rsidRDefault="00CF57AF">
            <w:pPr>
              <w:jc w:val="center"/>
              <w:rPr>
                <w:rFonts w:cs="Arial"/>
                <w:b/>
              </w:rPr>
            </w:pPr>
          </w:p>
        </w:tc>
        <w:tc>
          <w:tcPr>
            <w:tcW w:w="675" w:type="dxa"/>
          </w:tcPr>
          <w:p w14:paraId="5ECB6CAC" w14:textId="77777777" w:rsidR="00CF57AF" w:rsidRPr="00B148F9" w:rsidRDefault="00CF57AF" w:rsidP="000D0DC2">
            <w:pPr>
              <w:jc w:val="center"/>
              <w:rPr>
                <w:rFonts w:cs="Arial"/>
                <w:b/>
              </w:rPr>
            </w:pPr>
          </w:p>
        </w:tc>
        <w:tc>
          <w:tcPr>
            <w:tcW w:w="1418" w:type="dxa"/>
          </w:tcPr>
          <w:p w14:paraId="3D14EC49" w14:textId="77777777" w:rsidR="00CF57AF" w:rsidRPr="00B148F9" w:rsidRDefault="00CF57AF" w:rsidP="000D0DC2">
            <w:pPr>
              <w:jc w:val="center"/>
              <w:rPr>
                <w:rFonts w:cs="Arial"/>
                <w:b/>
              </w:rPr>
            </w:pPr>
          </w:p>
        </w:tc>
      </w:tr>
      <w:tr w:rsidR="00A12EB0" w:rsidRPr="00B148F9" w14:paraId="51CC98AF" w14:textId="77777777" w:rsidTr="00B746FC">
        <w:tc>
          <w:tcPr>
            <w:tcW w:w="250" w:type="dxa"/>
          </w:tcPr>
          <w:p w14:paraId="61225302" w14:textId="77777777" w:rsidR="00CF57AF" w:rsidRPr="00B148F9" w:rsidRDefault="00CF57AF" w:rsidP="00CF57AF">
            <w:pPr>
              <w:jc w:val="left"/>
              <w:rPr>
                <w:rFonts w:cs="Arial"/>
              </w:rPr>
            </w:pPr>
          </w:p>
        </w:tc>
        <w:tc>
          <w:tcPr>
            <w:tcW w:w="3011" w:type="dxa"/>
          </w:tcPr>
          <w:p w14:paraId="7CD760F8" w14:textId="4A52CFB2" w:rsidR="00CF57AF" w:rsidRPr="00B148F9" w:rsidRDefault="00CF57AF" w:rsidP="00CF57AF">
            <w:pPr>
              <w:jc w:val="left"/>
              <w:rPr>
                <w:rFonts w:cs="Arial"/>
                <w:b/>
              </w:rPr>
            </w:pPr>
            <w:r w:rsidRPr="00B148F9">
              <w:rPr>
                <w:rFonts w:cs="Arial"/>
                <w:b/>
              </w:rPr>
              <w:t>Canada</w:t>
            </w:r>
          </w:p>
        </w:tc>
        <w:tc>
          <w:tcPr>
            <w:tcW w:w="485" w:type="dxa"/>
          </w:tcPr>
          <w:p w14:paraId="6DB003DA" w14:textId="77777777" w:rsidR="00CF57AF" w:rsidRPr="00B148F9" w:rsidRDefault="00CF57AF" w:rsidP="00CF57AF">
            <w:pPr>
              <w:jc w:val="center"/>
              <w:rPr>
                <w:rFonts w:cs="Arial"/>
                <w:b/>
              </w:rPr>
            </w:pPr>
          </w:p>
        </w:tc>
        <w:tc>
          <w:tcPr>
            <w:tcW w:w="932" w:type="dxa"/>
          </w:tcPr>
          <w:p w14:paraId="1490A27B" w14:textId="77777777" w:rsidR="00CF57AF" w:rsidRPr="00B148F9" w:rsidRDefault="00CF57AF" w:rsidP="00CF57AF">
            <w:pPr>
              <w:jc w:val="center"/>
              <w:rPr>
                <w:rFonts w:cs="Arial"/>
                <w:b/>
              </w:rPr>
            </w:pPr>
          </w:p>
        </w:tc>
        <w:tc>
          <w:tcPr>
            <w:tcW w:w="284" w:type="dxa"/>
          </w:tcPr>
          <w:p w14:paraId="0BB60BE6" w14:textId="77777777" w:rsidR="00CF57AF" w:rsidRPr="00B148F9" w:rsidRDefault="00CF57AF" w:rsidP="00CF57AF">
            <w:pPr>
              <w:jc w:val="center"/>
              <w:rPr>
                <w:rFonts w:cs="Arial"/>
                <w:b/>
              </w:rPr>
            </w:pPr>
          </w:p>
        </w:tc>
        <w:tc>
          <w:tcPr>
            <w:tcW w:w="1134" w:type="dxa"/>
          </w:tcPr>
          <w:p w14:paraId="61F32768" w14:textId="77777777" w:rsidR="00CF57AF" w:rsidRPr="00B148F9" w:rsidRDefault="00CF57AF" w:rsidP="00CF57AF">
            <w:pPr>
              <w:jc w:val="center"/>
              <w:rPr>
                <w:rFonts w:cs="Arial"/>
                <w:b/>
              </w:rPr>
            </w:pPr>
          </w:p>
        </w:tc>
        <w:tc>
          <w:tcPr>
            <w:tcW w:w="567" w:type="dxa"/>
          </w:tcPr>
          <w:p w14:paraId="483BAB1B" w14:textId="77777777" w:rsidR="00CF57AF" w:rsidRPr="00B148F9" w:rsidRDefault="00CF57AF" w:rsidP="00CF57AF">
            <w:pPr>
              <w:jc w:val="center"/>
              <w:rPr>
                <w:rFonts w:cs="Arial"/>
                <w:b/>
              </w:rPr>
            </w:pPr>
          </w:p>
        </w:tc>
        <w:tc>
          <w:tcPr>
            <w:tcW w:w="1275" w:type="dxa"/>
          </w:tcPr>
          <w:p w14:paraId="341FFAFC" w14:textId="77777777" w:rsidR="00CF57AF" w:rsidRPr="00B148F9" w:rsidRDefault="00CF57AF" w:rsidP="00CF57AF">
            <w:pPr>
              <w:jc w:val="center"/>
              <w:rPr>
                <w:rFonts w:cs="Arial"/>
                <w:b/>
              </w:rPr>
            </w:pPr>
          </w:p>
        </w:tc>
        <w:tc>
          <w:tcPr>
            <w:tcW w:w="675" w:type="dxa"/>
          </w:tcPr>
          <w:p w14:paraId="49EC56A9" w14:textId="77777777" w:rsidR="00CF57AF" w:rsidRPr="00B148F9" w:rsidRDefault="00CF57AF" w:rsidP="00CF57AF">
            <w:pPr>
              <w:jc w:val="center"/>
              <w:rPr>
                <w:rFonts w:cs="Arial"/>
                <w:b/>
              </w:rPr>
            </w:pPr>
          </w:p>
        </w:tc>
        <w:tc>
          <w:tcPr>
            <w:tcW w:w="1418" w:type="dxa"/>
          </w:tcPr>
          <w:p w14:paraId="0AC56551" w14:textId="77777777" w:rsidR="00CF57AF" w:rsidRPr="00B148F9" w:rsidRDefault="00CF57AF" w:rsidP="00CF57AF">
            <w:pPr>
              <w:jc w:val="center"/>
              <w:rPr>
                <w:rFonts w:cs="Arial"/>
                <w:b/>
              </w:rPr>
            </w:pPr>
          </w:p>
        </w:tc>
      </w:tr>
      <w:tr w:rsidR="00A12EB0" w:rsidRPr="00B148F9" w14:paraId="7D577721" w14:textId="77777777" w:rsidTr="00B746FC">
        <w:tc>
          <w:tcPr>
            <w:tcW w:w="250" w:type="dxa"/>
          </w:tcPr>
          <w:p w14:paraId="0426BB02" w14:textId="77777777" w:rsidR="00CF57AF" w:rsidRPr="00B148F9" w:rsidRDefault="00CF57AF" w:rsidP="00CF57AF">
            <w:pPr>
              <w:jc w:val="left"/>
              <w:rPr>
                <w:rFonts w:cs="Arial"/>
              </w:rPr>
            </w:pPr>
          </w:p>
        </w:tc>
        <w:tc>
          <w:tcPr>
            <w:tcW w:w="3011" w:type="dxa"/>
          </w:tcPr>
          <w:p w14:paraId="5CE0DFC4" w14:textId="64B0F2AF" w:rsidR="00CF57AF" w:rsidRPr="00B148F9" w:rsidRDefault="00AA79D1" w:rsidP="00CF57AF">
            <w:pPr>
              <w:jc w:val="left"/>
              <w:rPr>
                <w:rFonts w:cs="Arial"/>
                <w:b/>
              </w:rPr>
            </w:pPr>
            <w:r w:rsidRPr="00B148F9">
              <w:rPr>
                <w:rFonts w:cs="Arial"/>
              </w:rPr>
              <w:t>Healthcare</w:t>
            </w:r>
          </w:p>
        </w:tc>
        <w:tc>
          <w:tcPr>
            <w:tcW w:w="485" w:type="dxa"/>
          </w:tcPr>
          <w:p w14:paraId="39F54A34" w14:textId="77777777" w:rsidR="00CF57AF" w:rsidRPr="00B148F9" w:rsidRDefault="00CF57AF" w:rsidP="00CF57AF">
            <w:pPr>
              <w:jc w:val="center"/>
              <w:rPr>
                <w:rFonts w:cs="Arial"/>
                <w:b/>
              </w:rPr>
            </w:pPr>
          </w:p>
        </w:tc>
        <w:tc>
          <w:tcPr>
            <w:tcW w:w="932" w:type="dxa"/>
          </w:tcPr>
          <w:p w14:paraId="122C8B3A" w14:textId="043C6BE4" w:rsidR="00CF57AF" w:rsidRPr="00B148F9" w:rsidRDefault="00CC7080" w:rsidP="00CF57AF">
            <w:pPr>
              <w:jc w:val="center"/>
              <w:rPr>
                <w:rFonts w:cs="Arial"/>
                <w:b/>
              </w:rPr>
            </w:pPr>
            <w:r w:rsidRPr="00B148F9">
              <w:rPr>
                <w:rFonts w:cs="Arial"/>
              </w:rPr>
              <w:t>1.80</w:t>
            </w:r>
          </w:p>
        </w:tc>
        <w:tc>
          <w:tcPr>
            <w:tcW w:w="284" w:type="dxa"/>
          </w:tcPr>
          <w:p w14:paraId="51E5FDD8" w14:textId="77777777" w:rsidR="00CF57AF" w:rsidRPr="00B148F9" w:rsidRDefault="00CF57AF" w:rsidP="00CF57AF">
            <w:pPr>
              <w:jc w:val="center"/>
              <w:rPr>
                <w:rFonts w:cs="Arial"/>
                <w:b/>
              </w:rPr>
            </w:pPr>
          </w:p>
        </w:tc>
        <w:tc>
          <w:tcPr>
            <w:tcW w:w="1134" w:type="dxa"/>
          </w:tcPr>
          <w:p w14:paraId="7F483622" w14:textId="0FC7551B" w:rsidR="00CF57AF" w:rsidRPr="00B148F9" w:rsidRDefault="009349A5" w:rsidP="00CF57AF">
            <w:pPr>
              <w:jc w:val="center"/>
              <w:rPr>
                <w:rFonts w:cs="Arial"/>
                <w:b/>
              </w:rPr>
            </w:pPr>
            <w:r w:rsidRPr="00B148F9">
              <w:rPr>
                <w:rFonts w:cs="Arial"/>
              </w:rPr>
              <w:t>365,498</w:t>
            </w:r>
          </w:p>
        </w:tc>
        <w:tc>
          <w:tcPr>
            <w:tcW w:w="567" w:type="dxa"/>
          </w:tcPr>
          <w:p w14:paraId="1051C16C" w14:textId="77777777" w:rsidR="00CF57AF" w:rsidRPr="00B148F9" w:rsidRDefault="00CF57AF" w:rsidP="00CF57AF">
            <w:pPr>
              <w:jc w:val="center"/>
              <w:rPr>
                <w:rFonts w:cs="Arial"/>
                <w:b/>
              </w:rPr>
            </w:pPr>
          </w:p>
        </w:tc>
        <w:tc>
          <w:tcPr>
            <w:tcW w:w="1275" w:type="dxa"/>
          </w:tcPr>
          <w:p w14:paraId="2B760482" w14:textId="3F8FF91D" w:rsidR="00CF57AF" w:rsidRPr="00B148F9" w:rsidRDefault="009349A5" w:rsidP="00CF57AF">
            <w:pPr>
              <w:jc w:val="center"/>
              <w:rPr>
                <w:rFonts w:cs="Arial"/>
                <w:b/>
              </w:rPr>
            </w:pPr>
            <w:r w:rsidRPr="00B148F9">
              <w:rPr>
                <w:rFonts w:cs="Arial"/>
              </w:rPr>
              <w:t>3,479,856</w:t>
            </w:r>
          </w:p>
        </w:tc>
        <w:tc>
          <w:tcPr>
            <w:tcW w:w="675" w:type="dxa"/>
          </w:tcPr>
          <w:p w14:paraId="6997B283" w14:textId="77777777" w:rsidR="00CF57AF" w:rsidRPr="00B148F9" w:rsidRDefault="00CF57AF" w:rsidP="00CF57AF">
            <w:pPr>
              <w:jc w:val="center"/>
              <w:rPr>
                <w:rFonts w:cs="Arial"/>
                <w:b/>
              </w:rPr>
            </w:pPr>
          </w:p>
        </w:tc>
        <w:tc>
          <w:tcPr>
            <w:tcW w:w="1418" w:type="dxa"/>
          </w:tcPr>
          <w:p w14:paraId="7BA829C5" w14:textId="45E95FDD" w:rsidR="00CF57AF" w:rsidRPr="00B148F9" w:rsidRDefault="009349A5" w:rsidP="00CF57AF">
            <w:pPr>
              <w:jc w:val="center"/>
              <w:rPr>
                <w:rFonts w:cs="Arial"/>
                <w:b/>
              </w:rPr>
            </w:pPr>
            <w:r w:rsidRPr="00B148F9">
              <w:rPr>
                <w:rFonts w:cs="Arial"/>
              </w:rPr>
              <w:t>3,696,538</w:t>
            </w:r>
          </w:p>
        </w:tc>
      </w:tr>
      <w:tr w:rsidR="00A12EB0" w:rsidRPr="00B148F9" w14:paraId="00DC5899" w14:textId="77777777" w:rsidTr="00B746FC">
        <w:tc>
          <w:tcPr>
            <w:tcW w:w="250" w:type="dxa"/>
          </w:tcPr>
          <w:p w14:paraId="52FC33BA" w14:textId="77777777" w:rsidR="00CF57AF" w:rsidRPr="00B148F9" w:rsidRDefault="00CF57AF" w:rsidP="00CF57AF">
            <w:pPr>
              <w:jc w:val="left"/>
              <w:rPr>
                <w:rFonts w:cs="Arial"/>
              </w:rPr>
            </w:pPr>
          </w:p>
        </w:tc>
        <w:tc>
          <w:tcPr>
            <w:tcW w:w="3011" w:type="dxa"/>
          </w:tcPr>
          <w:p w14:paraId="3059480E" w14:textId="77777777" w:rsidR="00CF57AF" w:rsidRPr="00B148F9" w:rsidRDefault="00CF57AF" w:rsidP="00CF57AF">
            <w:pPr>
              <w:jc w:val="left"/>
              <w:rPr>
                <w:rFonts w:cs="Arial"/>
                <w:b/>
              </w:rPr>
            </w:pPr>
          </w:p>
        </w:tc>
        <w:tc>
          <w:tcPr>
            <w:tcW w:w="485" w:type="dxa"/>
          </w:tcPr>
          <w:p w14:paraId="6C2E009F" w14:textId="77777777" w:rsidR="00CF57AF" w:rsidRPr="00B148F9" w:rsidRDefault="00CF57AF" w:rsidP="00CF57AF">
            <w:pPr>
              <w:jc w:val="center"/>
              <w:rPr>
                <w:rFonts w:cs="Arial"/>
                <w:b/>
              </w:rPr>
            </w:pPr>
          </w:p>
        </w:tc>
        <w:tc>
          <w:tcPr>
            <w:tcW w:w="932" w:type="dxa"/>
          </w:tcPr>
          <w:p w14:paraId="3BDAD52A" w14:textId="77777777" w:rsidR="00CF57AF" w:rsidRPr="00B148F9" w:rsidRDefault="00CF57AF" w:rsidP="00CF57AF">
            <w:pPr>
              <w:jc w:val="center"/>
              <w:rPr>
                <w:rFonts w:cs="Arial"/>
                <w:b/>
              </w:rPr>
            </w:pPr>
          </w:p>
        </w:tc>
        <w:tc>
          <w:tcPr>
            <w:tcW w:w="284" w:type="dxa"/>
          </w:tcPr>
          <w:p w14:paraId="55307A68" w14:textId="77777777" w:rsidR="00CF57AF" w:rsidRPr="00B148F9" w:rsidRDefault="00CF57AF" w:rsidP="00CF57AF">
            <w:pPr>
              <w:jc w:val="center"/>
              <w:rPr>
                <w:rFonts w:cs="Arial"/>
                <w:b/>
              </w:rPr>
            </w:pPr>
          </w:p>
        </w:tc>
        <w:tc>
          <w:tcPr>
            <w:tcW w:w="1134" w:type="dxa"/>
          </w:tcPr>
          <w:p w14:paraId="3FD4D2EE" w14:textId="77777777" w:rsidR="00CF57AF" w:rsidRPr="00B148F9" w:rsidRDefault="00CF57AF" w:rsidP="00CF57AF">
            <w:pPr>
              <w:jc w:val="center"/>
              <w:rPr>
                <w:rFonts w:cs="Arial"/>
                <w:b/>
              </w:rPr>
            </w:pPr>
          </w:p>
        </w:tc>
        <w:tc>
          <w:tcPr>
            <w:tcW w:w="567" w:type="dxa"/>
          </w:tcPr>
          <w:p w14:paraId="62ACC48F" w14:textId="77777777" w:rsidR="00CF57AF" w:rsidRPr="00B148F9" w:rsidRDefault="00CF57AF" w:rsidP="00CF57AF">
            <w:pPr>
              <w:jc w:val="center"/>
              <w:rPr>
                <w:rFonts w:cs="Arial"/>
                <w:b/>
              </w:rPr>
            </w:pPr>
          </w:p>
        </w:tc>
        <w:tc>
          <w:tcPr>
            <w:tcW w:w="1275" w:type="dxa"/>
          </w:tcPr>
          <w:p w14:paraId="18FD8276" w14:textId="77777777" w:rsidR="00CF57AF" w:rsidRPr="00B148F9" w:rsidRDefault="00CF57AF" w:rsidP="00CF57AF">
            <w:pPr>
              <w:jc w:val="center"/>
              <w:rPr>
                <w:rFonts w:cs="Arial"/>
                <w:b/>
              </w:rPr>
            </w:pPr>
          </w:p>
        </w:tc>
        <w:tc>
          <w:tcPr>
            <w:tcW w:w="675" w:type="dxa"/>
          </w:tcPr>
          <w:p w14:paraId="50829A8B" w14:textId="77777777" w:rsidR="00CF57AF" w:rsidRPr="00B148F9" w:rsidRDefault="00CF57AF" w:rsidP="00CF57AF">
            <w:pPr>
              <w:jc w:val="center"/>
              <w:rPr>
                <w:rFonts w:cs="Arial"/>
                <w:b/>
              </w:rPr>
            </w:pPr>
          </w:p>
        </w:tc>
        <w:tc>
          <w:tcPr>
            <w:tcW w:w="1418" w:type="dxa"/>
          </w:tcPr>
          <w:p w14:paraId="3D6FB0BF" w14:textId="77777777" w:rsidR="00CF57AF" w:rsidRPr="00B148F9" w:rsidRDefault="00CF57AF" w:rsidP="00CF57AF">
            <w:pPr>
              <w:jc w:val="center"/>
              <w:rPr>
                <w:rFonts w:cs="Arial"/>
                <w:b/>
              </w:rPr>
            </w:pPr>
          </w:p>
        </w:tc>
      </w:tr>
      <w:tr w:rsidR="00A12EB0" w:rsidRPr="00B148F9" w14:paraId="4B69063D" w14:textId="77777777" w:rsidTr="00B746FC">
        <w:tc>
          <w:tcPr>
            <w:tcW w:w="250" w:type="dxa"/>
          </w:tcPr>
          <w:p w14:paraId="63D2CB83" w14:textId="77777777" w:rsidR="00CF57AF" w:rsidRPr="00B148F9" w:rsidRDefault="00CF57AF" w:rsidP="00CF57AF">
            <w:pPr>
              <w:jc w:val="left"/>
              <w:rPr>
                <w:rFonts w:cs="Arial"/>
              </w:rPr>
            </w:pPr>
          </w:p>
        </w:tc>
        <w:tc>
          <w:tcPr>
            <w:tcW w:w="3011" w:type="dxa"/>
          </w:tcPr>
          <w:p w14:paraId="28D65AE0" w14:textId="0C4DC4EE" w:rsidR="00CF57AF" w:rsidRPr="00B148F9" w:rsidRDefault="00CF57AF" w:rsidP="00CF57AF">
            <w:pPr>
              <w:jc w:val="left"/>
              <w:rPr>
                <w:rFonts w:cs="Arial"/>
                <w:b/>
              </w:rPr>
            </w:pPr>
            <w:r w:rsidRPr="00B148F9">
              <w:rPr>
                <w:rFonts w:cs="Arial"/>
                <w:b/>
              </w:rPr>
              <w:t>Netherlands</w:t>
            </w:r>
          </w:p>
        </w:tc>
        <w:tc>
          <w:tcPr>
            <w:tcW w:w="485" w:type="dxa"/>
          </w:tcPr>
          <w:p w14:paraId="426907A3" w14:textId="77777777" w:rsidR="00CF57AF" w:rsidRPr="00B148F9" w:rsidRDefault="00CF57AF" w:rsidP="00CF57AF">
            <w:pPr>
              <w:jc w:val="center"/>
              <w:rPr>
                <w:rFonts w:cs="Arial"/>
                <w:b/>
              </w:rPr>
            </w:pPr>
          </w:p>
        </w:tc>
        <w:tc>
          <w:tcPr>
            <w:tcW w:w="932" w:type="dxa"/>
          </w:tcPr>
          <w:p w14:paraId="5256BDE6" w14:textId="77777777" w:rsidR="00CF57AF" w:rsidRPr="00B148F9" w:rsidRDefault="00CF57AF" w:rsidP="00CF57AF">
            <w:pPr>
              <w:jc w:val="center"/>
              <w:rPr>
                <w:rFonts w:cs="Arial"/>
                <w:b/>
              </w:rPr>
            </w:pPr>
          </w:p>
        </w:tc>
        <w:tc>
          <w:tcPr>
            <w:tcW w:w="284" w:type="dxa"/>
          </w:tcPr>
          <w:p w14:paraId="64BFF78B" w14:textId="77777777" w:rsidR="00CF57AF" w:rsidRPr="00B148F9" w:rsidRDefault="00CF57AF" w:rsidP="00CF57AF">
            <w:pPr>
              <w:jc w:val="center"/>
              <w:rPr>
                <w:rFonts w:cs="Arial"/>
                <w:b/>
              </w:rPr>
            </w:pPr>
          </w:p>
        </w:tc>
        <w:tc>
          <w:tcPr>
            <w:tcW w:w="1134" w:type="dxa"/>
          </w:tcPr>
          <w:p w14:paraId="33888B47" w14:textId="77777777" w:rsidR="00CF57AF" w:rsidRPr="00B148F9" w:rsidRDefault="00CF57AF" w:rsidP="00CF57AF">
            <w:pPr>
              <w:jc w:val="center"/>
              <w:rPr>
                <w:rFonts w:cs="Arial"/>
                <w:b/>
              </w:rPr>
            </w:pPr>
          </w:p>
        </w:tc>
        <w:tc>
          <w:tcPr>
            <w:tcW w:w="567" w:type="dxa"/>
          </w:tcPr>
          <w:p w14:paraId="1853FF55" w14:textId="77777777" w:rsidR="00CF57AF" w:rsidRPr="00B148F9" w:rsidRDefault="00CF57AF" w:rsidP="00CF57AF">
            <w:pPr>
              <w:jc w:val="center"/>
              <w:rPr>
                <w:rFonts w:cs="Arial"/>
                <w:b/>
              </w:rPr>
            </w:pPr>
          </w:p>
        </w:tc>
        <w:tc>
          <w:tcPr>
            <w:tcW w:w="1275" w:type="dxa"/>
          </w:tcPr>
          <w:p w14:paraId="69771FDE" w14:textId="77777777" w:rsidR="00CF57AF" w:rsidRPr="00B148F9" w:rsidRDefault="00CF57AF" w:rsidP="00CF57AF">
            <w:pPr>
              <w:jc w:val="center"/>
              <w:rPr>
                <w:rFonts w:cs="Arial"/>
                <w:b/>
              </w:rPr>
            </w:pPr>
          </w:p>
        </w:tc>
        <w:tc>
          <w:tcPr>
            <w:tcW w:w="675" w:type="dxa"/>
          </w:tcPr>
          <w:p w14:paraId="1A0E6623" w14:textId="77777777" w:rsidR="00CF57AF" w:rsidRPr="00B148F9" w:rsidRDefault="00CF57AF" w:rsidP="00CF57AF">
            <w:pPr>
              <w:jc w:val="center"/>
              <w:rPr>
                <w:rFonts w:cs="Arial"/>
                <w:b/>
              </w:rPr>
            </w:pPr>
          </w:p>
        </w:tc>
        <w:tc>
          <w:tcPr>
            <w:tcW w:w="1418" w:type="dxa"/>
          </w:tcPr>
          <w:p w14:paraId="35710211" w14:textId="77777777" w:rsidR="00CF57AF" w:rsidRPr="00B148F9" w:rsidRDefault="00CF57AF" w:rsidP="00CF57AF">
            <w:pPr>
              <w:jc w:val="center"/>
              <w:rPr>
                <w:rFonts w:cs="Arial"/>
                <w:b/>
              </w:rPr>
            </w:pPr>
          </w:p>
        </w:tc>
      </w:tr>
      <w:tr w:rsidR="00A12EB0" w:rsidRPr="00B148F9" w14:paraId="0E4732E2" w14:textId="77777777" w:rsidTr="00B746FC">
        <w:tc>
          <w:tcPr>
            <w:tcW w:w="250" w:type="dxa"/>
          </w:tcPr>
          <w:p w14:paraId="42E5C09A" w14:textId="77777777" w:rsidR="00CF57AF" w:rsidRPr="00B148F9" w:rsidRDefault="00CF57AF" w:rsidP="00CF57AF">
            <w:pPr>
              <w:jc w:val="left"/>
              <w:rPr>
                <w:rFonts w:cs="Arial"/>
              </w:rPr>
            </w:pPr>
          </w:p>
        </w:tc>
        <w:tc>
          <w:tcPr>
            <w:tcW w:w="3011" w:type="dxa"/>
          </w:tcPr>
          <w:p w14:paraId="031AABD7" w14:textId="735B0820" w:rsidR="00CF57AF" w:rsidRPr="00B148F9" w:rsidRDefault="00AA79D1" w:rsidP="00CF57AF">
            <w:pPr>
              <w:jc w:val="left"/>
              <w:rPr>
                <w:rFonts w:cs="Arial"/>
                <w:b/>
              </w:rPr>
            </w:pPr>
            <w:r w:rsidRPr="00B148F9">
              <w:rPr>
                <w:rFonts w:cs="Arial"/>
              </w:rPr>
              <w:t>Healthcare</w:t>
            </w:r>
          </w:p>
        </w:tc>
        <w:tc>
          <w:tcPr>
            <w:tcW w:w="485" w:type="dxa"/>
          </w:tcPr>
          <w:p w14:paraId="313F0D0E" w14:textId="77777777" w:rsidR="00CF57AF" w:rsidRPr="00B148F9" w:rsidRDefault="00CF57AF" w:rsidP="00CF57AF">
            <w:pPr>
              <w:jc w:val="center"/>
              <w:rPr>
                <w:rFonts w:cs="Arial"/>
                <w:b/>
              </w:rPr>
            </w:pPr>
          </w:p>
        </w:tc>
        <w:tc>
          <w:tcPr>
            <w:tcW w:w="932" w:type="dxa"/>
          </w:tcPr>
          <w:p w14:paraId="5AE4A389" w14:textId="293AEE58" w:rsidR="00CF57AF" w:rsidRPr="00B148F9" w:rsidRDefault="009349A5" w:rsidP="00CF57AF">
            <w:pPr>
              <w:jc w:val="center"/>
              <w:rPr>
                <w:rFonts w:cs="Arial"/>
              </w:rPr>
            </w:pPr>
            <w:r w:rsidRPr="00B148F9">
              <w:rPr>
                <w:rFonts w:cs="Arial"/>
              </w:rPr>
              <w:t>1.60</w:t>
            </w:r>
          </w:p>
        </w:tc>
        <w:tc>
          <w:tcPr>
            <w:tcW w:w="284" w:type="dxa"/>
          </w:tcPr>
          <w:p w14:paraId="10629A43" w14:textId="77777777" w:rsidR="00CF57AF" w:rsidRPr="00B148F9" w:rsidRDefault="00CF57AF" w:rsidP="00CF57AF">
            <w:pPr>
              <w:jc w:val="center"/>
              <w:rPr>
                <w:rFonts w:cs="Arial"/>
              </w:rPr>
            </w:pPr>
          </w:p>
        </w:tc>
        <w:tc>
          <w:tcPr>
            <w:tcW w:w="1134" w:type="dxa"/>
          </w:tcPr>
          <w:p w14:paraId="31C4A780" w14:textId="55E74D68" w:rsidR="00CF57AF" w:rsidRPr="00B148F9" w:rsidRDefault="009349A5" w:rsidP="00CF57AF">
            <w:pPr>
              <w:jc w:val="center"/>
              <w:rPr>
                <w:rFonts w:cs="Arial"/>
              </w:rPr>
            </w:pPr>
            <w:r w:rsidRPr="00B148F9">
              <w:rPr>
                <w:rFonts w:cs="Arial"/>
              </w:rPr>
              <w:t>200,040</w:t>
            </w:r>
          </w:p>
        </w:tc>
        <w:tc>
          <w:tcPr>
            <w:tcW w:w="567" w:type="dxa"/>
          </w:tcPr>
          <w:p w14:paraId="605AA4F3" w14:textId="77777777" w:rsidR="00CF57AF" w:rsidRPr="00B148F9" w:rsidRDefault="00CF57AF" w:rsidP="00CF57AF">
            <w:pPr>
              <w:jc w:val="center"/>
              <w:rPr>
                <w:rFonts w:cs="Arial"/>
              </w:rPr>
            </w:pPr>
          </w:p>
        </w:tc>
        <w:tc>
          <w:tcPr>
            <w:tcW w:w="1275" w:type="dxa"/>
          </w:tcPr>
          <w:p w14:paraId="1076FB1C" w14:textId="72791894" w:rsidR="00CF57AF" w:rsidRPr="00B148F9" w:rsidRDefault="009349A5" w:rsidP="00CF57AF">
            <w:pPr>
              <w:jc w:val="center"/>
              <w:rPr>
                <w:rFonts w:cs="Arial"/>
              </w:rPr>
            </w:pPr>
            <w:r w:rsidRPr="00B148F9">
              <w:rPr>
                <w:rFonts w:cs="Arial"/>
              </w:rPr>
              <w:t>2,529,607</w:t>
            </w:r>
          </w:p>
        </w:tc>
        <w:tc>
          <w:tcPr>
            <w:tcW w:w="675" w:type="dxa"/>
          </w:tcPr>
          <w:p w14:paraId="3F8C2C2D" w14:textId="77777777" w:rsidR="00CF57AF" w:rsidRPr="00B148F9" w:rsidRDefault="00CF57AF" w:rsidP="00CF57AF">
            <w:pPr>
              <w:jc w:val="center"/>
              <w:rPr>
                <w:rFonts w:cs="Arial"/>
              </w:rPr>
            </w:pPr>
          </w:p>
        </w:tc>
        <w:tc>
          <w:tcPr>
            <w:tcW w:w="1418" w:type="dxa"/>
          </w:tcPr>
          <w:p w14:paraId="7F878D5D" w14:textId="6A35BC95" w:rsidR="00CF57AF" w:rsidRPr="00B148F9" w:rsidRDefault="009349A5" w:rsidP="00CF57AF">
            <w:pPr>
              <w:jc w:val="center"/>
              <w:rPr>
                <w:rFonts w:cs="Arial"/>
              </w:rPr>
            </w:pPr>
            <w:r w:rsidRPr="00B148F9">
              <w:rPr>
                <w:rFonts w:cs="Arial"/>
              </w:rPr>
              <w:t>3,299,137</w:t>
            </w:r>
          </w:p>
        </w:tc>
      </w:tr>
      <w:tr w:rsidR="00A12EB0" w:rsidRPr="00B148F9" w14:paraId="4C0DE02A" w14:textId="77777777" w:rsidTr="00B746FC">
        <w:tc>
          <w:tcPr>
            <w:tcW w:w="250" w:type="dxa"/>
          </w:tcPr>
          <w:p w14:paraId="045A366D" w14:textId="77777777" w:rsidR="00CF57AF" w:rsidRPr="00B148F9" w:rsidRDefault="00CF57AF" w:rsidP="00CF57AF">
            <w:pPr>
              <w:jc w:val="left"/>
              <w:rPr>
                <w:rFonts w:cs="Arial"/>
              </w:rPr>
            </w:pPr>
          </w:p>
        </w:tc>
        <w:tc>
          <w:tcPr>
            <w:tcW w:w="3011" w:type="dxa"/>
          </w:tcPr>
          <w:p w14:paraId="13E6A8CD" w14:textId="77777777" w:rsidR="00CF57AF" w:rsidRPr="00B148F9" w:rsidRDefault="00CF57AF" w:rsidP="00CF57AF">
            <w:pPr>
              <w:jc w:val="left"/>
              <w:rPr>
                <w:rFonts w:cs="Arial"/>
                <w:b/>
              </w:rPr>
            </w:pPr>
          </w:p>
        </w:tc>
        <w:tc>
          <w:tcPr>
            <w:tcW w:w="485" w:type="dxa"/>
          </w:tcPr>
          <w:p w14:paraId="12E6729A" w14:textId="77777777" w:rsidR="00CF57AF" w:rsidRPr="00B148F9" w:rsidRDefault="00CF57AF" w:rsidP="00CF57AF">
            <w:pPr>
              <w:jc w:val="center"/>
              <w:rPr>
                <w:rFonts w:cs="Arial"/>
                <w:b/>
              </w:rPr>
            </w:pPr>
          </w:p>
        </w:tc>
        <w:tc>
          <w:tcPr>
            <w:tcW w:w="932" w:type="dxa"/>
          </w:tcPr>
          <w:p w14:paraId="2DC74547" w14:textId="77777777" w:rsidR="00CF57AF" w:rsidRPr="00B148F9" w:rsidRDefault="00CF57AF" w:rsidP="00CF57AF">
            <w:pPr>
              <w:jc w:val="center"/>
              <w:rPr>
                <w:rFonts w:cs="Arial"/>
                <w:b/>
              </w:rPr>
            </w:pPr>
          </w:p>
        </w:tc>
        <w:tc>
          <w:tcPr>
            <w:tcW w:w="284" w:type="dxa"/>
          </w:tcPr>
          <w:p w14:paraId="50B98BA2" w14:textId="77777777" w:rsidR="00CF57AF" w:rsidRPr="00B148F9" w:rsidRDefault="00CF57AF" w:rsidP="00CF57AF">
            <w:pPr>
              <w:jc w:val="center"/>
              <w:rPr>
                <w:rFonts w:cs="Arial"/>
                <w:b/>
              </w:rPr>
            </w:pPr>
          </w:p>
        </w:tc>
        <w:tc>
          <w:tcPr>
            <w:tcW w:w="1134" w:type="dxa"/>
          </w:tcPr>
          <w:p w14:paraId="792EB3B1" w14:textId="77777777" w:rsidR="00CF57AF" w:rsidRPr="00B148F9" w:rsidRDefault="00CF57AF" w:rsidP="00CF57AF">
            <w:pPr>
              <w:jc w:val="center"/>
              <w:rPr>
                <w:rFonts w:cs="Arial"/>
                <w:b/>
              </w:rPr>
            </w:pPr>
          </w:p>
        </w:tc>
        <w:tc>
          <w:tcPr>
            <w:tcW w:w="567" w:type="dxa"/>
          </w:tcPr>
          <w:p w14:paraId="0FB09872" w14:textId="77777777" w:rsidR="00CF57AF" w:rsidRPr="00B148F9" w:rsidRDefault="00CF57AF" w:rsidP="00CF57AF">
            <w:pPr>
              <w:jc w:val="center"/>
              <w:rPr>
                <w:rFonts w:cs="Arial"/>
                <w:b/>
              </w:rPr>
            </w:pPr>
          </w:p>
        </w:tc>
        <w:tc>
          <w:tcPr>
            <w:tcW w:w="1275" w:type="dxa"/>
          </w:tcPr>
          <w:p w14:paraId="04D50CBB" w14:textId="77777777" w:rsidR="00CF57AF" w:rsidRPr="00B148F9" w:rsidRDefault="00CF57AF" w:rsidP="00CF57AF">
            <w:pPr>
              <w:jc w:val="center"/>
              <w:rPr>
                <w:rFonts w:cs="Arial"/>
                <w:b/>
              </w:rPr>
            </w:pPr>
          </w:p>
        </w:tc>
        <w:tc>
          <w:tcPr>
            <w:tcW w:w="675" w:type="dxa"/>
          </w:tcPr>
          <w:p w14:paraId="7C562810" w14:textId="77777777" w:rsidR="00CF57AF" w:rsidRPr="00B148F9" w:rsidRDefault="00CF57AF" w:rsidP="00CF57AF">
            <w:pPr>
              <w:jc w:val="center"/>
              <w:rPr>
                <w:rFonts w:cs="Arial"/>
                <w:b/>
              </w:rPr>
            </w:pPr>
          </w:p>
        </w:tc>
        <w:tc>
          <w:tcPr>
            <w:tcW w:w="1418" w:type="dxa"/>
          </w:tcPr>
          <w:p w14:paraId="104BEE9E" w14:textId="77777777" w:rsidR="00CF57AF" w:rsidRPr="00B148F9" w:rsidRDefault="00CF57AF" w:rsidP="00CF57AF">
            <w:pPr>
              <w:jc w:val="center"/>
              <w:rPr>
                <w:rFonts w:cs="Arial"/>
                <w:b/>
              </w:rPr>
            </w:pPr>
          </w:p>
        </w:tc>
      </w:tr>
      <w:tr w:rsidR="00A12EB0" w:rsidRPr="00B148F9" w14:paraId="3353C448" w14:textId="77777777" w:rsidTr="00B746FC">
        <w:tc>
          <w:tcPr>
            <w:tcW w:w="250" w:type="dxa"/>
          </w:tcPr>
          <w:p w14:paraId="0A4748C0" w14:textId="77777777" w:rsidR="009349A5" w:rsidRPr="00B148F9" w:rsidRDefault="009349A5" w:rsidP="009349A5">
            <w:pPr>
              <w:jc w:val="left"/>
              <w:rPr>
                <w:rFonts w:cs="Arial"/>
              </w:rPr>
            </w:pPr>
          </w:p>
        </w:tc>
        <w:tc>
          <w:tcPr>
            <w:tcW w:w="3011" w:type="dxa"/>
          </w:tcPr>
          <w:p w14:paraId="6BBE9A1C" w14:textId="22805716" w:rsidR="009349A5" w:rsidRPr="00B148F9" w:rsidRDefault="009349A5" w:rsidP="009349A5">
            <w:pPr>
              <w:jc w:val="left"/>
              <w:rPr>
                <w:rFonts w:cs="Arial"/>
                <w:b/>
              </w:rPr>
            </w:pPr>
            <w:r w:rsidRPr="00B148F9">
              <w:rPr>
                <w:rFonts w:cs="Arial"/>
                <w:b/>
              </w:rPr>
              <w:t>France</w:t>
            </w:r>
          </w:p>
        </w:tc>
        <w:tc>
          <w:tcPr>
            <w:tcW w:w="485" w:type="dxa"/>
          </w:tcPr>
          <w:p w14:paraId="0A2B0306" w14:textId="77777777" w:rsidR="009349A5" w:rsidRPr="00B148F9" w:rsidRDefault="009349A5" w:rsidP="009349A5">
            <w:pPr>
              <w:jc w:val="center"/>
              <w:rPr>
                <w:rFonts w:cs="Arial"/>
                <w:b/>
              </w:rPr>
            </w:pPr>
          </w:p>
        </w:tc>
        <w:tc>
          <w:tcPr>
            <w:tcW w:w="932" w:type="dxa"/>
          </w:tcPr>
          <w:p w14:paraId="2F1FC63C" w14:textId="77777777" w:rsidR="009349A5" w:rsidRPr="00B148F9" w:rsidRDefault="009349A5" w:rsidP="009349A5">
            <w:pPr>
              <w:jc w:val="center"/>
              <w:rPr>
                <w:rFonts w:cs="Arial"/>
                <w:b/>
              </w:rPr>
            </w:pPr>
          </w:p>
        </w:tc>
        <w:tc>
          <w:tcPr>
            <w:tcW w:w="284" w:type="dxa"/>
          </w:tcPr>
          <w:p w14:paraId="7104C974" w14:textId="77777777" w:rsidR="009349A5" w:rsidRPr="00B148F9" w:rsidRDefault="009349A5" w:rsidP="009349A5">
            <w:pPr>
              <w:jc w:val="center"/>
              <w:rPr>
                <w:rFonts w:cs="Arial"/>
                <w:b/>
              </w:rPr>
            </w:pPr>
          </w:p>
        </w:tc>
        <w:tc>
          <w:tcPr>
            <w:tcW w:w="1134" w:type="dxa"/>
          </w:tcPr>
          <w:p w14:paraId="5FB1694A" w14:textId="77777777" w:rsidR="009349A5" w:rsidRPr="00B148F9" w:rsidRDefault="009349A5" w:rsidP="009349A5">
            <w:pPr>
              <w:jc w:val="center"/>
              <w:rPr>
                <w:rFonts w:cs="Arial"/>
                <w:b/>
              </w:rPr>
            </w:pPr>
          </w:p>
        </w:tc>
        <w:tc>
          <w:tcPr>
            <w:tcW w:w="567" w:type="dxa"/>
          </w:tcPr>
          <w:p w14:paraId="3421295B" w14:textId="77777777" w:rsidR="009349A5" w:rsidRPr="00B148F9" w:rsidRDefault="009349A5" w:rsidP="009349A5">
            <w:pPr>
              <w:jc w:val="center"/>
              <w:rPr>
                <w:rFonts w:cs="Arial"/>
                <w:b/>
              </w:rPr>
            </w:pPr>
          </w:p>
        </w:tc>
        <w:tc>
          <w:tcPr>
            <w:tcW w:w="1275" w:type="dxa"/>
          </w:tcPr>
          <w:p w14:paraId="773C49FE" w14:textId="77777777" w:rsidR="009349A5" w:rsidRPr="00B148F9" w:rsidRDefault="009349A5" w:rsidP="009349A5">
            <w:pPr>
              <w:jc w:val="center"/>
              <w:rPr>
                <w:rFonts w:cs="Arial"/>
                <w:b/>
              </w:rPr>
            </w:pPr>
          </w:p>
        </w:tc>
        <w:tc>
          <w:tcPr>
            <w:tcW w:w="675" w:type="dxa"/>
          </w:tcPr>
          <w:p w14:paraId="5EEF8F7B" w14:textId="77777777" w:rsidR="009349A5" w:rsidRPr="00B148F9" w:rsidRDefault="009349A5" w:rsidP="009349A5">
            <w:pPr>
              <w:jc w:val="center"/>
              <w:rPr>
                <w:rFonts w:cs="Arial"/>
                <w:b/>
              </w:rPr>
            </w:pPr>
          </w:p>
        </w:tc>
        <w:tc>
          <w:tcPr>
            <w:tcW w:w="1418" w:type="dxa"/>
          </w:tcPr>
          <w:p w14:paraId="2760456A" w14:textId="77777777" w:rsidR="009349A5" w:rsidRPr="00B148F9" w:rsidRDefault="009349A5" w:rsidP="009349A5">
            <w:pPr>
              <w:jc w:val="center"/>
              <w:rPr>
                <w:rFonts w:cs="Arial"/>
                <w:b/>
              </w:rPr>
            </w:pPr>
          </w:p>
        </w:tc>
      </w:tr>
      <w:tr w:rsidR="00A12EB0" w:rsidRPr="00B148F9" w14:paraId="727F5128" w14:textId="77777777" w:rsidTr="00B746FC">
        <w:tc>
          <w:tcPr>
            <w:tcW w:w="250" w:type="dxa"/>
          </w:tcPr>
          <w:p w14:paraId="3F27DCD3" w14:textId="77777777" w:rsidR="009349A5" w:rsidRPr="00B148F9" w:rsidRDefault="009349A5" w:rsidP="009349A5">
            <w:pPr>
              <w:jc w:val="left"/>
              <w:rPr>
                <w:rFonts w:cs="Arial"/>
              </w:rPr>
            </w:pPr>
          </w:p>
        </w:tc>
        <w:tc>
          <w:tcPr>
            <w:tcW w:w="3011" w:type="dxa"/>
          </w:tcPr>
          <w:p w14:paraId="774F6730" w14:textId="0653AAB1" w:rsidR="009349A5" w:rsidRPr="00B148F9" w:rsidRDefault="00AA79D1" w:rsidP="009349A5">
            <w:pPr>
              <w:jc w:val="left"/>
              <w:rPr>
                <w:rFonts w:cs="Arial"/>
                <w:b/>
              </w:rPr>
            </w:pPr>
            <w:r w:rsidRPr="00B148F9">
              <w:rPr>
                <w:rFonts w:cs="Arial"/>
              </w:rPr>
              <w:t>Healthcare</w:t>
            </w:r>
          </w:p>
        </w:tc>
        <w:tc>
          <w:tcPr>
            <w:tcW w:w="485" w:type="dxa"/>
          </w:tcPr>
          <w:p w14:paraId="3C3682CA" w14:textId="77777777" w:rsidR="009349A5" w:rsidRPr="00B148F9" w:rsidRDefault="009349A5" w:rsidP="009349A5">
            <w:pPr>
              <w:jc w:val="center"/>
              <w:rPr>
                <w:rFonts w:cs="Arial"/>
                <w:b/>
              </w:rPr>
            </w:pPr>
          </w:p>
        </w:tc>
        <w:tc>
          <w:tcPr>
            <w:tcW w:w="932" w:type="dxa"/>
          </w:tcPr>
          <w:p w14:paraId="12445E05" w14:textId="1223641C" w:rsidR="009349A5" w:rsidRPr="00B148F9" w:rsidRDefault="009349A5" w:rsidP="009349A5">
            <w:pPr>
              <w:jc w:val="center"/>
              <w:rPr>
                <w:rFonts w:cs="Arial"/>
                <w:b/>
              </w:rPr>
            </w:pPr>
            <w:r w:rsidRPr="00B148F9">
              <w:rPr>
                <w:rFonts w:cs="Arial"/>
              </w:rPr>
              <w:t>0.03</w:t>
            </w:r>
          </w:p>
        </w:tc>
        <w:tc>
          <w:tcPr>
            <w:tcW w:w="284" w:type="dxa"/>
          </w:tcPr>
          <w:p w14:paraId="63D7A91A" w14:textId="77777777" w:rsidR="009349A5" w:rsidRPr="00B148F9" w:rsidRDefault="009349A5" w:rsidP="009349A5">
            <w:pPr>
              <w:jc w:val="center"/>
              <w:rPr>
                <w:rFonts w:cs="Arial"/>
                <w:b/>
              </w:rPr>
            </w:pPr>
          </w:p>
        </w:tc>
        <w:tc>
          <w:tcPr>
            <w:tcW w:w="1134" w:type="dxa"/>
          </w:tcPr>
          <w:p w14:paraId="637F28A1" w14:textId="72C44A21" w:rsidR="009349A5" w:rsidRPr="00B148F9" w:rsidRDefault="009349A5" w:rsidP="009349A5">
            <w:pPr>
              <w:jc w:val="center"/>
              <w:rPr>
                <w:rFonts w:cs="Arial"/>
                <w:b/>
              </w:rPr>
            </w:pPr>
            <w:r w:rsidRPr="00B148F9">
              <w:rPr>
                <w:rFonts w:cs="Arial"/>
              </w:rPr>
              <w:t>33,973</w:t>
            </w:r>
          </w:p>
        </w:tc>
        <w:tc>
          <w:tcPr>
            <w:tcW w:w="567" w:type="dxa"/>
          </w:tcPr>
          <w:p w14:paraId="20468EB1" w14:textId="77777777" w:rsidR="009349A5" w:rsidRPr="00B148F9" w:rsidRDefault="009349A5" w:rsidP="009349A5">
            <w:pPr>
              <w:jc w:val="center"/>
              <w:rPr>
                <w:rFonts w:cs="Arial"/>
                <w:b/>
              </w:rPr>
            </w:pPr>
          </w:p>
        </w:tc>
        <w:tc>
          <w:tcPr>
            <w:tcW w:w="1275" w:type="dxa"/>
          </w:tcPr>
          <w:p w14:paraId="4DDCECD9" w14:textId="6F5CCA86" w:rsidR="009349A5" w:rsidRPr="00B148F9" w:rsidRDefault="009349A5" w:rsidP="009349A5">
            <w:pPr>
              <w:jc w:val="center"/>
              <w:rPr>
                <w:rFonts w:cs="Arial"/>
                <w:b/>
              </w:rPr>
            </w:pPr>
            <w:r w:rsidRPr="00B148F9">
              <w:rPr>
                <w:rFonts w:cs="Arial"/>
              </w:rPr>
              <w:t>66,650</w:t>
            </w:r>
          </w:p>
        </w:tc>
        <w:tc>
          <w:tcPr>
            <w:tcW w:w="675" w:type="dxa"/>
          </w:tcPr>
          <w:p w14:paraId="2F7724CA" w14:textId="77777777" w:rsidR="009349A5" w:rsidRPr="00B148F9" w:rsidRDefault="009349A5" w:rsidP="009349A5">
            <w:pPr>
              <w:jc w:val="center"/>
              <w:rPr>
                <w:rFonts w:cs="Arial"/>
                <w:b/>
              </w:rPr>
            </w:pPr>
          </w:p>
        </w:tc>
        <w:tc>
          <w:tcPr>
            <w:tcW w:w="1418" w:type="dxa"/>
          </w:tcPr>
          <w:p w14:paraId="08CB18B3" w14:textId="55D25E4E" w:rsidR="009349A5" w:rsidRPr="00B148F9" w:rsidRDefault="009349A5" w:rsidP="009349A5">
            <w:pPr>
              <w:jc w:val="center"/>
              <w:rPr>
                <w:rFonts w:cs="Arial"/>
                <w:b/>
              </w:rPr>
            </w:pPr>
            <w:r w:rsidRPr="00B148F9">
              <w:rPr>
                <w:rFonts w:cs="Arial"/>
              </w:rPr>
              <w:t>57,715</w:t>
            </w:r>
          </w:p>
        </w:tc>
      </w:tr>
      <w:tr w:rsidR="00A12EB0" w:rsidRPr="00B148F9" w14:paraId="16825CCC" w14:textId="77777777" w:rsidTr="00B746FC">
        <w:tc>
          <w:tcPr>
            <w:tcW w:w="250" w:type="dxa"/>
          </w:tcPr>
          <w:p w14:paraId="634B5AD6" w14:textId="77777777" w:rsidR="009349A5" w:rsidRPr="00B148F9" w:rsidRDefault="009349A5" w:rsidP="009349A5">
            <w:pPr>
              <w:jc w:val="left"/>
              <w:rPr>
                <w:rFonts w:cs="Arial"/>
              </w:rPr>
            </w:pPr>
          </w:p>
        </w:tc>
        <w:tc>
          <w:tcPr>
            <w:tcW w:w="3011" w:type="dxa"/>
          </w:tcPr>
          <w:p w14:paraId="5CE8BFF9" w14:textId="77777777" w:rsidR="009349A5" w:rsidRPr="00B148F9" w:rsidRDefault="009349A5" w:rsidP="009349A5">
            <w:pPr>
              <w:jc w:val="left"/>
              <w:rPr>
                <w:rFonts w:cs="Arial"/>
                <w:b/>
              </w:rPr>
            </w:pPr>
          </w:p>
        </w:tc>
        <w:tc>
          <w:tcPr>
            <w:tcW w:w="485" w:type="dxa"/>
          </w:tcPr>
          <w:p w14:paraId="68199370" w14:textId="77777777" w:rsidR="009349A5" w:rsidRPr="00B148F9" w:rsidRDefault="009349A5" w:rsidP="009349A5">
            <w:pPr>
              <w:jc w:val="center"/>
              <w:rPr>
                <w:rFonts w:cs="Arial"/>
                <w:b/>
              </w:rPr>
            </w:pPr>
          </w:p>
        </w:tc>
        <w:tc>
          <w:tcPr>
            <w:tcW w:w="932" w:type="dxa"/>
          </w:tcPr>
          <w:p w14:paraId="383A23AD" w14:textId="77777777" w:rsidR="009349A5" w:rsidRPr="00B148F9" w:rsidRDefault="009349A5" w:rsidP="009349A5">
            <w:pPr>
              <w:jc w:val="center"/>
              <w:rPr>
                <w:rFonts w:cs="Arial"/>
                <w:b/>
              </w:rPr>
            </w:pPr>
          </w:p>
        </w:tc>
        <w:tc>
          <w:tcPr>
            <w:tcW w:w="284" w:type="dxa"/>
          </w:tcPr>
          <w:p w14:paraId="29778495" w14:textId="77777777" w:rsidR="009349A5" w:rsidRPr="00B148F9" w:rsidRDefault="009349A5" w:rsidP="009349A5">
            <w:pPr>
              <w:jc w:val="center"/>
              <w:rPr>
                <w:rFonts w:cs="Arial"/>
                <w:b/>
              </w:rPr>
            </w:pPr>
          </w:p>
        </w:tc>
        <w:tc>
          <w:tcPr>
            <w:tcW w:w="1134" w:type="dxa"/>
          </w:tcPr>
          <w:p w14:paraId="69260EB6" w14:textId="77777777" w:rsidR="009349A5" w:rsidRPr="00B148F9" w:rsidRDefault="009349A5" w:rsidP="009349A5">
            <w:pPr>
              <w:jc w:val="center"/>
              <w:rPr>
                <w:rFonts w:cs="Arial"/>
                <w:b/>
              </w:rPr>
            </w:pPr>
          </w:p>
        </w:tc>
        <w:tc>
          <w:tcPr>
            <w:tcW w:w="567" w:type="dxa"/>
          </w:tcPr>
          <w:p w14:paraId="740F3A00" w14:textId="77777777" w:rsidR="009349A5" w:rsidRPr="00B148F9" w:rsidRDefault="009349A5" w:rsidP="009349A5">
            <w:pPr>
              <w:jc w:val="center"/>
              <w:rPr>
                <w:rFonts w:cs="Arial"/>
                <w:b/>
              </w:rPr>
            </w:pPr>
          </w:p>
        </w:tc>
        <w:tc>
          <w:tcPr>
            <w:tcW w:w="1275" w:type="dxa"/>
          </w:tcPr>
          <w:p w14:paraId="073102B2" w14:textId="77777777" w:rsidR="009349A5" w:rsidRPr="00B148F9" w:rsidRDefault="009349A5" w:rsidP="009349A5">
            <w:pPr>
              <w:jc w:val="center"/>
              <w:rPr>
                <w:rFonts w:cs="Arial"/>
                <w:b/>
              </w:rPr>
            </w:pPr>
          </w:p>
        </w:tc>
        <w:tc>
          <w:tcPr>
            <w:tcW w:w="675" w:type="dxa"/>
          </w:tcPr>
          <w:p w14:paraId="7E412154" w14:textId="77777777" w:rsidR="009349A5" w:rsidRPr="00B148F9" w:rsidRDefault="009349A5" w:rsidP="009349A5">
            <w:pPr>
              <w:jc w:val="center"/>
              <w:rPr>
                <w:rFonts w:cs="Arial"/>
                <w:b/>
              </w:rPr>
            </w:pPr>
          </w:p>
        </w:tc>
        <w:tc>
          <w:tcPr>
            <w:tcW w:w="1418" w:type="dxa"/>
          </w:tcPr>
          <w:p w14:paraId="23A89C56" w14:textId="77777777" w:rsidR="009349A5" w:rsidRPr="00B148F9" w:rsidRDefault="009349A5" w:rsidP="009349A5">
            <w:pPr>
              <w:jc w:val="center"/>
              <w:rPr>
                <w:rFonts w:cs="Arial"/>
                <w:b/>
              </w:rPr>
            </w:pPr>
          </w:p>
        </w:tc>
      </w:tr>
      <w:tr w:rsidR="00A12EB0" w:rsidRPr="00B148F9" w14:paraId="39A135DA" w14:textId="77777777" w:rsidTr="00B746FC">
        <w:tc>
          <w:tcPr>
            <w:tcW w:w="250" w:type="dxa"/>
          </w:tcPr>
          <w:p w14:paraId="4A1D8023" w14:textId="77777777" w:rsidR="009349A5" w:rsidRPr="00B148F9" w:rsidRDefault="009349A5" w:rsidP="009349A5">
            <w:pPr>
              <w:jc w:val="left"/>
              <w:rPr>
                <w:rFonts w:cs="Arial"/>
              </w:rPr>
            </w:pPr>
          </w:p>
        </w:tc>
        <w:tc>
          <w:tcPr>
            <w:tcW w:w="3011" w:type="dxa"/>
          </w:tcPr>
          <w:p w14:paraId="68C9A36B" w14:textId="0278B845" w:rsidR="009349A5" w:rsidRPr="00B148F9" w:rsidRDefault="009349A5" w:rsidP="009349A5">
            <w:pPr>
              <w:jc w:val="left"/>
              <w:rPr>
                <w:rFonts w:cs="Arial"/>
                <w:b/>
              </w:rPr>
            </w:pPr>
            <w:r w:rsidRPr="00B148F9">
              <w:rPr>
                <w:rFonts w:cs="Arial"/>
                <w:b/>
              </w:rPr>
              <w:t>Singapore</w:t>
            </w:r>
          </w:p>
        </w:tc>
        <w:tc>
          <w:tcPr>
            <w:tcW w:w="485" w:type="dxa"/>
          </w:tcPr>
          <w:p w14:paraId="1A8F1E82" w14:textId="77777777" w:rsidR="009349A5" w:rsidRPr="00B148F9" w:rsidRDefault="009349A5" w:rsidP="009349A5">
            <w:pPr>
              <w:jc w:val="center"/>
              <w:rPr>
                <w:rFonts w:cs="Arial"/>
                <w:b/>
              </w:rPr>
            </w:pPr>
          </w:p>
        </w:tc>
        <w:tc>
          <w:tcPr>
            <w:tcW w:w="932" w:type="dxa"/>
          </w:tcPr>
          <w:p w14:paraId="7F922482" w14:textId="77777777" w:rsidR="009349A5" w:rsidRPr="00B148F9" w:rsidRDefault="009349A5" w:rsidP="009349A5">
            <w:pPr>
              <w:jc w:val="center"/>
              <w:rPr>
                <w:rFonts w:cs="Arial"/>
                <w:b/>
              </w:rPr>
            </w:pPr>
          </w:p>
        </w:tc>
        <w:tc>
          <w:tcPr>
            <w:tcW w:w="284" w:type="dxa"/>
          </w:tcPr>
          <w:p w14:paraId="248F93C7" w14:textId="77777777" w:rsidR="009349A5" w:rsidRPr="00B148F9" w:rsidRDefault="009349A5" w:rsidP="009349A5">
            <w:pPr>
              <w:jc w:val="center"/>
              <w:rPr>
                <w:rFonts w:cs="Arial"/>
                <w:b/>
              </w:rPr>
            </w:pPr>
          </w:p>
        </w:tc>
        <w:tc>
          <w:tcPr>
            <w:tcW w:w="1134" w:type="dxa"/>
          </w:tcPr>
          <w:p w14:paraId="3324F935" w14:textId="77777777" w:rsidR="009349A5" w:rsidRPr="00B148F9" w:rsidRDefault="009349A5" w:rsidP="009349A5">
            <w:pPr>
              <w:jc w:val="center"/>
              <w:rPr>
                <w:rFonts w:cs="Arial"/>
                <w:b/>
              </w:rPr>
            </w:pPr>
          </w:p>
        </w:tc>
        <w:tc>
          <w:tcPr>
            <w:tcW w:w="567" w:type="dxa"/>
          </w:tcPr>
          <w:p w14:paraId="2C793DC6" w14:textId="77777777" w:rsidR="009349A5" w:rsidRPr="00B148F9" w:rsidRDefault="009349A5" w:rsidP="009349A5">
            <w:pPr>
              <w:jc w:val="center"/>
              <w:rPr>
                <w:rFonts w:cs="Arial"/>
                <w:b/>
              </w:rPr>
            </w:pPr>
          </w:p>
        </w:tc>
        <w:tc>
          <w:tcPr>
            <w:tcW w:w="1275" w:type="dxa"/>
          </w:tcPr>
          <w:p w14:paraId="42438E66" w14:textId="77777777" w:rsidR="009349A5" w:rsidRPr="00B148F9" w:rsidRDefault="009349A5" w:rsidP="009349A5">
            <w:pPr>
              <w:jc w:val="center"/>
              <w:rPr>
                <w:rFonts w:cs="Arial"/>
                <w:b/>
              </w:rPr>
            </w:pPr>
          </w:p>
        </w:tc>
        <w:tc>
          <w:tcPr>
            <w:tcW w:w="675" w:type="dxa"/>
          </w:tcPr>
          <w:p w14:paraId="34BAC51C" w14:textId="77777777" w:rsidR="009349A5" w:rsidRPr="00B148F9" w:rsidRDefault="009349A5" w:rsidP="009349A5">
            <w:pPr>
              <w:jc w:val="center"/>
              <w:rPr>
                <w:rFonts w:cs="Arial"/>
                <w:b/>
              </w:rPr>
            </w:pPr>
          </w:p>
        </w:tc>
        <w:tc>
          <w:tcPr>
            <w:tcW w:w="1418" w:type="dxa"/>
          </w:tcPr>
          <w:p w14:paraId="7C2885C8" w14:textId="77777777" w:rsidR="009349A5" w:rsidRPr="00B148F9" w:rsidRDefault="009349A5" w:rsidP="009349A5">
            <w:pPr>
              <w:jc w:val="center"/>
              <w:rPr>
                <w:rFonts w:cs="Arial"/>
                <w:b/>
              </w:rPr>
            </w:pPr>
          </w:p>
        </w:tc>
      </w:tr>
      <w:tr w:rsidR="00A12EB0" w:rsidRPr="00B148F9" w14:paraId="4C5BF887" w14:textId="77777777" w:rsidTr="00B746FC">
        <w:tc>
          <w:tcPr>
            <w:tcW w:w="250" w:type="dxa"/>
          </w:tcPr>
          <w:p w14:paraId="58A992F0" w14:textId="77777777" w:rsidR="009349A5" w:rsidRPr="00B148F9" w:rsidRDefault="009349A5" w:rsidP="009349A5">
            <w:pPr>
              <w:jc w:val="left"/>
              <w:rPr>
                <w:rFonts w:cs="Arial"/>
              </w:rPr>
            </w:pPr>
          </w:p>
        </w:tc>
        <w:tc>
          <w:tcPr>
            <w:tcW w:w="3011" w:type="dxa"/>
          </w:tcPr>
          <w:p w14:paraId="7C76E9B6" w14:textId="52C7ED8A" w:rsidR="009349A5" w:rsidRPr="00B148F9" w:rsidRDefault="00AA79D1" w:rsidP="009349A5">
            <w:pPr>
              <w:jc w:val="left"/>
              <w:rPr>
                <w:rFonts w:cs="Arial"/>
                <w:b/>
              </w:rPr>
            </w:pPr>
            <w:r w:rsidRPr="00B148F9">
              <w:rPr>
                <w:rFonts w:cs="Arial"/>
              </w:rPr>
              <w:t>Healthcare</w:t>
            </w:r>
          </w:p>
        </w:tc>
        <w:tc>
          <w:tcPr>
            <w:tcW w:w="485" w:type="dxa"/>
          </w:tcPr>
          <w:p w14:paraId="78F0D3DD" w14:textId="77777777" w:rsidR="009349A5" w:rsidRPr="00B148F9" w:rsidRDefault="009349A5" w:rsidP="009349A5">
            <w:pPr>
              <w:jc w:val="center"/>
              <w:rPr>
                <w:rFonts w:cs="Arial"/>
                <w:b/>
              </w:rPr>
            </w:pPr>
          </w:p>
        </w:tc>
        <w:tc>
          <w:tcPr>
            <w:tcW w:w="932" w:type="dxa"/>
          </w:tcPr>
          <w:p w14:paraId="49FCC317" w14:textId="38EFC567" w:rsidR="009349A5" w:rsidRPr="00B148F9" w:rsidRDefault="009349A5" w:rsidP="009349A5">
            <w:pPr>
              <w:jc w:val="center"/>
              <w:rPr>
                <w:rFonts w:cs="Arial"/>
                <w:b/>
              </w:rPr>
            </w:pPr>
            <w:r w:rsidRPr="00B148F9">
              <w:rPr>
                <w:rFonts w:cs="Arial"/>
              </w:rPr>
              <w:t>0.22</w:t>
            </w:r>
          </w:p>
        </w:tc>
        <w:tc>
          <w:tcPr>
            <w:tcW w:w="284" w:type="dxa"/>
          </w:tcPr>
          <w:p w14:paraId="00D5224D" w14:textId="77777777" w:rsidR="009349A5" w:rsidRPr="00B148F9" w:rsidRDefault="009349A5" w:rsidP="009349A5">
            <w:pPr>
              <w:jc w:val="center"/>
              <w:rPr>
                <w:rFonts w:cs="Arial"/>
                <w:b/>
              </w:rPr>
            </w:pPr>
          </w:p>
        </w:tc>
        <w:tc>
          <w:tcPr>
            <w:tcW w:w="1134" w:type="dxa"/>
          </w:tcPr>
          <w:p w14:paraId="0B918864" w14:textId="6174C161" w:rsidR="009349A5" w:rsidRPr="00B148F9" w:rsidRDefault="009349A5" w:rsidP="009349A5">
            <w:pPr>
              <w:jc w:val="center"/>
              <w:rPr>
                <w:rFonts w:cs="Arial"/>
                <w:b/>
              </w:rPr>
            </w:pPr>
            <w:r w:rsidRPr="00B148F9">
              <w:rPr>
                <w:rFonts w:cs="Arial"/>
              </w:rPr>
              <w:t>56,485</w:t>
            </w:r>
          </w:p>
        </w:tc>
        <w:tc>
          <w:tcPr>
            <w:tcW w:w="567" w:type="dxa"/>
          </w:tcPr>
          <w:p w14:paraId="692A2271" w14:textId="77777777" w:rsidR="009349A5" w:rsidRPr="00B148F9" w:rsidRDefault="009349A5" w:rsidP="009349A5">
            <w:pPr>
              <w:jc w:val="center"/>
              <w:rPr>
                <w:rFonts w:cs="Arial"/>
                <w:b/>
              </w:rPr>
            </w:pPr>
          </w:p>
        </w:tc>
        <w:tc>
          <w:tcPr>
            <w:tcW w:w="1275" w:type="dxa"/>
          </w:tcPr>
          <w:p w14:paraId="107844A6" w14:textId="572B9295" w:rsidR="009349A5" w:rsidRPr="00B148F9" w:rsidRDefault="009349A5" w:rsidP="009349A5">
            <w:pPr>
              <w:jc w:val="center"/>
              <w:rPr>
                <w:rFonts w:cs="Arial"/>
                <w:b/>
              </w:rPr>
            </w:pPr>
            <w:r w:rsidRPr="00B148F9">
              <w:rPr>
                <w:rFonts w:cs="Arial"/>
              </w:rPr>
              <w:t>453,993</w:t>
            </w:r>
          </w:p>
        </w:tc>
        <w:tc>
          <w:tcPr>
            <w:tcW w:w="675" w:type="dxa"/>
          </w:tcPr>
          <w:p w14:paraId="70EE4C33" w14:textId="77777777" w:rsidR="009349A5" w:rsidRPr="00B148F9" w:rsidRDefault="009349A5" w:rsidP="009349A5">
            <w:pPr>
              <w:jc w:val="center"/>
              <w:rPr>
                <w:rFonts w:cs="Arial"/>
                <w:b/>
              </w:rPr>
            </w:pPr>
          </w:p>
        </w:tc>
        <w:tc>
          <w:tcPr>
            <w:tcW w:w="1418" w:type="dxa"/>
          </w:tcPr>
          <w:p w14:paraId="00EE2DB4" w14:textId="3DA350FF" w:rsidR="009349A5" w:rsidRPr="00B148F9" w:rsidRDefault="009349A5" w:rsidP="009349A5">
            <w:pPr>
              <w:jc w:val="center"/>
              <w:rPr>
                <w:rFonts w:cs="Arial"/>
                <w:b/>
              </w:rPr>
            </w:pPr>
            <w:r w:rsidRPr="00B148F9">
              <w:rPr>
                <w:rFonts w:cs="Arial"/>
              </w:rPr>
              <w:t>452,727</w:t>
            </w:r>
          </w:p>
        </w:tc>
      </w:tr>
      <w:tr w:rsidR="00A12EB0" w:rsidRPr="00B148F9" w14:paraId="09494B72" w14:textId="77777777" w:rsidTr="00B746FC">
        <w:tc>
          <w:tcPr>
            <w:tcW w:w="250" w:type="dxa"/>
          </w:tcPr>
          <w:p w14:paraId="538F0CBF" w14:textId="77777777" w:rsidR="009349A5" w:rsidRPr="00B148F9" w:rsidRDefault="009349A5" w:rsidP="009349A5">
            <w:pPr>
              <w:jc w:val="left"/>
              <w:rPr>
                <w:rFonts w:cs="Arial"/>
              </w:rPr>
            </w:pPr>
          </w:p>
        </w:tc>
        <w:tc>
          <w:tcPr>
            <w:tcW w:w="3011" w:type="dxa"/>
          </w:tcPr>
          <w:p w14:paraId="31E8D826" w14:textId="77777777" w:rsidR="009349A5" w:rsidRPr="00B148F9" w:rsidRDefault="009349A5" w:rsidP="009349A5">
            <w:pPr>
              <w:jc w:val="left"/>
              <w:rPr>
                <w:rFonts w:cs="Arial"/>
                <w:b/>
              </w:rPr>
            </w:pPr>
          </w:p>
        </w:tc>
        <w:tc>
          <w:tcPr>
            <w:tcW w:w="485" w:type="dxa"/>
          </w:tcPr>
          <w:p w14:paraId="4CB8FEB3" w14:textId="77777777" w:rsidR="009349A5" w:rsidRPr="00B148F9" w:rsidRDefault="009349A5" w:rsidP="009349A5">
            <w:pPr>
              <w:jc w:val="center"/>
              <w:rPr>
                <w:rFonts w:cs="Arial"/>
                <w:b/>
              </w:rPr>
            </w:pPr>
          </w:p>
        </w:tc>
        <w:tc>
          <w:tcPr>
            <w:tcW w:w="932" w:type="dxa"/>
            <w:tcBorders>
              <w:bottom w:val="single" w:sz="4" w:space="0" w:color="auto"/>
            </w:tcBorders>
          </w:tcPr>
          <w:p w14:paraId="700FEB25" w14:textId="77777777" w:rsidR="009349A5" w:rsidRPr="00B148F9" w:rsidRDefault="009349A5" w:rsidP="009349A5">
            <w:pPr>
              <w:jc w:val="center"/>
              <w:rPr>
                <w:rFonts w:cs="Arial"/>
                <w:b/>
              </w:rPr>
            </w:pPr>
          </w:p>
        </w:tc>
        <w:tc>
          <w:tcPr>
            <w:tcW w:w="284" w:type="dxa"/>
            <w:tcBorders>
              <w:bottom w:val="single" w:sz="4" w:space="0" w:color="auto"/>
            </w:tcBorders>
          </w:tcPr>
          <w:p w14:paraId="2DBCEDA4" w14:textId="77777777" w:rsidR="009349A5" w:rsidRPr="00B148F9" w:rsidRDefault="009349A5" w:rsidP="009349A5">
            <w:pPr>
              <w:jc w:val="center"/>
              <w:rPr>
                <w:rFonts w:cs="Arial"/>
                <w:b/>
              </w:rPr>
            </w:pPr>
          </w:p>
        </w:tc>
        <w:tc>
          <w:tcPr>
            <w:tcW w:w="1134" w:type="dxa"/>
            <w:tcBorders>
              <w:bottom w:val="single" w:sz="4" w:space="0" w:color="auto"/>
            </w:tcBorders>
          </w:tcPr>
          <w:p w14:paraId="43F58884" w14:textId="77777777" w:rsidR="009349A5" w:rsidRPr="00B148F9" w:rsidRDefault="009349A5" w:rsidP="009349A5">
            <w:pPr>
              <w:jc w:val="center"/>
              <w:rPr>
                <w:rFonts w:cs="Arial"/>
                <w:b/>
              </w:rPr>
            </w:pPr>
          </w:p>
        </w:tc>
        <w:tc>
          <w:tcPr>
            <w:tcW w:w="567" w:type="dxa"/>
            <w:tcBorders>
              <w:bottom w:val="single" w:sz="4" w:space="0" w:color="auto"/>
            </w:tcBorders>
          </w:tcPr>
          <w:p w14:paraId="3D8304EC" w14:textId="77777777" w:rsidR="009349A5" w:rsidRPr="00B148F9" w:rsidRDefault="009349A5" w:rsidP="009349A5">
            <w:pPr>
              <w:jc w:val="center"/>
              <w:rPr>
                <w:rFonts w:cs="Arial"/>
                <w:b/>
              </w:rPr>
            </w:pPr>
          </w:p>
        </w:tc>
        <w:tc>
          <w:tcPr>
            <w:tcW w:w="1275" w:type="dxa"/>
            <w:tcBorders>
              <w:bottom w:val="single" w:sz="4" w:space="0" w:color="auto"/>
            </w:tcBorders>
          </w:tcPr>
          <w:p w14:paraId="6660AAD2" w14:textId="77777777" w:rsidR="009349A5" w:rsidRPr="00B148F9" w:rsidRDefault="009349A5" w:rsidP="009349A5">
            <w:pPr>
              <w:jc w:val="center"/>
              <w:rPr>
                <w:rFonts w:cs="Arial"/>
                <w:b/>
              </w:rPr>
            </w:pPr>
          </w:p>
        </w:tc>
        <w:tc>
          <w:tcPr>
            <w:tcW w:w="675" w:type="dxa"/>
            <w:tcBorders>
              <w:bottom w:val="single" w:sz="4" w:space="0" w:color="auto"/>
            </w:tcBorders>
          </w:tcPr>
          <w:p w14:paraId="2586395F" w14:textId="77777777" w:rsidR="009349A5" w:rsidRPr="00B148F9" w:rsidRDefault="009349A5" w:rsidP="009349A5">
            <w:pPr>
              <w:jc w:val="center"/>
              <w:rPr>
                <w:rFonts w:cs="Arial"/>
                <w:b/>
              </w:rPr>
            </w:pPr>
          </w:p>
        </w:tc>
        <w:tc>
          <w:tcPr>
            <w:tcW w:w="1418" w:type="dxa"/>
            <w:tcBorders>
              <w:bottom w:val="single" w:sz="4" w:space="0" w:color="auto"/>
            </w:tcBorders>
          </w:tcPr>
          <w:p w14:paraId="2953A763" w14:textId="77777777" w:rsidR="009349A5" w:rsidRPr="00B148F9" w:rsidRDefault="009349A5" w:rsidP="009349A5">
            <w:pPr>
              <w:jc w:val="center"/>
              <w:rPr>
                <w:rFonts w:cs="Arial"/>
                <w:b/>
              </w:rPr>
            </w:pPr>
          </w:p>
        </w:tc>
      </w:tr>
      <w:tr w:rsidR="00A12EB0" w:rsidRPr="00B148F9" w14:paraId="1BFD808F" w14:textId="77777777" w:rsidTr="00B746FC">
        <w:tc>
          <w:tcPr>
            <w:tcW w:w="3261" w:type="dxa"/>
            <w:gridSpan w:val="2"/>
          </w:tcPr>
          <w:p w14:paraId="40CA5FFC" w14:textId="66C2F343" w:rsidR="009349A5" w:rsidRPr="00B148F9" w:rsidRDefault="009349A5" w:rsidP="009349A5">
            <w:pPr>
              <w:jc w:val="left"/>
              <w:rPr>
                <w:rFonts w:cs="Arial"/>
                <w:b/>
              </w:rPr>
            </w:pPr>
            <w:r w:rsidRPr="00B148F9">
              <w:rPr>
                <w:rFonts w:cs="Arial"/>
                <w:b/>
              </w:rPr>
              <w:t>Total common stocks</w:t>
            </w:r>
          </w:p>
        </w:tc>
        <w:tc>
          <w:tcPr>
            <w:tcW w:w="485" w:type="dxa"/>
          </w:tcPr>
          <w:p w14:paraId="2ED125EF" w14:textId="77777777" w:rsidR="009349A5" w:rsidRPr="00B148F9" w:rsidRDefault="009349A5" w:rsidP="009349A5">
            <w:pPr>
              <w:jc w:val="center"/>
              <w:rPr>
                <w:rFonts w:cs="Arial"/>
                <w:b/>
              </w:rPr>
            </w:pPr>
          </w:p>
        </w:tc>
        <w:tc>
          <w:tcPr>
            <w:tcW w:w="932" w:type="dxa"/>
            <w:tcBorders>
              <w:top w:val="single" w:sz="4" w:space="0" w:color="auto"/>
            </w:tcBorders>
          </w:tcPr>
          <w:p w14:paraId="28A8FE11" w14:textId="5DF18FE4" w:rsidR="009349A5" w:rsidRPr="00B148F9" w:rsidRDefault="00687A87" w:rsidP="00D050E5">
            <w:pPr>
              <w:jc w:val="center"/>
              <w:rPr>
                <w:rFonts w:cs="Arial"/>
                <w:b/>
              </w:rPr>
            </w:pPr>
            <w:r w:rsidRPr="00B148F9">
              <w:rPr>
                <w:rFonts w:cs="Arial"/>
                <w:b/>
              </w:rPr>
              <w:t>69</w:t>
            </w:r>
            <w:r w:rsidR="009349A5" w:rsidRPr="00B148F9">
              <w:rPr>
                <w:rFonts w:cs="Arial"/>
                <w:b/>
              </w:rPr>
              <w:t>.72</w:t>
            </w:r>
          </w:p>
        </w:tc>
        <w:tc>
          <w:tcPr>
            <w:tcW w:w="284" w:type="dxa"/>
            <w:tcBorders>
              <w:top w:val="single" w:sz="4" w:space="0" w:color="auto"/>
            </w:tcBorders>
          </w:tcPr>
          <w:p w14:paraId="7627AD83" w14:textId="77777777" w:rsidR="009349A5" w:rsidRPr="00B148F9" w:rsidRDefault="009349A5" w:rsidP="009349A5">
            <w:pPr>
              <w:jc w:val="center"/>
              <w:rPr>
                <w:rFonts w:cs="Arial"/>
                <w:b/>
              </w:rPr>
            </w:pPr>
          </w:p>
        </w:tc>
        <w:tc>
          <w:tcPr>
            <w:tcW w:w="1134" w:type="dxa"/>
            <w:tcBorders>
              <w:top w:val="single" w:sz="4" w:space="0" w:color="auto"/>
            </w:tcBorders>
          </w:tcPr>
          <w:p w14:paraId="6B386489" w14:textId="77777777" w:rsidR="009349A5" w:rsidRPr="00B148F9" w:rsidRDefault="009349A5" w:rsidP="009349A5">
            <w:pPr>
              <w:jc w:val="center"/>
              <w:rPr>
                <w:rFonts w:cs="Arial"/>
                <w:b/>
              </w:rPr>
            </w:pPr>
          </w:p>
        </w:tc>
        <w:tc>
          <w:tcPr>
            <w:tcW w:w="567" w:type="dxa"/>
            <w:tcBorders>
              <w:top w:val="single" w:sz="4" w:space="0" w:color="auto"/>
            </w:tcBorders>
          </w:tcPr>
          <w:p w14:paraId="6D75D5FA" w14:textId="7D0B467B" w:rsidR="009349A5" w:rsidRPr="00B148F9" w:rsidRDefault="00A12EB0" w:rsidP="00DE3E70">
            <w:pPr>
              <w:jc w:val="right"/>
              <w:rPr>
                <w:rFonts w:cs="Arial"/>
                <w:b/>
              </w:rPr>
            </w:pPr>
            <w:r w:rsidRPr="00B148F9">
              <w:rPr>
                <w:rFonts w:cs="Arial"/>
                <w:b/>
              </w:rPr>
              <w:t>US$</w:t>
            </w:r>
          </w:p>
        </w:tc>
        <w:tc>
          <w:tcPr>
            <w:tcW w:w="1275" w:type="dxa"/>
            <w:tcBorders>
              <w:top w:val="single" w:sz="4" w:space="0" w:color="auto"/>
            </w:tcBorders>
          </w:tcPr>
          <w:p w14:paraId="5C9EBB8C" w14:textId="2FEDAA84" w:rsidR="009349A5" w:rsidRPr="00B148F9" w:rsidRDefault="00687A87" w:rsidP="00D050E5">
            <w:pPr>
              <w:jc w:val="center"/>
              <w:rPr>
                <w:rFonts w:cs="Arial"/>
                <w:b/>
              </w:rPr>
            </w:pPr>
            <w:r w:rsidRPr="00B148F9">
              <w:rPr>
                <w:rFonts w:cs="Arial"/>
                <w:b/>
              </w:rPr>
              <w:t>65</w:t>
            </w:r>
            <w:r w:rsidR="009349A5" w:rsidRPr="00B148F9">
              <w:rPr>
                <w:rFonts w:cs="Arial"/>
                <w:b/>
              </w:rPr>
              <w:t>,9</w:t>
            </w:r>
            <w:r w:rsidRPr="00B148F9">
              <w:rPr>
                <w:rFonts w:cs="Arial"/>
                <w:b/>
              </w:rPr>
              <w:t>03</w:t>
            </w:r>
            <w:r w:rsidR="009349A5" w:rsidRPr="00B148F9">
              <w:rPr>
                <w:rFonts w:cs="Arial"/>
                <w:b/>
              </w:rPr>
              <w:t>,</w:t>
            </w:r>
            <w:r w:rsidRPr="00B148F9">
              <w:rPr>
                <w:rFonts w:cs="Arial"/>
                <w:b/>
              </w:rPr>
              <w:t>049</w:t>
            </w:r>
          </w:p>
        </w:tc>
        <w:tc>
          <w:tcPr>
            <w:tcW w:w="675" w:type="dxa"/>
            <w:tcBorders>
              <w:top w:val="single" w:sz="4" w:space="0" w:color="auto"/>
            </w:tcBorders>
          </w:tcPr>
          <w:p w14:paraId="508DE112" w14:textId="4984DE46" w:rsidR="009349A5" w:rsidRPr="00B148F9" w:rsidRDefault="00A12EB0" w:rsidP="00DE3E70">
            <w:pPr>
              <w:jc w:val="right"/>
              <w:rPr>
                <w:rFonts w:cs="Arial"/>
                <w:b/>
              </w:rPr>
            </w:pPr>
            <w:r w:rsidRPr="00B148F9">
              <w:rPr>
                <w:rFonts w:cs="Arial"/>
                <w:b/>
              </w:rPr>
              <w:t>US$</w:t>
            </w:r>
          </w:p>
        </w:tc>
        <w:tc>
          <w:tcPr>
            <w:tcW w:w="1418" w:type="dxa"/>
            <w:tcBorders>
              <w:top w:val="single" w:sz="4" w:space="0" w:color="auto"/>
            </w:tcBorders>
          </w:tcPr>
          <w:p w14:paraId="6E004900" w14:textId="36AFA625" w:rsidR="009349A5" w:rsidRPr="00B148F9" w:rsidRDefault="009349A5" w:rsidP="00D050E5">
            <w:pPr>
              <w:jc w:val="center"/>
              <w:rPr>
                <w:rFonts w:cs="Arial"/>
                <w:b/>
              </w:rPr>
            </w:pPr>
            <w:r w:rsidRPr="00B148F9">
              <w:rPr>
                <w:rFonts w:cs="Arial"/>
                <w:b/>
              </w:rPr>
              <w:t>14</w:t>
            </w:r>
            <w:r w:rsidR="00687A87" w:rsidRPr="00B148F9">
              <w:rPr>
                <w:rFonts w:cs="Arial"/>
                <w:b/>
              </w:rPr>
              <w:t>3</w:t>
            </w:r>
            <w:r w:rsidRPr="00B148F9">
              <w:rPr>
                <w:rFonts w:cs="Arial"/>
                <w:b/>
              </w:rPr>
              <w:t>,</w:t>
            </w:r>
            <w:r w:rsidR="00687A87" w:rsidRPr="00B148F9">
              <w:rPr>
                <w:rFonts w:cs="Arial"/>
                <w:b/>
              </w:rPr>
              <w:t>401</w:t>
            </w:r>
            <w:r w:rsidRPr="00B148F9">
              <w:rPr>
                <w:rFonts w:cs="Arial"/>
                <w:b/>
              </w:rPr>
              <w:t>,</w:t>
            </w:r>
            <w:r w:rsidR="00687A87" w:rsidRPr="00B148F9">
              <w:rPr>
                <w:rFonts w:cs="Arial"/>
                <w:b/>
              </w:rPr>
              <w:t>11</w:t>
            </w:r>
            <w:r w:rsidR="00E20474" w:rsidRPr="00B148F9">
              <w:rPr>
                <w:rFonts w:cs="Arial"/>
                <w:b/>
              </w:rPr>
              <w:t>3</w:t>
            </w:r>
          </w:p>
        </w:tc>
      </w:tr>
      <w:tr w:rsidR="00A12EB0" w:rsidRPr="00B148F9" w14:paraId="209A45AC" w14:textId="77777777" w:rsidTr="00B746FC">
        <w:tc>
          <w:tcPr>
            <w:tcW w:w="250" w:type="dxa"/>
          </w:tcPr>
          <w:p w14:paraId="3D29F15A" w14:textId="77777777" w:rsidR="009349A5" w:rsidRPr="00B148F9" w:rsidRDefault="009349A5" w:rsidP="009349A5">
            <w:pPr>
              <w:jc w:val="left"/>
              <w:rPr>
                <w:rFonts w:cs="Arial"/>
              </w:rPr>
            </w:pPr>
          </w:p>
        </w:tc>
        <w:tc>
          <w:tcPr>
            <w:tcW w:w="3011" w:type="dxa"/>
          </w:tcPr>
          <w:p w14:paraId="0D1CEEDA" w14:textId="77777777" w:rsidR="009349A5" w:rsidRPr="00B148F9" w:rsidRDefault="009349A5" w:rsidP="009349A5">
            <w:pPr>
              <w:jc w:val="left"/>
              <w:rPr>
                <w:rFonts w:cs="Arial"/>
                <w:b/>
              </w:rPr>
            </w:pPr>
          </w:p>
        </w:tc>
        <w:tc>
          <w:tcPr>
            <w:tcW w:w="485" w:type="dxa"/>
          </w:tcPr>
          <w:p w14:paraId="2A03DCEA" w14:textId="77777777" w:rsidR="009349A5" w:rsidRPr="00B148F9" w:rsidRDefault="009349A5" w:rsidP="009349A5">
            <w:pPr>
              <w:jc w:val="center"/>
              <w:rPr>
                <w:rFonts w:cs="Arial"/>
                <w:b/>
              </w:rPr>
            </w:pPr>
          </w:p>
        </w:tc>
        <w:tc>
          <w:tcPr>
            <w:tcW w:w="932" w:type="dxa"/>
          </w:tcPr>
          <w:p w14:paraId="713ECDED" w14:textId="77777777" w:rsidR="009349A5" w:rsidRPr="00B148F9" w:rsidRDefault="009349A5" w:rsidP="009349A5">
            <w:pPr>
              <w:jc w:val="center"/>
              <w:rPr>
                <w:rFonts w:cs="Arial"/>
                <w:b/>
              </w:rPr>
            </w:pPr>
          </w:p>
        </w:tc>
        <w:tc>
          <w:tcPr>
            <w:tcW w:w="284" w:type="dxa"/>
          </w:tcPr>
          <w:p w14:paraId="116F03E6" w14:textId="77777777" w:rsidR="009349A5" w:rsidRPr="00B148F9" w:rsidRDefault="009349A5" w:rsidP="009349A5">
            <w:pPr>
              <w:jc w:val="center"/>
              <w:rPr>
                <w:rFonts w:cs="Arial"/>
                <w:b/>
              </w:rPr>
            </w:pPr>
          </w:p>
        </w:tc>
        <w:tc>
          <w:tcPr>
            <w:tcW w:w="1134" w:type="dxa"/>
          </w:tcPr>
          <w:p w14:paraId="6AF53956" w14:textId="77777777" w:rsidR="009349A5" w:rsidRPr="00B148F9" w:rsidRDefault="009349A5" w:rsidP="009349A5">
            <w:pPr>
              <w:jc w:val="center"/>
              <w:rPr>
                <w:rFonts w:cs="Arial"/>
                <w:b/>
              </w:rPr>
            </w:pPr>
          </w:p>
        </w:tc>
        <w:tc>
          <w:tcPr>
            <w:tcW w:w="567" w:type="dxa"/>
          </w:tcPr>
          <w:p w14:paraId="5CA58D94" w14:textId="77777777" w:rsidR="009349A5" w:rsidRPr="00B148F9" w:rsidRDefault="009349A5" w:rsidP="009349A5">
            <w:pPr>
              <w:jc w:val="center"/>
              <w:rPr>
                <w:rFonts w:cs="Arial"/>
                <w:b/>
              </w:rPr>
            </w:pPr>
          </w:p>
        </w:tc>
        <w:tc>
          <w:tcPr>
            <w:tcW w:w="1275" w:type="dxa"/>
          </w:tcPr>
          <w:p w14:paraId="563551FD" w14:textId="77777777" w:rsidR="009349A5" w:rsidRPr="00B148F9" w:rsidRDefault="009349A5" w:rsidP="009349A5">
            <w:pPr>
              <w:jc w:val="center"/>
              <w:rPr>
                <w:rFonts w:cs="Arial"/>
                <w:b/>
              </w:rPr>
            </w:pPr>
          </w:p>
        </w:tc>
        <w:tc>
          <w:tcPr>
            <w:tcW w:w="675" w:type="dxa"/>
          </w:tcPr>
          <w:p w14:paraId="56972DFA" w14:textId="77777777" w:rsidR="009349A5" w:rsidRPr="00B148F9" w:rsidRDefault="009349A5" w:rsidP="009349A5">
            <w:pPr>
              <w:jc w:val="center"/>
              <w:rPr>
                <w:rFonts w:cs="Arial"/>
                <w:b/>
              </w:rPr>
            </w:pPr>
          </w:p>
        </w:tc>
        <w:tc>
          <w:tcPr>
            <w:tcW w:w="1418" w:type="dxa"/>
          </w:tcPr>
          <w:p w14:paraId="00CBAC36" w14:textId="77777777" w:rsidR="009349A5" w:rsidRPr="00B148F9" w:rsidRDefault="009349A5" w:rsidP="009349A5">
            <w:pPr>
              <w:jc w:val="center"/>
              <w:rPr>
                <w:rFonts w:cs="Arial"/>
                <w:b/>
              </w:rPr>
            </w:pPr>
          </w:p>
        </w:tc>
      </w:tr>
      <w:tr w:rsidR="00A12EB0" w:rsidRPr="00B148F9" w14:paraId="751409FA" w14:textId="77777777" w:rsidTr="00B746FC">
        <w:tc>
          <w:tcPr>
            <w:tcW w:w="3261" w:type="dxa"/>
            <w:gridSpan w:val="2"/>
          </w:tcPr>
          <w:p w14:paraId="08219410" w14:textId="695748EB" w:rsidR="009349A5" w:rsidRPr="00B148F9" w:rsidRDefault="00C87417">
            <w:pPr>
              <w:jc w:val="left"/>
              <w:rPr>
                <w:rFonts w:cs="Arial"/>
                <w:b/>
              </w:rPr>
            </w:pPr>
            <w:r w:rsidRPr="00B148F9">
              <w:rPr>
                <w:rFonts w:cs="Arial"/>
                <w:b/>
              </w:rPr>
              <w:t>Convertible p</w:t>
            </w:r>
            <w:r w:rsidR="009349A5" w:rsidRPr="00B148F9">
              <w:rPr>
                <w:rFonts w:cs="Arial"/>
                <w:b/>
              </w:rPr>
              <w:t>referred stocks</w:t>
            </w:r>
          </w:p>
        </w:tc>
        <w:tc>
          <w:tcPr>
            <w:tcW w:w="485" w:type="dxa"/>
          </w:tcPr>
          <w:p w14:paraId="0B39D221" w14:textId="77777777" w:rsidR="009349A5" w:rsidRPr="00B148F9" w:rsidRDefault="009349A5" w:rsidP="009349A5">
            <w:pPr>
              <w:jc w:val="center"/>
              <w:rPr>
                <w:rFonts w:cs="Arial"/>
                <w:b/>
              </w:rPr>
            </w:pPr>
          </w:p>
        </w:tc>
        <w:tc>
          <w:tcPr>
            <w:tcW w:w="932" w:type="dxa"/>
          </w:tcPr>
          <w:p w14:paraId="443EE4D3" w14:textId="77777777" w:rsidR="009349A5" w:rsidRPr="00B148F9" w:rsidRDefault="009349A5" w:rsidP="009349A5">
            <w:pPr>
              <w:jc w:val="center"/>
              <w:rPr>
                <w:rFonts w:cs="Arial"/>
                <w:b/>
              </w:rPr>
            </w:pPr>
          </w:p>
        </w:tc>
        <w:tc>
          <w:tcPr>
            <w:tcW w:w="284" w:type="dxa"/>
          </w:tcPr>
          <w:p w14:paraId="3BDD4C44" w14:textId="77777777" w:rsidR="009349A5" w:rsidRPr="00B148F9" w:rsidRDefault="009349A5" w:rsidP="009349A5">
            <w:pPr>
              <w:jc w:val="center"/>
              <w:rPr>
                <w:rFonts w:cs="Arial"/>
                <w:b/>
              </w:rPr>
            </w:pPr>
          </w:p>
        </w:tc>
        <w:tc>
          <w:tcPr>
            <w:tcW w:w="1134" w:type="dxa"/>
          </w:tcPr>
          <w:p w14:paraId="33C3AFD6" w14:textId="77777777" w:rsidR="009349A5" w:rsidRPr="00B148F9" w:rsidRDefault="009349A5" w:rsidP="009349A5">
            <w:pPr>
              <w:jc w:val="center"/>
              <w:rPr>
                <w:rFonts w:cs="Arial"/>
                <w:b/>
              </w:rPr>
            </w:pPr>
          </w:p>
        </w:tc>
        <w:tc>
          <w:tcPr>
            <w:tcW w:w="567" w:type="dxa"/>
          </w:tcPr>
          <w:p w14:paraId="753D6421" w14:textId="77777777" w:rsidR="009349A5" w:rsidRPr="00B148F9" w:rsidRDefault="009349A5" w:rsidP="009349A5">
            <w:pPr>
              <w:jc w:val="center"/>
              <w:rPr>
                <w:rFonts w:cs="Arial"/>
                <w:b/>
              </w:rPr>
            </w:pPr>
          </w:p>
        </w:tc>
        <w:tc>
          <w:tcPr>
            <w:tcW w:w="1275" w:type="dxa"/>
          </w:tcPr>
          <w:p w14:paraId="4F373974" w14:textId="77777777" w:rsidR="009349A5" w:rsidRPr="00B148F9" w:rsidRDefault="009349A5" w:rsidP="009349A5">
            <w:pPr>
              <w:jc w:val="center"/>
              <w:rPr>
                <w:rFonts w:cs="Arial"/>
                <w:b/>
              </w:rPr>
            </w:pPr>
          </w:p>
        </w:tc>
        <w:tc>
          <w:tcPr>
            <w:tcW w:w="675" w:type="dxa"/>
          </w:tcPr>
          <w:p w14:paraId="14A3ED89" w14:textId="77777777" w:rsidR="009349A5" w:rsidRPr="00B148F9" w:rsidRDefault="009349A5" w:rsidP="009349A5">
            <w:pPr>
              <w:jc w:val="center"/>
              <w:rPr>
                <w:rFonts w:cs="Arial"/>
                <w:b/>
              </w:rPr>
            </w:pPr>
          </w:p>
        </w:tc>
        <w:tc>
          <w:tcPr>
            <w:tcW w:w="1418" w:type="dxa"/>
          </w:tcPr>
          <w:p w14:paraId="6FDC64CD" w14:textId="77777777" w:rsidR="009349A5" w:rsidRPr="00B148F9" w:rsidRDefault="009349A5" w:rsidP="009349A5">
            <w:pPr>
              <w:jc w:val="center"/>
              <w:rPr>
                <w:rFonts w:cs="Arial"/>
                <w:b/>
              </w:rPr>
            </w:pPr>
          </w:p>
        </w:tc>
      </w:tr>
      <w:tr w:rsidR="00A12EB0" w:rsidRPr="00B148F9" w14:paraId="131772F6" w14:textId="77777777" w:rsidTr="00B746FC">
        <w:tc>
          <w:tcPr>
            <w:tcW w:w="250" w:type="dxa"/>
          </w:tcPr>
          <w:p w14:paraId="21B7656B" w14:textId="77777777" w:rsidR="009349A5" w:rsidRPr="00B148F9" w:rsidRDefault="009349A5" w:rsidP="009349A5">
            <w:pPr>
              <w:jc w:val="left"/>
              <w:rPr>
                <w:rFonts w:cs="Arial"/>
              </w:rPr>
            </w:pPr>
          </w:p>
        </w:tc>
        <w:tc>
          <w:tcPr>
            <w:tcW w:w="3011" w:type="dxa"/>
          </w:tcPr>
          <w:p w14:paraId="13BA7165" w14:textId="62E9B098" w:rsidR="009349A5" w:rsidRPr="00B148F9" w:rsidRDefault="009349A5" w:rsidP="009349A5">
            <w:pPr>
              <w:jc w:val="left"/>
              <w:rPr>
                <w:rFonts w:cs="Arial"/>
                <w:b/>
              </w:rPr>
            </w:pPr>
            <w:r w:rsidRPr="00B148F9">
              <w:rPr>
                <w:rFonts w:cs="Arial"/>
                <w:b/>
              </w:rPr>
              <w:t>United States</w:t>
            </w:r>
          </w:p>
        </w:tc>
        <w:tc>
          <w:tcPr>
            <w:tcW w:w="485" w:type="dxa"/>
          </w:tcPr>
          <w:p w14:paraId="729CFA04" w14:textId="77777777" w:rsidR="009349A5" w:rsidRPr="00B148F9" w:rsidRDefault="009349A5" w:rsidP="009349A5">
            <w:pPr>
              <w:jc w:val="center"/>
              <w:rPr>
                <w:rFonts w:cs="Arial"/>
                <w:b/>
              </w:rPr>
            </w:pPr>
          </w:p>
        </w:tc>
        <w:tc>
          <w:tcPr>
            <w:tcW w:w="932" w:type="dxa"/>
          </w:tcPr>
          <w:p w14:paraId="0B3072DA" w14:textId="77777777" w:rsidR="009349A5" w:rsidRPr="00B148F9" w:rsidRDefault="009349A5" w:rsidP="009349A5">
            <w:pPr>
              <w:jc w:val="center"/>
              <w:rPr>
                <w:rFonts w:cs="Arial"/>
                <w:b/>
              </w:rPr>
            </w:pPr>
          </w:p>
        </w:tc>
        <w:tc>
          <w:tcPr>
            <w:tcW w:w="284" w:type="dxa"/>
          </w:tcPr>
          <w:p w14:paraId="5CB2D15C" w14:textId="77777777" w:rsidR="009349A5" w:rsidRPr="00B148F9" w:rsidRDefault="009349A5" w:rsidP="009349A5">
            <w:pPr>
              <w:jc w:val="center"/>
              <w:rPr>
                <w:rFonts w:cs="Arial"/>
                <w:b/>
              </w:rPr>
            </w:pPr>
          </w:p>
        </w:tc>
        <w:tc>
          <w:tcPr>
            <w:tcW w:w="1134" w:type="dxa"/>
          </w:tcPr>
          <w:p w14:paraId="5316B127" w14:textId="77777777" w:rsidR="009349A5" w:rsidRPr="00B148F9" w:rsidRDefault="009349A5" w:rsidP="009349A5">
            <w:pPr>
              <w:jc w:val="center"/>
              <w:rPr>
                <w:rFonts w:cs="Arial"/>
                <w:b/>
              </w:rPr>
            </w:pPr>
          </w:p>
        </w:tc>
        <w:tc>
          <w:tcPr>
            <w:tcW w:w="567" w:type="dxa"/>
          </w:tcPr>
          <w:p w14:paraId="2897133D" w14:textId="77777777" w:rsidR="009349A5" w:rsidRPr="00B148F9" w:rsidRDefault="009349A5" w:rsidP="009349A5">
            <w:pPr>
              <w:jc w:val="center"/>
              <w:rPr>
                <w:rFonts w:cs="Arial"/>
                <w:b/>
              </w:rPr>
            </w:pPr>
          </w:p>
        </w:tc>
        <w:tc>
          <w:tcPr>
            <w:tcW w:w="1275" w:type="dxa"/>
          </w:tcPr>
          <w:p w14:paraId="46C9DE7B" w14:textId="77777777" w:rsidR="009349A5" w:rsidRPr="00B148F9" w:rsidRDefault="009349A5" w:rsidP="009349A5">
            <w:pPr>
              <w:jc w:val="center"/>
              <w:rPr>
                <w:rFonts w:cs="Arial"/>
                <w:b/>
              </w:rPr>
            </w:pPr>
          </w:p>
        </w:tc>
        <w:tc>
          <w:tcPr>
            <w:tcW w:w="675" w:type="dxa"/>
          </w:tcPr>
          <w:p w14:paraId="4968EDEC" w14:textId="77777777" w:rsidR="009349A5" w:rsidRPr="00B148F9" w:rsidRDefault="009349A5" w:rsidP="009349A5">
            <w:pPr>
              <w:jc w:val="center"/>
              <w:rPr>
                <w:rFonts w:cs="Arial"/>
                <w:b/>
              </w:rPr>
            </w:pPr>
          </w:p>
        </w:tc>
        <w:tc>
          <w:tcPr>
            <w:tcW w:w="1418" w:type="dxa"/>
          </w:tcPr>
          <w:p w14:paraId="597C5D63" w14:textId="77777777" w:rsidR="009349A5" w:rsidRPr="00B148F9" w:rsidRDefault="009349A5" w:rsidP="009349A5">
            <w:pPr>
              <w:jc w:val="center"/>
              <w:rPr>
                <w:rFonts w:cs="Arial"/>
                <w:b/>
              </w:rPr>
            </w:pPr>
          </w:p>
        </w:tc>
      </w:tr>
      <w:tr w:rsidR="00A12EB0" w:rsidRPr="00B148F9" w14:paraId="3625FE06" w14:textId="77777777" w:rsidTr="00B746FC">
        <w:tc>
          <w:tcPr>
            <w:tcW w:w="250" w:type="dxa"/>
          </w:tcPr>
          <w:p w14:paraId="50036C60" w14:textId="77777777" w:rsidR="009349A5" w:rsidRPr="00B148F9" w:rsidRDefault="009349A5" w:rsidP="009349A5">
            <w:pPr>
              <w:jc w:val="left"/>
              <w:rPr>
                <w:rFonts w:cs="Arial"/>
              </w:rPr>
            </w:pPr>
          </w:p>
        </w:tc>
        <w:tc>
          <w:tcPr>
            <w:tcW w:w="3011" w:type="dxa"/>
          </w:tcPr>
          <w:p w14:paraId="2E618E25" w14:textId="0B859A08" w:rsidR="009349A5" w:rsidRPr="00B148F9" w:rsidRDefault="00AA79D1" w:rsidP="009349A5">
            <w:pPr>
              <w:jc w:val="left"/>
              <w:rPr>
                <w:rFonts w:cs="Arial"/>
                <w:b/>
              </w:rPr>
            </w:pPr>
            <w:r w:rsidRPr="00B148F9">
              <w:rPr>
                <w:rFonts w:cs="Arial"/>
              </w:rPr>
              <w:t>Healthcare</w:t>
            </w:r>
          </w:p>
        </w:tc>
        <w:tc>
          <w:tcPr>
            <w:tcW w:w="485" w:type="dxa"/>
          </w:tcPr>
          <w:p w14:paraId="6F96F12A" w14:textId="77777777" w:rsidR="009349A5" w:rsidRPr="00B148F9" w:rsidRDefault="009349A5" w:rsidP="009349A5">
            <w:pPr>
              <w:jc w:val="center"/>
              <w:rPr>
                <w:rFonts w:cs="Arial"/>
                <w:b/>
              </w:rPr>
            </w:pPr>
          </w:p>
        </w:tc>
        <w:tc>
          <w:tcPr>
            <w:tcW w:w="932" w:type="dxa"/>
          </w:tcPr>
          <w:p w14:paraId="0CAEBC4A" w14:textId="17311341" w:rsidR="009349A5" w:rsidRPr="00B148F9" w:rsidRDefault="00687A87" w:rsidP="00D050E5">
            <w:pPr>
              <w:jc w:val="center"/>
              <w:rPr>
                <w:rFonts w:cs="Arial"/>
              </w:rPr>
            </w:pPr>
            <w:r w:rsidRPr="00B148F9">
              <w:rPr>
                <w:rFonts w:cs="Arial"/>
              </w:rPr>
              <w:t>10</w:t>
            </w:r>
            <w:r w:rsidR="009349A5" w:rsidRPr="00B148F9">
              <w:rPr>
                <w:rFonts w:cs="Arial"/>
              </w:rPr>
              <w:t>.0</w:t>
            </w:r>
            <w:r w:rsidRPr="00B148F9">
              <w:rPr>
                <w:rFonts w:cs="Arial"/>
              </w:rPr>
              <w:t>3</w:t>
            </w:r>
          </w:p>
        </w:tc>
        <w:tc>
          <w:tcPr>
            <w:tcW w:w="284" w:type="dxa"/>
          </w:tcPr>
          <w:p w14:paraId="267A293E" w14:textId="77777777" w:rsidR="009349A5" w:rsidRPr="00B148F9" w:rsidRDefault="009349A5" w:rsidP="009349A5">
            <w:pPr>
              <w:jc w:val="center"/>
              <w:rPr>
                <w:rFonts w:cs="Arial"/>
              </w:rPr>
            </w:pPr>
          </w:p>
        </w:tc>
        <w:tc>
          <w:tcPr>
            <w:tcW w:w="1134" w:type="dxa"/>
          </w:tcPr>
          <w:p w14:paraId="378CF881" w14:textId="7622C2E9" w:rsidR="009349A5" w:rsidRPr="00B148F9" w:rsidRDefault="00687A87" w:rsidP="00D050E5">
            <w:pPr>
              <w:jc w:val="center"/>
              <w:rPr>
                <w:rFonts w:cs="Arial"/>
              </w:rPr>
            </w:pPr>
            <w:r w:rsidRPr="00B148F9">
              <w:rPr>
                <w:rFonts w:cs="Arial"/>
              </w:rPr>
              <w:t>2</w:t>
            </w:r>
            <w:r w:rsidR="009349A5" w:rsidRPr="00B148F9">
              <w:rPr>
                <w:rFonts w:cs="Arial"/>
              </w:rPr>
              <w:t>,</w:t>
            </w:r>
            <w:r w:rsidRPr="00B148F9">
              <w:rPr>
                <w:rFonts w:cs="Arial"/>
              </w:rPr>
              <w:t>615</w:t>
            </w:r>
            <w:r w:rsidR="009349A5" w:rsidRPr="00B148F9">
              <w:rPr>
                <w:rFonts w:cs="Arial"/>
              </w:rPr>
              <w:t>,</w:t>
            </w:r>
            <w:r w:rsidRPr="00B148F9">
              <w:rPr>
                <w:rFonts w:cs="Arial"/>
              </w:rPr>
              <w:t>1</w:t>
            </w:r>
            <w:r w:rsidR="009349A5" w:rsidRPr="00B148F9">
              <w:rPr>
                <w:rFonts w:cs="Arial"/>
              </w:rPr>
              <w:t>7</w:t>
            </w:r>
            <w:r w:rsidRPr="00B148F9">
              <w:rPr>
                <w:rFonts w:cs="Arial"/>
              </w:rPr>
              <w:t>3</w:t>
            </w:r>
          </w:p>
        </w:tc>
        <w:tc>
          <w:tcPr>
            <w:tcW w:w="567" w:type="dxa"/>
          </w:tcPr>
          <w:p w14:paraId="3626438E" w14:textId="77777777" w:rsidR="009349A5" w:rsidRPr="00B148F9" w:rsidRDefault="009349A5" w:rsidP="009349A5">
            <w:pPr>
              <w:jc w:val="center"/>
              <w:rPr>
                <w:rFonts w:cs="Arial"/>
              </w:rPr>
            </w:pPr>
          </w:p>
        </w:tc>
        <w:tc>
          <w:tcPr>
            <w:tcW w:w="1275" w:type="dxa"/>
          </w:tcPr>
          <w:p w14:paraId="74FA7E7E" w14:textId="569D58C8" w:rsidR="009349A5" w:rsidRPr="00B148F9" w:rsidRDefault="00687A87" w:rsidP="00D050E5">
            <w:pPr>
              <w:jc w:val="center"/>
              <w:rPr>
                <w:rFonts w:cs="Arial"/>
              </w:rPr>
            </w:pPr>
            <w:r w:rsidRPr="00B148F9">
              <w:rPr>
                <w:rFonts w:cs="Arial"/>
              </w:rPr>
              <w:t>20</w:t>
            </w:r>
            <w:r w:rsidR="009349A5" w:rsidRPr="00B148F9">
              <w:rPr>
                <w:rFonts w:cs="Arial"/>
              </w:rPr>
              <w:t>,500,00</w:t>
            </w:r>
            <w:r w:rsidRPr="00B148F9">
              <w:rPr>
                <w:rFonts w:cs="Arial"/>
              </w:rPr>
              <w:t>1</w:t>
            </w:r>
          </w:p>
        </w:tc>
        <w:tc>
          <w:tcPr>
            <w:tcW w:w="675" w:type="dxa"/>
          </w:tcPr>
          <w:p w14:paraId="48D394CB" w14:textId="77777777" w:rsidR="009349A5" w:rsidRPr="00B148F9" w:rsidRDefault="009349A5" w:rsidP="009349A5">
            <w:pPr>
              <w:jc w:val="center"/>
              <w:rPr>
                <w:rFonts w:cs="Arial"/>
              </w:rPr>
            </w:pPr>
          </w:p>
        </w:tc>
        <w:tc>
          <w:tcPr>
            <w:tcW w:w="1418" w:type="dxa"/>
          </w:tcPr>
          <w:p w14:paraId="780014AC" w14:textId="61B6D168" w:rsidR="009349A5" w:rsidRPr="00B148F9" w:rsidRDefault="00687A87" w:rsidP="00D050E5">
            <w:pPr>
              <w:jc w:val="center"/>
              <w:rPr>
                <w:rFonts w:cs="Arial"/>
              </w:rPr>
            </w:pPr>
            <w:r w:rsidRPr="00B148F9">
              <w:rPr>
                <w:rFonts w:cs="Arial"/>
              </w:rPr>
              <w:t>20</w:t>
            </w:r>
            <w:r w:rsidR="009349A5" w:rsidRPr="00B148F9">
              <w:rPr>
                <w:rFonts w:cs="Arial"/>
              </w:rPr>
              <w:t>,634,3</w:t>
            </w:r>
            <w:r w:rsidRPr="00B148F9">
              <w:rPr>
                <w:rFonts w:cs="Arial"/>
              </w:rPr>
              <w:t>08</w:t>
            </w:r>
          </w:p>
        </w:tc>
      </w:tr>
      <w:tr w:rsidR="00A12EB0" w:rsidRPr="00B148F9" w14:paraId="7FEFD02A" w14:textId="77777777" w:rsidTr="00B746FC">
        <w:tc>
          <w:tcPr>
            <w:tcW w:w="250" w:type="dxa"/>
          </w:tcPr>
          <w:p w14:paraId="66E9F2DB" w14:textId="77777777" w:rsidR="009349A5" w:rsidRPr="00B148F9" w:rsidRDefault="009349A5" w:rsidP="009349A5">
            <w:pPr>
              <w:jc w:val="left"/>
              <w:rPr>
                <w:rFonts w:cs="Arial"/>
              </w:rPr>
            </w:pPr>
          </w:p>
        </w:tc>
        <w:tc>
          <w:tcPr>
            <w:tcW w:w="3011" w:type="dxa"/>
          </w:tcPr>
          <w:p w14:paraId="3816AEB9" w14:textId="27A60366" w:rsidR="009349A5" w:rsidRPr="00B148F9" w:rsidRDefault="009349A5" w:rsidP="009349A5">
            <w:pPr>
              <w:jc w:val="left"/>
              <w:rPr>
                <w:rFonts w:cs="Arial"/>
                <w:b/>
              </w:rPr>
            </w:pPr>
          </w:p>
        </w:tc>
        <w:tc>
          <w:tcPr>
            <w:tcW w:w="485" w:type="dxa"/>
          </w:tcPr>
          <w:p w14:paraId="5939D003" w14:textId="77777777" w:rsidR="009349A5" w:rsidRPr="00B148F9" w:rsidRDefault="009349A5" w:rsidP="009349A5">
            <w:pPr>
              <w:jc w:val="center"/>
              <w:rPr>
                <w:rFonts w:cs="Arial"/>
                <w:b/>
              </w:rPr>
            </w:pPr>
          </w:p>
        </w:tc>
        <w:tc>
          <w:tcPr>
            <w:tcW w:w="932" w:type="dxa"/>
          </w:tcPr>
          <w:p w14:paraId="19EDF702" w14:textId="72FCEB57" w:rsidR="009349A5" w:rsidRPr="00B148F9" w:rsidRDefault="009349A5" w:rsidP="009349A5">
            <w:pPr>
              <w:jc w:val="center"/>
              <w:rPr>
                <w:rFonts w:cs="Arial"/>
                <w:b/>
              </w:rPr>
            </w:pPr>
          </w:p>
        </w:tc>
        <w:tc>
          <w:tcPr>
            <w:tcW w:w="284" w:type="dxa"/>
          </w:tcPr>
          <w:p w14:paraId="5929BB20" w14:textId="77777777" w:rsidR="009349A5" w:rsidRPr="00B148F9" w:rsidRDefault="009349A5" w:rsidP="009349A5">
            <w:pPr>
              <w:jc w:val="center"/>
              <w:rPr>
                <w:rFonts w:cs="Arial"/>
                <w:b/>
              </w:rPr>
            </w:pPr>
          </w:p>
        </w:tc>
        <w:tc>
          <w:tcPr>
            <w:tcW w:w="1134" w:type="dxa"/>
          </w:tcPr>
          <w:p w14:paraId="30FCABB1" w14:textId="475DC289" w:rsidR="009349A5" w:rsidRPr="00B148F9" w:rsidRDefault="009349A5" w:rsidP="009349A5">
            <w:pPr>
              <w:jc w:val="center"/>
              <w:rPr>
                <w:rFonts w:cs="Arial"/>
                <w:b/>
              </w:rPr>
            </w:pPr>
          </w:p>
        </w:tc>
        <w:tc>
          <w:tcPr>
            <w:tcW w:w="567" w:type="dxa"/>
          </w:tcPr>
          <w:p w14:paraId="685382CF" w14:textId="77777777" w:rsidR="009349A5" w:rsidRPr="00B148F9" w:rsidRDefault="009349A5" w:rsidP="009349A5">
            <w:pPr>
              <w:jc w:val="center"/>
              <w:rPr>
                <w:rFonts w:cs="Arial"/>
                <w:b/>
              </w:rPr>
            </w:pPr>
          </w:p>
        </w:tc>
        <w:tc>
          <w:tcPr>
            <w:tcW w:w="1275" w:type="dxa"/>
          </w:tcPr>
          <w:p w14:paraId="66CE3369" w14:textId="4E059624" w:rsidR="009349A5" w:rsidRPr="00B148F9" w:rsidRDefault="009349A5" w:rsidP="009349A5">
            <w:pPr>
              <w:jc w:val="center"/>
              <w:rPr>
                <w:rFonts w:cs="Arial"/>
                <w:b/>
              </w:rPr>
            </w:pPr>
          </w:p>
        </w:tc>
        <w:tc>
          <w:tcPr>
            <w:tcW w:w="675" w:type="dxa"/>
          </w:tcPr>
          <w:p w14:paraId="0F9738C9" w14:textId="77777777" w:rsidR="009349A5" w:rsidRPr="00B148F9" w:rsidRDefault="009349A5" w:rsidP="009349A5">
            <w:pPr>
              <w:jc w:val="center"/>
              <w:rPr>
                <w:rFonts w:cs="Arial"/>
                <w:b/>
              </w:rPr>
            </w:pPr>
          </w:p>
        </w:tc>
        <w:tc>
          <w:tcPr>
            <w:tcW w:w="1418" w:type="dxa"/>
          </w:tcPr>
          <w:p w14:paraId="376A313D" w14:textId="3F6CDA75" w:rsidR="009349A5" w:rsidRPr="00B148F9" w:rsidRDefault="009349A5" w:rsidP="009349A5">
            <w:pPr>
              <w:jc w:val="center"/>
              <w:rPr>
                <w:rFonts w:cs="Arial"/>
                <w:b/>
              </w:rPr>
            </w:pPr>
          </w:p>
        </w:tc>
      </w:tr>
      <w:tr w:rsidR="00A12EB0" w:rsidRPr="00B148F9" w14:paraId="2212F1DC" w14:textId="77777777" w:rsidTr="00B746FC">
        <w:tc>
          <w:tcPr>
            <w:tcW w:w="250" w:type="dxa"/>
          </w:tcPr>
          <w:p w14:paraId="34377B91" w14:textId="77777777" w:rsidR="009349A5" w:rsidRPr="00B148F9" w:rsidRDefault="009349A5" w:rsidP="009349A5">
            <w:pPr>
              <w:jc w:val="left"/>
              <w:rPr>
                <w:rFonts w:cs="Arial"/>
              </w:rPr>
            </w:pPr>
          </w:p>
        </w:tc>
        <w:tc>
          <w:tcPr>
            <w:tcW w:w="3011" w:type="dxa"/>
          </w:tcPr>
          <w:p w14:paraId="4F8C2A0A" w14:textId="0E5F2D06" w:rsidR="009349A5" w:rsidRPr="00B148F9" w:rsidRDefault="009349A5" w:rsidP="009349A5">
            <w:pPr>
              <w:jc w:val="left"/>
              <w:rPr>
                <w:rFonts w:cs="Arial"/>
                <w:b/>
              </w:rPr>
            </w:pPr>
            <w:r w:rsidRPr="00B148F9">
              <w:rPr>
                <w:rFonts w:cs="Arial"/>
                <w:b/>
              </w:rPr>
              <w:t>United Kingdom</w:t>
            </w:r>
          </w:p>
        </w:tc>
        <w:tc>
          <w:tcPr>
            <w:tcW w:w="485" w:type="dxa"/>
          </w:tcPr>
          <w:p w14:paraId="4F359C98" w14:textId="77777777" w:rsidR="009349A5" w:rsidRPr="00B148F9" w:rsidRDefault="009349A5" w:rsidP="009349A5">
            <w:pPr>
              <w:jc w:val="center"/>
              <w:rPr>
                <w:rFonts w:cs="Arial"/>
                <w:b/>
              </w:rPr>
            </w:pPr>
          </w:p>
        </w:tc>
        <w:tc>
          <w:tcPr>
            <w:tcW w:w="932" w:type="dxa"/>
          </w:tcPr>
          <w:p w14:paraId="56C560B0" w14:textId="34EB20AC" w:rsidR="009349A5" w:rsidRPr="00B148F9" w:rsidRDefault="009349A5" w:rsidP="009349A5">
            <w:pPr>
              <w:jc w:val="center"/>
              <w:rPr>
                <w:rFonts w:cs="Arial"/>
                <w:b/>
              </w:rPr>
            </w:pPr>
          </w:p>
        </w:tc>
        <w:tc>
          <w:tcPr>
            <w:tcW w:w="284" w:type="dxa"/>
          </w:tcPr>
          <w:p w14:paraId="6D1B283C" w14:textId="77777777" w:rsidR="009349A5" w:rsidRPr="00B148F9" w:rsidRDefault="009349A5" w:rsidP="009349A5">
            <w:pPr>
              <w:jc w:val="center"/>
              <w:rPr>
                <w:rFonts w:cs="Arial"/>
                <w:b/>
              </w:rPr>
            </w:pPr>
          </w:p>
        </w:tc>
        <w:tc>
          <w:tcPr>
            <w:tcW w:w="1134" w:type="dxa"/>
          </w:tcPr>
          <w:p w14:paraId="45E38001" w14:textId="77777777" w:rsidR="009349A5" w:rsidRPr="00B148F9" w:rsidRDefault="009349A5" w:rsidP="009349A5">
            <w:pPr>
              <w:jc w:val="center"/>
              <w:rPr>
                <w:rFonts w:cs="Arial"/>
                <w:b/>
              </w:rPr>
            </w:pPr>
          </w:p>
        </w:tc>
        <w:tc>
          <w:tcPr>
            <w:tcW w:w="567" w:type="dxa"/>
          </w:tcPr>
          <w:p w14:paraId="43B28A18" w14:textId="77777777" w:rsidR="009349A5" w:rsidRPr="00B148F9" w:rsidRDefault="009349A5" w:rsidP="009349A5">
            <w:pPr>
              <w:jc w:val="center"/>
              <w:rPr>
                <w:rFonts w:cs="Arial"/>
                <w:b/>
              </w:rPr>
            </w:pPr>
          </w:p>
        </w:tc>
        <w:tc>
          <w:tcPr>
            <w:tcW w:w="1275" w:type="dxa"/>
          </w:tcPr>
          <w:p w14:paraId="33688B7E" w14:textId="0E92E86C" w:rsidR="009349A5" w:rsidRPr="00B148F9" w:rsidRDefault="009349A5" w:rsidP="009349A5">
            <w:pPr>
              <w:jc w:val="center"/>
              <w:rPr>
                <w:rFonts w:cs="Arial"/>
                <w:b/>
              </w:rPr>
            </w:pPr>
          </w:p>
        </w:tc>
        <w:tc>
          <w:tcPr>
            <w:tcW w:w="675" w:type="dxa"/>
          </w:tcPr>
          <w:p w14:paraId="4CBC3345" w14:textId="77777777" w:rsidR="009349A5" w:rsidRPr="00B148F9" w:rsidRDefault="009349A5" w:rsidP="009349A5">
            <w:pPr>
              <w:jc w:val="center"/>
              <w:rPr>
                <w:rFonts w:cs="Arial"/>
                <w:b/>
              </w:rPr>
            </w:pPr>
          </w:p>
        </w:tc>
        <w:tc>
          <w:tcPr>
            <w:tcW w:w="1418" w:type="dxa"/>
          </w:tcPr>
          <w:p w14:paraId="6B07B761" w14:textId="26DD304E" w:rsidR="009349A5" w:rsidRPr="00B148F9" w:rsidRDefault="009349A5" w:rsidP="009349A5">
            <w:pPr>
              <w:jc w:val="center"/>
              <w:rPr>
                <w:rFonts w:cs="Arial"/>
                <w:b/>
              </w:rPr>
            </w:pPr>
          </w:p>
        </w:tc>
      </w:tr>
      <w:tr w:rsidR="00A12EB0" w:rsidRPr="00B148F9" w14:paraId="2E8BF8BF" w14:textId="77777777" w:rsidTr="00B746FC">
        <w:tc>
          <w:tcPr>
            <w:tcW w:w="250" w:type="dxa"/>
          </w:tcPr>
          <w:p w14:paraId="1116A3E0" w14:textId="77777777" w:rsidR="009349A5" w:rsidRPr="00B148F9" w:rsidRDefault="009349A5" w:rsidP="009349A5">
            <w:pPr>
              <w:jc w:val="left"/>
              <w:rPr>
                <w:rFonts w:cs="Arial"/>
              </w:rPr>
            </w:pPr>
          </w:p>
        </w:tc>
        <w:tc>
          <w:tcPr>
            <w:tcW w:w="3011" w:type="dxa"/>
          </w:tcPr>
          <w:p w14:paraId="2C99800C" w14:textId="3D8C6C5B" w:rsidR="009349A5" w:rsidRPr="00B148F9" w:rsidRDefault="00AA79D1" w:rsidP="009349A5">
            <w:pPr>
              <w:jc w:val="left"/>
              <w:rPr>
                <w:rFonts w:cs="Arial"/>
                <w:b/>
              </w:rPr>
            </w:pPr>
            <w:r w:rsidRPr="00B148F9">
              <w:rPr>
                <w:rFonts w:cs="Arial"/>
              </w:rPr>
              <w:t>Healthcare</w:t>
            </w:r>
          </w:p>
        </w:tc>
        <w:tc>
          <w:tcPr>
            <w:tcW w:w="485" w:type="dxa"/>
          </w:tcPr>
          <w:p w14:paraId="17D224A1" w14:textId="77777777" w:rsidR="009349A5" w:rsidRPr="00B148F9" w:rsidRDefault="009349A5" w:rsidP="009349A5">
            <w:pPr>
              <w:jc w:val="center"/>
              <w:rPr>
                <w:rFonts w:cs="Arial"/>
                <w:b/>
              </w:rPr>
            </w:pPr>
          </w:p>
        </w:tc>
        <w:tc>
          <w:tcPr>
            <w:tcW w:w="932" w:type="dxa"/>
          </w:tcPr>
          <w:p w14:paraId="73D3E6EA" w14:textId="6A7EC8DF" w:rsidR="009349A5" w:rsidRPr="00B148F9" w:rsidRDefault="009349A5" w:rsidP="009349A5">
            <w:pPr>
              <w:jc w:val="center"/>
              <w:rPr>
                <w:rFonts w:cs="Arial"/>
              </w:rPr>
            </w:pPr>
            <w:r w:rsidRPr="00B148F9">
              <w:rPr>
                <w:rFonts w:cs="Arial"/>
              </w:rPr>
              <w:t>2.64</w:t>
            </w:r>
          </w:p>
        </w:tc>
        <w:tc>
          <w:tcPr>
            <w:tcW w:w="284" w:type="dxa"/>
          </w:tcPr>
          <w:p w14:paraId="234E8237" w14:textId="77777777" w:rsidR="009349A5" w:rsidRPr="00B148F9" w:rsidRDefault="009349A5" w:rsidP="009349A5">
            <w:pPr>
              <w:jc w:val="center"/>
              <w:rPr>
                <w:rFonts w:cs="Arial"/>
              </w:rPr>
            </w:pPr>
          </w:p>
        </w:tc>
        <w:tc>
          <w:tcPr>
            <w:tcW w:w="1134" w:type="dxa"/>
          </w:tcPr>
          <w:p w14:paraId="15E63E57" w14:textId="453E7541" w:rsidR="009349A5" w:rsidRPr="00B148F9" w:rsidRDefault="009349A5" w:rsidP="009349A5">
            <w:pPr>
              <w:jc w:val="center"/>
              <w:rPr>
                <w:rFonts w:cs="Arial"/>
              </w:rPr>
            </w:pPr>
            <w:r w:rsidRPr="00B148F9">
              <w:rPr>
                <w:rFonts w:cs="Arial"/>
              </w:rPr>
              <w:t>43,015</w:t>
            </w:r>
          </w:p>
        </w:tc>
        <w:tc>
          <w:tcPr>
            <w:tcW w:w="567" w:type="dxa"/>
          </w:tcPr>
          <w:p w14:paraId="3CF25896" w14:textId="77777777" w:rsidR="009349A5" w:rsidRPr="00B148F9" w:rsidRDefault="009349A5" w:rsidP="009349A5">
            <w:pPr>
              <w:jc w:val="center"/>
              <w:rPr>
                <w:rFonts w:cs="Arial"/>
              </w:rPr>
            </w:pPr>
          </w:p>
        </w:tc>
        <w:tc>
          <w:tcPr>
            <w:tcW w:w="1275" w:type="dxa"/>
          </w:tcPr>
          <w:p w14:paraId="383D492F" w14:textId="5C0B1870" w:rsidR="009349A5" w:rsidRPr="00B148F9" w:rsidRDefault="009349A5" w:rsidP="009349A5">
            <w:pPr>
              <w:jc w:val="center"/>
              <w:rPr>
                <w:rFonts w:cs="Arial"/>
              </w:rPr>
            </w:pPr>
            <w:r w:rsidRPr="00B148F9">
              <w:rPr>
                <w:rFonts w:cs="Arial"/>
              </w:rPr>
              <w:t>4,999,999</w:t>
            </w:r>
          </w:p>
        </w:tc>
        <w:tc>
          <w:tcPr>
            <w:tcW w:w="675" w:type="dxa"/>
          </w:tcPr>
          <w:p w14:paraId="222D6FFC" w14:textId="77777777" w:rsidR="009349A5" w:rsidRPr="00B148F9" w:rsidRDefault="009349A5" w:rsidP="009349A5">
            <w:pPr>
              <w:jc w:val="center"/>
              <w:rPr>
                <w:rFonts w:cs="Arial"/>
              </w:rPr>
            </w:pPr>
          </w:p>
        </w:tc>
        <w:tc>
          <w:tcPr>
            <w:tcW w:w="1418" w:type="dxa"/>
          </w:tcPr>
          <w:p w14:paraId="442DDD34" w14:textId="2B0B9168" w:rsidR="009349A5" w:rsidRPr="00B148F9" w:rsidRDefault="009349A5" w:rsidP="009349A5">
            <w:pPr>
              <w:jc w:val="center"/>
              <w:rPr>
                <w:rFonts w:cs="Arial"/>
              </w:rPr>
            </w:pPr>
            <w:r w:rsidRPr="00B148F9">
              <w:rPr>
                <w:rFonts w:cs="Arial"/>
              </w:rPr>
              <w:t>5,430,243</w:t>
            </w:r>
          </w:p>
        </w:tc>
      </w:tr>
      <w:tr w:rsidR="00A12EB0" w:rsidRPr="00B148F9" w14:paraId="16D5BEAA" w14:textId="77777777" w:rsidTr="00B746FC">
        <w:tc>
          <w:tcPr>
            <w:tcW w:w="250" w:type="dxa"/>
          </w:tcPr>
          <w:p w14:paraId="7EBDD203" w14:textId="77777777" w:rsidR="009349A5" w:rsidRPr="00B148F9" w:rsidRDefault="009349A5" w:rsidP="009349A5">
            <w:pPr>
              <w:jc w:val="left"/>
              <w:rPr>
                <w:rFonts w:cs="Arial"/>
              </w:rPr>
            </w:pPr>
          </w:p>
        </w:tc>
        <w:tc>
          <w:tcPr>
            <w:tcW w:w="3011" w:type="dxa"/>
          </w:tcPr>
          <w:p w14:paraId="532EC59C" w14:textId="33F0066D" w:rsidR="009349A5" w:rsidRPr="00B148F9" w:rsidRDefault="009349A5" w:rsidP="009349A5">
            <w:pPr>
              <w:jc w:val="left"/>
              <w:rPr>
                <w:rFonts w:cs="Arial"/>
                <w:b/>
              </w:rPr>
            </w:pPr>
          </w:p>
        </w:tc>
        <w:tc>
          <w:tcPr>
            <w:tcW w:w="485" w:type="dxa"/>
          </w:tcPr>
          <w:p w14:paraId="445FC9B6" w14:textId="77777777" w:rsidR="009349A5" w:rsidRPr="00B148F9" w:rsidRDefault="009349A5" w:rsidP="009349A5">
            <w:pPr>
              <w:jc w:val="center"/>
              <w:rPr>
                <w:rFonts w:cs="Arial"/>
                <w:b/>
              </w:rPr>
            </w:pPr>
          </w:p>
        </w:tc>
        <w:tc>
          <w:tcPr>
            <w:tcW w:w="932" w:type="dxa"/>
            <w:tcBorders>
              <w:bottom w:val="single" w:sz="4" w:space="0" w:color="auto"/>
            </w:tcBorders>
          </w:tcPr>
          <w:p w14:paraId="29CA355E" w14:textId="77777777" w:rsidR="009349A5" w:rsidRPr="00B148F9" w:rsidRDefault="009349A5" w:rsidP="009349A5">
            <w:pPr>
              <w:jc w:val="center"/>
              <w:rPr>
                <w:rFonts w:cs="Arial"/>
                <w:b/>
              </w:rPr>
            </w:pPr>
          </w:p>
        </w:tc>
        <w:tc>
          <w:tcPr>
            <w:tcW w:w="284" w:type="dxa"/>
            <w:tcBorders>
              <w:bottom w:val="single" w:sz="4" w:space="0" w:color="auto"/>
            </w:tcBorders>
          </w:tcPr>
          <w:p w14:paraId="4D6E205A" w14:textId="77777777" w:rsidR="009349A5" w:rsidRPr="00B148F9" w:rsidRDefault="009349A5" w:rsidP="009349A5">
            <w:pPr>
              <w:jc w:val="center"/>
              <w:rPr>
                <w:rFonts w:cs="Arial"/>
                <w:b/>
              </w:rPr>
            </w:pPr>
          </w:p>
        </w:tc>
        <w:tc>
          <w:tcPr>
            <w:tcW w:w="1134" w:type="dxa"/>
            <w:tcBorders>
              <w:bottom w:val="single" w:sz="4" w:space="0" w:color="auto"/>
            </w:tcBorders>
          </w:tcPr>
          <w:p w14:paraId="14DC084C" w14:textId="77777777" w:rsidR="009349A5" w:rsidRPr="00B148F9" w:rsidRDefault="009349A5" w:rsidP="009349A5">
            <w:pPr>
              <w:jc w:val="center"/>
              <w:rPr>
                <w:rFonts w:cs="Arial"/>
                <w:b/>
              </w:rPr>
            </w:pPr>
          </w:p>
        </w:tc>
        <w:tc>
          <w:tcPr>
            <w:tcW w:w="567" w:type="dxa"/>
            <w:tcBorders>
              <w:bottom w:val="single" w:sz="4" w:space="0" w:color="auto"/>
            </w:tcBorders>
          </w:tcPr>
          <w:p w14:paraId="5836F8CA" w14:textId="77777777" w:rsidR="009349A5" w:rsidRPr="00B148F9" w:rsidRDefault="009349A5" w:rsidP="009349A5">
            <w:pPr>
              <w:jc w:val="center"/>
              <w:rPr>
                <w:rFonts w:cs="Arial"/>
                <w:b/>
              </w:rPr>
            </w:pPr>
          </w:p>
        </w:tc>
        <w:tc>
          <w:tcPr>
            <w:tcW w:w="1275" w:type="dxa"/>
            <w:tcBorders>
              <w:bottom w:val="single" w:sz="4" w:space="0" w:color="auto"/>
            </w:tcBorders>
          </w:tcPr>
          <w:p w14:paraId="4FF34B87" w14:textId="77777777" w:rsidR="009349A5" w:rsidRPr="00B148F9" w:rsidRDefault="009349A5" w:rsidP="009349A5">
            <w:pPr>
              <w:jc w:val="center"/>
              <w:rPr>
                <w:rFonts w:cs="Arial"/>
                <w:b/>
              </w:rPr>
            </w:pPr>
          </w:p>
        </w:tc>
        <w:tc>
          <w:tcPr>
            <w:tcW w:w="675" w:type="dxa"/>
            <w:tcBorders>
              <w:bottom w:val="single" w:sz="4" w:space="0" w:color="auto"/>
            </w:tcBorders>
          </w:tcPr>
          <w:p w14:paraId="43A55455" w14:textId="77777777" w:rsidR="009349A5" w:rsidRPr="00B148F9" w:rsidRDefault="009349A5" w:rsidP="009349A5">
            <w:pPr>
              <w:jc w:val="center"/>
              <w:rPr>
                <w:rFonts w:cs="Arial"/>
                <w:b/>
              </w:rPr>
            </w:pPr>
          </w:p>
        </w:tc>
        <w:tc>
          <w:tcPr>
            <w:tcW w:w="1418" w:type="dxa"/>
            <w:tcBorders>
              <w:bottom w:val="single" w:sz="4" w:space="0" w:color="auto"/>
            </w:tcBorders>
          </w:tcPr>
          <w:p w14:paraId="38A11600" w14:textId="77777777" w:rsidR="009349A5" w:rsidRPr="00B148F9" w:rsidRDefault="009349A5" w:rsidP="009349A5">
            <w:pPr>
              <w:jc w:val="center"/>
              <w:rPr>
                <w:rFonts w:cs="Arial"/>
                <w:b/>
              </w:rPr>
            </w:pPr>
          </w:p>
        </w:tc>
      </w:tr>
      <w:tr w:rsidR="00A12EB0" w:rsidRPr="00B148F9" w14:paraId="4C8815B4" w14:textId="77777777" w:rsidTr="00B746FC">
        <w:tc>
          <w:tcPr>
            <w:tcW w:w="3261" w:type="dxa"/>
            <w:gridSpan w:val="2"/>
          </w:tcPr>
          <w:p w14:paraId="7AD649BA" w14:textId="56A135D1" w:rsidR="009349A5" w:rsidRPr="00B148F9" w:rsidRDefault="009349A5" w:rsidP="009349A5">
            <w:pPr>
              <w:jc w:val="left"/>
              <w:rPr>
                <w:rFonts w:cs="Arial"/>
                <w:b/>
              </w:rPr>
            </w:pPr>
            <w:r w:rsidRPr="00B148F9">
              <w:rPr>
                <w:rFonts w:cs="Arial"/>
                <w:b/>
              </w:rPr>
              <w:t xml:space="preserve">Total </w:t>
            </w:r>
            <w:r w:rsidR="00C87417" w:rsidRPr="00B148F9">
              <w:rPr>
                <w:rFonts w:cs="Arial"/>
                <w:b/>
              </w:rPr>
              <w:t xml:space="preserve">convertible </w:t>
            </w:r>
            <w:r w:rsidRPr="00B148F9">
              <w:rPr>
                <w:rFonts w:cs="Arial"/>
                <w:b/>
              </w:rPr>
              <w:t>preferred stocks</w:t>
            </w:r>
          </w:p>
        </w:tc>
        <w:tc>
          <w:tcPr>
            <w:tcW w:w="485" w:type="dxa"/>
          </w:tcPr>
          <w:p w14:paraId="09D75198" w14:textId="77777777" w:rsidR="009349A5" w:rsidRPr="00B148F9" w:rsidRDefault="009349A5" w:rsidP="009349A5">
            <w:pPr>
              <w:jc w:val="center"/>
              <w:rPr>
                <w:rFonts w:cs="Arial"/>
                <w:b/>
              </w:rPr>
            </w:pPr>
          </w:p>
        </w:tc>
        <w:tc>
          <w:tcPr>
            <w:tcW w:w="932" w:type="dxa"/>
            <w:tcBorders>
              <w:top w:val="single" w:sz="4" w:space="0" w:color="auto"/>
            </w:tcBorders>
          </w:tcPr>
          <w:p w14:paraId="2461F2C9" w14:textId="31EE0D4A" w:rsidR="009349A5" w:rsidRPr="00B148F9" w:rsidRDefault="009349A5" w:rsidP="00D050E5">
            <w:pPr>
              <w:jc w:val="center"/>
              <w:rPr>
                <w:rFonts w:cs="Arial"/>
                <w:b/>
              </w:rPr>
            </w:pPr>
            <w:r w:rsidRPr="00B148F9">
              <w:rPr>
                <w:rFonts w:cs="Arial"/>
                <w:b/>
              </w:rPr>
              <w:t>1</w:t>
            </w:r>
            <w:r w:rsidR="00687A87" w:rsidRPr="00B148F9">
              <w:rPr>
                <w:rFonts w:cs="Arial"/>
                <w:b/>
              </w:rPr>
              <w:t>2</w:t>
            </w:r>
            <w:r w:rsidRPr="00B148F9">
              <w:rPr>
                <w:rFonts w:cs="Arial"/>
                <w:b/>
              </w:rPr>
              <w:t>.</w:t>
            </w:r>
            <w:r w:rsidR="00687A87" w:rsidRPr="00B148F9">
              <w:rPr>
                <w:rFonts w:cs="Arial"/>
                <w:b/>
              </w:rPr>
              <w:t>67</w:t>
            </w:r>
          </w:p>
        </w:tc>
        <w:tc>
          <w:tcPr>
            <w:tcW w:w="284" w:type="dxa"/>
            <w:tcBorders>
              <w:top w:val="single" w:sz="4" w:space="0" w:color="auto"/>
            </w:tcBorders>
          </w:tcPr>
          <w:p w14:paraId="5CABD632" w14:textId="77777777" w:rsidR="009349A5" w:rsidRPr="00B148F9" w:rsidRDefault="009349A5" w:rsidP="009349A5">
            <w:pPr>
              <w:jc w:val="center"/>
              <w:rPr>
                <w:rFonts w:cs="Arial"/>
                <w:b/>
              </w:rPr>
            </w:pPr>
          </w:p>
        </w:tc>
        <w:tc>
          <w:tcPr>
            <w:tcW w:w="1134" w:type="dxa"/>
            <w:tcBorders>
              <w:top w:val="single" w:sz="4" w:space="0" w:color="auto"/>
            </w:tcBorders>
          </w:tcPr>
          <w:p w14:paraId="47451973" w14:textId="71829713" w:rsidR="009349A5" w:rsidRPr="00B148F9" w:rsidRDefault="009349A5" w:rsidP="009349A5">
            <w:pPr>
              <w:jc w:val="center"/>
              <w:rPr>
                <w:rFonts w:cs="Arial"/>
                <w:b/>
              </w:rPr>
            </w:pPr>
          </w:p>
        </w:tc>
        <w:tc>
          <w:tcPr>
            <w:tcW w:w="567" w:type="dxa"/>
            <w:tcBorders>
              <w:top w:val="single" w:sz="4" w:space="0" w:color="auto"/>
            </w:tcBorders>
          </w:tcPr>
          <w:p w14:paraId="40EE3016" w14:textId="5790C3DB" w:rsidR="009349A5" w:rsidRPr="00B148F9" w:rsidRDefault="00A12EB0" w:rsidP="00DE3E70">
            <w:pPr>
              <w:jc w:val="right"/>
              <w:rPr>
                <w:rFonts w:cs="Arial"/>
                <w:b/>
              </w:rPr>
            </w:pPr>
            <w:r w:rsidRPr="00B148F9">
              <w:rPr>
                <w:rFonts w:cs="Arial"/>
                <w:b/>
              </w:rPr>
              <w:t>US$</w:t>
            </w:r>
          </w:p>
        </w:tc>
        <w:tc>
          <w:tcPr>
            <w:tcW w:w="1275" w:type="dxa"/>
            <w:tcBorders>
              <w:top w:val="single" w:sz="4" w:space="0" w:color="auto"/>
            </w:tcBorders>
          </w:tcPr>
          <w:p w14:paraId="0CB797A2" w14:textId="234D1A4D" w:rsidR="009349A5" w:rsidRPr="00B148F9" w:rsidRDefault="009349A5" w:rsidP="00D050E5">
            <w:pPr>
              <w:jc w:val="center"/>
              <w:rPr>
                <w:rFonts w:cs="Arial"/>
                <w:b/>
              </w:rPr>
            </w:pPr>
            <w:r w:rsidRPr="00B148F9">
              <w:rPr>
                <w:rFonts w:cs="Arial"/>
                <w:b/>
              </w:rPr>
              <w:t>2</w:t>
            </w:r>
            <w:r w:rsidR="00E20474" w:rsidRPr="00B148F9">
              <w:rPr>
                <w:rFonts w:cs="Arial"/>
                <w:b/>
              </w:rPr>
              <w:t>5</w:t>
            </w:r>
            <w:r w:rsidRPr="00B148F9">
              <w:rPr>
                <w:rFonts w:cs="Arial"/>
                <w:b/>
              </w:rPr>
              <w:t>,500,00</w:t>
            </w:r>
            <w:r w:rsidR="00E20474" w:rsidRPr="00B148F9">
              <w:rPr>
                <w:rFonts w:cs="Arial"/>
                <w:b/>
              </w:rPr>
              <w:t>0</w:t>
            </w:r>
          </w:p>
        </w:tc>
        <w:tc>
          <w:tcPr>
            <w:tcW w:w="675" w:type="dxa"/>
            <w:tcBorders>
              <w:top w:val="single" w:sz="4" w:space="0" w:color="auto"/>
            </w:tcBorders>
          </w:tcPr>
          <w:p w14:paraId="7A40DAF2" w14:textId="30D72968" w:rsidR="009349A5" w:rsidRPr="00B148F9" w:rsidRDefault="00A12EB0" w:rsidP="00DE3E70">
            <w:pPr>
              <w:jc w:val="right"/>
              <w:rPr>
                <w:rFonts w:cs="Arial"/>
                <w:b/>
              </w:rPr>
            </w:pPr>
            <w:r w:rsidRPr="00B148F9">
              <w:rPr>
                <w:rFonts w:cs="Arial"/>
                <w:b/>
              </w:rPr>
              <w:t>US$</w:t>
            </w:r>
          </w:p>
        </w:tc>
        <w:tc>
          <w:tcPr>
            <w:tcW w:w="1418" w:type="dxa"/>
            <w:tcBorders>
              <w:top w:val="single" w:sz="4" w:space="0" w:color="auto"/>
            </w:tcBorders>
          </w:tcPr>
          <w:p w14:paraId="251C5F7D" w14:textId="16FD51B5" w:rsidR="009349A5" w:rsidRPr="00B148F9" w:rsidRDefault="009349A5" w:rsidP="009349A5">
            <w:pPr>
              <w:jc w:val="center"/>
              <w:rPr>
                <w:rFonts w:cs="Arial"/>
                <w:b/>
              </w:rPr>
            </w:pPr>
            <w:r w:rsidRPr="00B148F9">
              <w:rPr>
                <w:rFonts w:cs="Arial"/>
                <w:b/>
              </w:rPr>
              <w:t>2</w:t>
            </w:r>
            <w:r w:rsidR="00E20474" w:rsidRPr="00B148F9">
              <w:rPr>
                <w:rFonts w:cs="Arial"/>
                <w:b/>
              </w:rPr>
              <w:t>6</w:t>
            </w:r>
            <w:r w:rsidRPr="00B148F9">
              <w:rPr>
                <w:rFonts w:cs="Arial"/>
                <w:b/>
              </w:rPr>
              <w:t>,064,55</w:t>
            </w:r>
            <w:r w:rsidR="00E20474" w:rsidRPr="00B148F9">
              <w:rPr>
                <w:rFonts w:cs="Arial"/>
                <w:b/>
              </w:rPr>
              <w:t>1</w:t>
            </w:r>
          </w:p>
        </w:tc>
      </w:tr>
      <w:tr w:rsidR="00A12EB0" w:rsidRPr="00B148F9" w14:paraId="680691CF" w14:textId="77777777" w:rsidTr="00B746FC">
        <w:tc>
          <w:tcPr>
            <w:tcW w:w="250" w:type="dxa"/>
          </w:tcPr>
          <w:p w14:paraId="7392A28B" w14:textId="77777777" w:rsidR="009349A5" w:rsidRPr="00B148F9" w:rsidRDefault="009349A5" w:rsidP="009349A5">
            <w:pPr>
              <w:jc w:val="left"/>
              <w:rPr>
                <w:rFonts w:cs="Arial"/>
              </w:rPr>
            </w:pPr>
          </w:p>
        </w:tc>
        <w:tc>
          <w:tcPr>
            <w:tcW w:w="3011" w:type="dxa"/>
          </w:tcPr>
          <w:p w14:paraId="5B729991" w14:textId="459337EA" w:rsidR="009349A5" w:rsidRPr="00B148F9" w:rsidRDefault="009349A5" w:rsidP="009349A5">
            <w:pPr>
              <w:jc w:val="left"/>
              <w:rPr>
                <w:rFonts w:cs="Arial"/>
                <w:b/>
              </w:rPr>
            </w:pPr>
          </w:p>
        </w:tc>
        <w:tc>
          <w:tcPr>
            <w:tcW w:w="485" w:type="dxa"/>
          </w:tcPr>
          <w:p w14:paraId="567A3F3E" w14:textId="77777777" w:rsidR="009349A5" w:rsidRPr="00B148F9" w:rsidRDefault="009349A5" w:rsidP="009349A5">
            <w:pPr>
              <w:jc w:val="center"/>
              <w:rPr>
                <w:rFonts w:cs="Arial"/>
                <w:b/>
              </w:rPr>
            </w:pPr>
          </w:p>
        </w:tc>
        <w:tc>
          <w:tcPr>
            <w:tcW w:w="932" w:type="dxa"/>
          </w:tcPr>
          <w:p w14:paraId="2AD9191F" w14:textId="449FE7FA" w:rsidR="009349A5" w:rsidRPr="00B148F9" w:rsidRDefault="009349A5" w:rsidP="009349A5">
            <w:pPr>
              <w:jc w:val="center"/>
              <w:rPr>
                <w:rFonts w:cs="Arial"/>
                <w:b/>
              </w:rPr>
            </w:pPr>
          </w:p>
        </w:tc>
        <w:tc>
          <w:tcPr>
            <w:tcW w:w="284" w:type="dxa"/>
          </w:tcPr>
          <w:p w14:paraId="65A58DCE" w14:textId="77777777" w:rsidR="009349A5" w:rsidRPr="00B148F9" w:rsidRDefault="009349A5" w:rsidP="009349A5">
            <w:pPr>
              <w:jc w:val="center"/>
              <w:rPr>
                <w:rFonts w:cs="Arial"/>
                <w:b/>
              </w:rPr>
            </w:pPr>
          </w:p>
        </w:tc>
        <w:tc>
          <w:tcPr>
            <w:tcW w:w="1134" w:type="dxa"/>
          </w:tcPr>
          <w:p w14:paraId="1B3E05FC" w14:textId="7A3454A3" w:rsidR="009349A5" w:rsidRPr="00B148F9" w:rsidRDefault="009349A5" w:rsidP="009349A5">
            <w:pPr>
              <w:jc w:val="center"/>
              <w:rPr>
                <w:rFonts w:cs="Arial"/>
                <w:b/>
              </w:rPr>
            </w:pPr>
          </w:p>
        </w:tc>
        <w:tc>
          <w:tcPr>
            <w:tcW w:w="567" w:type="dxa"/>
          </w:tcPr>
          <w:p w14:paraId="35784879" w14:textId="77777777" w:rsidR="009349A5" w:rsidRPr="00B148F9" w:rsidRDefault="009349A5" w:rsidP="009349A5">
            <w:pPr>
              <w:jc w:val="center"/>
              <w:rPr>
                <w:rFonts w:cs="Arial"/>
                <w:b/>
              </w:rPr>
            </w:pPr>
          </w:p>
        </w:tc>
        <w:tc>
          <w:tcPr>
            <w:tcW w:w="1275" w:type="dxa"/>
          </w:tcPr>
          <w:p w14:paraId="62811F13" w14:textId="669D2208" w:rsidR="009349A5" w:rsidRPr="00B148F9" w:rsidRDefault="009349A5" w:rsidP="009349A5">
            <w:pPr>
              <w:jc w:val="center"/>
              <w:rPr>
                <w:rFonts w:cs="Arial"/>
                <w:b/>
              </w:rPr>
            </w:pPr>
          </w:p>
        </w:tc>
        <w:tc>
          <w:tcPr>
            <w:tcW w:w="675" w:type="dxa"/>
          </w:tcPr>
          <w:p w14:paraId="0E9202EF" w14:textId="77777777" w:rsidR="009349A5" w:rsidRPr="00B148F9" w:rsidRDefault="009349A5" w:rsidP="009349A5">
            <w:pPr>
              <w:jc w:val="center"/>
              <w:rPr>
                <w:rFonts w:cs="Arial"/>
                <w:b/>
              </w:rPr>
            </w:pPr>
          </w:p>
        </w:tc>
        <w:tc>
          <w:tcPr>
            <w:tcW w:w="1418" w:type="dxa"/>
          </w:tcPr>
          <w:p w14:paraId="128734F0" w14:textId="3C10ABD7" w:rsidR="009349A5" w:rsidRPr="00B148F9" w:rsidRDefault="009349A5" w:rsidP="009349A5">
            <w:pPr>
              <w:jc w:val="center"/>
              <w:rPr>
                <w:rFonts w:cs="Arial"/>
                <w:b/>
              </w:rPr>
            </w:pPr>
          </w:p>
        </w:tc>
      </w:tr>
      <w:tr w:rsidR="00687A87" w:rsidRPr="00B148F9" w14:paraId="7B79CF5C" w14:textId="77777777" w:rsidTr="00687A87">
        <w:tc>
          <w:tcPr>
            <w:tcW w:w="3261" w:type="dxa"/>
            <w:gridSpan w:val="2"/>
          </w:tcPr>
          <w:p w14:paraId="2F3CA505" w14:textId="4B6AA7BB" w:rsidR="00687A87" w:rsidRPr="00B148F9" w:rsidRDefault="00E20474" w:rsidP="009349A5">
            <w:pPr>
              <w:jc w:val="left"/>
              <w:rPr>
                <w:rFonts w:cs="Arial"/>
                <w:b/>
              </w:rPr>
            </w:pPr>
            <w:r w:rsidRPr="00B148F9">
              <w:rPr>
                <w:rFonts w:cs="Arial"/>
                <w:b/>
              </w:rPr>
              <w:t>American depository receipts</w:t>
            </w:r>
          </w:p>
        </w:tc>
        <w:tc>
          <w:tcPr>
            <w:tcW w:w="485" w:type="dxa"/>
          </w:tcPr>
          <w:p w14:paraId="44936A49" w14:textId="77777777" w:rsidR="00687A87" w:rsidRPr="00B148F9" w:rsidRDefault="00687A87" w:rsidP="009349A5">
            <w:pPr>
              <w:jc w:val="center"/>
              <w:rPr>
                <w:rFonts w:cs="Arial"/>
                <w:b/>
              </w:rPr>
            </w:pPr>
          </w:p>
        </w:tc>
        <w:tc>
          <w:tcPr>
            <w:tcW w:w="932" w:type="dxa"/>
          </w:tcPr>
          <w:p w14:paraId="66615892" w14:textId="77777777" w:rsidR="00687A87" w:rsidRPr="00B148F9" w:rsidRDefault="00687A87" w:rsidP="009349A5">
            <w:pPr>
              <w:jc w:val="center"/>
              <w:rPr>
                <w:rFonts w:cs="Arial"/>
                <w:b/>
              </w:rPr>
            </w:pPr>
          </w:p>
        </w:tc>
        <w:tc>
          <w:tcPr>
            <w:tcW w:w="284" w:type="dxa"/>
          </w:tcPr>
          <w:p w14:paraId="3F8FC204" w14:textId="77777777" w:rsidR="00687A87" w:rsidRPr="00B148F9" w:rsidRDefault="00687A87" w:rsidP="009349A5">
            <w:pPr>
              <w:jc w:val="center"/>
              <w:rPr>
                <w:rFonts w:cs="Arial"/>
                <w:b/>
              </w:rPr>
            </w:pPr>
          </w:p>
        </w:tc>
        <w:tc>
          <w:tcPr>
            <w:tcW w:w="1134" w:type="dxa"/>
          </w:tcPr>
          <w:p w14:paraId="0912D94A" w14:textId="77777777" w:rsidR="00687A87" w:rsidRPr="00B148F9" w:rsidRDefault="00687A87" w:rsidP="009349A5">
            <w:pPr>
              <w:jc w:val="center"/>
              <w:rPr>
                <w:rFonts w:cs="Arial"/>
                <w:b/>
              </w:rPr>
            </w:pPr>
          </w:p>
        </w:tc>
        <w:tc>
          <w:tcPr>
            <w:tcW w:w="567" w:type="dxa"/>
          </w:tcPr>
          <w:p w14:paraId="3326AA73" w14:textId="77777777" w:rsidR="00687A87" w:rsidRPr="00B148F9" w:rsidRDefault="00687A87" w:rsidP="009349A5">
            <w:pPr>
              <w:jc w:val="center"/>
              <w:rPr>
                <w:rFonts w:cs="Arial"/>
                <w:b/>
              </w:rPr>
            </w:pPr>
          </w:p>
        </w:tc>
        <w:tc>
          <w:tcPr>
            <w:tcW w:w="1275" w:type="dxa"/>
          </w:tcPr>
          <w:p w14:paraId="6D65CAF3" w14:textId="77777777" w:rsidR="00687A87" w:rsidRPr="00B148F9" w:rsidRDefault="00687A87" w:rsidP="009349A5">
            <w:pPr>
              <w:jc w:val="center"/>
              <w:rPr>
                <w:rFonts w:cs="Arial"/>
                <w:b/>
              </w:rPr>
            </w:pPr>
          </w:p>
        </w:tc>
        <w:tc>
          <w:tcPr>
            <w:tcW w:w="675" w:type="dxa"/>
          </w:tcPr>
          <w:p w14:paraId="7527CFEC" w14:textId="77777777" w:rsidR="00687A87" w:rsidRPr="00B148F9" w:rsidRDefault="00687A87" w:rsidP="009349A5">
            <w:pPr>
              <w:jc w:val="center"/>
              <w:rPr>
                <w:rFonts w:cs="Arial"/>
                <w:b/>
              </w:rPr>
            </w:pPr>
          </w:p>
        </w:tc>
        <w:tc>
          <w:tcPr>
            <w:tcW w:w="1418" w:type="dxa"/>
          </w:tcPr>
          <w:p w14:paraId="1360967C" w14:textId="77777777" w:rsidR="00687A87" w:rsidRPr="00B148F9" w:rsidRDefault="00687A87" w:rsidP="009349A5">
            <w:pPr>
              <w:jc w:val="center"/>
              <w:rPr>
                <w:rFonts w:cs="Arial"/>
                <w:b/>
              </w:rPr>
            </w:pPr>
          </w:p>
        </w:tc>
      </w:tr>
      <w:tr w:rsidR="00687A87" w:rsidRPr="00B148F9" w14:paraId="293BA571" w14:textId="77777777" w:rsidTr="00AA79D1">
        <w:tc>
          <w:tcPr>
            <w:tcW w:w="250" w:type="dxa"/>
          </w:tcPr>
          <w:p w14:paraId="103B92E8" w14:textId="77777777" w:rsidR="00687A87" w:rsidRPr="00B148F9" w:rsidRDefault="00687A87" w:rsidP="00687A87">
            <w:pPr>
              <w:jc w:val="left"/>
              <w:rPr>
                <w:rFonts w:cs="Arial"/>
              </w:rPr>
            </w:pPr>
          </w:p>
        </w:tc>
        <w:tc>
          <w:tcPr>
            <w:tcW w:w="3011" w:type="dxa"/>
          </w:tcPr>
          <w:p w14:paraId="587F9610" w14:textId="54953D7B" w:rsidR="00687A87" w:rsidRPr="00B148F9" w:rsidRDefault="00C87417" w:rsidP="00687A87">
            <w:pPr>
              <w:jc w:val="left"/>
              <w:rPr>
                <w:rFonts w:cs="Arial"/>
                <w:b/>
              </w:rPr>
            </w:pPr>
            <w:r w:rsidRPr="00B148F9">
              <w:rPr>
                <w:rFonts w:cs="Arial"/>
                <w:b/>
              </w:rPr>
              <w:t>Ireland</w:t>
            </w:r>
          </w:p>
        </w:tc>
        <w:tc>
          <w:tcPr>
            <w:tcW w:w="485" w:type="dxa"/>
          </w:tcPr>
          <w:p w14:paraId="31ACBE1A" w14:textId="77777777" w:rsidR="00687A87" w:rsidRPr="00B148F9" w:rsidRDefault="00687A87" w:rsidP="00687A87">
            <w:pPr>
              <w:jc w:val="center"/>
              <w:rPr>
                <w:rFonts w:cs="Arial"/>
                <w:b/>
              </w:rPr>
            </w:pPr>
          </w:p>
        </w:tc>
        <w:tc>
          <w:tcPr>
            <w:tcW w:w="932" w:type="dxa"/>
          </w:tcPr>
          <w:p w14:paraId="4B05C090" w14:textId="77777777" w:rsidR="00687A87" w:rsidRPr="00B148F9" w:rsidRDefault="00687A87" w:rsidP="00687A87">
            <w:pPr>
              <w:jc w:val="center"/>
              <w:rPr>
                <w:rFonts w:cs="Arial"/>
                <w:b/>
              </w:rPr>
            </w:pPr>
          </w:p>
        </w:tc>
        <w:tc>
          <w:tcPr>
            <w:tcW w:w="284" w:type="dxa"/>
          </w:tcPr>
          <w:p w14:paraId="36B93B57" w14:textId="77777777" w:rsidR="00687A87" w:rsidRPr="00B148F9" w:rsidRDefault="00687A87" w:rsidP="00687A87">
            <w:pPr>
              <w:jc w:val="center"/>
              <w:rPr>
                <w:rFonts w:cs="Arial"/>
                <w:b/>
              </w:rPr>
            </w:pPr>
          </w:p>
        </w:tc>
        <w:tc>
          <w:tcPr>
            <w:tcW w:w="1134" w:type="dxa"/>
          </w:tcPr>
          <w:p w14:paraId="7B264913" w14:textId="77777777" w:rsidR="00687A87" w:rsidRPr="00B148F9" w:rsidRDefault="00687A87" w:rsidP="00687A87">
            <w:pPr>
              <w:jc w:val="center"/>
              <w:rPr>
                <w:rFonts w:cs="Arial"/>
                <w:b/>
              </w:rPr>
            </w:pPr>
          </w:p>
        </w:tc>
        <w:tc>
          <w:tcPr>
            <w:tcW w:w="567" w:type="dxa"/>
          </w:tcPr>
          <w:p w14:paraId="06CE6141" w14:textId="77777777" w:rsidR="00687A87" w:rsidRPr="00B148F9" w:rsidRDefault="00687A87" w:rsidP="00687A87">
            <w:pPr>
              <w:jc w:val="center"/>
              <w:rPr>
                <w:rFonts w:cs="Arial"/>
                <w:b/>
              </w:rPr>
            </w:pPr>
          </w:p>
        </w:tc>
        <w:tc>
          <w:tcPr>
            <w:tcW w:w="1275" w:type="dxa"/>
          </w:tcPr>
          <w:p w14:paraId="3675BE20" w14:textId="77777777" w:rsidR="00687A87" w:rsidRPr="00B148F9" w:rsidRDefault="00687A87" w:rsidP="00687A87">
            <w:pPr>
              <w:jc w:val="center"/>
              <w:rPr>
                <w:rFonts w:cs="Arial"/>
                <w:b/>
              </w:rPr>
            </w:pPr>
          </w:p>
        </w:tc>
        <w:tc>
          <w:tcPr>
            <w:tcW w:w="675" w:type="dxa"/>
          </w:tcPr>
          <w:p w14:paraId="5E0B9E5A" w14:textId="77777777" w:rsidR="00687A87" w:rsidRPr="00B148F9" w:rsidRDefault="00687A87" w:rsidP="00687A87">
            <w:pPr>
              <w:jc w:val="center"/>
              <w:rPr>
                <w:rFonts w:cs="Arial"/>
                <w:b/>
              </w:rPr>
            </w:pPr>
          </w:p>
        </w:tc>
        <w:tc>
          <w:tcPr>
            <w:tcW w:w="1418" w:type="dxa"/>
          </w:tcPr>
          <w:p w14:paraId="7EC6BC88" w14:textId="77777777" w:rsidR="00687A87" w:rsidRPr="00B148F9" w:rsidRDefault="00687A87" w:rsidP="00687A87">
            <w:pPr>
              <w:jc w:val="center"/>
              <w:rPr>
                <w:rFonts w:cs="Arial"/>
                <w:b/>
              </w:rPr>
            </w:pPr>
          </w:p>
        </w:tc>
      </w:tr>
      <w:tr w:rsidR="00687A87" w:rsidRPr="00B148F9" w14:paraId="4D81C180" w14:textId="77777777" w:rsidTr="00AA79D1">
        <w:tc>
          <w:tcPr>
            <w:tcW w:w="250" w:type="dxa"/>
          </w:tcPr>
          <w:p w14:paraId="2DD3DA19" w14:textId="77777777" w:rsidR="00687A87" w:rsidRPr="00B148F9" w:rsidRDefault="00687A87" w:rsidP="00687A87">
            <w:pPr>
              <w:jc w:val="left"/>
              <w:rPr>
                <w:rFonts w:cs="Arial"/>
              </w:rPr>
            </w:pPr>
          </w:p>
        </w:tc>
        <w:tc>
          <w:tcPr>
            <w:tcW w:w="3011" w:type="dxa"/>
          </w:tcPr>
          <w:p w14:paraId="3362B245" w14:textId="63D6999B" w:rsidR="00687A87" w:rsidRPr="00B148F9" w:rsidRDefault="00687A87" w:rsidP="00687A87">
            <w:pPr>
              <w:jc w:val="left"/>
              <w:rPr>
                <w:rFonts w:cs="Arial"/>
                <w:b/>
              </w:rPr>
            </w:pPr>
            <w:r w:rsidRPr="00B148F9">
              <w:rPr>
                <w:rFonts w:cs="Arial"/>
              </w:rPr>
              <w:t>Healthcare</w:t>
            </w:r>
          </w:p>
        </w:tc>
        <w:tc>
          <w:tcPr>
            <w:tcW w:w="485" w:type="dxa"/>
          </w:tcPr>
          <w:p w14:paraId="6C5DDBF4" w14:textId="77777777" w:rsidR="00687A87" w:rsidRPr="00B148F9" w:rsidRDefault="00687A87" w:rsidP="00687A87">
            <w:pPr>
              <w:jc w:val="center"/>
              <w:rPr>
                <w:rFonts w:cs="Arial"/>
                <w:b/>
              </w:rPr>
            </w:pPr>
          </w:p>
        </w:tc>
        <w:tc>
          <w:tcPr>
            <w:tcW w:w="932" w:type="dxa"/>
          </w:tcPr>
          <w:p w14:paraId="67CC0624" w14:textId="362EB370" w:rsidR="00687A87" w:rsidRPr="00B148F9" w:rsidRDefault="00687A87" w:rsidP="00687A87">
            <w:pPr>
              <w:jc w:val="center"/>
              <w:rPr>
                <w:rFonts w:cs="Arial"/>
                <w:b/>
              </w:rPr>
            </w:pPr>
            <w:r w:rsidRPr="00B148F9">
              <w:rPr>
                <w:rFonts w:cs="Arial"/>
              </w:rPr>
              <w:t>0</w:t>
            </w:r>
            <w:r w:rsidR="00E20474" w:rsidRPr="00B148F9">
              <w:rPr>
                <w:rFonts w:cs="Arial"/>
              </w:rPr>
              <w:t>.42</w:t>
            </w:r>
          </w:p>
        </w:tc>
        <w:tc>
          <w:tcPr>
            <w:tcW w:w="284" w:type="dxa"/>
          </w:tcPr>
          <w:p w14:paraId="19147F81" w14:textId="77777777" w:rsidR="00687A87" w:rsidRPr="00B148F9" w:rsidRDefault="00687A87" w:rsidP="00687A87">
            <w:pPr>
              <w:jc w:val="center"/>
              <w:rPr>
                <w:rFonts w:cs="Arial"/>
                <w:b/>
              </w:rPr>
            </w:pPr>
          </w:p>
        </w:tc>
        <w:tc>
          <w:tcPr>
            <w:tcW w:w="1134" w:type="dxa"/>
          </w:tcPr>
          <w:p w14:paraId="426C24F8" w14:textId="4C9DE4B1" w:rsidR="00687A87" w:rsidRPr="00B148F9" w:rsidRDefault="00687A87" w:rsidP="00D050E5">
            <w:pPr>
              <w:jc w:val="center"/>
              <w:rPr>
                <w:rFonts w:cs="Arial"/>
                <w:b/>
              </w:rPr>
            </w:pPr>
            <w:r w:rsidRPr="00B148F9">
              <w:rPr>
                <w:rFonts w:cs="Arial"/>
              </w:rPr>
              <w:t>1</w:t>
            </w:r>
            <w:r w:rsidR="00E20474" w:rsidRPr="00B148F9">
              <w:rPr>
                <w:rFonts w:cs="Arial"/>
              </w:rPr>
              <w:t>15</w:t>
            </w:r>
            <w:r w:rsidRPr="00B148F9">
              <w:rPr>
                <w:rFonts w:cs="Arial"/>
              </w:rPr>
              <w:t>,7</w:t>
            </w:r>
            <w:r w:rsidR="00E20474" w:rsidRPr="00B148F9">
              <w:rPr>
                <w:rFonts w:cs="Arial"/>
              </w:rPr>
              <w:t>06</w:t>
            </w:r>
          </w:p>
        </w:tc>
        <w:tc>
          <w:tcPr>
            <w:tcW w:w="567" w:type="dxa"/>
          </w:tcPr>
          <w:p w14:paraId="49D32545" w14:textId="77777777" w:rsidR="00687A87" w:rsidRPr="00B148F9" w:rsidRDefault="00687A87" w:rsidP="00687A87">
            <w:pPr>
              <w:jc w:val="center"/>
              <w:rPr>
                <w:rFonts w:cs="Arial"/>
                <w:b/>
              </w:rPr>
            </w:pPr>
          </w:p>
        </w:tc>
        <w:tc>
          <w:tcPr>
            <w:tcW w:w="1275" w:type="dxa"/>
          </w:tcPr>
          <w:p w14:paraId="4449A67A" w14:textId="3764F09A" w:rsidR="00687A87" w:rsidRPr="00B148F9" w:rsidRDefault="00E20474" w:rsidP="00D050E5">
            <w:pPr>
              <w:jc w:val="center"/>
              <w:rPr>
                <w:rFonts w:cs="Arial"/>
                <w:b/>
              </w:rPr>
            </w:pPr>
            <w:r w:rsidRPr="00B148F9">
              <w:rPr>
                <w:rFonts w:cs="Arial"/>
              </w:rPr>
              <w:t>736</w:t>
            </w:r>
            <w:r w:rsidR="00687A87" w:rsidRPr="00B148F9">
              <w:rPr>
                <w:rFonts w:cs="Arial"/>
              </w:rPr>
              <w:t>,</w:t>
            </w:r>
            <w:r w:rsidRPr="00B148F9">
              <w:rPr>
                <w:rFonts w:cs="Arial"/>
              </w:rPr>
              <w:t>375</w:t>
            </w:r>
          </w:p>
        </w:tc>
        <w:tc>
          <w:tcPr>
            <w:tcW w:w="675" w:type="dxa"/>
          </w:tcPr>
          <w:p w14:paraId="58846B10" w14:textId="77777777" w:rsidR="00687A87" w:rsidRPr="00B148F9" w:rsidRDefault="00687A87" w:rsidP="00687A87">
            <w:pPr>
              <w:jc w:val="center"/>
              <w:rPr>
                <w:rFonts w:cs="Arial"/>
                <w:b/>
              </w:rPr>
            </w:pPr>
          </w:p>
        </w:tc>
        <w:tc>
          <w:tcPr>
            <w:tcW w:w="1418" w:type="dxa"/>
          </w:tcPr>
          <w:p w14:paraId="6B0C2F5C" w14:textId="6ABA7BBA" w:rsidR="00687A87" w:rsidRPr="00B148F9" w:rsidRDefault="00E20474" w:rsidP="00D050E5">
            <w:pPr>
              <w:jc w:val="center"/>
              <w:rPr>
                <w:rFonts w:cs="Arial"/>
                <w:b/>
              </w:rPr>
            </w:pPr>
            <w:r w:rsidRPr="00B148F9">
              <w:rPr>
                <w:rFonts w:cs="Arial"/>
              </w:rPr>
              <w:t>873</w:t>
            </w:r>
            <w:r w:rsidR="00687A87" w:rsidRPr="00B148F9">
              <w:rPr>
                <w:rFonts w:cs="Arial"/>
              </w:rPr>
              <w:t>,</w:t>
            </w:r>
            <w:r w:rsidRPr="00B148F9">
              <w:rPr>
                <w:rFonts w:cs="Arial"/>
              </w:rPr>
              <w:t>580</w:t>
            </w:r>
          </w:p>
        </w:tc>
      </w:tr>
      <w:tr w:rsidR="00687A87" w:rsidRPr="00B148F9" w14:paraId="3195A6C7" w14:textId="77777777" w:rsidTr="00AA79D1">
        <w:tc>
          <w:tcPr>
            <w:tcW w:w="250" w:type="dxa"/>
          </w:tcPr>
          <w:p w14:paraId="682E2910" w14:textId="77777777" w:rsidR="00687A87" w:rsidRPr="00B148F9" w:rsidRDefault="00687A87" w:rsidP="00687A87">
            <w:pPr>
              <w:jc w:val="left"/>
              <w:rPr>
                <w:rFonts w:cs="Arial"/>
              </w:rPr>
            </w:pPr>
          </w:p>
        </w:tc>
        <w:tc>
          <w:tcPr>
            <w:tcW w:w="3011" w:type="dxa"/>
          </w:tcPr>
          <w:p w14:paraId="4DEA3848" w14:textId="77777777" w:rsidR="00687A87" w:rsidRPr="00B148F9" w:rsidRDefault="00687A87" w:rsidP="00687A87">
            <w:pPr>
              <w:jc w:val="left"/>
              <w:rPr>
                <w:rFonts w:cs="Arial"/>
                <w:b/>
              </w:rPr>
            </w:pPr>
          </w:p>
        </w:tc>
        <w:tc>
          <w:tcPr>
            <w:tcW w:w="485" w:type="dxa"/>
          </w:tcPr>
          <w:p w14:paraId="2D7E0A75" w14:textId="77777777" w:rsidR="00687A87" w:rsidRPr="00B148F9" w:rsidRDefault="00687A87" w:rsidP="00687A87">
            <w:pPr>
              <w:jc w:val="center"/>
              <w:rPr>
                <w:rFonts w:cs="Arial"/>
                <w:b/>
              </w:rPr>
            </w:pPr>
          </w:p>
        </w:tc>
        <w:tc>
          <w:tcPr>
            <w:tcW w:w="932" w:type="dxa"/>
          </w:tcPr>
          <w:p w14:paraId="5763FE59" w14:textId="77777777" w:rsidR="00687A87" w:rsidRPr="00B148F9" w:rsidRDefault="00687A87" w:rsidP="00687A87">
            <w:pPr>
              <w:jc w:val="center"/>
              <w:rPr>
                <w:rFonts w:cs="Arial"/>
                <w:b/>
              </w:rPr>
            </w:pPr>
          </w:p>
        </w:tc>
        <w:tc>
          <w:tcPr>
            <w:tcW w:w="284" w:type="dxa"/>
          </w:tcPr>
          <w:p w14:paraId="32217FFD" w14:textId="77777777" w:rsidR="00687A87" w:rsidRPr="00B148F9" w:rsidRDefault="00687A87" w:rsidP="00687A87">
            <w:pPr>
              <w:jc w:val="center"/>
              <w:rPr>
                <w:rFonts w:cs="Arial"/>
                <w:b/>
              </w:rPr>
            </w:pPr>
          </w:p>
        </w:tc>
        <w:tc>
          <w:tcPr>
            <w:tcW w:w="1134" w:type="dxa"/>
          </w:tcPr>
          <w:p w14:paraId="4A37D6B7" w14:textId="77777777" w:rsidR="00687A87" w:rsidRPr="00B148F9" w:rsidRDefault="00687A87" w:rsidP="00687A87">
            <w:pPr>
              <w:jc w:val="center"/>
              <w:rPr>
                <w:rFonts w:cs="Arial"/>
                <w:b/>
              </w:rPr>
            </w:pPr>
          </w:p>
        </w:tc>
        <w:tc>
          <w:tcPr>
            <w:tcW w:w="567" w:type="dxa"/>
          </w:tcPr>
          <w:p w14:paraId="5B350119" w14:textId="77777777" w:rsidR="00687A87" w:rsidRPr="00B148F9" w:rsidRDefault="00687A87" w:rsidP="00687A87">
            <w:pPr>
              <w:jc w:val="center"/>
              <w:rPr>
                <w:rFonts w:cs="Arial"/>
                <w:b/>
              </w:rPr>
            </w:pPr>
          </w:p>
        </w:tc>
        <w:tc>
          <w:tcPr>
            <w:tcW w:w="1275" w:type="dxa"/>
          </w:tcPr>
          <w:p w14:paraId="1B77F506" w14:textId="77777777" w:rsidR="00687A87" w:rsidRPr="00B148F9" w:rsidRDefault="00687A87" w:rsidP="00687A87">
            <w:pPr>
              <w:jc w:val="center"/>
              <w:rPr>
                <w:rFonts w:cs="Arial"/>
                <w:b/>
              </w:rPr>
            </w:pPr>
          </w:p>
        </w:tc>
        <w:tc>
          <w:tcPr>
            <w:tcW w:w="675" w:type="dxa"/>
          </w:tcPr>
          <w:p w14:paraId="63FFB1F5" w14:textId="77777777" w:rsidR="00687A87" w:rsidRPr="00B148F9" w:rsidRDefault="00687A87" w:rsidP="00687A87">
            <w:pPr>
              <w:jc w:val="center"/>
              <w:rPr>
                <w:rFonts w:cs="Arial"/>
                <w:b/>
              </w:rPr>
            </w:pPr>
          </w:p>
        </w:tc>
        <w:tc>
          <w:tcPr>
            <w:tcW w:w="1418" w:type="dxa"/>
          </w:tcPr>
          <w:p w14:paraId="635AE87B" w14:textId="77777777" w:rsidR="00687A87" w:rsidRPr="00B148F9" w:rsidRDefault="00687A87" w:rsidP="00687A87">
            <w:pPr>
              <w:jc w:val="center"/>
              <w:rPr>
                <w:rFonts w:cs="Arial"/>
                <w:b/>
              </w:rPr>
            </w:pPr>
          </w:p>
        </w:tc>
      </w:tr>
      <w:tr w:rsidR="00687A87" w:rsidRPr="00B148F9" w14:paraId="1ED56E91" w14:textId="77777777" w:rsidTr="00AA79D1">
        <w:tc>
          <w:tcPr>
            <w:tcW w:w="250" w:type="dxa"/>
          </w:tcPr>
          <w:p w14:paraId="64A8332F" w14:textId="77777777" w:rsidR="00687A87" w:rsidRPr="00B148F9" w:rsidRDefault="00687A87" w:rsidP="00687A87">
            <w:pPr>
              <w:jc w:val="left"/>
              <w:rPr>
                <w:rFonts w:cs="Arial"/>
              </w:rPr>
            </w:pPr>
          </w:p>
        </w:tc>
        <w:tc>
          <w:tcPr>
            <w:tcW w:w="3011" w:type="dxa"/>
          </w:tcPr>
          <w:p w14:paraId="23C08FBB" w14:textId="0E4D7CA9" w:rsidR="00687A87" w:rsidRPr="00B148F9" w:rsidRDefault="00687A87" w:rsidP="00687A87">
            <w:pPr>
              <w:jc w:val="left"/>
              <w:rPr>
                <w:rFonts w:cs="Arial"/>
                <w:b/>
              </w:rPr>
            </w:pPr>
            <w:r w:rsidRPr="00B148F9">
              <w:rPr>
                <w:rFonts w:cs="Arial"/>
                <w:b/>
              </w:rPr>
              <w:t>Israel</w:t>
            </w:r>
          </w:p>
        </w:tc>
        <w:tc>
          <w:tcPr>
            <w:tcW w:w="485" w:type="dxa"/>
          </w:tcPr>
          <w:p w14:paraId="2D56C3DD" w14:textId="77777777" w:rsidR="00687A87" w:rsidRPr="00B148F9" w:rsidRDefault="00687A87" w:rsidP="00687A87">
            <w:pPr>
              <w:jc w:val="center"/>
              <w:rPr>
                <w:rFonts w:cs="Arial"/>
                <w:b/>
              </w:rPr>
            </w:pPr>
          </w:p>
        </w:tc>
        <w:tc>
          <w:tcPr>
            <w:tcW w:w="932" w:type="dxa"/>
          </w:tcPr>
          <w:p w14:paraId="74A4C156" w14:textId="77777777" w:rsidR="00687A87" w:rsidRPr="00B148F9" w:rsidRDefault="00687A87" w:rsidP="00687A87">
            <w:pPr>
              <w:jc w:val="center"/>
              <w:rPr>
                <w:rFonts w:cs="Arial"/>
                <w:b/>
              </w:rPr>
            </w:pPr>
          </w:p>
        </w:tc>
        <w:tc>
          <w:tcPr>
            <w:tcW w:w="284" w:type="dxa"/>
          </w:tcPr>
          <w:p w14:paraId="6F99E817" w14:textId="77777777" w:rsidR="00687A87" w:rsidRPr="00B148F9" w:rsidRDefault="00687A87" w:rsidP="00687A87">
            <w:pPr>
              <w:jc w:val="center"/>
              <w:rPr>
                <w:rFonts w:cs="Arial"/>
                <w:b/>
              </w:rPr>
            </w:pPr>
          </w:p>
        </w:tc>
        <w:tc>
          <w:tcPr>
            <w:tcW w:w="1134" w:type="dxa"/>
          </w:tcPr>
          <w:p w14:paraId="7E69B143" w14:textId="77777777" w:rsidR="00687A87" w:rsidRPr="00B148F9" w:rsidRDefault="00687A87" w:rsidP="00687A87">
            <w:pPr>
              <w:jc w:val="center"/>
              <w:rPr>
                <w:rFonts w:cs="Arial"/>
                <w:b/>
              </w:rPr>
            </w:pPr>
          </w:p>
        </w:tc>
        <w:tc>
          <w:tcPr>
            <w:tcW w:w="567" w:type="dxa"/>
          </w:tcPr>
          <w:p w14:paraId="37C261BC" w14:textId="77777777" w:rsidR="00687A87" w:rsidRPr="00B148F9" w:rsidRDefault="00687A87" w:rsidP="00687A87">
            <w:pPr>
              <w:jc w:val="center"/>
              <w:rPr>
                <w:rFonts w:cs="Arial"/>
                <w:b/>
              </w:rPr>
            </w:pPr>
          </w:p>
        </w:tc>
        <w:tc>
          <w:tcPr>
            <w:tcW w:w="1275" w:type="dxa"/>
          </w:tcPr>
          <w:p w14:paraId="372C2FA8" w14:textId="77777777" w:rsidR="00687A87" w:rsidRPr="00B148F9" w:rsidRDefault="00687A87" w:rsidP="00687A87">
            <w:pPr>
              <w:jc w:val="center"/>
              <w:rPr>
                <w:rFonts w:cs="Arial"/>
                <w:b/>
              </w:rPr>
            </w:pPr>
          </w:p>
        </w:tc>
        <w:tc>
          <w:tcPr>
            <w:tcW w:w="675" w:type="dxa"/>
          </w:tcPr>
          <w:p w14:paraId="352D0903" w14:textId="77777777" w:rsidR="00687A87" w:rsidRPr="00B148F9" w:rsidRDefault="00687A87" w:rsidP="00687A87">
            <w:pPr>
              <w:jc w:val="center"/>
              <w:rPr>
                <w:rFonts w:cs="Arial"/>
                <w:b/>
              </w:rPr>
            </w:pPr>
          </w:p>
        </w:tc>
        <w:tc>
          <w:tcPr>
            <w:tcW w:w="1418" w:type="dxa"/>
          </w:tcPr>
          <w:p w14:paraId="1BBF8EC9" w14:textId="77777777" w:rsidR="00687A87" w:rsidRPr="00B148F9" w:rsidRDefault="00687A87" w:rsidP="00687A87">
            <w:pPr>
              <w:jc w:val="center"/>
              <w:rPr>
                <w:rFonts w:cs="Arial"/>
                <w:b/>
              </w:rPr>
            </w:pPr>
          </w:p>
        </w:tc>
      </w:tr>
      <w:tr w:rsidR="00687A87" w:rsidRPr="00B148F9" w14:paraId="1A5741B3" w14:textId="77777777" w:rsidTr="00AA79D1">
        <w:tc>
          <w:tcPr>
            <w:tcW w:w="250" w:type="dxa"/>
          </w:tcPr>
          <w:p w14:paraId="1AA4EF75" w14:textId="77777777" w:rsidR="00687A87" w:rsidRPr="00B148F9" w:rsidRDefault="00687A87" w:rsidP="00687A87">
            <w:pPr>
              <w:jc w:val="left"/>
              <w:rPr>
                <w:rFonts w:cs="Arial"/>
              </w:rPr>
            </w:pPr>
          </w:p>
        </w:tc>
        <w:tc>
          <w:tcPr>
            <w:tcW w:w="3011" w:type="dxa"/>
          </w:tcPr>
          <w:p w14:paraId="44831CD7" w14:textId="1124FC99" w:rsidR="00687A87" w:rsidRPr="00B148F9" w:rsidRDefault="00687A87" w:rsidP="00687A87">
            <w:pPr>
              <w:jc w:val="left"/>
              <w:rPr>
                <w:rFonts w:cs="Arial"/>
                <w:b/>
              </w:rPr>
            </w:pPr>
            <w:r w:rsidRPr="00B148F9">
              <w:rPr>
                <w:rFonts w:cs="Arial"/>
              </w:rPr>
              <w:t>Healthcare</w:t>
            </w:r>
          </w:p>
        </w:tc>
        <w:tc>
          <w:tcPr>
            <w:tcW w:w="485" w:type="dxa"/>
          </w:tcPr>
          <w:p w14:paraId="74F64CED" w14:textId="77777777" w:rsidR="00687A87" w:rsidRPr="00B148F9" w:rsidRDefault="00687A87" w:rsidP="00687A87">
            <w:pPr>
              <w:jc w:val="center"/>
              <w:rPr>
                <w:rFonts w:cs="Arial"/>
                <w:b/>
              </w:rPr>
            </w:pPr>
          </w:p>
        </w:tc>
        <w:tc>
          <w:tcPr>
            <w:tcW w:w="932" w:type="dxa"/>
          </w:tcPr>
          <w:p w14:paraId="27F224B9" w14:textId="0C7D41C6" w:rsidR="00687A87" w:rsidRPr="00B148F9" w:rsidRDefault="00687A87" w:rsidP="00687A87">
            <w:pPr>
              <w:jc w:val="center"/>
              <w:rPr>
                <w:rFonts w:cs="Arial"/>
                <w:b/>
              </w:rPr>
            </w:pPr>
            <w:r w:rsidRPr="00B148F9">
              <w:rPr>
                <w:rFonts w:cs="Arial"/>
              </w:rPr>
              <w:t>0.15</w:t>
            </w:r>
          </w:p>
        </w:tc>
        <w:tc>
          <w:tcPr>
            <w:tcW w:w="284" w:type="dxa"/>
          </w:tcPr>
          <w:p w14:paraId="0F77942B" w14:textId="77777777" w:rsidR="00687A87" w:rsidRPr="00B148F9" w:rsidRDefault="00687A87" w:rsidP="00687A87">
            <w:pPr>
              <w:jc w:val="center"/>
              <w:rPr>
                <w:rFonts w:cs="Arial"/>
                <w:b/>
              </w:rPr>
            </w:pPr>
          </w:p>
        </w:tc>
        <w:tc>
          <w:tcPr>
            <w:tcW w:w="1134" w:type="dxa"/>
          </w:tcPr>
          <w:p w14:paraId="797BE99E" w14:textId="0CA79429" w:rsidR="00687A87" w:rsidRPr="00B148F9" w:rsidRDefault="00687A87" w:rsidP="00687A87">
            <w:pPr>
              <w:jc w:val="center"/>
              <w:rPr>
                <w:rFonts w:cs="Arial"/>
                <w:b/>
              </w:rPr>
            </w:pPr>
            <w:r w:rsidRPr="00B148F9">
              <w:rPr>
                <w:rFonts w:cs="Arial"/>
              </w:rPr>
              <w:t>32,181</w:t>
            </w:r>
          </w:p>
        </w:tc>
        <w:tc>
          <w:tcPr>
            <w:tcW w:w="567" w:type="dxa"/>
          </w:tcPr>
          <w:p w14:paraId="21BE54DA" w14:textId="77777777" w:rsidR="00687A87" w:rsidRPr="00B148F9" w:rsidRDefault="00687A87" w:rsidP="00687A87">
            <w:pPr>
              <w:jc w:val="center"/>
              <w:rPr>
                <w:rFonts w:cs="Arial"/>
                <w:b/>
              </w:rPr>
            </w:pPr>
          </w:p>
        </w:tc>
        <w:tc>
          <w:tcPr>
            <w:tcW w:w="1275" w:type="dxa"/>
          </w:tcPr>
          <w:p w14:paraId="1DC9EBD1" w14:textId="50CF3AB3" w:rsidR="00687A87" w:rsidRPr="00B148F9" w:rsidRDefault="00687A87" w:rsidP="00687A87">
            <w:pPr>
              <w:jc w:val="center"/>
              <w:rPr>
                <w:rFonts w:cs="Arial"/>
                <w:b/>
              </w:rPr>
            </w:pPr>
            <w:r w:rsidRPr="00B148F9">
              <w:rPr>
                <w:rFonts w:cs="Arial"/>
              </w:rPr>
              <w:t>306,909</w:t>
            </w:r>
          </w:p>
        </w:tc>
        <w:tc>
          <w:tcPr>
            <w:tcW w:w="675" w:type="dxa"/>
          </w:tcPr>
          <w:p w14:paraId="66686260" w14:textId="77777777" w:rsidR="00687A87" w:rsidRPr="00B148F9" w:rsidRDefault="00687A87" w:rsidP="00687A87">
            <w:pPr>
              <w:jc w:val="center"/>
              <w:rPr>
                <w:rFonts w:cs="Arial"/>
                <w:b/>
              </w:rPr>
            </w:pPr>
          </w:p>
        </w:tc>
        <w:tc>
          <w:tcPr>
            <w:tcW w:w="1418" w:type="dxa"/>
          </w:tcPr>
          <w:p w14:paraId="4D92F895" w14:textId="150D40A6" w:rsidR="00687A87" w:rsidRPr="00B148F9" w:rsidRDefault="00687A87" w:rsidP="00687A87">
            <w:pPr>
              <w:jc w:val="center"/>
              <w:rPr>
                <w:rFonts w:cs="Arial"/>
                <w:b/>
              </w:rPr>
            </w:pPr>
            <w:r w:rsidRPr="00B148F9">
              <w:rPr>
                <w:rFonts w:cs="Arial"/>
              </w:rPr>
              <w:t>313,765</w:t>
            </w:r>
          </w:p>
        </w:tc>
      </w:tr>
      <w:tr w:rsidR="00687A87" w:rsidRPr="00B148F9" w14:paraId="6C1AFD4A" w14:textId="77777777" w:rsidTr="00B746FC">
        <w:tc>
          <w:tcPr>
            <w:tcW w:w="250" w:type="dxa"/>
          </w:tcPr>
          <w:p w14:paraId="156CFC90" w14:textId="77777777" w:rsidR="00687A87" w:rsidRPr="00B148F9" w:rsidRDefault="00687A87" w:rsidP="00687A87">
            <w:pPr>
              <w:jc w:val="left"/>
              <w:rPr>
                <w:rFonts w:cs="Arial"/>
              </w:rPr>
            </w:pPr>
          </w:p>
        </w:tc>
        <w:tc>
          <w:tcPr>
            <w:tcW w:w="3011" w:type="dxa"/>
          </w:tcPr>
          <w:p w14:paraId="1121E9E5" w14:textId="77777777" w:rsidR="00687A87" w:rsidRPr="00B148F9" w:rsidRDefault="00687A87" w:rsidP="00687A87">
            <w:pPr>
              <w:jc w:val="left"/>
              <w:rPr>
                <w:rFonts w:cs="Arial"/>
                <w:b/>
              </w:rPr>
            </w:pPr>
          </w:p>
        </w:tc>
        <w:tc>
          <w:tcPr>
            <w:tcW w:w="485" w:type="dxa"/>
          </w:tcPr>
          <w:p w14:paraId="5D16B7E7" w14:textId="77777777" w:rsidR="00687A87" w:rsidRPr="00B148F9" w:rsidRDefault="00687A87" w:rsidP="00687A87">
            <w:pPr>
              <w:jc w:val="center"/>
              <w:rPr>
                <w:rFonts w:cs="Arial"/>
                <w:b/>
              </w:rPr>
            </w:pPr>
          </w:p>
        </w:tc>
        <w:tc>
          <w:tcPr>
            <w:tcW w:w="932" w:type="dxa"/>
            <w:tcBorders>
              <w:bottom w:val="single" w:sz="4" w:space="0" w:color="auto"/>
            </w:tcBorders>
          </w:tcPr>
          <w:p w14:paraId="4B99FE38" w14:textId="77777777" w:rsidR="00687A87" w:rsidRPr="00B148F9" w:rsidRDefault="00687A87" w:rsidP="00687A87">
            <w:pPr>
              <w:jc w:val="center"/>
              <w:rPr>
                <w:rFonts w:cs="Arial"/>
                <w:b/>
              </w:rPr>
            </w:pPr>
          </w:p>
        </w:tc>
        <w:tc>
          <w:tcPr>
            <w:tcW w:w="284" w:type="dxa"/>
            <w:tcBorders>
              <w:bottom w:val="single" w:sz="4" w:space="0" w:color="auto"/>
            </w:tcBorders>
          </w:tcPr>
          <w:p w14:paraId="6DBA9A5C" w14:textId="77777777" w:rsidR="00687A87" w:rsidRPr="00B148F9" w:rsidRDefault="00687A87" w:rsidP="00687A87">
            <w:pPr>
              <w:jc w:val="center"/>
              <w:rPr>
                <w:rFonts w:cs="Arial"/>
                <w:b/>
              </w:rPr>
            </w:pPr>
          </w:p>
        </w:tc>
        <w:tc>
          <w:tcPr>
            <w:tcW w:w="1134" w:type="dxa"/>
            <w:tcBorders>
              <w:bottom w:val="single" w:sz="4" w:space="0" w:color="auto"/>
            </w:tcBorders>
          </w:tcPr>
          <w:p w14:paraId="2AC0AA78" w14:textId="77777777" w:rsidR="00687A87" w:rsidRPr="00B148F9" w:rsidRDefault="00687A87" w:rsidP="00687A87">
            <w:pPr>
              <w:jc w:val="center"/>
              <w:rPr>
                <w:rFonts w:cs="Arial"/>
                <w:b/>
              </w:rPr>
            </w:pPr>
          </w:p>
        </w:tc>
        <w:tc>
          <w:tcPr>
            <w:tcW w:w="567" w:type="dxa"/>
            <w:tcBorders>
              <w:bottom w:val="single" w:sz="4" w:space="0" w:color="auto"/>
            </w:tcBorders>
          </w:tcPr>
          <w:p w14:paraId="3C587890" w14:textId="77777777" w:rsidR="00687A87" w:rsidRPr="00B148F9" w:rsidRDefault="00687A87" w:rsidP="00687A87">
            <w:pPr>
              <w:jc w:val="center"/>
              <w:rPr>
                <w:rFonts w:cs="Arial"/>
                <w:b/>
              </w:rPr>
            </w:pPr>
          </w:p>
        </w:tc>
        <w:tc>
          <w:tcPr>
            <w:tcW w:w="1275" w:type="dxa"/>
            <w:tcBorders>
              <w:bottom w:val="single" w:sz="4" w:space="0" w:color="auto"/>
            </w:tcBorders>
          </w:tcPr>
          <w:p w14:paraId="29160448" w14:textId="77777777" w:rsidR="00687A87" w:rsidRPr="00B148F9" w:rsidRDefault="00687A87" w:rsidP="00687A87">
            <w:pPr>
              <w:jc w:val="center"/>
              <w:rPr>
                <w:rFonts w:cs="Arial"/>
                <w:b/>
              </w:rPr>
            </w:pPr>
          </w:p>
        </w:tc>
        <w:tc>
          <w:tcPr>
            <w:tcW w:w="675" w:type="dxa"/>
            <w:tcBorders>
              <w:bottom w:val="single" w:sz="4" w:space="0" w:color="auto"/>
            </w:tcBorders>
          </w:tcPr>
          <w:p w14:paraId="4CAEFB13" w14:textId="77777777" w:rsidR="00687A87" w:rsidRPr="00B148F9" w:rsidRDefault="00687A87" w:rsidP="00687A87">
            <w:pPr>
              <w:jc w:val="center"/>
              <w:rPr>
                <w:rFonts w:cs="Arial"/>
                <w:b/>
              </w:rPr>
            </w:pPr>
          </w:p>
        </w:tc>
        <w:tc>
          <w:tcPr>
            <w:tcW w:w="1418" w:type="dxa"/>
            <w:tcBorders>
              <w:bottom w:val="single" w:sz="4" w:space="0" w:color="auto"/>
            </w:tcBorders>
          </w:tcPr>
          <w:p w14:paraId="6FE2D53A" w14:textId="77777777" w:rsidR="00687A87" w:rsidRPr="00B148F9" w:rsidRDefault="00687A87" w:rsidP="00687A87">
            <w:pPr>
              <w:jc w:val="center"/>
              <w:rPr>
                <w:rFonts w:cs="Arial"/>
                <w:b/>
              </w:rPr>
            </w:pPr>
          </w:p>
        </w:tc>
      </w:tr>
      <w:tr w:rsidR="00687A87" w:rsidRPr="00B148F9" w14:paraId="5037D90B" w14:textId="77777777" w:rsidTr="00B746FC">
        <w:tc>
          <w:tcPr>
            <w:tcW w:w="3261" w:type="dxa"/>
            <w:gridSpan w:val="2"/>
          </w:tcPr>
          <w:p w14:paraId="529179D8" w14:textId="3FFB6867" w:rsidR="00687A87" w:rsidRPr="00B148F9" w:rsidRDefault="00687A87" w:rsidP="00D050E5">
            <w:pPr>
              <w:jc w:val="left"/>
              <w:rPr>
                <w:rFonts w:cs="Arial"/>
                <w:b/>
              </w:rPr>
            </w:pPr>
            <w:r w:rsidRPr="00B148F9">
              <w:rPr>
                <w:rFonts w:cs="Arial"/>
                <w:b/>
              </w:rPr>
              <w:t xml:space="preserve">Total </w:t>
            </w:r>
            <w:r w:rsidR="00E20474" w:rsidRPr="00B148F9">
              <w:rPr>
                <w:rFonts w:cs="Arial"/>
                <w:b/>
              </w:rPr>
              <w:t>American depository receipts</w:t>
            </w:r>
          </w:p>
        </w:tc>
        <w:tc>
          <w:tcPr>
            <w:tcW w:w="485" w:type="dxa"/>
          </w:tcPr>
          <w:p w14:paraId="31FC2F8F" w14:textId="77777777" w:rsidR="00687A87" w:rsidRPr="00B148F9" w:rsidRDefault="00687A87" w:rsidP="00687A87">
            <w:pPr>
              <w:jc w:val="center"/>
              <w:rPr>
                <w:rFonts w:cs="Arial"/>
                <w:b/>
              </w:rPr>
            </w:pPr>
          </w:p>
        </w:tc>
        <w:tc>
          <w:tcPr>
            <w:tcW w:w="932" w:type="dxa"/>
            <w:tcBorders>
              <w:top w:val="single" w:sz="4" w:space="0" w:color="auto"/>
            </w:tcBorders>
            <w:vAlign w:val="bottom"/>
          </w:tcPr>
          <w:p w14:paraId="32B93D7E" w14:textId="1EE19516" w:rsidR="00687A87" w:rsidRPr="00B148F9" w:rsidRDefault="00E20474" w:rsidP="00D050E5">
            <w:pPr>
              <w:jc w:val="center"/>
              <w:rPr>
                <w:rFonts w:cs="Arial"/>
                <w:b/>
              </w:rPr>
            </w:pPr>
            <w:r w:rsidRPr="00B148F9">
              <w:rPr>
                <w:rFonts w:cs="Arial"/>
                <w:b/>
              </w:rPr>
              <w:t>0.57</w:t>
            </w:r>
          </w:p>
        </w:tc>
        <w:tc>
          <w:tcPr>
            <w:tcW w:w="284" w:type="dxa"/>
            <w:tcBorders>
              <w:top w:val="single" w:sz="4" w:space="0" w:color="auto"/>
            </w:tcBorders>
            <w:vAlign w:val="bottom"/>
          </w:tcPr>
          <w:p w14:paraId="0778DBA0" w14:textId="77777777" w:rsidR="00687A87" w:rsidRPr="00B148F9" w:rsidRDefault="00687A87">
            <w:pPr>
              <w:jc w:val="center"/>
              <w:rPr>
                <w:rFonts w:cs="Arial"/>
                <w:b/>
              </w:rPr>
            </w:pPr>
          </w:p>
        </w:tc>
        <w:tc>
          <w:tcPr>
            <w:tcW w:w="1134" w:type="dxa"/>
            <w:tcBorders>
              <w:top w:val="single" w:sz="4" w:space="0" w:color="auto"/>
            </w:tcBorders>
            <w:vAlign w:val="bottom"/>
          </w:tcPr>
          <w:p w14:paraId="428E3C3A" w14:textId="77777777" w:rsidR="00687A87" w:rsidRPr="00B148F9" w:rsidRDefault="00687A87">
            <w:pPr>
              <w:jc w:val="center"/>
              <w:rPr>
                <w:rFonts w:cs="Arial"/>
                <w:b/>
              </w:rPr>
            </w:pPr>
          </w:p>
        </w:tc>
        <w:tc>
          <w:tcPr>
            <w:tcW w:w="567" w:type="dxa"/>
            <w:tcBorders>
              <w:top w:val="single" w:sz="4" w:space="0" w:color="auto"/>
            </w:tcBorders>
            <w:vAlign w:val="bottom"/>
          </w:tcPr>
          <w:p w14:paraId="65A95243" w14:textId="29B7C39B" w:rsidR="00687A87" w:rsidRPr="00B148F9" w:rsidRDefault="00687A87">
            <w:pPr>
              <w:jc w:val="center"/>
              <w:rPr>
                <w:rFonts w:cs="Arial"/>
                <w:b/>
              </w:rPr>
            </w:pPr>
            <w:r w:rsidRPr="00B148F9">
              <w:rPr>
                <w:rFonts w:cs="Arial"/>
                <w:b/>
              </w:rPr>
              <w:t>US$</w:t>
            </w:r>
          </w:p>
        </w:tc>
        <w:tc>
          <w:tcPr>
            <w:tcW w:w="1275" w:type="dxa"/>
            <w:tcBorders>
              <w:top w:val="single" w:sz="4" w:space="0" w:color="auto"/>
            </w:tcBorders>
            <w:vAlign w:val="bottom"/>
          </w:tcPr>
          <w:p w14:paraId="2BC5C256" w14:textId="2888FAF2" w:rsidR="00687A87" w:rsidRPr="00B148F9" w:rsidRDefault="00E20474">
            <w:pPr>
              <w:jc w:val="center"/>
              <w:rPr>
                <w:rFonts w:cs="Arial"/>
                <w:b/>
              </w:rPr>
            </w:pPr>
            <w:r w:rsidRPr="00B148F9">
              <w:rPr>
                <w:rFonts w:cs="Arial"/>
                <w:b/>
              </w:rPr>
              <w:t>1,043,284</w:t>
            </w:r>
          </w:p>
        </w:tc>
        <w:tc>
          <w:tcPr>
            <w:tcW w:w="675" w:type="dxa"/>
            <w:tcBorders>
              <w:top w:val="single" w:sz="4" w:space="0" w:color="auto"/>
            </w:tcBorders>
            <w:vAlign w:val="bottom"/>
          </w:tcPr>
          <w:p w14:paraId="5CBD2998" w14:textId="37F54A0D" w:rsidR="00687A87" w:rsidRPr="00B148F9" w:rsidRDefault="00687A87">
            <w:pPr>
              <w:jc w:val="center"/>
              <w:rPr>
                <w:rFonts w:cs="Arial"/>
                <w:b/>
              </w:rPr>
            </w:pPr>
            <w:r w:rsidRPr="00B148F9">
              <w:rPr>
                <w:rFonts w:cs="Arial"/>
                <w:b/>
              </w:rPr>
              <w:t>US$</w:t>
            </w:r>
          </w:p>
        </w:tc>
        <w:tc>
          <w:tcPr>
            <w:tcW w:w="1418" w:type="dxa"/>
            <w:tcBorders>
              <w:top w:val="single" w:sz="4" w:space="0" w:color="auto"/>
            </w:tcBorders>
            <w:vAlign w:val="bottom"/>
          </w:tcPr>
          <w:p w14:paraId="5FF18994" w14:textId="543DFD82" w:rsidR="00687A87" w:rsidRPr="00B148F9" w:rsidRDefault="00E20474">
            <w:pPr>
              <w:jc w:val="center"/>
              <w:rPr>
                <w:rFonts w:cs="Arial"/>
                <w:b/>
              </w:rPr>
            </w:pPr>
            <w:r w:rsidRPr="00B148F9">
              <w:rPr>
                <w:rFonts w:cs="Arial"/>
                <w:b/>
              </w:rPr>
              <w:t>1,187,345</w:t>
            </w:r>
          </w:p>
        </w:tc>
      </w:tr>
      <w:tr w:rsidR="00687A87" w:rsidRPr="00B148F9" w14:paraId="251906E9" w14:textId="77777777" w:rsidTr="00AA79D1">
        <w:tc>
          <w:tcPr>
            <w:tcW w:w="250" w:type="dxa"/>
          </w:tcPr>
          <w:p w14:paraId="5CE06A42" w14:textId="77777777" w:rsidR="00687A87" w:rsidRPr="00B148F9" w:rsidRDefault="00687A87" w:rsidP="00687A87">
            <w:pPr>
              <w:jc w:val="left"/>
              <w:rPr>
                <w:rFonts w:cs="Arial"/>
              </w:rPr>
            </w:pPr>
          </w:p>
        </w:tc>
        <w:tc>
          <w:tcPr>
            <w:tcW w:w="3011" w:type="dxa"/>
          </w:tcPr>
          <w:p w14:paraId="285960C9" w14:textId="77777777" w:rsidR="00687A87" w:rsidRPr="00B148F9" w:rsidRDefault="00687A87" w:rsidP="00687A87">
            <w:pPr>
              <w:jc w:val="left"/>
              <w:rPr>
                <w:rFonts w:cs="Arial"/>
                <w:b/>
              </w:rPr>
            </w:pPr>
          </w:p>
        </w:tc>
        <w:tc>
          <w:tcPr>
            <w:tcW w:w="485" w:type="dxa"/>
          </w:tcPr>
          <w:p w14:paraId="07E2CDB3" w14:textId="77777777" w:rsidR="00687A87" w:rsidRPr="00B148F9" w:rsidRDefault="00687A87" w:rsidP="00687A87">
            <w:pPr>
              <w:jc w:val="center"/>
              <w:rPr>
                <w:rFonts w:cs="Arial"/>
                <w:b/>
              </w:rPr>
            </w:pPr>
          </w:p>
        </w:tc>
        <w:tc>
          <w:tcPr>
            <w:tcW w:w="932" w:type="dxa"/>
          </w:tcPr>
          <w:p w14:paraId="22F9F4DE" w14:textId="77777777" w:rsidR="00687A87" w:rsidRPr="00B148F9" w:rsidRDefault="00687A87" w:rsidP="00687A87">
            <w:pPr>
              <w:jc w:val="center"/>
              <w:rPr>
                <w:rFonts w:cs="Arial"/>
                <w:b/>
              </w:rPr>
            </w:pPr>
          </w:p>
        </w:tc>
        <w:tc>
          <w:tcPr>
            <w:tcW w:w="284" w:type="dxa"/>
          </w:tcPr>
          <w:p w14:paraId="6A339BE6" w14:textId="77777777" w:rsidR="00687A87" w:rsidRPr="00B148F9" w:rsidRDefault="00687A87" w:rsidP="00687A87">
            <w:pPr>
              <w:jc w:val="center"/>
              <w:rPr>
                <w:rFonts w:cs="Arial"/>
                <w:b/>
              </w:rPr>
            </w:pPr>
          </w:p>
        </w:tc>
        <w:tc>
          <w:tcPr>
            <w:tcW w:w="1134" w:type="dxa"/>
          </w:tcPr>
          <w:p w14:paraId="58F0A9AF" w14:textId="77777777" w:rsidR="00687A87" w:rsidRPr="00B148F9" w:rsidRDefault="00687A87" w:rsidP="00687A87">
            <w:pPr>
              <w:jc w:val="center"/>
              <w:rPr>
                <w:rFonts w:cs="Arial"/>
                <w:b/>
              </w:rPr>
            </w:pPr>
          </w:p>
        </w:tc>
        <w:tc>
          <w:tcPr>
            <w:tcW w:w="567" w:type="dxa"/>
          </w:tcPr>
          <w:p w14:paraId="23AA8454" w14:textId="77777777" w:rsidR="00687A87" w:rsidRPr="00B148F9" w:rsidRDefault="00687A87" w:rsidP="00687A87">
            <w:pPr>
              <w:jc w:val="center"/>
              <w:rPr>
                <w:rFonts w:cs="Arial"/>
                <w:b/>
              </w:rPr>
            </w:pPr>
          </w:p>
        </w:tc>
        <w:tc>
          <w:tcPr>
            <w:tcW w:w="1275" w:type="dxa"/>
          </w:tcPr>
          <w:p w14:paraId="5FA3579D" w14:textId="77777777" w:rsidR="00687A87" w:rsidRPr="00B148F9" w:rsidRDefault="00687A87" w:rsidP="00687A87">
            <w:pPr>
              <w:jc w:val="center"/>
              <w:rPr>
                <w:rFonts w:cs="Arial"/>
                <w:b/>
              </w:rPr>
            </w:pPr>
          </w:p>
        </w:tc>
        <w:tc>
          <w:tcPr>
            <w:tcW w:w="675" w:type="dxa"/>
          </w:tcPr>
          <w:p w14:paraId="18651EB8" w14:textId="77777777" w:rsidR="00687A87" w:rsidRPr="00B148F9" w:rsidRDefault="00687A87" w:rsidP="00687A87">
            <w:pPr>
              <w:jc w:val="center"/>
              <w:rPr>
                <w:rFonts w:cs="Arial"/>
                <w:b/>
              </w:rPr>
            </w:pPr>
          </w:p>
        </w:tc>
        <w:tc>
          <w:tcPr>
            <w:tcW w:w="1418" w:type="dxa"/>
          </w:tcPr>
          <w:p w14:paraId="7A5835E8" w14:textId="77777777" w:rsidR="00687A87" w:rsidRPr="00B148F9" w:rsidRDefault="00687A87" w:rsidP="00687A87">
            <w:pPr>
              <w:jc w:val="center"/>
              <w:rPr>
                <w:rFonts w:cs="Arial"/>
                <w:b/>
              </w:rPr>
            </w:pPr>
          </w:p>
        </w:tc>
      </w:tr>
      <w:tr w:rsidR="00687A87" w:rsidRPr="00B148F9" w14:paraId="500CF9F9" w14:textId="77777777" w:rsidTr="00B746FC">
        <w:tc>
          <w:tcPr>
            <w:tcW w:w="250" w:type="dxa"/>
          </w:tcPr>
          <w:p w14:paraId="50946ED1" w14:textId="77777777" w:rsidR="00687A87" w:rsidRPr="00B148F9" w:rsidRDefault="00687A87" w:rsidP="00687A87">
            <w:pPr>
              <w:jc w:val="left"/>
              <w:rPr>
                <w:rFonts w:cs="Arial"/>
              </w:rPr>
            </w:pPr>
          </w:p>
        </w:tc>
        <w:tc>
          <w:tcPr>
            <w:tcW w:w="3011" w:type="dxa"/>
          </w:tcPr>
          <w:p w14:paraId="696C31A6" w14:textId="77777777" w:rsidR="00687A87" w:rsidRPr="00B148F9" w:rsidRDefault="00687A87" w:rsidP="00687A87">
            <w:pPr>
              <w:jc w:val="left"/>
              <w:rPr>
                <w:rFonts w:cs="Arial"/>
                <w:b/>
              </w:rPr>
            </w:pPr>
          </w:p>
        </w:tc>
        <w:tc>
          <w:tcPr>
            <w:tcW w:w="485" w:type="dxa"/>
          </w:tcPr>
          <w:p w14:paraId="76B99274" w14:textId="77777777" w:rsidR="00687A87" w:rsidRPr="00B148F9" w:rsidRDefault="00687A87" w:rsidP="00687A87">
            <w:pPr>
              <w:jc w:val="center"/>
              <w:rPr>
                <w:rFonts w:cs="Arial"/>
                <w:b/>
              </w:rPr>
            </w:pPr>
          </w:p>
        </w:tc>
        <w:tc>
          <w:tcPr>
            <w:tcW w:w="932" w:type="dxa"/>
            <w:tcBorders>
              <w:bottom w:val="single" w:sz="4" w:space="0" w:color="auto"/>
            </w:tcBorders>
          </w:tcPr>
          <w:p w14:paraId="48347496" w14:textId="77777777" w:rsidR="00687A87" w:rsidRPr="00B148F9" w:rsidRDefault="00687A87" w:rsidP="00687A87">
            <w:pPr>
              <w:jc w:val="center"/>
              <w:rPr>
                <w:rFonts w:cs="Arial"/>
                <w:b/>
              </w:rPr>
            </w:pPr>
          </w:p>
        </w:tc>
        <w:tc>
          <w:tcPr>
            <w:tcW w:w="284" w:type="dxa"/>
            <w:tcBorders>
              <w:bottom w:val="single" w:sz="4" w:space="0" w:color="auto"/>
            </w:tcBorders>
          </w:tcPr>
          <w:p w14:paraId="1F696F7E" w14:textId="77777777" w:rsidR="00687A87" w:rsidRPr="00B148F9" w:rsidRDefault="00687A87" w:rsidP="00687A87">
            <w:pPr>
              <w:jc w:val="center"/>
              <w:rPr>
                <w:rFonts w:cs="Arial"/>
                <w:b/>
              </w:rPr>
            </w:pPr>
          </w:p>
        </w:tc>
        <w:tc>
          <w:tcPr>
            <w:tcW w:w="1134" w:type="dxa"/>
            <w:tcBorders>
              <w:bottom w:val="single" w:sz="4" w:space="0" w:color="auto"/>
            </w:tcBorders>
          </w:tcPr>
          <w:p w14:paraId="2AE6F5D0" w14:textId="77777777" w:rsidR="00687A87" w:rsidRPr="00B148F9" w:rsidRDefault="00687A87" w:rsidP="00687A87">
            <w:pPr>
              <w:jc w:val="center"/>
              <w:rPr>
                <w:rFonts w:cs="Arial"/>
                <w:b/>
              </w:rPr>
            </w:pPr>
          </w:p>
        </w:tc>
        <w:tc>
          <w:tcPr>
            <w:tcW w:w="567" w:type="dxa"/>
            <w:tcBorders>
              <w:bottom w:val="single" w:sz="4" w:space="0" w:color="auto"/>
            </w:tcBorders>
          </w:tcPr>
          <w:p w14:paraId="7970F983" w14:textId="77777777" w:rsidR="00687A87" w:rsidRPr="00B148F9" w:rsidRDefault="00687A87" w:rsidP="00687A87">
            <w:pPr>
              <w:jc w:val="center"/>
              <w:rPr>
                <w:rFonts w:cs="Arial"/>
                <w:b/>
              </w:rPr>
            </w:pPr>
          </w:p>
        </w:tc>
        <w:tc>
          <w:tcPr>
            <w:tcW w:w="1275" w:type="dxa"/>
            <w:tcBorders>
              <w:bottom w:val="single" w:sz="4" w:space="0" w:color="auto"/>
            </w:tcBorders>
          </w:tcPr>
          <w:p w14:paraId="7E210555" w14:textId="77777777" w:rsidR="00687A87" w:rsidRPr="00B148F9" w:rsidRDefault="00687A87" w:rsidP="00687A87">
            <w:pPr>
              <w:jc w:val="center"/>
              <w:rPr>
                <w:rFonts w:cs="Arial"/>
                <w:b/>
              </w:rPr>
            </w:pPr>
          </w:p>
        </w:tc>
        <w:tc>
          <w:tcPr>
            <w:tcW w:w="675" w:type="dxa"/>
            <w:tcBorders>
              <w:bottom w:val="single" w:sz="4" w:space="0" w:color="auto"/>
            </w:tcBorders>
          </w:tcPr>
          <w:p w14:paraId="53D679B3" w14:textId="77777777" w:rsidR="00687A87" w:rsidRPr="00B148F9" w:rsidRDefault="00687A87" w:rsidP="00687A87">
            <w:pPr>
              <w:jc w:val="center"/>
              <w:rPr>
                <w:rFonts w:cs="Arial"/>
                <w:b/>
              </w:rPr>
            </w:pPr>
          </w:p>
        </w:tc>
        <w:tc>
          <w:tcPr>
            <w:tcW w:w="1418" w:type="dxa"/>
            <w:tcBorders>
              <w:bottom w:val="single" w:sz="4" w:space="0" w:color="auto"/>
            </w:tcBorders>
          </w:tcPr>
          <w:p w14:paraId="6607B08D" w14:textId="77777777" w:rsidR="00687A87" w:rsidRPr="00B148F9" w:rsidRDefault="00687A87" w:rsidP="00687A87">
            <w:pPr>
              <w:jc w:val="center"/>
              <w:rPr>
                <w:rFonts w:cs="Arial"/>
                <w:b/>
              </w:rPr>
            </w:pPr>
          </w:p>
        </w:tc>
      </w:tr>
      <w:tr w:rsidR="00687A87" w:rsidRPr="00B148F9" w14:paraId="18F9476C" w14:textId="77777777" w:rsidTr="00B746FC">
        <w:tc>
          <w:tcPr>
            <w:tcW w:w="3261" w:type="dxa"/>
            <w:gridSpan w:val="2"/>
          </w:tcPr>
          <w:p w14:paraId="7CF0709F" w14:textId="502FB9CC" w:rsidR="00687A87" w:rsidRPr="00B148F9" w:rsidRDefault="00687A87" w:rsidP="00687A87">
            <w:pPr>
              <w:jc w:val="left"/>
              <w:rPr>
                <w:rFonts w:cs="Arial"/>
                <w:b/>
              </w:rPr>
            </w:pPr>
            <w:r w:rsidRPr="00B148F9">
              <w:rPr>
                <w:rFonts w:cs="Arial"/>
                <w:b/>
              </w:rPr>
              <w:t>Total investment in securities</w:t>
            </w:r>
          </w:p>
        </w:tc>
        <w:tc>
          <w:tcPr>
            <w:tcW w:w="485" w:type="dxa"/>
          </w:tcPr>
          <w:p w14:paraId="2F1D6EE9" w14:textId="77777777" w:rsidR="00687A87" w:rsidRPr="00B148F9" w:rsidRDefault="00687A87" w:rsidP="00687A87">
            <w:pPr>
              <w:jc w:val="center"/>
              <w:rPr>
                <w:rFonts w:cs="Arial"/>
                <w:b/>
              </w:rPr>
            </w:pPr>
          </w:p>
        </w:tc>
        <w:tc>
          <w:tcPr>
            <w:tcW w:w="932" w:type="dxa"/>
            <w:tcBorders>
              <w:top w:val="single" w:sz="4" w:space="0" w:color="auto"/>
              <w:bottom w:val="single" w:sz="4" w:space="0" w:color="auto"/>
            </w:tcBorders>
          </w:tcPr>
          <w:p w14:paraId="1734B0E5" w14:textId="51F7AE0F" w:rsidR="00687A87" w:rsidRPr="00B148F9" w:rsidRDefault="00687A87" w:rsidP="00687A87">
            <w:pPr>
              <w:jc w:val="center"/>
              <w:rPr>
                <w:rFonts w:cs="Arial"/>
                <w:b/>
              </w:rPr>
            </w:pPr>
            <w:r w:rsidRPr="00B148F9">
              <w:rPr>
                <w:rFonts w:cs="Arial"/>
                <w:b/>
              </w:rPr>
              <w:t>82.96</w:t>
            </w:r>
          </w:p>
        </w:tc>
        <w:tc>
          <w:tcPr>
            <w:tcW w:w="284" w:type="dxa"/>
            <w:tcBorders>
              <w:top w:val="single" w:sz="4" w:space="0" w:color="auto"/>
              <w:bottom w:val="single" w:sz="4" w:space="0" w:color="auto"/>
            </w:tcBorders>
          </w:tcPr>
          <w:p w14:paraId="5B730945" w14:textId="76901184" w:rsidR="00687A87" w:rsidRPr="00B148F9" w:rsidRDefault="00687A87" w:rsidP="00B746FC">
            <w:pPr>
              <w:jc w:val="left"/>
              <w:rPr>
                <w:rFonts w:cs="Arial"/>
                <w:b/>
              </w:rPr>
            </w:pPr>
            <w:r w:rsidRPr="00B148F9">
              <w:rPr>
                <w:rFonts w:cs="Arial"/>
                <w:b/>
              </w:rPr>
              <w:t>%</w:t>
            </w:r>
          </w:p>
        </w:tc>
        <w:tc>
          <w:tcPr>
            <w:tcW w:w="1134" w:type="dxa"/>
            <w:tcBorders>
              <w:top w:val="single" w:sz="4" w:space="0" w:color="auto"/>
              <w:bottom w:val="single" w:sz="4" w:space="0" w:color="auto"/>
            </w:tcBorders>
          </w:tcPr>
          <w:p w14:paraId="6737923A" w14:textId="77777777" w:rsidR="00687A87" w:rsidRPr="00B148F9" w:rsidRDefault="00687A87" w:rsidP="00687A87">
            <w:pPr>
              <w:jc w:val="center"/>
              <w:rPr>
                <w:rFonts w:cs="Arial"/>
                <w:b/>
              </w:rPr>
            </w:pPr>
          </w:p>
        </w:tc>
        <w:tc>
          <w:tcPr>
            <w:tcW w:w="567" w:type="dxa"/>
            <w:tcBorders>
              <w:top w:val="single" w:sz="4" w:space="0" w:color="auto"/>
              <w:bottom w:val="single" w:sz="4" w:space="0" w:color="auto"/>
            </w:tcBorders>
          </w:tcPr>
          <w:p w14:paraId="59F1A611" w14:textId="23B89539" w:rsidR="00687A87" w:rsidRPr="00B148F9" w:rsidRDefault="00687A87" w:rsidP="00687A87">
            <w:pPr>
              <w:jc w:val="right"/>
              <w:rPr>
                <w:rFonts w:cs="Arial"/>
                <w:b/>
              </w:rPr>
            </w:pPr>
            <w:r w:rsidRPr="00B148F9">
              <w:rPr>
                <w:rFonts w:cs="Arial"/>
                <w:b/>
              </w:rPr>
              <w:t>US$</w:t>
            </w:r>
          </w:p>
        </w:tc>
        <w:tc>
          <w:tcPr>
            <w:tcW w:w="1275" w:type="dxa"/>
            <w:tcBorders>
              <w:top w:val="single" w:sz="4" w:space="0" w:color="auto"/>
              <w:bottom w:val="single" w:sz="4" w:space="0" w:color="auto"/>
            </w:tcBorders>
          </w:tcPr>
          <w:p w14:paraId="267CC2B4" w14:textId="25DD6552" w:rsidR="00687A87" w:rsidRPr="00B148F9" w:rsidRDefault="00687A87" w:rsidP="00687A87">
            <w:pPr>
              <w:jc w:val="center"/>
              <w:rPr>
                <w:rFonts w:cs="Arial"/>
                <w:b/>
              </w:rPr>
            </w:pPr>
            <w:r w:rsidRPr="00B148F9">
              <w:rPr>
                <w:rFonts w:cs="Arial"/>
                <w:b/>
              </w:rPr>
              <w:t>92,446,333</w:t>
            </w:r>
          </w:p>
        </w:tc>
        <w:tc>
          <w:tcPr>
            <w:tcW w:w="675" w:type="dxa"/>
            <w:tcBorders>
              <w:top w:val="single" w:sz="4" w:space="0" w:color="auto"/>
              <w:bottom w:val="single" w:sz="4" w:space="0" w:color="auto"/>
            </w:tcBorders>
          </w:tcPr>
          <w:p w14:paraId="1B4635C8" w14:textId="3F687462" w:rsidR="00687A87" w:rsidRPr="00B148F9" w:rsidRDefault="00687A87" w:rsidP="00687A87">
            <w:pPr>
              <w:jc w:val="right"/>
              <w:rPr>
                <w:rFonts w:cs="Arial"/>
                <w:b/>
              </w:rPr>
            </w:pPr>
            <w:r w:rsidRPr="00B148F9">
              <w:rPr>
                <w:rFonts w:cs="Arial"/>
                <w:b/>
              </w:rPr>
              <w:t>US$</w:t>
            </w:r>
          </w:p>
        </w:tc>
        <w:tc>
          <w:tcPr>
            <w:tcW w:w="1418" w:type="dxa"/>
            <w:tcBorders>
              <w:top w:val="single" w:sz="4" w:space="0" w:color="auto"/>
              <w:bottom w:val="single" w:sz="4" w:space="0" w:color="auto"/>
            </w:tcBorders>
          </w:tcPr>
          <w:p w14:paraId="6F89EA95" w14:textId="52814C80" w:rsidR="00687A87" w:rsidRPr="00B148F9" w:rsidRDefault="00687A87" w:rsidP="00687A87">
            <w:pPr>
              <w:jc w:val="center"/>
              <w:rPr>
                <w:rFonts w:cs="Arial"/>
                <w:b/>
              </w:rPr>
            </w:pPr>
            <w:r w:rsidRPr="00B148F9">
              <w:rPr>
                <w:rFonts w:cs="Arial"/>
                <w:b/>
              </w:rPr>
              <w:t>170,653,009</w:t>
            </w:r>
          </w:p>
        </w:tc>
      </w:tr>
      <w:tr w:rsidR="00687A87" w:rsidRPr="00B148F9" w14:paraId="2F4683D7" w14:textId="77777777" w:rsidTr="00B746FC">
        <w:tc>
          <w:tcPr>
            <w:tcW w:w="250" w:type="dxa"/>
          </w:tcPr>
          <w:p w14:paraId="66E94C9A" w14:textId="77777777" w:rsidR="00687A87" w:rsidRPr="00B148F9" w:rsidRDefault="00687A87" w:rsidP="00687A87">
            <w:pPr>
              <w:jc w:val="left"/>
              <w:rPr>
                <w:rFonts w:cs="Arial"/>
              </w:rPr>
            </w:pPr>
          </w:p>
        </w:tc>
        <w:tc>
          <w:tcPr>
            <w:tcW w:w="3011" w:type="dxa"/>
          </w:tcPr>
          <w:p w14:paraId="1F2CA3A3" w14:textId="77777777" w:rsidR="00687A87" w:rsidRPr="00B148F9" w:rsidRDefault="00687A87" w:rsidP="00687A87">
            <w:pPr>
              <w:jc w:val="left"/>
              <w:rPr>
                <w:rFonts w:cs="Arial"/>
                <w:b/>
              </w:rPr>
            </w:pPr>
          </w:p>
        </w:tc>
        <w:tc>
          <w:tcPr>
            <w:tcW w:w="485" w:type="dxa"/>
          </w:tcPr>
          <w:p w14:paraId="0E8E6914" w14:textId="77777777" w:rsidR="00687A87" w:rsidRPr="00B148F9" w:rsidRDefault="00687A87" w:rsidP="00687A87">
            <w:pPr>
              <w:jc w:val="center"/>
              <w:rPr>
                <w:rFonts w:cs="Arial"/>
                <w:b/>
              </w:rPr>
            </w:pPr>
          </w:p>
        </w:tc>
        <w:tc>
          <w:tcPr>
            <w:tcW w:w="932" w:type="dxa"/>
          </w:tcPr>
          <w:p w14:paraId="0861D4F9" w14:textId="77777777" w:rsidR="00687A87" w:rsidRPr="00B148F9" w:rsidRDefault="00687A87" w:rsidP="00687A87">
            <w:pPr>
              <w:jc w:val="center"/>
              <w:rPr>
                <w:rFonts w:cs="Arial"/>
                <w:b/>
              </w:rPr>
            </w:pPr>
          </w:p>
        </w:tc>
        <w:tc>
          <w:tcPr>
            <w:tcW w:w="284" w:type="dxa"/>
            <w:tcBorders>
              <w:top w:val="single" w:sz="4" w:space="0" w:color="auto"/>
            </w:tcBorders>
          </w:tcPr>
          <w:p w14:paraId="2C340A7B" w14:textId="77777777" w:rsidR="00687A87" w:rsidRPr="00B148F9" w:rsidRDefault="00687A87" w:rsidP="00687A87">
            <w:pPr>
              <w:jc w:val="center"/>
              <w:rPr>
                <w:rFonts w:cs="Arial"/>
                <w:b/>
              </w:rPr>
            </w:pPr>
          </w:p>
        </w:tc>
        <w:tc>
          <w:tcPr>
            <w:tcW w:w="1134" w:type="dxa"/>
            <w:tcBorders>
              <w:top w:val="single" w:sz="4" w:space="0" w:color="auto"/>
            </w:tcBorders>
          </w:tcPr>
          <w:p w14:paraId="6382E919" w14:textId="77777777" w:rsidR="00687A87" w:rsidRPr="00B148F9" w:rsidRDefault="00687A87" w:rsidP="00687A87">
            <w:pPr>
              <w:jc w:val="center"/>
              <w:rPr>
                <w:rFonts w:cs="Arial"/>
                <w:b/>
              </w:rPr>
            </w:pPr>
          </w:p>
        </w:tc>
        <w:tc>
          <w:tcPr>
            <w:tcW w:w="567" w:type="dxa"/>
            <w:tcBorders>
              <w:top w:val="single" w:sz="4" w:space="0" w:color="auto"/>
            </w:tcBorders>
          </w:tcPr>
          <w:p w14:paraId="30354ACF" w14:textId="77777777" w:rsidR="00687A87" w:rsidRPr="00B148F9" w:rsidRDefault="00687A87" w:rsidP="00687A87">
            <w:pPr>
              <w:jc w:val="center"/>
              <w:rPr>
                <w:rFonts w:cs="Arial"/>
                <w:b/>
              </w:rPr>
            </w:pPr>
          </w:p>
        </w:tc>
        <w:tc>
          <w:tcPr>
            <w:tcW w:w="1275" w:type="dxa"/>
            <w:tcBorders>
              <w:top w:val="single" w:sz="4" w:space="0" w:color="auto"/>
            </w:tcBorders>
          </w:tcPr>
          <w:p w14:paraId="0783C22A" w14:textId="77777777" w:rsidR="00687A87" w:rsidRPr="00B148F9" w:rsidRDefault="00687A87" w:rsidP="00687A87">
            <w:pPr>
              <w:jc w:val="center"/>
              <w:rPr>
                <w:rFonts w:cs="Arial"/>
                <w:b/>
              </w:rPr>
            </w:pPr>
          </w:p>
        </w:tc>
        <w:tc>
          <w:tcPr>
            <w:tcW w:w="675" w:type="dxa"/>
            <w:tcBorders>
              <w:top w:val="single" w:sz="4" w:space="0" w:color="auto"/>
            </w:tcBorders>
          </w:tcPr>
          <w:p w14:paraId="64BC8C5D" w14:textId="77777777" w:rsidR="00687A87" w:rsidRPr="00B148F9" w:rsidRDefault="00687A87" w:rsidP="00687A87">
            <w:pPr>
              <w:jc w:val="center"/>
              <w:rPr>
                <w:rFonts w:cs="Arial"/>
                <w:b/>
              </w:rPr>
            </w:pPr>
          </w:p>
        </w:tc>
        <w:tc>
          <w:tcPr>
            <w:tcW w:w="1418" w:type="dxa"/>
            <w:tcBorders>
              <w:top w:val="single" w:sz="4" w:space="0" w:color="auto"/>
            </w:tcBorders>
          </w:tcPr>
          <w:p w14:paraId="3061B416" w14:textId="77777777" w:rsidR="00687A87" w:rsidRPr="00B148F9" w:rsidRDefault="00687A87" w:rsidP="00687A87">
            <w:pPr>
              <w:jc w:val="center"/>
              <w:rPr>
                <w:rFonts w:cs="Arial"/>
                <w:b/>
              </w:rPr>
            </w:pPr>
          </w:p>
        </w:tc>
      </w:tr>
      <w:tr w:rsidR="00687A87" w:rsidRPr="00B148F9" w14:paraId="4140E0EF" w14:textId="77777777" w:rsidTr="00B746FC">
        <w:tc>
          <w:tcPr>
            <w:tcW w:w="250" w:type="dxa"/>
          </w:tcPr>
          <w:p w14:paraId="07040699" w14:textId="77777777" w:rsidR="00687A87" w:rsidRPr="00B148F9" w:rsidRDefault="00687A87" w:rsidP="00687A87">
            <w:pPr>
              <w:jc w:val="left"/>
              <w:rPr>
                <w:rFonts w:cs="Arial"/>
              </w:rPr>
            </w:pPr>
          </w:p>
        </w:tc>
        <w:tc>
          <w:tcPr>
            <w:tcW w:w="3011" w:type="dxa"/>
          </w:tcPr>
          <w:p w14:paraId="407DDE7E" w14:textId="77777777" w:rsidR="00687A87" w:rsidRPr="00B148F9" w:rsidRDefault="00687A87" w:rsidP="00687A87">
            <w:pPr>
              <w:jc w:val="left"/>
              <w:rPr>
                <w:rFonts w:cs="Arial"/>
                <w:b/>
              </w:rPr>
            </w:pPr>
          </w:p>
        </w:tc>
        <w:tc>
          <w:tcPr>
            <w:tcW w:w="485" w:type="dxa"/>
          </w:tcPr>
          <w:p w14:paraId="37CD697B" w14:textId="77777777" w:rsidR="00687A87" w:rsidRPr="00B148F9" w:rsidRDefault="00687A87" w:rsidP="00687A87">
            <w:pPr>
              <w:jc w:val="center"/>
              <w:rPr>
                <w:rFonts w:cs="Arial"/>
                <w:b/>
              </w:rPr>
            </w:pPr>
          </w:p>
        </w:tc>
        <w:tc>
          <w:tcPr>
            <w:tcW w:w="932" w:type="dxa"/>
          </w:tcPr>
          <w:p w14:paraId="5E546820" w14:textId="77777777" w:rsidR="00687A87" w:rsidRPr="00B148F9" w:rsidRDefault="00687A87" w:rsidP="00687A87">
            <w:pPr>
              <w:jc w:val="center"/>
              <w:rPr>
                <w:rFonts w:cs="Arial"/>
                <w:b/>
              </w:rPr>
            </w:pPr>
          </w:p>
        </w:tc>
        <w:tc>
          <w:tcPr>
            <w:tcW w:w="284" w:type="dxa"/>
          </w:tcPr>
          <w:p w14:paraId="672B88A9" w14:textId="77777777" w:rsidR="00687A87" w:rsidRPr="00B148F9" w:rsidRDefault="00687A87" w:rsidP="00687A87">
            <w:pPr>
              <w:jc w:val="center"/>
              <w:rPr>
                <w:rFonts w:cs="Arial"/>
                <w:b/>
              </w:rPr>
            </w:pPr>
          </w:p>
        </w:tc>
        <w:tc>
          <w:tcPr>
            <w:tcW w:w="1134" w:type="dxa"/>
          </w:tcPr>
          <w:p w14:paraId="0C26B0F6" w14:textId="77777777" w:rsidR="00687A87" w:rsidRPr="00B148F9" w:rsidRDefault="00687A87" w:rsidP="00687A87">
            <w:pPr>
              <w:jc w:val="center"/>
              <w:rPr>
                <w:rFonts w:cs="Arial"/>
                <w:b/>
              </w:rPr>
            </w:pPr>
          </w:p>
        </w:tc>
        <w:tc>
          <w:tcPr>
            <w:tcW w:w="567" w:type="dxa"/>
          </w:tcPr>
          <w:p w14:paraId="435F809E" w14:textId="77777777" w:rsidR="00687A87" w:rsidRPr="00B148F9" w:rsidRDefault="00687A87" w:rsidP="00687A87">
            <w:pPr>
              <w:jc w:val="center"/>
              <w:rPr>
                <w:rFonts w:cs="Arial"/>
                <w:b/>
              </w:rPr>
            </w:pPr>
          </w:p>
        </w:tc>
        <w:tc>
          <w:tcPr>
            <w:tcW w:w="1275" w:type="dxa"/>
          </w:tcPr>
          <w:p w14:paraId="41D61087" w14:textId="77777777" w:rsidR="00687A87" w:rsidRPr="00B148F9" w:rsidRDefault="00687A87" w:rsidP="00687A87">
            <w:pPr>
              <w:jc w:val="center"/>
              <w:rPr>
                <w:rFonts w:cs="Arial"/>
                <w:b/>
              </w:rPr>
            </w:pPr>
          </w:p>
        </w:tc>
        <w:tc>
          <w:tcPr>
            <w:tcW w:w="675" w:type="dxa"/>
          </w:tcPr>
          <w:p w14:paraId="4C44F0CC" w14:textId="77777777" w:rsidR="00687A87" w:rsidRPr="00B148F9" w:rsidRDefault="00687A87" w:rsidP="00687A87">
            <w:pPr>
              <w:jc w:val="center"/>
              <w:rPr>
                <w:rFonts w:cs="Arial"/>
                <w:b/>
              </w:rPr>
            </w:pPr>
          </w:p>
        </w:tc>
        <w:tc>
          <w:tcPr>
            <w:tcW w:w="1418" w:type="dxa"/>
          </w:tcPr>
          <w:p w14:paraId="0BD68F37" w14:textId="77777777" w:rsidR="00687A87" w:rsidRPr="00B148F9" w:rsidRDefault="00687A87" w:rsidP="00687A87">
            <w:pPr>
              <w:jc w:val="center"/>
              <w:rPr>
                <w:rFonts w:cs="Arial"/>
                <w:b/>
              </w:rPr>
            </w:pPr>
          </w:p>
        </w:tc>
      </w:tr>
    </w:tbl>
    <w:p w14:paraId="671F95EC" w14:textId="01042103" w:rsidR="00C87417" w:rsidRPr="00B148F9" w:rsidRDefault="00CF57AF" w:rsidP="00DE3E70">
      <w:pPr>
        <w:jc w:val="left"/>
        <w:rPr>
          <w:rFonts w:cs="Arial"/>
          <w:bCs/>
        </w:rPr>
      </w:pPr>
      <w:r w:rsidRPr="00B148F9">
        <w:rPr>
          <w:rFonts w:cs="Arial"/>
          <w:bCs/>
        </w:rPr>
        <w:t>*No individual investment security or contract constitutes greater than 5 percent of net assets.</w:t>
      </w:r>
    </w:p>
    <w:p w14:paraId="6B9772DD" w14:textId="19F4B5F8" w:rsidR="00AA79D1" w:rsidRPr="00B148F9" w:rsidRDefault="00AA79D1" w:rsidP="00AA79D1">
      <w:pPr>
        <w:rPr>
          <w:rFonts w:cs="Arial"/>
        </w:rPr>
      </w:pPr>
      <w:r w:rsidRPr="00B148F9">
        <w:rPr>
          <w:rFonts w:cs="Arial"/>
        </w:rPr>
        <w:t>See accompanying notes to the financial statements</w:t>
      </w:r>
      <w:r w:rsidR="001D2C4D" w:rsidRPr="00B148F9">
        <w:rPr>
          <w:rFonts w:cs="Arial"/>
        </w:rPr>
        <w:t>.</w:t>
      </w:r>
    </w:p>
    <w:p w14:paraId="4F5E62CD" w14:textId="77777777" w:rsidR="00E3137A" w:rsidRPr="00B148F9" w:rsidRDefault="00E3137A" w:rsidP="00DE3E70">
      <w:pPr>
        <w:rPr>
          <w:rFonts w:cs="Arial"/>
        </w:rPr>
        <w:sectPr w:rsidR="00E3137A" w:rsidRPr="00B148F9" w:rsidSect="000D4F40">
          <w:pgSz w:w="11906" w:h="16838"/>
          <w:pgMar w:top="720" w:right="720" w:bottom="720" w:left="720" w:header="708" w:footer="708" w:gutter="0"/>
          <w:cols w:space="708"/>
          <w:docGrid w:linePitch="360"/>
        </w:sectPr>
      </w:pPr>
    </w:p>
    <w:p w14:paraId="2D280F73" w14:textId="77777777" w:rsidR="00CE313F" w:rsidRPr="00B148F9" w:rsidRDefault="00CE313F" w:rsidP="00CE313F">
      <w:pPr>
        <w:jc w:val="center"/>
        <w:rPr>
          <w:rFonts w:cs="Arial"/>
          <w:b/>
          <w:bCs/>
        </w:rPr>
      </w:pPr>
    </w:p>
    <w:p w14:paraId="74E587F0" w14:textId="632D910F" w:rsidR="00CE313F" w:rsidRPr="00B148F9" w:rsidRDefault="00466D2D" w:rsidP="00CE313F">
      <w:pPr>
        <w:pStyle w:val="Heading1"/>
      </w:pPr>
      <w:r w:rsidRPr="00B148F9">
        <w:rPr>
          <w:sz w:val="20"/>
        </w:rPr>
        <w:t xml:space="preserve">Condensed </w:t>
      </w:r>
      <w:r w:rsidR="00CE313F" w:rsidRPr="00B148F9">
        <w:rPr>
          <w:sz w:val="20"/>
        </w:rPr>
        <w:t>Schedule of Investments (continued)</w:t>
      </w:r>
    </w:p>
    <w:p w14:paraId="249D083C" w14:textId="41CEA6D1" w:rsidR="00CE313F" w:rsidRPr="00B148F9" w:rsidRDefault="00466D2D" w:rsidP="00CE313F">
      <w:pPr>
        <w:jc w:val="center"/>
        <w:rPr>
          <w:rFonts w:cs="Arial"/>
          <w:b/>
          <w:bCs/>
        </w:rPr>
      </w:pPr>
      <w:r w:rsidRPr="00B148F9">
        <w:rPr>
          <w:rFonts w:cs="Arial"/>
          <w:b/>
          <w:bCs/>
        </w:rPr>
        <w:t>as at</w:t>
      </w:r>
      <w:r w:rsidR="00CE313F" w:rsidRPr="00B148F9">
        <w:rPr>
          <w:rFonts w:cs="Arial"/>
          <w:b/>
          <w:bCs/>
        </w:rPr>
        <w:t xml:space="preserve"> 31 December 2019</w:t>
      </w:r>
    </w:p>
    <w:p w14:paraId="4D0E9A11" w14:textId="77777777" w:rsidR="00382CEF" w:rsidRPr="00B148F9" w:rsidRDefault="00382CEF" w:rsidP="00382CEF">
      <w:pPr>
        <w:jc w:val="center"/>
        <w:rPr>
          <w:rFonts w:cs="Arial"/>
          <w:bCs/>
        </w:rPr>
      </w:pPr>
      <w:r w:rsidRPr="00B148F9">
        <w:rPr>
          <w:rFonts w:cs="Arial"/>
          <w:bCs/>
        </w:rPr>
        <w:t>(Expressed in United States Dollars)</w:t>
      </w:r>
    </w:p>
    <w:p w14:paraId="3751BDFD" w14:textId="77777777" w:rsidR="00CE313F" w:rsidRPr="00B148F9" w:rsidRDefault="00CE313F" w:rsidP="00CE313F">
      <w:pPr>
        <w:jc w:val="center"/>
        <w:rPr>
          <w:rFonts w:cs="Arial"/>
          <w:b/>
          <w:bCs/>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3260"/>
        <w:gridCol w:w="284"/>
        <w:gridCol w:w="742"/>
        <w:gridCol w:w="1276"/>
        <w:gridCol w:w="284"/>
        <w:gridCol w:w="567"/>
        <w:gridCol w:w="1275"/>
        <w:gridCol w:w="675"/>
        <w:gridCol w:w="1418"/>
      </w:tblGrid>
      <w:tr w:rsidR="00CE313F" w:rsidRPr="00B148F9" w14:paraId="1993C248" w14:textId="77777777" w:rsidTr="00B746FC">
        <w:tc>
          <w:tcPr>
            <w:tcW w:w="3794" w:type="dxa"/>
            <w:gridSpan w:val="3"/>
            <w:tcBorders>
              <w:bottom w:val="single" w:sz="4" w:space="0" w:color="auto"/>
            </w:tcBorders>
          </w:tcPr>
          <w:p w14:paraId="1570F78F" w14:textId="77777777" w:rsidR="00CE313F" w:rsidRPr="00B148F9" w:rsidRDefault="00CE313F" w:rsidP="005F5415">
            <w:pPr>
              <w:jc w:val="left"/>
              <w:rPr>
                <w:rFonts w:cs="Arial"/>
              </w:rPr>
            </w:pPr>
          </w:p>
        </w:tc>
        <w:tc>
          <w:tcPr>
            <w:tcW w:w="742" w:type="dxa"/>
            <w:tcBorders>
              <w:bottom w:val="single" w:sz="4" w:space="0" w:color="auto"/>
            </w:tcBorders>
          </w:tcPr>
          <w:p w14:paraId="29D5F1EE" w14:textId="77777777" w:rsidR="00CE313F" w:rsidRPr="00B148F9" w:rsidRDefault="00CE313F" w:rsidP="005F5415">
            <w:pPr>
              <w:jc w:val="center"/>
              <w:rPr>
                <w:rFonts w:cs="Arial"/>
              </w:rPr>
            </w:pPr>
          </w:p>
        </w:tc>
        <w:tc>
          <w:tcPr>
            <w:tcW w:w="1276" w:type="dxa"/>
            <w:tcBorders>
              <w:bottom w:val="single" w:sz="4" w:space="0" w:color="auto"/>
            </w:tcBorders>
          </w:tcPr>
          <w:p w14:paraId="0FAF0E28" w14:textId="77777777" w:rsidR="00CE313F" w:rsidRPr="00B148F9" w:rsidRDefault="00CE313F" w:rsidP="005F5415">
            <w:pPr>
              <w:jc w:val="center"/>
              <w:rPr>
                <w:rFonts w:cs="Arial"/>
              </w:rPr>
            </w:pPr>
          </w:p>
        </w:tc>
        <w:tc>
          <w:tcPr>
            <w:tcW w:w="284" w:type="dxa"/>
            <w:tcBorders>
              <w:bottom w:val="single" w:sz="4" w:space="0" w:color="auto"/>
            </w:tcBorders>
          </w:tcPr>
          <w:p w14:paraId="49BECE13" w14:textId="77777777" w:rsidR="00CE313F" w:rsidRPr="00B148F9" w:rsidRDefault="00CE313F" w:rsidP="005F5415">
            <w:pPr>
              <w:jc w:val="center"/>
              <w:rPr>
                <w:rFonts w:cs="Arial"/>
              </w:rPr>
            </w:pPr>
          </w:p>
        </w:tc>
        <w:tc>
          <w:tcPr>
            <w:tcW w:w="567" w:type="dxa"/>
            <w:tcBorders>
              <w:bottom w:val="single" w:sz="4" w:space="0" w:color="auto"/>
            </w:tcBorders>
          </w:tcPr>
          <w:p w14:paraId="37F49BEC" w14:textId="77777777" w:rsidR="00CE313F" w:rsidRPr="00B148F9" w:rsidRDefault="00CE313F" w:rsidP="005F5415">
            <w:pPr>
              <w:jc w:val="center"/>
              <w:rPr>
                <w:rFonts w:cs="Arial"/>
              </w:rPr>
            </w:pPr>
          </w:p>
        </w:tc>
        <w:tc>
          <w:tcPr>
            <w:tcW w:w="1275" w:type="dxa"/>
            <w:tcBorders>
              <w:bottom w:val="single" w:sz="4" w:space="0" w:color="auto"/>
            </w:tcBorders>
          </w:tcPr>
          <w:p w14:paraId="3E0E9197" w14:textId="77777777" w:rsidR="00CE313F" w:rsidRPr="00B148F9" w:rsidRDefault="00CE313F" w:rsidP="005F5415">
            <w:pPr>
              <w:jc w:val="center"/>
              <w:rPr>
                <w:rFonts w:cs="Arial"/>
              </w:rPr>
            </w:pPr>
          </w:p>
        </w:tc>
        <w:tc>
          <w:tcPr>
            <w:tcW w:w="675" w:type="dxa"/>
            <w:tcBorders>
              <w:bottom w:val="single" w:sz="4" w:space="0" w:color="auto"/>
            </w:tcBorders>
          </w:tcPr>
          <w:p w14:paraId="4FF41410" w14:textId="77777777" w:rsidR="00CE313F" w:rsidRPr="00B148F9" w:rsidRDefault="00CE313F" w:rsidP="005F5415">
            <w:pPr>
              <w:jc w:val="center"/>
              <w:rPr>
                <w:rFonts w:cs="Arial"/>
              </w:rPr>
            </w:pPr>
          </w:p>
        </w:tc>
        <w:tc>
          <w:tcPr>
            <w:tcW w:w="1418" w:type="dxa"/>
            <w:tcBorders>
              <w:bottom w:val="single" w:sz="4" w:space="0" w:color="auto"/>
            </w:tcBorders>
          </w:tcPr>
          <w:p w14:paraId="61B28B38" w14:textId="77777777" w:rsidR="00CE313F" w:rsidRPr="00B148F9" w:rsidRDefault="00CE313F" w:rsidP="005F5415">
            <w:pPr>
              <w:jc w:val="center"/>
              <w:rPr>
                <w:rFonts w:cs="Arial"/>
              </w:rPr>
            </w:pPr>
          </w:p>
        </w:tc>
      </w:tr>
      <w:tr w:rsidR="00CF3172" w:rsidRPr="00B148F9" w14:paraId="653CECF3" w14:textId="77777777" w:rsidTr="00261D23">
        <w:trPr>
          <w:trHeight w:val="659"/>
        </w:trPr>
        <w:tc>
          <w:tcPr>
            <w:tcW w:w="3794" w:type="dxa"/>
            <w:gridSpan w:val="3"/>
            <w:tcBorders>
              <w:top w:val="single" w:sz="4" w:space="0" w:color="auto"/>
              <w:bottom w:val="single" w:sz="4" w:space="0" w:color="auto"/>
            </w:tcBorders>
            <w:vAlign w:val="bottom"/>
          </w:tcPr>
          <w:p w14:paraId="5490FCF3" w14:textId="77777777" w:rsidR="00CF3172" w:rsidRPr="00B148F9" w:rsidRDefault="00CF3172" w:rsidP="005F5415">
            <w:pPr>
              <w:jc w:val="center"/>
              <w:rPr>
                <w:rFonts w:cs="Arial"/>
                <w:b/>
              </w:rPr>
            </w:pPr>
            <w:r w:rsidRPr="00B148F9">
              <w:rPr>
                <w:rFonts w:cs="Arial"/>
                <w:b/>
              </w:rPr>
              <w:t>Descriptions</w:t>
            </w:r>
          </w:p>
        </w:tc>
        <w:tc>
          <w:tcPr>
            <w:tcW w:w="742" w:type="dxa"/>
            <w:tcBorders>
              <w:top w:val="single" w:sz="4" w:space="0" w:color="auto"/>
              <w:bottom w:val="single" w:sz="4" w:space="0" w:color="auto"/>
            </w:tcBorders>
            <w:vAlign w:val="center"/>
          </w:tcPr>
          <w:p w14:paraId="5944EA57" w14:textId="5ADF4671" w:rsidR="00CF3172" w:rsidRPr="00B148F9" w:rsidRDefault="00CF3172" w:rsidP="005F5415">
            <w:pPr>
              <w:jc w:val="center"/>
              <w:rPr>
                <w:rFonts w:cs="Arial"/>
                <w:b/>
              </w:rPr>
            </w:pPr>
          </w:p>
        </w:tc>
        <w:tc>
          <w:tcPr>
            <w:tcW w:w="1560" w:type="dxa"/>
            <w:gridSpan w:val="2"/>
            <w:tcBorders>
              <w:top w:val="single" w:sz="4" w:space="0" w:color="auto"/>
              <w:bottom w:val="single" w:sz="4" w:space="0" w:color="auto"/>
            </w:tcBorders>
            <w:vAlign w:val="center"/>
          </w:tcPr>
          <w:p w14:paraId="5B28E029" w14:textId="0F345CB5" w:rsidR="00CF3172" w:rsidRPr="00B148F9" w:rsidRDefault="00CF3172" w:rsidP="005F5415">
            <w:pPr>
              <w:jc w:val="center"/>
              <w:rPr>
                <w:rFonts w:cs="Arial"/>
                <w:b/>
              </w:rPr>
            </w:pPr>
            <w:r w:rsidRPr="00B148F9">
              <w:rPr>
                <w:rFonts w:cs="Arial"/>
                <w:b/>
              </w:rPr>
              <w:t>Percentage of Net Assets</w:t>
            </w:r>
          </w:p>
        </w:tc>
        <w:tc>
          <w:tcPr>
            <w:tcW w:w="567" w:type="dxa"/>
            <w:tcBorders>
              <w:top w:val="single" w:sz="4" w:space="0" w:color="auto"/>
              <w:bottom w:val="single" w:sz="4" w:space="0" w:color="auto"/>
            </w:tcBorders>
          </w:tcPr>
          <w:p w14:paraId="4A2C6327" w14:textId="77777777" w:rsidR="00CF3172" w:rsidRPr="00B148F9" w:rsidRDefault="00CF3172" w:rsidP="005F5415">
            <w:pPr>
              <w:jc w:val="center"/>
              <w:rPr>
                <w:rFonts w:cs="Arial"/>
                <w:b/>
              </w:rPr>
            </w:pPr>
          </w:p>
        </w:tc>
        <w:tc>
          <w:tcPr>
            <w:tcW w:w="1275" w:type="dxa"/>
            <w:tcBorders>
              <w:top w:val="single" w:sz="4" w:space="0" w:color="auto"/>
              <w:bottom w:val="single" w:sz="4" w:space="0" w:color="auto"/>
            </w:tcBorders>
            <w:vAlign w:val="center"/>
          </w:tcPr>
          <w:p w14:paraId="23E4BC57" w14:textId="77777777" w:rsidR="00CF3172" w:rsidRPr="00B148F9" w:rsidRDefault="00CF3172" w:rsidP="005F5415">
            <w:pPr>
              <w:jc w:val="center"/>
              <w:rPr>
                <w:rFonts w:cs="Arial"/>
                <w:b/>
              </w:rPr>
            </w:pPr>
            <w:r w:rsidRPr="00B148F9">
              <w:rPr>
                <w:rFonts w:cs="Arial"/>
                <w:b/>
              </w:rPr>
              <w:t>Cost</w:t>
            </w:r>
          </w:p>
        </w:tc>
        <w:tc>
          <w:tcPr>
            <w:tcW w:w="675" w:type="dxa"/>
            <w:tcBorders>
              <w:top w:val="single" w:sz="4" w:space="0" w:color="auto"/>
              <w:bottom w:val="single" w:sz="4" w:space="0" w:color="auto"/>
            </w:tcBorders>
          </w:tcPr>
          <w:p w14:paraId="191A2209" w14:textId="77777777" w:rsidR="00CF3172" w:rsidRPr="00B148F9" w:rsidRDefault="00CF3172" w:rsidP="005F5415">
            <w:pPr>
              <w:jc w:val="center"/>
              <w:rPr>
                <w:rFonts w:cs="Arial"/>
                <w:b/>
              </w:rPr>
            </w:pPr>
          </w:p>
        </w:tc>
        <w:tc>
          <w:tcPr>
            <w:tcW w:w="1418" w:type="dxa"/>
            <w:tcBorders>
              <w:top w:val="single" w:sz="4" w:space="0" w:color="auto"/>
              <w:bottom w:val="single" w:sz="4" w:space="0" w:color="auto"/>
            </w:tcBorders>
            <w:vAlign w:val="center"/>
          </w:tcPr>
          <w:p w14:paraId="1A98713D" w14:textId="77777777" w:rsidR="00CF3172" w:rsidRPr="00B148F9" w:rsidRDefault="00CF3172" w:rsidP="005F5415">
            <w:pPr>
              <w:jc w:val="center"/>
              <w:rPr>
                <w:rFonts w:cs="Arial"/>
                <w:b/>
              </w:rPr>
            </w:pPr>
            <w:r w:rsidRPr="00B148F9">
              <w:rPr>
                <w:rFonts w:cs="Arial"/>
                <w:b/>
              </w:rPr>
              <w:t>Fair Value</w:t>
            </w:r>
          </w:p>
        </w:tc>
      </w:tr>
      <w:tr w:rsidR="00CE313F" w:rsidRPr="00B148F9" w14:paraId="63EA9DE8" w14:textId="77777777" w:rsidTr="00B746FC">
        <w:tc>
          <w:tcPr>
            <w:tcW w:w="250" w:type="dxa"/>
            <w:tcBorders>
              <w:top w:val="single" w:sz="4" w:space="0" w:color="auto"/>
            </w:tcBorders>
          </w:tcPr>
          <w:p w14:paraId="6D5B2487" w14:textId="77777777" w:rsidR="00CE313F" w:rsidRPr="00B148F9" w:rsidRDefault="00CE313F" w:rsidP="005F5415">
            <w:pPr>
              <w:jc w:val="left"/>
              <w:rPr>
                <w:rFonts w:cs="Arial"/>
              </w:rPr>
            </w:pPr>
          </w:p>
        </w:tc>
        <w:tc>
          <w:tcPr>
            <w:tcW w:w="3260" w:type="dxa"/>
            <w:tcBorders>
              <w:top w:val="single" w:sz="4" w:space="0" w:color="auto"/>
            </w:tcBorders>
          </w:tcPr>
          <w:p w14:paraId="5C9551B7" w14:textId="77777777" w:rsidR="00CE313F" w:rsidRPr="00B148F9" w:rsidRDefault="00CE313F" w:rsidP="005F5415">
            <w:pPr>
              <w:jc w:val="left"/>
              <w:rPr>
                <w:rFonts w:cs="Arial"/>
              </w:rPr>
            </w:pPr>
          </w:p>
        </w:tc>
        <w:tc>
          <w:tcPr>
            <w:tcW w:w="284" w:type="dxa"/>
            <w:tcBorders>
              <w:top w:val="single" w:sz="4" w:space="0" w:color="auto"/>
            </w:tcBorders>
          </w:tcPr>
          <w:p w14:paraId="676CD14A" w14:textId="77777777" w:rsidR="00CE313F" w:rsidRPr="00B148F9" w:rsidRDefault="00CE313F" w:rsidP="005F5415">
            <w:pPr>
              <w:jc w:val="center"/>
              <w:rPr>
                <w:rFonts w:cs="Arial"/>
              </w:rPr>
            </w:pPr>
          </w:p>
        </w:tc>
        <w:tc>
          <w:tcPr>
            <w:tcW w:w="742" w:type="dxa"/>
            <w:tcBorders>
              <w:top w:val="single" w:sz="4" w:space="0" w:color="auto"/>
            </w:tcBorders>
          </w:tcPr>
          <w:p w14:paraId="54A5EEBB" w14:textId="77777777" w:rsidR="00CE313F" w:rsidRPr="00B148F9" w:rsidRDefault="00CE313F" w:rsidP="005F5415">
            <w:pPr>
              <w:jc w:val="center"/>
              <w:rPr>
                <w:rFonts w:cs="Arial"/>
              </w:rPr>
            </w:pPr>
          </w:p>
        </w:tc>
        <w:tc>
          <w:tcPr>
            <w:tcW w:w="1276" w:type="dxa"/>
            <w:tcBorders>
              <w:top w:val="single" w:sz="4" w:space="0" w:color="auto"/>
            </w:tcBorders>
          </w:tcPr>
          <w:p w14:paraId="7CC45685" w14:textId="77777777" w:rsidR="00CE313F" w:rsidRPr="00B148F9" w:rsidRDefault="00CE313F" w:rsidP="005F5415">
            <w:pPr>
              <w:jc w:val="center"/>
              <w:rPr>
                <w:rFonts w:cs="Arial"/>
              </w:rPr>
            </w:pPr>
          </w:p>
        </w:tc>
        <w:tc>
          <w:tcPr>
            <w:tcW w:w="284" w:type="dxa"/>
            <w:tcBorders>
              <w:top w:val="single" w:sz="4" w:space="0" w:color="auto"/>
            </w:tcBorders>
          </w:tcPr>
          <w:p w14:paraId="13381D50" w14:textId="77777777" w:rsidR="00CE313F" w:rsidRPr="00B148F9" w:rsidRDefault="00CE313F" w:rsidP="005F5415">
            <w:pPr>
              <w:jc w:val="center"/>
              <w:rPr>
                <w:rFonts w:cs="Arial"/>
              </w:rPr>
            </w:pPr>
          </w:p>
        </w:tc>
        <w:tc>
          <w:tcPr>
            <w:tcW w:w="567" w:type="dxa"/>
            <w:tcBorders>
              <w:top w:val="single" w:sz="4" w:space="0" w:color="auto"/>
            </w:tcBorders>
          </w:tcPr>
          <w:p w14:paraId="6AC9363D" w14:textId="77777777" w:rsidR="00CE313F" w:rsidRPr="00B148F9" w:rsidRDefault="00CE313F" w:rsidP="005F5415">
            <w:pPr>
              <w:jc w:val="center"/>
              <w:rPr>
                <w:rFonts w:cs="Arial"/>
              </w:rPr>
            </w:pPr>
          </w:p>
        </w:tc>
        <w:tc>
          <w:tcPr>
            <w:tcW w:w="1275" w:type="dxa"/>
            <w:tcBorders>
              <w:top w:val="single" w:sz="4" w:space="0" w:color="auto"/>
            </w:tcBorders>
          </w:tcPr>
          <w:p w14:paraId="4432BA7F" w14:textId="77777777" w:rsidR="00CE313F" w:rsidRPr="00B148F9" w:rsidRDefault="00CE313F" w:rsidP="005F5415">
            <w:pPr>
              <w:jc w:val="center"/>
              <w:rPr>
                <w:rFonts w:cs="Arial"/>
              </w:rPr>
            </w:pPr>
          </w:p>
        </w:tc>
        <w:tc>
          <w:tcPr>
            <w:tcW w:w="675" w:type="dxa"/>
            <w:tcBorders>
              <w:top w:val="single" w:sz="4" w:space="0" w:color="auto"/>
            </w:tcBorders>
          </w:tcPr>
          <w:p w14:paraId="6929692F" w14:textId="77777777" w:rsidR="00CE313F" w:rsidRPr="00B148F9" w:rsidRDefault="00CE313F" w:rsidP="005F5415">
            <w:pPr>
              <w:jc w:val="center"/>
              <w:rPr>
                <w:rFonts w:cs="Arial"/>
              </w:rPr>
            </w:pPr>
          </w:p>
        </w:tc>
        <w:tc>
          <w:tcPr>
            <w:tcW w:w="1418" w:type="dxa"/>
            <w:tcBorders>
              <w:top w:val="single" w:sz="4" w:space="0" w:color="auto"/>
            </w:tcBorders>
          </w:tcPr>
          <w:p w14:paraId="74B5221D" w14:textId="77777777" w:rsidR="00CE313F" w:rsidRPr="00B148F9" w:rsidRDefault="00CE313F" w:rsidP="005F5415">
            <w:pPr>
              <w:jc w:val="center"/>
              <w:rPr>
                <w:rFonts w:cs="Arial"/>
              </w:rPr>
            </w:pPr>
          </w:p>
        </w:tc>
      </w:tr>
      <w:tr w:rsidR="00CE313F" w:rsidRPr="00B148F9" w14:paraId="4A63AC98" w14:textId="77777777" w:rsidTr="00B746FC">
        <w:tc>
          <w:tcPr>
            <w:tcW w:w="3794" w:type="dxa"/>
            <w:gridSpan w:val="3"/>
            <w:vAlign w:val="center"/>
          </w:tcPr>
          <w:p w14:paraId="3AB8B25C" w14:textId="5350FE90" w:rsidR="00CE313F" w:rsidRPr="00B148F9" w:rsidRDefault="00CE313F" w:rsidP="005F5415">
            <w:pPr>
              <w:jc w:val="left"/>
              <w:rPr>
                <w:rFonts w:cs="Arial"/>
              </w:rPr>
            </w:pPr>
            <w:r w:rsidRPr="00B148F9">
              <w:rPr>
                <w:rFonts w:cs="Arial"/>
              </w:rPr>
              <w:t>Derivative contracts, at fair value</w:t>
            </w:r>
          </w:p>
        </w:tc>
        <w:tc>
          <w:tcPr>
            <w:tcW w:w="742" w:type="dxa"/>
          </w:tcPr>
          <w:p w14:paraId="5A9F4E89" w14:textId="77777777" w:rsidR="00CE313F" w:rsidRPr="00B148F9" w:rsidRDefault="00CE313F" w:rsidP="005F5415">
            <w:pPr>
              <w:jc w:val="center"/>
              <w:rPr>
                <w:rFonts w:cs="Arial"/>
              </w:rPr>
            </w:pPr>
          </w:p>
        </w:tc>
        <w:tc>
          <w:tcPr>
            <w:tcW w:w="1276" w:type="dxa"/>
          </w:tcPr>
          <w:p w14:paraId="2C94B2D1" w14:textId="77777777" w:rsidR="00CE313F" w:rsidRPr="00B148F9" w:rsidRDefault="00CE313F" w:rsidP="005F5415">
            <w:pPr>
              <w:jc w:val="center"/>
              <w:rPr>
                <w:rFonts w:cs="Arial"/>
              </w:rPr>
            </w:pPr>
          </w:p>
        </w:tc>
        <w:tc>
          <w:tcPr>
            <w:tcW w:w="284" w:type="dxa"/>
          </w:tcPr>
          <w:p w14:paraId="5F9CB59E" w14:textId="77777777" w:rsidR="00CE313F" w:rsidRPr="00B148F9" w:rsidRDefault="00CE313F" w:rsidP="005F5415">
            <w:pPr>
              <w:jc w:val="center"/>
              <w:rPr>
                <w:rFonts w:cs="Arial"/>
              </w:rPr>
            </w:pPr>
          </w:p>
        </w:tc>
        <w:tc>
          <w:tcPr>
            <w:tcW w:w="567" w:type="dxa"/>
          </w:tcPr>
          <w:p w14:paraId="19F0695C" w14:textId="77777777" w:rsidR="00CE313F" w:rsidRPr="00B148F9" w:rsidRDefault="00CE313F" w:rsidP="005F5415">
            <w:pPr>
              <w:jc w:val="center"/>
              <w:rPr>
                <w:rFonts w:cs="Arial"/>
              </w:rPr>
            </w:pPr>
          </w:p>
        </w:tc>
        <w:tc>
          <w:tcPr>
            <w:tcW w:w="1275" w:type="dxa"/>
          </w:tcPr>
          <w:p w14:paraId="3706A4AC" w14:textId="77777777" w:rsidR="00CE313F" w:rsidRPr="00B148F9" w:rsidRDefault="00CE313F" w:rsidP="005F5415">
            <w:pPr>
              <w:jc w:val="center"/>
              <w:rPr>
                <w:rFonts w:cs="Arial"/>
              </w:rPr>
            </w:pPr>
          </w:p>
        </w:tc>
        <w:tc>
          <w:tcPr>
            <w:tcW w:w="675" w:type="dxa"/>
          </w:tcPr>
          <w:p w14:paraId="14E82172" w14:textId="77777777" w:rsidR="00CE313F" w:rsidRPr="00B148F9" w:rsidRDefault="00CE313F" w:rsidP="005F5415">
            <w:pPr>
              <w:jc w:val="center"/>
              <w:rPr>
                <w:rFonts w:cs="Arial"/>
              </w:rPr>
            </w:pPr>
          </w:p>
        </w:tc>
        <w:tc>
          <w:tcPr>
            <w:tcW w:w="1418" w:type="dxa"/>
          </w:tcPr>
          <w:p w14:paraId="2857C66B" w14:textId="77777777" w:rsidR="00CE313F" w:rsidRPr="00B148F9" w:rsidRDefault="00CE313F" w:rsidP="005F5415">
            <w:pPr>
              <w:jc w:val="center"/>
              <w:rPr>
                <w:rFonts w:cs="Arial"/>
              </w:rPr>
            </w:pPr>
          </w:p>
        </w:tc>
      </w:tr>
      <w:tr w:rsidR="00CE313F" w:rsidRPr="00B148F9" w14:paraId="29A71E2F" w14:textId="77777777" w:rsidTr="00B746FC">
        <w:tc>
          <w:tcPr>
            <w:tcW w:w="250" w:type="dxa"/>
          </w:tcPr>
          <w:p w14:paraId="6CE1261F" w14:textId="77777777" w:rsidR="00CE313F" w:rsidRPr="00B148F9" w:rsidRDefault="00CE313F" w:rsidP="005F5415">
            <w:pPr>
              <w:jc w:val="left"/>
              <w:rPr>
                <w:rFonts w:cs="Arial"/>
              </w:rPr>
            </w:pPr>
          </w:p>
        </w:tc>
        <w:tc>
          <w:tcPr>
            <w:tcW w:w="3260" w:type="dxa"/>
          </w:tcPr>
          <w:p w14:paraId="14806A7A" w14:textId="77777777" w:rsidR="00CE313F" w:rsidRPr="00B148F9" w:rsidRDefault="00CE313F" w:rsidP="005F5415">
            <w:pPr>
              <w:jc w:val="left"/>
              <w:rPr>
                <w:rFonts w:cs="Arial"/>
              </w:rPr>
            </w:pPr>
          </w:p>
        </w:tc>
        <w:tc>
          <w:tcPr>
            <w:tcW w:w="284" w:type="dxa"/>
          </w:tcPr>
          <w:p w14:paraId="1D817D80" w14:textId="77777777" w:rsidR="00CE313F" w:rsidRPr="00B148F9" w:rsidRDefault="00CE313F" w:rsidP="005F5415">
            <w:pPr>
              <w:jc w:val="center"/>
              <w:rPr>
                <w:rFonts w:cs="Arial"/>
              </w:rPr>
            </w:pPr>
          </w:p>
        </w:tc>
        <w:tc>
          <w:tcPr>
            <w:tcW w:w="742" w:type="dxa"/>
          </w:tcPr>
          <w:p w14:paraId="0BB84D4D" w14:textId="77777777" w:rsidR="00CE313F" w:rsidRPr="00B148F9" w:rsidRDefault="00CE313F" w:rsidP="005F5415">
            <w:pPr>
              <w:jc w:val="center"/>
              <w:rPr>
                <w:rFonts w:cs="Arial"/>
              </w:rPr>
            </w:pPr>
          </w:p>
        </w:tc>
        <w:tc>
          <w:tcPr>
            <w:tcW w:w="1276" w:type="dxa"/>
          </w:tcPr>
          <w:p w14:paraId="387A467C" w14:textId="77777777" w:rsidR="00CE313F" w:rsidRPr="00B148F9" w:rsidRDefault="00CE313F" w:rsidP="005F5415">
            <w:pPr>
              <w:jc w:val="center"/>
              <w:rPr>
                <w:rFonts w:cs="Arial"/>
              </w:rPr>
            </w:pPr>
          </w:p>
        </w:tc>
        <w:tc>
          <w:tcPr>
            <w:tcW w:w="284" w:type="dxa"/>
          </w:tcPr>
          <w:p w14:paraId="45EECFC6" w14:textId="77777777" w:rsidR="00CE313F" w:rsidRPr="00B148F9" w:rsidRDefault="00CE313F" w:rsidP="005F5415">
            <w:pPr>
              <w:jc w:val="center"/>
              <w:rPr>
                <w:rFonts w:cs="Arial"/>
              </w:rPr>
            </w:pPr>
          </w:p>
        </w:tc>
        <w:tc>
          <w:tcPr>
            <w:tcW w:w="567" w:type="dxa"/>
          </w:tcPr>
          <w:p w14:paraId="75A5B8C4" w14:textId="77777777" w:rsidR="00CE313F" w:rsidRPr="00B148F9" w:rsidRDefault="00CE313F" w:rsidP="005F5415">
            <w:pPr>
              <w:jc w:val="center"/>
              <w:rPr>
                <w:rFonts w:cs="Arial"/>
              </w:rPr>
            </w:pPr>
          </w:p>
        </w:tc>
        <w:tc>
          <w:tcPr>
            <w:tcW w:w="1275" w:type="dxa"/>
          </w:tcPr>
          <w:p w14:paraId="71AE2F3C" w14:textId="77777777" w:rsidR="00CE313F" w:rsidRPr="00B148F9" w:rsidRDefault="00CE313F" w:rsidP="005F5415">
            <w:pPr>
              <w:jc w:val="center"/>
              <w:rPr>
                <w:rFonts w:cs="Arial"/>
              </w:rPr>
            </w:pPr>
          </w:p>
        </w:tc>
        <w:tc>
          <w:tcPr>
            <w:tcW w:w="675" w:type="dxa"/>
          </w:tcPr>
          <w:p w14:paraId="425710B3" w14:textId="77777777" w:rsidR="00CE313F" w:rsidRPr="00B148F9" w:rsidRDefault="00CE313F" w:rsidP="005F5415">
            <w:pPr>
              <w:jc w:val="center"/>
              <w:rPr>
                <w:rFonts w:cs="Arial"/>
              </w:rPr>
            </w:pPr>
          </w:p>
        </w:tc>
        <w:tc>
          <w:tcPr>
            <w:tcW w:w="1418" w:type="dxa"/>
          </w:tcPr>
          <w:p w14:paraId="21287F44" w14:textId="77777777" w:rsidR="00CE313F" w:rsidRPr="00B148F9" w:rsidRDefault="00CE313F" w:rsidP="005F5415">
            <w:pPr>
              <w:jc w:val="center"/>
              <w:rPr>
                <w:rFonts w:cs="Arial"/>
              </w:rPr>
            </w:pPr>
          </w:p>
        </w:tc>
      </w:tr>
      <w:tr w:rsidR="00CE313F" w:rsidRPr="00B148F9" w14:paraId="21033BF6" w14:textId="77777777" w:rsidTr="00B746FC">
        <w:tc>
          <w:tcPr>
            <w:tcW w:w="3794" w:type="dxa"/>
            <w:gridSpan w:val="3"/>
            <w:vAlign w:val="center"/>
          </w:tcPr>
          <w:p w14:paraId="0B3DB9AF" w14:textId="32BE655B" w:rsidR="00CE313F" w:rsidRPr="00B148F9" w:rsidRDefault="00CE313F" w:rsidP="005F5415">
            <w:pPr>
              <w:jc w:val="left"/>
              <w:rPr>
                <w:rFonts w:cs="Arial"/>
                <w:b/>
              </w:rPr>
            </w:pPr>
            <w:r w:rsidRPr="00B148F9">
              <w:rPr>
                <w:rFonts w:cs="Arial"/>
                <w:b/>
              </w:rPr>
              <w:t>Equity swaps</w:t>
            </w:r>
          </w:p>
        </w:tc>
        <w:tc>
          <w:tcPr>
            <w:tcW w:w="742" w:type="dxa"/>
          </w:tcPr>
          <w:p w14:paraId="5A09226C" w14:textId="77777777" w:rsidR="00CE313F" w:rsidRPr="00B148F9" w:rsidRDefault="00CE313F" w:rsidP="005F5415">
            <w:pPr>
              <w:jc w:val="center"/>
              <w:rPr>
                <w:rFonts w:cs="Arial"/>
              </w:rPr>
            </w:pPr>
          </w:p>
        </w:tc>
        <w:tc>
          <w:tcPr>
            <w:tcW w:w="1276" w:type="dxa"/>
          </w:tcPr>
          <w:p w14:paraId="2B7A7DC0" w14:textId="77777777" w:rsidR="00CE313F" w:rsidRPr="00B148F9" w:rsidRDefault="00CE313F" w:rsidP="005F5415">
            <w:pPr>
              <w:jc w:val="center"/>
              <w:rPr>
                <w:rFonts w:cs="Arial"/>
              </w:rPr>
            </w:pPr>
          </w:p>
        </w:tc>
        <w:tc>
          <w:tcPr>
            <w:tcW w:w="284" w:type="dxa"/>
          </w:tcPr>
          <w:p w14:paraId="1536F38A" w14:textId="77777777" w:rsidR="00CE313F" w:rsidRPr="00B148F9" w:rsidRDefault="00CE313F" w:rsidP="005F5415">
            <w:pPr>
              <w:jc w:val="center"/>
              <w:rPr>
                <w:rFonts w:cs="Arial"/>
              </w:rPr>
            </w:pPr>
          </w:p>
        </w:tc>
        <w:tc>
          <w:tcPr>
            <w:tcW w:w="567" w:type="dxa"/>
          </w:tcPr>
          <w:p w14:paraId="78299EDD" w14:textId="77777777" w:rsidR="00CE313F" w:rsidRPr="00B148F9" w:rsidRDefault="00CE313F" w:rsidP="005F5415">
            <w:pPr>
              <w:jc w:val="center"/>
              <w:rPr>
                <w:rFonts w:cs="Arial"/>
              </w:rPr>
            </w:pPr>
          </w:p>
        </w:tc>
        <w:tc>
          <w:tcPr>
            <w:tcW w:w="1275" w:type="dxa"/>
          </w:tcPr>
          <w:p w14:paraId="6FC08B27" w14:textId="77777777" w:rsidR="00CE313F" w:rsidRPr="00B148F9" w:rsidRDefault="00CE313F" w:rsidP="005F5415">
            <w:pPr>
              <w:jc w:val="center"/>
              <w:rPr>
                <w:rFonts w:cs="Arial"/>
              </w:rPr>
            </w:pPr>
          </w:p>
        </w:tc>
        <w:tc>
          <w:tcPr>
            <w:tcW w:w="675" w:type="dxa"/>
          </w:tcPr>
          <w:p w14:paraId="48A75592" w14:textId="77777777" w:rsidR="00CE313F" w:rsidRPr="00B148F9" w:rsidRDefault="00CE313F" w:rsidP="005F5415">
            <w:pPr>
              <w:jc w:val="center"/>
              <w:rPr>
                <w:rFonts w:cs="Arial"/>
              </w:rPr>
            </w:pPr>
          </w:p>
        </w:tc>
        <w:tc>
          <w:tcPr>
            <w:tcW w:w="1418" w:type="dxa"/>
          </w:tcPr>
          <w:p w14:paraId="568AAC5C" w14:textId="77777777" w:rsidR="00CE313F" w:rsidRPr="00B148F9" w:rsidRDefault="00CE313F" w:rsidP="005F5415">
            <w:pPr>
              <w:jc w:val="center"/>
              <w:rPr>
                <w:rFonts w:cs="Arial"/>
              </w:rPr>
            </w:pPr>
          </w:p>
        </w:tc>
      </w:tr>
      <w:tr w:rsidR="00CE313F" w:rsidRPr="00B148F9" w14:paraId="55CA5F66" w14:textId="77777777" w:rsidTr="00B746FC">
        <w:tc>
          <w:tcPr>
            <w:tcW w:w="250" w:type="dxa"/>
          </w:tcPr>
          <w:p w14:paraId="41CFBC51" w14:textId="77777777" w:rsidR="00CE313F" w:rsidRPr="00B148F9" w:rsidRDefault="00CE313F" w:rsidP="005F5415">
            <w:pPr>
              <w:jc w:val="left"/>
              <w:rPr>
                <w:rFonts w:cs="Arial"/>
                <w:b/>
              </w:rPr>
            </w:pPr>
          </w:p>
        </w:tc>
        <w:tc>
          <w:tcPr>
            <w:tcW w:w="3260" w:type="dxa"/>
          </w:tcPr>
          <w:p w14:paraId="59783DF3" w14:textId="7A89F145" w:rsidR="00CE313F" w:rsidRPr="00B148F9" w:rsidRDefault="00CE313F" w:rsidP="005F5415">
            <w:pPr>
              <w:jc w:val="left"/>
              <w:rPr>
                <w:rFonts w:cs="Arial"/>
                <w:b/>
              </w:rPr>
            </w:pPr>
            <w:r w:rsidRPr="00B148F9">
              <w:rPr>
                <w:rFonts w:cs="Arial"/>
                <w:b/>
              </w:rPr>
              <w:t>United States</w:t>
            </w:r>
          </w:p>
        </w:tc>
        <w:tc>
          <w:tcPr>
            <w:tcW w:w="284" w:type="dxa"/>
          </w:tcPr>
          <w:p w14:paraId="74ED7AE6" w14:textId="77777777" w:rsidR="00CE313F" w:rsidRPr="00B148F9" w:rsidRDefault="00CE313F" w:rsidP="005F5415">
            <w:pPr>
              <w:jc w:val="center"/>
              <w:rPr>
                <w:rFonts w:cs="Arial"/>
              </w:rPr>
            </w:pPr>
          </w:p>
        </w:tc>
        <w:tc>
          <w:tcPr>
            <w:tcW w:w="742" w:type="dxa"/>
          </w:tcPr>
          <w:p w14:paraId="5590D1C6" w14:textId="77777777" w:rsidR="00CE313F" w:rsidRPr="00B148F9" w:rsidRDefault="00CE313F" w:rsidP="005F5415">
            <w:pPr>
              <w:jc w:val="center"/>
              <w:rPr>
                <w:rFonts w:cs="Arial"/>
              </w:rPr>
            </w:pPr>
          </w:p>
        </w:tc>
        <w:tc>
          <w:tcPr>
            <w:tcW w:w="1276" w:type="dxa"/>
          </w:tcPr>
          <w:p w14:paraId="2FCC7B76" w14:textId="77777777" w:rsidR="00CE313F" w:rsidRPr="00B148F9" w:rsidRDefault="00CE313F" w:rsidP="005F5415">
            <w:pPr>
              <w:jc w:val="center"/>
              <w:rPr>
                <w:rFonts w:cs="Arial"/>
              </w:rPr>
            </w:pPr>
          </w:p>
        </w:tc>
        <w:tc>
          <w:tcPr>
            <w:tcW w:w="284" w:type="dxa"/>
          </w:tcPr>
          <w:p w14:paraId="52A9323C" w14:textId="77777777" w:rsidR="00CE313F" w:rsidRPr="00B148F9" w:rsidRDefault="00CE313F" w:rsidP="005F5415">
            <w:pPr>
              <w:jc w:val="center"/>
              <w:rPr>
                <w:rFonts w:cs="Arial"/>
              </w:rPr>
            </w:pPr>
          </w:p>
        </w:tc>
        <w:tc>
          <w:tcPr>
            <w:tcW w:w="567" w:type="dxa"/>
          </w:tcPr>
          <w:p w14:paraId="3FF915DE" w14:textId="77777777" w:rsidR="00CE313F" w:rsidRPr="00B148F9" w:rsidRDefault="00CE313F" w:rsidP="005F5415">
            <w:pPr>
              <w:jc w:val="center"/>
              <w:rPr>
                <w:rFonts w:cs="Arial"/>
              </w:rPr>
            </w:pPr>
          </w:p>
        </w:tc>
        <w:tc>
          <w:tcPr>
            <w:tcW w:w="1275" w:type="dxa"/>
          </w:tcPr>
          <w:p w14:paraId="51C8B8F8" w14:textId="77777777" w:rsidR="00CE313F" w:rsidRPr="00B148F9" w:rsidRDefault="00CE313F" w:rsidP="005F5415">
            <w:pPr>
              <w:jc w:val="center"/>
              <w:rPr>
                <w:rFonts w:cs="Arial"/>
              </w:rPr>
            </w:pPr>
          </w:p>
        </w:tc>
        <w:tc>
          <w:tcPr>
            <w:tcW w:w="675" w:type="dxa"/>
          </w:tcPr>
          <w:p w14:paraId="1C6CDB56" w14:textId="77777777" w:rsidR="00CE313F" w:rsidRPr="00B148F9" w:rsidRDefault="00CE313F" w:rsidP="005F5415">
            <w:pPr>
              <w:jc w:val="center"/>
              <w:rPr>
                <w:rFonts w:cs="Arial"/>
              </w:rPr>
            </w:pPr>
          </w:p>
        </w:tc>
        <w:tc>
          <w:tcPr>
            <w:tcW w:w="1418" w:type="dxa"/>
          </w:tcPr>
          <w:p w14:paraId="17273289" w14:textId="77777777" w:rsidR="00CE313F" w:rsidRPr="00B148F9" w:rsidRDefault="00CE313F" w:rsidP="005F5415">
            <w:pPr>
              <w:jc w:val="center"/>
              <w:rPr>
                <w:rFonts w:cs="Arial"/>
              </w:rPr>
            </w:pPr>
          </w:p>
        </w:tc>
      </w:tr>
      <w:tr w:rsidR="00CF3172" w:rsidRPr="00B148F9" w14:paraId="7936EBB5" w14:textId="77777777" w:rsidTr="00B746FC">
        <w:tc>
          <w:tcPr>
            <w:tcW w:w="250" w:type="dxa"/>
          </w:tcPr>
          <w:p w14:paraId="4FBABDA5" w14:textId="77777777" w:rsidR="00CF3172" w:rsidRPr="00B148F9" w:rsidRDefault="00CF3172" w:rsidP="00CF3172">
            <w:pPr>
              <w:jc w:val="left"/>
              <w:rPr>
                <w:rFonts w:cs="Arial"/>
              </w:rPr>
            </w:pPr>
          </w:p>
        </w:tc>
        <w:tc>
          <w:tcPr>
            <w:tcW w:w="3260" w:type="dxa"/>
          </w:tcPr>
          <w:p w14:paraId="4A0A4ADE" w14:textId="66D537F6" w:rsidR="00CF3172" w:rsidRPr="00B148F9" w:rsidRDefault="00CF3172" w:rsidP="00CF3172">
            <w:pPr>
              <w:jc w:val="left"/>
              <w:rPr>
                <w:rFonts w:cs="Arial"/>
              </w:rPr>
            </w:pPr>
            <w:r w:rsidRPr="00B148F9">
              <w:rPr>
                <w:rFonts w:cs="Arial"/>
              </w:rPr>
              <w:t>Healthcare</w:t>
            </w:r>
          </w:p>
        </w:tc>
        <w:tc>
          <w:tcPr>
            <w:tcW w:w="284" w:type="dxa"/>
          </w:tcPr>
          <w:p w14:paraId="07E6FE05" w14:textId="77777777" w:rsidR="00CF3172" w:rsidRPr="00B148F9" w:rsidRDefault="00CF3172" w:rsidP="00CF3172">
            <w:pPr>
              <w:jc w:val="center"/>
              <w:rPr>
                <w:rFonts w:cs="Arial"/>
              </w:rPr>
            </w:pPr>
          </w:p>
        </w:tc>
        <w:tc>
          <w:tcPr>
            <w:tcW w:w="742" w:type="dxa"/>
          </w:tcPr>
          <w:p w14:paraId="43ABB15A" w14:textId="3F36D9EF" w:rsidR="00CF3172" w:rsidRPr="00B148F9" w:rsidRDefault="00CF3172" w:rsidP="00CF3172">
            <w:pPr>
              <w:jc w:val="center"/>
              <w:rPr>
                <w:rFonts w:cs="Arial"/>
              </w:rPr>
            </w:pPr>
          </w:p>
        </w:tc>
        <w:tc>
          <w:tcPr>
            <w:tcW w:w="1276" w:type="dxa"/>
          </w:tcPr>
          <w:p w14:paraId="2CBF91A1" w14:textId="3532EA0B" w:rsidR="00CF3172" w:rsidRPr="00B148F9" w:rsidRDefault="00CF3172" w:rsidP="00CF3172">
            <w:pPr>
              <w:jc w:val="center"/>
              <w:rPr>
                <w:rFonts w:cs="Arial"/>
              </w:rPr>
            </w:pPr>
            <w:r w:rsidRPr="00B148F9">
              <w:rPr>
                <w:rFonts w:cs="Arial"/>
              </w:rPr>
              <w:t>0.</w:t>
            </w:r>
            <w:r w:rsidR="00A20FF2" w:rsidRPr="00B148F9">
              <w:rPr>
                <w:rFonts w:cs="Arial"/>
              </w:rPr>
              <w:t>33</w:t>
            </w:r>
          </w:p>
        </w:tc>
        <w:tc>
          <w:tcPr>
            <w:tcW w:w="284" w:type="dxa"/>
          </w:tcPr>
          <w:p w14:paraId="4C428F5A" w14:textId="1CD0B8A7" w:rsidR="00CF3172" w:rsidRPr="00B148F9" w:rsidRDefault="00CF3172" w:rsidP="00B746FC">
            <w:pPr>
              <w:jc w:val="left"/>
              <w:rPr>
                <w:rFonts w:cs="Arial"/>
              </w:rPr>
            </w:pPr>
            <w:r w:rsidRPr="00B148F9">
              <w:rPr>
                <w:rFonts w:cs="Arial"/>
              </w:rPr>
              <w:t>%</w:t>
            </w:r>
          </w:p>
        </w:tc>
        <w:tc>
          <w:tcPr>
            <w:tcW w:w="567" w:type="dxa"/>
          </w:tcPr>
          <w:p w14:paraId="30823C93" w14:textId="75890D24" w:rsidR="00CF3172" w:rsidRPr="00B148F9" w:rsidRDefault="00CF3172" w:rsidP="00B746FC">
            <w:pPr>
              <w:jc w:val="left"/>
              <w:rPr>
                <w:rFonts w:cs="Arial"/>
              </w:rPr>
            </w:pPr>
          </w:p>
        </w:tc>
        <w:tc>
          <w:tcPr>
            <w:tcW w:w="1275" w:type="dxa"/>
          </w:tcPr>
          <w:p w14:paraId="0F5A94D1" w14:textId="03C27190" w:rsidR="00CF3172" w:rsidRPr="00B148F9" w:rsidRDefault="00CF3172">
            <w:pPr>
              <w:jc w:val="center"/>
              <w:rPr>
                <w:rFonts w:cs="Arial"/>
              </w:rPr>
            </w:pPr>
            <w:r w:rsidRPr="00B148F9">
              <w:rPr>
                <w:rFonts w:cs="Arial"/>
              </w:rPr>
              <w:t>7</w:t>
            </w:r>
            <w:r w:rsidR="00A20FF2" w:rsidRPr="00B148F9">
              <w:rPr>
                <w:rFonts w:cs="Arial"/>
              </w:rPr>
              <w:t>,210</w:t>
            </w:r>
          </w:p>
        </w:tc>
        <w:tc>
          <w:tcPr>
            <w:tcW w:w="675" w:type="dxa"/>
          </w:tcPr>
          <w:p w14:paraId="210BDF5C" w14:textId="77777777" w:rsidR="00CF3172" w:rsidRPr="00B148F9" w:rsidRDefault="00CF3172" w:rsidP="00CF3172">
            <w:pPr>
              <w:jc w:val="center"/>
              <w:rPr>
                <w:rFonts w:cs="Arial"/>
              </w:rPr>
            </w:pPr>
          </w:p>
        </w:tc>
        <w:tc>
          <w:tcPr>
            <w:tcW w:w="1418" w:type="dxa"/>
          </w:tcPr>
          <w:p w14:paraId="5F848032" w14:textId="5C2CA778" w:rsidR="00CF3172" w:rsidRPr="00B148F9" w:rsidRDefault="00A20FF2">
            <w:pPr>
              <w:jc w:val="center"/>
              <w:rPr>
                <w:rFonts w:cs="Arial"/>
              </w:rPr>
            </w:pPr>
            <w:r w:rsidRPr="00B148F9">
              <w:rPr>
                <w:rFonts w:cs="Arial"/>
              </w:rPr>
              <w:t>68</w:t>
            </w:r>
            <w:r w:rsidR="00CF3172" w:rsidRPr="00B148F9">
              <w:rPr>
                <w:rFonts w:cs="Arial"/>
              </w:rPr>
              <w:t>0</w:t>
            </w:r>
            <w:r w:rsidRPr="00B148F9">
              <w:rPr>
                <w:rFonts w:cs="Arial"/>
              </w:rPr>
              <w:t>,085</w:t>
            </w:r>
          </w:p>
        </w:tc>
      </w:tr>
      <w:tr w:rsidR="00CF3172" w:rsidRPr="00B148F9" w14:paraId="09EEB21F" w14:textId="77777777" w:rsidTr="00B746FC">
        <w:tc>
          <w:tcPr>
            <w:tcW w:w="250" w:type="dxa"/>
          </w:tcPr>
          <w:p w14:paraId="40D7B607" w14:textId="77777777" w:rsidR="00CF3172" w:rsidRPr="00B148F9" w:rsidRDefault="00CF3172" w:rsidP="00CF3172">
            <w:pPr>
              <w:jc w:val="left"/>
              <w:rPr>
                <w:rFonts w:cs="Arial"/>
              </w:rPr>
            </w:pPr>
          </w:p>
        </w:tc>
        <w:tc>
          <w:tcPr>
            <w:tcW w:w="3260" w:type="dxa"/>
          </w:tcPr>
          <w:p w14:paraId="2E6EFC5E" w14:textId="77777777" w:rsidR="00CF3172" w:rsidRPr="00B148F9" w:rsidRDefault="00CF3172" w:rsidP="00CF3172">
            <w:pPr>
              <w:jc w:val="left"/>
              <w:rPr>
                <w:rFonts w:cs="Arial"/>
              </w:rPr>
            </w:pPr>
          </w:p>
        </w:tc>
        <w:tc>
          <w:tcPr>
            <w:tcW w:w="284" w:type="dxa"/>
          </w:tcPr>
          <w:p w14:paraId="72D4631C" w14:textId="77777777" w:rsidR="00CF3172" w:rsidRPr="00B148F9" w:rsidRDefault="00CF3172" w:rsidP="00CF3172">
            <w:pPr>
              <w:jc w:val="center"/>
              <w:rPr>
                <w:rFonts w:cs="Arial"/>
              </w:rPr>
            </w:pPr>
          </w:p>
        </w:tc>
        <w:tc>
          <w:tcPr>
            <w:tcW w:w="742" w:type="dxa"/>
          </w:tcPr>
          <w:p w14:paraId="58EB1584" w14:textId="77777777" w:rsidR="00CF3172" w:rsidRPr="00B148F9" w:rsidRDefault="00CF3172" w:rsidP="00CF3172">
            <w:pPr>
              <w:jc w:val="center"/>
              <w:rPr>
                <w:rFonts w:cs="Arial"/>
              </w:rPr>
            </w:pPr>
          </w:p>
        </w:tc>
        <w:tc>
          <w:tcPr>
            <w:tcW w:w="1276" w:type="dxa"/>
          </w:tcPr>
          <w:p w14:paraId="4DA55BF8" w14:textId="77777777" w:rsidR="00CF3172" w:rsidRPr="00B148F9" w:rsidRDefault="00CF3172" w:rsidP="00CF3172">
            <w:pPr>
              <w:jc w:val="center"/>
              <w:rPr>
                <w:rFonts w:cs="Arial"/>
              </w:rPr>
            </w:pPr>
          </w:p>
        </w:tc>
        <w:tc>
          <w:tcPr>
            <w:tcW w:w="284" w:type="dxa"/>
          </w:tcPr>
          <w:p w14:paraId="5BC60BF7" w14:textId="77777777" w:rsidR="00CF3172" w:rsidRPr="00B148F9" w:rsidRDefault="00CF3172" w:rsidP="00CF3172">
            <w:pPr>
              <w:jc w:val="center"/>
              <w:rPr>
                <w:rFonts w:cs="Arial"/>
              </w:rPr>
            </w:pPr>
          </w:p>
        </w:tc>
        <w:tc>
          <w:tcPr>
            <w:tcW w:w="567" w:type="dxa"/>
          </w:tcPr>
          <w:p w14:paraId="57C5D886" w14:textId="77777777" w:rsidR="00CF3172" w:rsidRPr="00B148F9" w:rsidRDefault="00CF3172" w:rsidP="00CF3172">
            <w:pPr>
              <w:jc w:val="center"/>
              <w:rPr>
                <w:rFonts w:cs="Arial"/>
              </w:rPr>
            </w:pPr>
          </w:p>
        </w:tc>
        <w:tc>
          <w:tcPr>
            <w:tcW w:w="1275" w:type="dxa"/>
          </w:tcPr>
          <w:p w14:paraId="5C1065B1" w14:textId="77777777" w:rsidR="00CF3172" w:rsidRPr="00B148F9" w:rsidRDefault="00CF3172" w:rsidP="00CF3172">
            <w:pPr>
              <w:jc w:val="center"/>
              <w:rPr>
                <w:rFonts w:cs="Arial"/>
              </w:rPr>
            </w:pPr>
          </w:p>
        </w:tc>
        <w:tc>
          <w:tcPr>
            <w:tcW w:w="675" w:type="dxa"/>
          </w:tcPr>
          <w:p w14:paraId="7C1A2F68" w14:textId="77777777" w:rsidR="00CF3172" w:rsidRPr="00B148F9" w:rsidRDefault="00CF3172" w:rsidP="00CF3172">
            <w:pPr>
              <w:jc w:val="center"/>
              <w:rPr>
                <w:rFonts w:cs="Arial"/>
              </w:rPr>
            </w:pPr>
          </w:p>
        </w:tc>
        <w:tc>
          <w:tcPr>
            <w:tcW w:w="1418" w:type="dxa"/>
          </w:tcPr>
          <w:p w14:paraId="1399AF81" w14:textId="77777777" w:rsidR="00CF3172" w:rsidRPr="00B148F9" w:rsidRDefault="00CF3172" w:rsidP="00CF3172">
            <w:pPr>
              <w:jc w:val="center"/>
              <w:rPr>
                <w:rFonts w:cs="Arial"/>
              </w:rPr>
            </w:pPr>
          </w:p>
        </w:tc>
      </w:tr>
      <w:tr w:rsidR="00A20FF2" w:rsidRPr="00B148F9" w14:paraId="4F9131AA" w14:textId="77777777" w:rsidTr="00B746FC">
        <w:tc>
          <w:tcPr>
            <w:tcW w:w="250" w:type="dxa"/>
          </w:tcPr>
          <w:p w14:paraId="5237E62B" w14:textId="77777777" w:rsidR="00A20FF2" w:rsidRPr="00B148F9" w:rsidRDefault="00A20FF2" w:rsidP="00CF3172">
            <w:pPr>
              <w:jc w:val="left"/>
              <w:rPr>
                <w:rFonts w:cs="Arial"/>
              </w:rPr>
            </w:pPr>
          </w:p>
        </w:tc>
        <w:tc>
          <w:tcPr>
            <w:tcW w:w="3260" w:type="dxa"/>
          </w:tcPr>
          <w:p w14:paraId="4585E5C0" w14:textId="5E9D2137" w:rsidR="00A20FF2" w:rsidRPr="00B148F9" w:rsidRDefault="00A20FF2" w:rsidP="00CF3172">
            <w:pPr>
              <w:jc w:val="left"/>
              <w:rPr>
                <w:rFonts w:cs="Arial"/>
                <w:b/>
              </w:rPr>
            </w:pPr>
            <w:r w:rsidRPr="00B148F9">
              <w:rPr>
                <w:rFonts w:cs="Arial"/>
                <w:b/>
              </w:rPr>
              <w:t>British Virgin Islands</w:t>
            </w:r>
          </w:p>
        </w:tc>
        <w:tc>
          <w:tcPr>
            <w:tcW w:w="284" w:type="dxa"/>
          </w:tcPr>
          <w:p w14:paraId="3CCBC055" w14:textId="77777777" w:rsidR="00A20FF2" w:rsidRPr="00B148F9" w:rsidRDefault="00A20FF2" w:rsidP="00CF3172">
            <w:pPr>
              <w:jc w:val="center"/>
              <w:rPr>
                <w:rFonts w:cs="Arial"/>
              </w:rPr>
            </w:pPr>
          </w:p>
        </w:tc>
        <w:tc>
          <w:tcPr>
            <w:tcW w:w="742" w:type="dxa"/>
          </w:tcPr>
          <w:p w14:paraId="6F9E3E97" w14:textId="77777777" w:rsidR="00A20FF2" w:rsidRPr="00B148F9" w:rsidRDefault="00A20FF2" w:rsidP="00CF3172">
            <w:pPr>
              <w:jc w:val="center"/>
              <w:rPr>
                <w:rFonts w:cs="Arial"/>
              </w:rPr>
            </w:pPr>
          </w:p>
        </w:tc>
        <w:tc>
          <w:tcPr>
            <w:tcW w:w="1276" w:type="dxa"/>
          </w:tcPr>
          <w:p w14:paraId="24D40C29" w14:textId="77777777" w:rsidR="00A20FF2" w:rsidRPr="00B148F9" w:rsidRDefault="00A20FF2" w:rsidP="00CF3172">
            <w:pPr>
              <w:jc w:val="center"/>
              <w:rPr>
                <w:rFonts w:cs="Arial"/>
              </w:rPr>
            </w:pPr>
          </w:p>
        </w:tc>
        <w:tc>
          <w:tcPr>
            <w:tcW w:w="284" w:type="dxa"/>
          </w:tcPr>
          <w:p w14:paraId="75E34A8C" w14:textId="77777777" w:rsidR="00A20FF2" w:rsidRPr="00B148F9" w:rsidRDefault="00A20FF2" w:rsidP="00CF3172">
            <w:pPr>
              <w:jc w:val="center"/>
              <w:rPr>
                <w:rFonts w:cs="Arial"/>
              </w:rPr>
            </w:pPr>
          </w:p>
        </w:tc>
        <w:tc>
          <w:tcPr>
            <w:tcW w:w="567" w:type="dxa"/>
          </w:tcPr>
          <w:p w14:paraId="2BAFCBE8" w14:textId="77777777" w:rsidR="00A20FF2" w:rsidRPr="00B148F9" w:rsidRDefault="00A20FF2" w:rsidP="00CF3172">
            <w:pPr>
              <w:jc w:val="center"/>
              <w:rPr>
                <w:rFonts w:cs="Arial"/>
              </w:rPr>
            </w:pPr>
          </w:p>
        </w:tc>
        <w:tc>
          <w:tcPr>
            <w:tcW w:w="1275" w:type="dxa"/>
          </w:tcPr>
          <w:p w14:paraId="122E3E41" w14:textId="77777777" w:rsidR="00A20FF2" w:rsidRPr="00B148F9" w:rsidRDefault="00A20FF2" w:rsidP="00CF3172">
            <w:pPr>
              <w:jc w:val="center"/>
              <w:rPr>
                <w:rFonts w:cs="Arial"/>
              </w:rPr>
            </w:pPr>
          </w:p>
        </w:tc>
        <w:tc>
          <w:tcPr>
            <w:tcW w:w="675" w:type="dxa"/>
          </w:tcPr>
          <w:p w14:paraId="1316F538" w14:textId="77777777" w:rsidR="00A20FF2" w:rsidRPr="00B148F9" w:rsidRDefault="00A20FF2" w:rsidP="00CF3172">
            <w:pPr>
              <w:jc w:val="center"/>
              <w:rPr>
                <w:rFonts w:cs="Arial"/>
              </w:rPr>
            </w:pPr>
          </w:p>
        </w:tc>
        <w:tc>
          <w:tcPr>
            <w:tcW w:w="1418" w:type="dxa"/>
          </w:tcPr>
          <w:p w14:paraId="72CA2242" w14:textId="77777777" w:rsidR="00A20FF2" w:rsidRPr="00B148F9" w:rsidRDefault="00A20FF2" w:rsidP="00CF3172">
            <w:pPr>
              <w:jc w:val="center"/>
              <w:rPr>
                <w:rFonts w:cs="Arial"/>
              </w:rPr>
            </w:pPr>
          </w:p>
        </w:tc>
      </w:tr>
      <w:tr w:rsidR="00A20FF2" w:rsidRPr="00B148F9" w14:paraId="0157E32E" w14:textId="77777777" w:rsidTr="00B746FC">
        <w:tc>
          <w:tcPr>
            <w:tcW w:w="250" w:type="dxa"/>
          </w:tcPr>
          <w:p w14:paraId="2F46BBF1" w14:textId="77777777" w:rsidR="00A20FF2" w:rsidRPr="00B148F9" w:rsidRDefault="00A20FF2" w:rsidP="00CF3172">
            <w:pPr>
              <w:jc w:val="left"/>
              <w:rPr>
                <w:rFonts w:cs="Arial"/>
              </w:rPr>
            </w:pPr>
          </w:p>
        </w:tc>
        <w:tc>
          <w:tcPr>
            <w:tcW w:w="3260" w:type="dxa"/>
          </w:tcPr>
          <w:p w14:paraId="47A4E14B" w14:textId="00AC7E64" w:rsidR="00A20FF2" w:rsidRPr="00B148F9" w:rsidRDefault="00A20FF2" w:rsidP="00CF3172">
            <w:pPr>
              <w:jc w:val="left"/>
              <w:rPr>
                <w:rFonts w:cs="Arial"/>
                <w:b/>
              </w:rPr>
            </w:pPr>
            <w:r w:rsidRPr="00B148F9">
              <w:rPr>
                <w:rFonts w:cs="Arial"/>
              </w:rPr>
              <w:t>Healthcare</w:t>
            </w:r>
          </w:p>
        </w:tc>
        <w:tc>
          <w:tcPr>
            <w:tcW w:w="284" w:type="dxa"/>
          </w:tcPr>
          <w:p w14:paraId="1B63E4CC" w14:textId="77777777" w:rsidR="00A20FF2" w:rsidRPr="00B148F9" w:rsidRDefault="00A20FF2" w:rsidP="00CF3172">
            <w:pPr>
              <w:jc w:val="center"/>
              <w:rPr>
                <w:rFonts w:cs="Arial"/>
              </w:rPr>
            </w:pPr>
          </w:p>
        </w:tc>
        <w:tc>
          <w:tcPr>
            <w:tcW w:w="742" w:type="dxa"/>
          </w:tcPr>
          <w:p w14:paraId="624D24D3" w14:textId="77777777" w:rsidR="00A20FF2" w:rsidRPr="00B148F9" w:rsidRDefault="00A20FF2" w:rsidP="00CF3172">
            <w:pPr>
              <w:jc w:val="center"/>
              <w:rPr>
                <w:rFonts w:cs="Arial"/>
              </w:rPr>
            </w:pPr>
          </w:p>
        </w:tc>
        <w:tc>
          <w:tcPr>
            <w:tcW w:w="1276" w:type="dxa"/>
          </w:tcPr>
          <w:p w14:paraId="448A8DC4" w14:textId="57685598" w:rsidR="00A20FF2" w:rsidRPr="00B148F9" w:rsidRDefault="00A20FF2" w:rsidP="00CF3172">
            <w:pPr>
              <w:jc w:val="center"/>
              <w:rPr>
                <w:rFonts w:cs="Arial"/>
              </w:rPr>
            </w:pPr>
            <w:r w:rsidRPr="00B148F9">
              <w:rPr>
                <w:rFonts w:cs="Arial"/>
              </w:rPr>
              <w:t>0.17</w:t>
            </w:r>
          </w:p>
        </w:tc>
        <w:tc>
          <w:tcPr>
            <w:tcW w:w="284" w:type="dxa"/>
          </w:tcPr>
          <w:p w14:paraId="126D6D40" w14:textId="77777777" w:rsidR="00A20FF2" w:rsidRPr="00B148F9" w:rsidRDefault="00A20FF2" w:rsidP="00CF3172">
            <w:pPr>
              <w:jc w:val="center"/>
              <w:rPr>
                <w:rFonts w:cs="Arial"/>
              </w:rPr>
            </w:pPr>
          </w:p>
        </w:tc>
        <w:tc>
          <w:tcPr>
            <w:tcW w:w="567" w:type="dxa"/>
          </w:tcPr>
          <w:p w14:paraId="0B04E9F3" w14:textId="77777777" w:rsidR="00A20FF2" w:rsidRPr="00B148F9" w:rsidRDefault="00A20FF2" w:rsidP="00CF3172">
            <w:pPr>
              <w:jc w:val="center"/>
              <w:rPr>
                <w:rFonts w:cs="Arial"/>
              </w:rPr>
            </w:pPr>
          </w:p>
        </w:tc>
        <w:tc>
          <w:tcPr>
            <w:tcW w:w="1275" w:type="dxa"/>
          </w:tcPr>
          <w:p w14:paraId="568FBD82" w14:textId="3A565D9A" w:rsidR="00A20FF2" w:rsidRPr="00B148F9" w:rsidRDefault="00A20FF2" w:rsidP="00CF3172">
            <w:pPr>
              <w:jc w:val="center"/>
              <w:rPr>
                <w:rFonts w:cs="Arial"/>
              </w:rPr>
            </w:pPr>
            <w:r w:rsidRPr="00B148F9">
              <w:rPr>
                <w:rFonts w:cs="Arial"/>
              </w:rPr>
              <w:t>2,579</w:t>
            </w:r>
          </w:p>
        </w:tc>
        <w:tc>
          <w:tcPr>
            <w:tcW w:w="675" w:type="dxa"/>
          </w:tcPr>
          <w:p w14:paraId="636600D6" w14:textId="77777777" w:rsidR="00A20FF2" w:rsidRPr="00B148F9" w:rsidRDefault="00A20FF2" w:rsidP="00CF3172">
            <w:pPr>
              <w:jc w:val="center"/>
              <w:rPr>
                <w:rFonts w:cs="Arial"/>
              </w:rPr>
            </w:pPr>
          </w:p>
        </w:tc>
        <w:tc>
          <w:tcPr>
            <w:tcW w:w="1418" w:type="dxa"/>
          </w:tcPr>
          <w:p w14:paraId="5B3AFF10" w14:textId="3BBA506A" w:rsidR="00A20FF2" w:rsidRPr="00B148F9" w:rsidRDefault="00A20FF2" w:rsidP="00CF3172">
            <w:pPr>
              <w:jc w:val="center"/>
              <w:rPr>
                <w:rFonts w:cs="Arial"/>
              </w:rPr>
            </w:pPr>
            <w:r w:rsidRPr="00B148F9">
              <w:rPr>
                <w:rFonts w:cs="Arial"/>
              </w:rPr>
              <w:t>355,878</w:t>
            </w:r>
          </w:p>
        </w:tc>
      </w:tr>
      <w:tr w:rsidR="00A20FF2" w:rsidRPr="00B148F9" w14:paraId="71A8D227" w14:textId="77777777" w:rsidTr="00B746FC">
        <w:tc>
          <w:tcPr>
            <w:tcW w:w="250" w:type="dxa"/>
          </w:tcPr>
          <w:p w14:paraId="400CF7E0" w14:textId="77777777" w:rsidR="00A20FF2" w:rsidRPr="00B148F9" w:rsidRDefault="00A20FF2" w:rsidP="00CF3172">
            <w:pPr>
              <w:jc w:val="left"/>
              <w:rPr>
                <w:rFonts w:cs="Arial"/>
              </w:rPr>
            </w:pPr>
          </w:p>
        </w:tc>
        <w:tc>
          <w:tcPr>
            <w:tcW w:w="3260" w:type="dxa"/>
          </w:tcPr>
          <w:p w14:paraId="4C8E338D" w14:textId="77777777" w:rsidR="00A20FF2" w:rsidRPr="00B148F9" w:rsidRDefault="00A20FF2" w:rsidP="00CF3172">
            <w:pPr>
              <w:jc w:val="left"/>
              <w:rPr>
                <w:rFonts w:cs="Arial"/>
                <w:b/>
              </w:rPr>
            </w:pPr>
          </w:p>
        </w:tc>
        <w:tc>
          <w:tcPr>
            <w:tcW w:w="284" w:type="dxa"/>
          </w:tcPr>
          <w:p w14:paraId="065C86A3" w14:textId="77777777" w:rsidR="00A20FF2" w:rsidRPr="00B148F9" w:rsidRDefault="00A20FF2" w:rsidP="00CF3172">
            <w:pPr>
              <w:jc w:val="center"/>
              <w:rPr>
                <w:rFonts w:cs="Arial"/>
              </w:rPr>
            </w:pPr>
          </w:p>
        </w:tc>
        <w:tc>
          <w:tcPr>
            <w:tcW w:w="742" w:type="dxa"/>
          </w:tcPr>
          <w:p w14:paraId="26A5C999" w14:textId="77777777" w:rsidR="00A20FF2" w:rsidRPr="00B148F9" w:rsidRDefault="00A20FF2" w:rsidP="00CF3172">
            <w:pPr>
              <w:jc w:val="center"/>
              <w:rPr>
                <w:rFonts w:cs="Arial"/>
              </w:rPr>
            </w:pPr>
          </w:p>
        </w:tc>
        <w:tc>
          <w:tcPr>
            <w:tcW w:w="1276" w:type="dxa"/>
          </w:tcPr>
          <w:p w14:paraId="4133B6C4" w14:textId="77777777" w:rsidR="00A20FF2" w:rsidRPr="00B148F9" w:rsidRDefault="00A20FF2" w:rsidP="00CF3172">
            <w:pPr>
              <w:jc w:val="center"/>
              <w:rPr>
                <w:rFonts w:cs="Arial"/>
              </w:rPr>
            </w:pPr>
          </w:p>
        </w:tc>
        <w:tc>
          <w:tcPr>
            <w:tcW w:w="284" w:type="dxa"/>
          </w:tcPr>
          <w:p w14:paraId="77F76247" w14:textId="77777777" w:rsidR="00A20FF2" w:rsidRPr="00B148F9" w:rsidRDefault="00A20FF2" w:rsidP="00CF3172">
            <w:pPr>
              <w:jc w:val="center"/>
              <w:rPr>
                <w:rFonts w:cs="Arial"/>
              </w:rPr>
            </w:pPr>
          </w:p>
        </w:tc>
        <w:tc>
          <w:tcPr>
            <w:tcW w:w="567" w:type="dxa"/>
          </w:tcPr>
          <w:p w14:paraId="68823F44" w14:textId="77777777" w:rsidR="00A20FF2" w:rsidRPr="00B148F9" w:rsidRDefault="00A20FF2" w:rsidP="00CF3172">
            <w:pPr>
              <w:jc w:val="center"/>
              <w:rPr>
                <w:rFonts w:cs="Arial"/>
              </w:rPr>
            </w:pPr>
          </w:p>
        </w:tc>
        <w:tc>
          <w:tcPr>
            <w:tcW w:w="1275" w:type="dxa"/>
          </w:tcPr>
          <w:p w14:paraId="67C20F1C" w14:textId="77777777" w:rsidR="00A20FF2" w:rsidRPr="00B148F9" w:rsidRDefault="00A20FF2" w:rsidP="00CF3172">
            <w:pPr>
              <w:jc w:val="center"/>
              <w:rPr>
                <w:rFonts w:cs="Arial"/>
              </w:rPr>
            </w:pPr>
          </w:p>
        </w:tc>
        <w:tc>
          <w:tcPr>
            <w:tcW w:w="675" w:type="dxa"/>
          </w:tcPr>
          <w:p w14:paraId="1ACA853C" w14:textId="77777777" w:rsidR="00A20FF2" w:rsidRPr="00B148F9" w:rsidRDefault="00A20FF2" w:rsidP="00CF3172">
            <w:pPr>
              <w:jc w:val="center"/>
              <w:rPr>
                <w:rFonts w:cs="Arial"/>
              </w:rPr>
            </w:pPr>
          </w:p>
        </w:tc>
        <w:tc>
          <w:tcPr>
            <w:tcW w:w="1418" w:type="dxa"/>
          </w:tcPr>
          <w:p w14:paraId="6665FD07" w14:textId="77777777" w:rsidR="00A20FF2" w:rsidRPr="00B148F9" w:rsidRDefault="00A20FF2" w:rsidP="00CF3172">
            <w:pPr>
              <w:jc w:val="center"/>
              <w:rPr>
                <w:rFonts w:cs="Arial"/>
              </w:rPr>
            </w:pPr>
          </w:p>
        </w:tc>
      </w:tr>
      <w:tr w:rsidR="00CF3172" w:rsidRPr="00B148F9" w14:paraId="6423EECA" w14:textId="77777777" w:rsidTr="00B746FC">
        <w:tc>
          <w:tcPr>
            <w:tcW w:w="250" w:type="dxa"/>
          </w:tcPr>
          <w:p w14:paraId="033CCAA8" w14:textId="77777777" w:rsidR="00CF3172" w:rsidRPr="00B148F9" w:rsidRDefault="00CF3172" w:rsidP="00CF3172">
            <w:pPr>
              <w:jc w:val="left"/>
              <w:rPr>
                <w:rFonts w:cs="Arial"/>
              </w:rPr>
            </w:pPr>
          </w:p>
        </w:tc>
        <w:tc>
          <w:tcPr>
            <w:tcW w:w="3260" w:type="dxa"/>
          </w:tcPr>
          <w:p w14:paraId="4E37389E" w14:textId="631B47DA" w:rsidR="00CF3172" w:rsidRPr="00B148F9" w:rsidRDefault="00CF3172" w:rsidP="00CF3172">
            <w:pPr>
              <w:jc w:val="left"/>
              <w:rPr>
                <w:rFonts w:cs="Arial"/>
                <w:b/>
              </w:rPr>
            </w:pPr>
            <w:r w:rsidRPr="00B148F9">
              <w:rPr>
                <w:rFonts w:cs="Arial"/>
                <w:b/>
              </w:rPr>
              <w:t>Canada</w:t>
            </w:r>
          </w:p>
        </w:tc>
        <w:tc>
          <w:tcPr>
            <w:tcW w:w="284" w:type="dxa"/>
          </w:tcPr>
          <w:p w14:paraId="3783D7F9" w14:textId="77777777" w:rsidR="00CF3172" w:rsidRPr="00B148F9" w:rsidRDefault="00CF3172" w:rsidP="00CF3172">
            <w:pPr>
              <w:jc w:val="center"/>
              <w:rPr>
                <w:rFonts w:cs="Arial"/>
              </w:rPr>
            </w:pPr>
          </w:p>
        </w:tc>
        <w:tc>
          <w:tcPr>
            <w:tcW w:w="742" w:type="dxa"/>
          </w:tcPr>
          <w:p w14:paraId="58013C61" w14:textId="77777777" w:rsidR="00CF3172" w:rsidRPr="00B148F9" w:rsidRDefault="00CF3172" w:rsidP="00CF3172">
            <w:pPr>
              <w:jc w:val="center"/>
              <w:rPr>
                <w:rFonts w:cs="Arial"/>
              </w:rPr>
            </w:pPr>
          </w:p>
        </w:tc>
        <w:tc>
          <w:tcPr>
            <w:tcW w:w="1276" w:type="dxa"/>
          </w:tcPr>
          <w:p w14:paraId="427635AC" w14:textId="77777777" w:rsidR="00CF3172" w:rsidRPr="00B148F9" w:rsidRDefault="00CF3172" w:rsidP="00CF3172">
            <w:pPr>
              <w:jc w:val="center"/>
              <w:rPr>
                <w:rFonts w:cs="Arial"/>
              </w:rPr>
            </w:pPr>
          </w:p>
        </w:tc>
        <w:tc>
          <w:tcPr>
            <w:tcW w:w="284" w:type="dxa"/>
          </w:tcPr>
          <w:p w14:paraId="4BF5D88E" w14:textId="77777777" w:rsidR="00CF3172" w:rsidRPr="00B148F9" w:rsidRDefault="00CF3172" w:rsidP="00CF3172">
            <w:pPr>
              <w:jc w:val="center"/>
              <w:rPr>
                <w:rFonts w:cs="Arial"/>
              </w:rPr>
            </w:pPr>
          </w:p>
        </w:tc>
        <w:tc>
          <w:tcPr>
            <w:tcW w:w="567" w:type="dxa"/>
          </w:tcPr>
          <w:p w14:paraId="3181ADF5" w14:textId="77777777" w:rsidR="00CF3172" w:rsidRPr="00B148F9" w:rsidRDefault="00CF3172" w:rsidP="00CF3172">
            <w:pPr>
              <w:jc w:val="center"/>
              <w:rPr>
                <w:rFonts w:cs="Arial"/>
              </w:rPr>
            </w:pPr>
          </w:p>
        </w:tc>
        <w:tc>
          <w:tcPr>
            <w:tcW w:w="1275" w:type="dxa"/>
          </w:tcPr>
          <w:p w14:paraId="56FB58D5" w14:textId="77777777" w:rsidR="00CF3172" w:rsidRPr="00B148F9" w:rsidRDefault="00CF3172" w:rsidP="00CF3172">
            <w:pPr>
              <w:jc w:val="center"/>
              <w:rPr>
                <w:rFonts w:cs="Arial"/>
              </w:rPr>
            </w:pPr>
          </w:p>
        </w:tc>
        <w:tc>
          <w:tcPr>
            <w:tcW w:w="675" w:type="dxa"/>
          </w:tcPr>
          <w:p w14:paraId="038BD280" w14:textId="77777777" w:rsidR="00CF3172" w:rsidRPr="00B148F9" w:rsidRDefault="00CF3172" w:rsidP="00CF3172">
            <w:pPr>
              <w:jc w:val="center"/>
              <w:rPr>
                <w:rFonts w:cs="Arial"/>
              </w:rPr>
            </w:pPr>
          </w:p>
        </w:tc>
        <w:tc>
          <w:tcPr>
            <w:tcW w:w="1418" w:type="dxa"/>
          </w:tcPr>
          <w:p w14:paraId="26173A4A" w14:textId="77777777" w:rsidR="00CF3172" w:rsidRPr="00B148F9" w:rsidRDefault="00CF3172" w:rsidP="00CF3172">
            <w:pPr>
              <w:jc w:val="center"/>
              <w:rPr>
                <w:rFonts w:cs="Arial"/>
              </w:rPr>
            </w:pPr>
          </w:p>
        </w:tc>
      </w:tr>
      <w:tr w:rsidR="00CF3172" w:rsidRPr="00B148F9" w14:paraId="012064B3" w14:textId="77777777" w:rsidTr="00B746FC">
        <w:tc>
          <w:tcPr>
            <w:tcW w:w="250" w:type="dxa"/>
          </w:tcPr>
          <w:p w14:paraId="518CA747" w14:textId="77777777" w:rsidR="00CF3172" w:rsidRPr="00B148F9" w:rsidRDefault="00CF3172" w:rsidP="00CF3172">
            <w:pPr>
              <w:jc w:val="left"/>
              <w:rPr>
                <w:rFonts w:cs="Arial"/>
              </w:rPr>
            </w:pPr>
          </w:p>
        </w:tc>
        <w:tc>
          <w:tcPr>
            <w:tcW w:w="3260" w:type="dxa"/>
          </w:tcPr>
          <w:p w14:paraId="1BFA3E37" w14:textId="0E48A1CF" w:rsidR="00CF3172" w:rsidRPr="00B148F9" w:rsidRDefault="00CF3172" w:rsidP="00CF3172">
            <w:pPr>
              <w:jc w:val="left"/>
              <w:rPr>
                <w:rFonts w:cs="Arial"/>
              </w:rPr>
            </w:pPr>
            <w:r w:rsidRPr="00B148F9">
              <w:rPr>
                <w:rFonts w:cs="Arial"/>
              </w:rPr>
              <w:t>Healthcare</w:t>
            </w:r>
          </w:p>
        </w:tc>
        <w:tc>
          <w:tcPr>
            <w:tcW w:w="284" w:type="dxa"/>
          </w:tcPr>
          <w:p w14:paraId="6A317B46" w14:textId="77777777" w:rsidR="00CF3172" w:rsidRPr="00B148F9" w:rsidRDefault="00CF3172" w:rsidP="00CF3172">
            <w:pPr>
              <w:jc w:val="center"/>
              <w:rPr>
                <w:rFonts w:cs="Arial"/>
              </w:rPr>
            </w:pPr>
          </w:p>
        </w:tc>
        <w:tc>
          <w:tcPr>
            <w:tcW w:w="742" w:type="dxa"/>
          </w:tcPr>
          <w:p w14:paraId="07532E95" w14:textId="4F93A2F4" w:rsidR="00CF3172" w:rsidRPr="00B148F9" w:rsidRDefault="00CF3172" w:rsidP="00CF3172">
            <w:pPr>
              <w:jc w:val="center"/>
              <w:rPr>
                <w:rFonts w:cs="Arial"/>
              </w:rPr>
            </w:pPr>
          </w:p>
        </w:tc>
        <w:tc>
          <w:tcPr>
            <w:tcW w:w="1276" w:type="dxa"/>
          </w:tcPr>
          <w:p w14:paraId="1D2ED12A" w14:textId="6653B9BC" w:rsidR="00CF3172" w:rsidRPr="00B148F9" w:rsidRDefault="00CF3172" w:rsidP="00CF3172">
            <w:pPr>
              <w:jc w:val="center"/>
              <w:rPr>
                <w:rFonts w:cs="Arial"/>
              </w:rPr>
            </w:pPr>
            <w:r w:rsidRPr="00B148F9">
              <w:rPr>
                <w:rFonts w:cs="Arial"/>
              </w:rPr>
              <w:t>0.00</w:t>
            </w:r>
          </w:p>
        </w:tc>
        <w:tc>
          <w:tcPr>
            <w:tcW w:w="284" w:type="dxa"/>
          </w:tcPr>
          <w:p w14:paraId="281AF33A" w14:textId="13742C16" w:rsidR="00CF3172" w:rsidRPr="00B148F9" w:rsidRDefault="00CF3172" w:rsidP="00CF3172">
            <w:pPr>
              <w:jc w:val="center"/>
              <w:rPr>
                <w:rFonts w:cs="Arial"/>
              </w:rPr>
            </w:pPr>
          </w:p>
        </w:tc>
        <w:tc>
          <w:tcPr>
            <w:tcW w:w="567" w:type="dxa"/>
          </w:tcPr>
          <w:p w14:paraId="2CF1D00A" w14:textId="77777777" w:rsidR="00CF3172" w:rsidRPr="00B148F9" w:rsidRDefault="00CF3172" w:rsidP="00CF3172">
            <w:pPr>
              <w:jc w:val="center"/>
              <w:rPr>
                <w:rFonts w:cs="Arial"/>
              </w:rPr>
            </w:pPr>
          </w:p>
        </w:tc>
        <w:tc>
          <w:tcPr>
            <w:tcW w:w="1275" w:type="dxa"/>
          </w:tcPr>
          <w:p w14:paraId="53C6CC8C" w14:textId="350B46E6" w:rsidR="00CF3172" w:rsidRPr="00B148F9" w:rsidRDefault="00CF3172" w:rsidP="00CF3172">
            <w:pPr>
              <w:jc w:val="center"/>
              <w:rPr>
                <w:rFonts w:cs="Arial"/>
              </w:rPr>
            </w:pPr>
            <w:r w:rsidRPr="00B148F9">
              <w:rPr>
                <w:rFonts w:cs="Arial"/>
              </w:rPr>
              <w:t>(934)</w:t>
            </w:r>
          </w:p>
        </w:tc>
        <w:tc>
          <w:tcPr>
            <w:tcW w:w="675" w:type="dxa"/>
          </w:tcPr>
          <w:p w14:paraId="0CA20A8D" w14:textId="77777777" w:rsidR="00CF3172" w:rsidRPr="00B148F9" w:rsidRDefault="00CF3172" w:rsidP="00CF3172">
            <w:pPr>
              <w:jc w:val="center"/>
              <w:rPr>
                <w:rFonts w:cs="Arial"/>
              </w:rPr>
            </w:pPr>
          </w:p>
        </w:tc>
        <w:tc>
          <w:tcPr>
            <w:tcW w:w="1418" w:type="dxa"/>
          </w:tcPr>
          <w:p w14:paraId="3F7B8815" w14:textId="65D4A1D8" w:rsidR="00CF3172" w:rsidRPr="00B148F9" w:rsidRDefault="00CF3172" w:rsidP="00CF3172">
            <w:pPr>
              <w:jc w:val="center"/>
              <w:rPr>
                <w:rFonts w:cs="Arial"/>
              </w:rPr>
            </w:pPr>
            <w:r w:rsidRPr="00B148F9">
              <w:rPr>
                <w:rFonts w:cs="Arial"/>
              </w:rPr>
              <w:t>4,430</w:t>
            </w:r>
          </w:p>
        </w:tc>
      </w:tr>
      <w:tr w:rsidR="00CF3172" w:rsidRPr="00B148F9" w14:paraId="7962D5B0" w14:textId="77777777" w:rsidTr="00B746FC">
        <w:tc>
          <w:tcPr>
            <w:tcW w:w="250" w:type="dxa"/>
          </w:tcPr>
          <w:p w14:paraId="52C3DD0D" w14:textId="77777777" w:rsidR="00CF3172" w:rsidRPr="00B148F9" w:rsidRDefault="00CF3172" w:rsidP="00CF3172">
            <w:pPr>
              <w:jc w:val="left"/>
              <w:rPr>
                <w:rFonts w:cs="Arial"/>
              </w:rPr>
            </w:pPr>
          </w:p>
        </w:tc>
        <w:tc>
          <w:tcPr>
            <w:tcW w:w="3260" w:type="dxa"/>
          </w:tcPr>
          <w:p w14:paraId="3F041424" w14:textId="77777777" w:rsidR="00CF3172" w:rsidRPr="00B148F9" w:rsidRDefault="00CF3172" w:rsidP="00CF3172">
            <w:pPr>
              <w:jc w:val="left"/>
              <w:rPr>
                <w:rFonts w:cs="Arial"/>
              </w:rPr>
            </w:pPr>
          </w:p>
        </w:tc>
        <w:tc>
          <w:tcPr>
            <w:tcW w:w="284" w:type="dxa"/>
          </w:tcPr>
          <w:p w14:paraId="1A8574E8" w14:textId="77777777" w:rsidR="00CF3172" w:rsidRPr="00B148F9" w:rsidRDefault="00CF3172" w:rsidP="00CF3172">
            <w:pPr>
              <w:jc w:val="center"/>
              <w:rPr>
                <w:rFonts w:cs="Arial"/>
              </w:rPr>
            </w:pPr>
          </w:p>
        </w:tc>
        <w:tc>
          <w:tcPr>
            <w:tcW w:w="742" w:type="dxa"/>
          </w:tcPr>
          <w:p w14:paraId="0CE2BB3B" w14:textId="77777777" w:rsidR="00CF3172" w:rsidRPr="00B148F9" w:rsidRDefault="00CF3172" w:rsidP="00CF3172">
            <w:pPr>
              <w:jc w:val="center"/>
              <w:rPr>
                <w:rFonts w:cs="Arial"/>
              </w:rPr>
            </w:pPr>
          </w:p>
        </w:tc>
        <w:tc>
          <w:tcPr>
            <w:tcW w:w="1276" w:type="dxa"/>
          </w:tcPr>
          <w:p w14:paraId="71357CD4" w14:textId="77777777" w:rsidR="00CF3172" w:rsidRPr="00B148F9" w:rsidRDefault="00CF3172" w:rsidP="00CF3172">
            <w:pPr>
              <w:jc w:val="center"/>
              <w:rPr>
                <w:rFonts w:cs="Arial"/>
              </w:rPr>
            </w:pPr>
          </w:p>
        </w:tc>
        <w:tc>
          <w:tcPr>
            <w:tcW w:w="284" w:type="dxa"/>
          </w:tcPr>
          <w:p w14:paraId="2C02CC46" w14:textId="77777777" w:rsidR="00CF3172" w:rsidRPr="00B148F9" w:rsidRDefault="00CF3172" w:rsidP="00CF3172">
            <w:pPr>
              <w:jc w:val="center"/>
              <w:rPr>
                <w:rFonts w:cs="Arial"/>
              </w:rPr>
            </w:pPr>
          </w:p>
        </w:tc>
        <w:tc>
          <w:tcPr>
            <w:tcW w:w="567" w:type="dxa"/>
          </w:tcPr>
          <w:p w14:paraId="02636BA1" w14:textId="77777777" w:rsidR="00CF3172" w:rsidRPr="00B148F9" w:rsidRDefault="00CF3172" w:rsidP="00CF3172">
            <w:pPr>
              <w:jc w:val="center"/>
              <w:rPr>
                <w:rFonts w:cs="Arial"/>
              </w:rPr>
            </w:pPr>
          </w:p>
        </w:tc>
        <w:tc>
          <w:tcPr>
            <w:tcW w:w="1275" w:type="dxa"/>
          </w:tcPr>
          <w:p w14:paraId="3B24BCEE" w14:textId="77777777" w:rsidR="00CF3172" w:rsidRPr="00B148F9" w:rsidRDefault="00CF3172" w:rsidP="00CF3172">
            <w:pPr>
              <w:jc w:val="center"/>
              <w:rPr>
                <w:rFonts w:cs="Arial"/>
              </w:rPr>
            </w:pPr>
          </w:p>
        </w:tc>
        <w:tc>
          <w:tcPr>
            <w:tcW w:w="675" w:type="dxa"/>
          </w:tcPr>
          <w:p w14:paraId="0B70CE35" w14:textId="77777777" w:rsidR="00CF3172" w:rsidRPr="00B148F9" w:rsidRDefault="00CF3172" w:rsidP="00CF3172">
            <w:pPr>
              <w:jc w:val="center"/>
              <w:rPr>
                <w:rFonts w:cs="Arial"/>
              </w:rPr>
            </w:pPr>
          </w:p>
        </w:tc>
        <w:tc>
          <w:tcPr>
            <w:tcW w:w="1418" w:type="dxa"/>
          </w:tcPr>
          <w:p w14:paraId="01A38646" w14:textId="77777777" w:rsidR="00CF3172" w:rsidRPr="00B148F9" w:rsidRDefault="00CF3172" w:rsidP="00CF3172">
            <w:pPr>
              <w:jc w:val="center"/>
              <w:rPr>
                <w:rFonts w:cs="Arial"/>
              </w:rPr>
            </w:pPr>
          </w:p>
        </w:tc>
      </w:tr>
      <w:tr w:rsidR="00CF3172" w:rsidRPr="00B148F9" w14:paraId="40A82D70" w14:textId="77777777" w:rsidTr="00B746FC">
        <w:tc>
          <w:tcPr>
            <w:tcW w:w="250" w:type="dxa"/>
          </w:tcPr>
          <w:p w14:paraId="5FACABDC" w14:textId="77777777" w:rsidR="00CF3172" w:rsidRPr="00B148F9" w:rsidRDefault="00CF3172" w:rsidP="00CF3172">
            <w:pPr>
              <w:jc w:val="left"/>
              <w:rPr>
                <w:rFonts w:cs="Arial"/>
              </w:rPr>
            </w:pPr>
          </w:p>
        </w:tc>
        <w:tc>
          <w:tcPr>
            <w:tcW w:w="3260" w:type="dxa"/>
          </w:tcPr>
          <w:p w14:paraId="7E4A0417" w14:textId="2CC5F16E" w:rsidR="00CF3172" w:rsidRPr="00B148F9" w:rsidRDefault="00CF3172" w:rsidP="00CF3172">
            <w:pPr>
              <w:jc w:val="left"/>
              <w:rPr>
                <w:rFonts w:cs="Arial"/>
                <w:b/>
              </w:rPr>
            </w:pPr>
            <w:r w:rsidRPr="00B148F9">
              <w:rPr>
                <w:rFonts w:cs="Arial"/>
                <w:b/>
              </w:rPr>
              <w:t>Netherlands</w:t>
            </w:r>
          </w:p>
        </w:tc>
        <w:tc>
          <w:tcPr>
            <w:tcW w:w="284" w:type="dxa"/>
          </w:tcPr>
          <w:p w14:paraId="788BD924" w14:textId="77777777" w:rsidR="00CF3172" w:rsidRPr="00B148F9" w:rsidRDefault="00CF3172" w:rsidP="00CF3172">
            <w:pPr>
              <w:jc w:val="center"/>
              <w:rPr>
                <w:rFonts w:cs="Arial"/>
              </w:rPr>
            </w:pPr>
          </w:p>
        </w:tc>
        <w:tc>
          <w:tcPr>
            <w:tcW w:w="742" w:type="dxa"/>
          </w:tcPr>
          <w:p w14:paraId="281644C6" w14:textId="77777777" w:rsidR="00CF3172" w:rsidRPr="00B148F9" w:rsidRDefault="00CF3172" w:rsidP="00CF3172">
            <w:pPr>
              <w:jc w:val="center"/>
              <w:rPr>
                <w:rFonts w:cs="Arial"/>
              </w:rPr>
            </w:pPr>
          </w:p>
        </w:tc>
        <w:tc>
          <w:tcPr>
            <w:tcW w:w="1276" w:type="dxa"/>
          </w:tcPr>
          <w:p w14:paraId="79591BCB" w14:textId="77777777" w:rsidR="00CF3172" w:rsidRPr="00B148F9" w:rsidRDefault="00CF3172" w:rsidP="00CF3172">
            <w:pPr>
              <w:jc w:val="center"/>
              <w:rPr>
                <w:rFonts w:cs="Arial"/>
              </w:rPr>
            </w:pPr>
          </w:p>
        </w:tc>
        <w:tc>
          <w:tcPr>
            <w:tcW w:w="284" w:type="dxa"/>
          </w:tcPr>
          <w:p w14:paraId="6A8C3FF7" w14:textId="77777777" w:rsidR="00CF3172" w:rsidRPr="00B148F9" w:rsidRDefault="00CF3172" w:rsidP="00CF3172">
            <w:pPr>
              <w:jc w:val="center"/>
              <w:rPr>
                <w:rFonts w:cs="Arial"/>
              </w:rPr>
            </w:pPr>
          </w:p>
        </w:tc>
        <w:tc>
          <w:tcPr>
            <w:tcW w:w="567" w:type="dxa"/>
          </w:tcPr>
          <w:p w14:paraId="217EE570" w14:textId="77777777" w:rsidR="00CF3172" w:rsidRPr="00B148F9" w:rsidRDefault="00CF3172" w:rsidP="00CF3172">
            <w:pPr>
              <w:jc w:val="center"/>
              <w:rPr>
                <w:rFonts w:cs="Arial"/>
              </w:rPr>
            </w:pPr>
          </w:p>
        </w:tc>
        <w:tc>
          <w:tcPr>
            <w:tcW w:w="1275" w:type="dxa"/>
          </w:tcPr>
          <w:p w14:paraId="1C34B316" w14:textId="77777777" w:rsidR="00CF3172" w:rsidRPr="00B148F9" w:rsidRDefault="00CF3172" w:rsidP="00CF3172">
            <w:pPr>
              <w:jc w:val="center"/>
              <w:rPr>
                <w:rFonts w:cs="Arial"/>
              </w:rPr>
            </w:pPr>
          </w:p>
        </w:tc>
        <w:tc>
          <w:tcPr>
            <w:tcW w:w="675" w:type="dxa"/>
          </w:tcPr>
          <w:p w14:paraId="2CC70BB7" w14:textId="77777777" w:rsidR="00CF3172" w:rsidRPr="00B148F9" w:rsidRDefault="00CF3172" w:rsidP="00CF3172">
            <w:pPr>
              <w:jc w:val="center"/>
              <w:rPr>
                <w:rFonts w:cs="Arial"/>
              </w:rPr>
            </w:pPr>
          </w:p>
        </w:tc>
        <w:tc>
          <w:tcPr>
            <w:tcW w:w="1418" w:type="dxa"/>
          </w:tcPr>
          <w:p w14:paraId="6B193236" w14:textId="77777777" w:rsidR="00CF3172" w:rsidRPr="00B148F9" w:rsidRDefault="00CF3172" w:rsidP="00CF3172">
            <w:pPr>
              <w:jc w:val="center"/>
              <w:rPr>
                <w:rFonts w:cs="Arial"/>
              </w:rPr>
            </w:pPr>
          </w:p>
        </w:tc>
      </w:tr>
      <w:tr w:rsidR="00CF3172" w:rsidRPr="00B148F9" w14:paraId="49A06E26" w14:textId="77777777" w:rsidTr="00B746FC">
        <w:tc>
          <w:tcPr>
            <w:tcW w:w="250" w:type="dxa"/>
          </w:tcPr>
          <w:p w14:paraId="0EE40A37" w14:textId="77777777" w:rsidR="00CF3172" w:rsidRPr="00B148F9" w:rsidRDefault="00CF3172" w:rsidP="00CF3172">
            <w:pPr>
              <w:jc w:val="left"/>
              <w:rPr>
                <w:rFonts w:cs="Arial"/>
              </w:rPr>
            </w:pPr>
          </w:p>
        </w:tc>
        <w:tc>
          <w:tcPr>
            <w:tcW w:w="3260" w:type="dxa"/>
          </w:tcPr>
          <w:p w14:paraId="5D68A25E" w14:textId="6ACC1012" w:rsidR="00CF3172" w:rsidRPr="00B148F9" w:rsidRDefault="00CF3172" w:rsidP="00CF3172">
            <w:pPr>
              <w:jc w:val="left"/>
              <w:rPr>
                <w:rFonts w:cs="Arial"/>
              </w:rPr>
            </w:pPr>
            <w:r w:rsidRPr="00B148F9">
              <w:rPr>
                <w:rFonts w:cs="Arial"/>
              </w:rPr>
              <w:t>Healthcare</w:t>
            </w:r>
          </w:p>
        </w:tc>
        <w:tc>
          <w:tcPr>
            <w:tcW w:w="284" w:type="dxa"/>
          </w:tcPr>
          <w:p w14:paraId="1229C771" w14:textId="77777777" w:rsidR="00CF3172" w:rsidRPr="00B148F9" w:rsidRDefault="00CF3172" w:rsidP="00CF3172">
            <w:pPr>
              <w:jc w:val="center"/>
              <w:rPr>
                <w:rFonts w:cs="Arial"/>
              </w:rPr>
            </w:pPr>
          </w:p>
        </w:tc>
        <w:tc>
          <w:tcPr>
            <w:tcW w:w="742" w:type="dxa"/>
          </w:tcPr>
          <w:p w14:paraId="67D504FA" w14:textId="7C8D6EE5" w:rsidR="00CF3172" w:rsidRPr="00B148F9" w:rsidRDefault="00CF3172" w:rsidP="00CF3172">
            <w:pPr>
              <w:jc w:val="center"/>
              <w:rPr>
                <w:rFonts w:cs="Arial"/>
              </w:rPr>
            </w:pPr>
          </w:p>
        </w:tc>
        <w:tc>
          <w:tcPr>
            <w:tcW w:w="1276" w:type="dxa"/>
          </w:tcPr>
          <w:p w14:paraId="722CDD3C" w14:textId="350942DB" w:rsidR="00CF3172" w:rsidRPr="00B148F9" w:rsidRDefault="00CF3172" w:rsidP="00CF3172">
            <w:pPr>
              <w:jc w:val="center"/>
              <w:rPr>
                <w:rFonts w:cs="Arial"/>
              </w:rPr>
            </w:pPr>
            <w:r w:rsidRPr="00B148F9">
              <w:rPr>
                <w:rFonts w:cs="Arial"/>
              </w:rPr>
              <w:t>0.14</w:t>
            </w:r>
          </w:p>
        </w:tc>
        <w:tc>
          <w:tcPr>
            <w:tcW w:w="284" w:type="dxa"/>
          </w:tcPr>
          <w:p w14:paraId="3E302EA6" w14:textId="319178B4" w:rsidR="00CF3172" w:rsidRPr="00B148F9" w:rsidRDefault="00CF3172" w:rsidP="00CF3172">
            <w:pPr>
              <w:jc w:val="center"/>
              <w:rPr>
                <w:rFonts w:cs="Arial"/>
              </w:rPr>
            </w:pPr>
          </w:p>
        </w:tc>
        <w:tc>
          <w:tcPr>
            <w:tcW w:w="567" w:type="dxa"/>
          </w:tcPr>
          <w:p w14:paraId="597A66DA" w14:textId="77777777" w:rsidR="00CF3172" w:rsidRPr="00B148F9" w:rsidRDefault="00CF3172" w:rsidP="00CF3172">
            <w:pPr>
              <w:jc w:val="center"/>
              <w:rPr>
                <w:rFonts w:cs="Arial"/>
              </w:rPr>
            </w:pPr>
          </w:p>
        </w:tc>
        <w:tc>
          <w:tcPr>
            <w:tcW w:w="1275" w:type="dxa"/>
          </w:tcPr>
          <w:p w14:paraId="47C89D26" w14:textId="4E65FAA6" w:rsidR="00CF3172" w:rsidRPr="00B148F9" w:rsidRDefault="00CF3172" w:rsidP="00CF3172">
            <w:pPr>
              <w:jc w:val="center"/>
              <w:rPr>
                <w:rFonts w:cs="Arial"/>
              </w:rPr>
            </w:pPr>
            <w:r w:rsidRPr="00B148F9">
              <w:rPr>
                <w:rFonts w:cs="Arial"/>
              </w:rPr>
              <w:t>2,075</w:t>
            </w:r>
          </w:p>
        </w:tc>
        <w:tc>
          <w:tcPr>
            <w:tcW w:w="675" w:type="dxa"/>
          </w:tcPr>
          <w:p w14:paraId="7641A07B" w14:textId="77777777" w:rsidR="00CF3172" w:rsidRPr="00B148F9" w:rsidRDefault="00CF3172" w:rsidP="00CF3172">
            <w:pPr>
              <w:jc w:val="center"/>
              <w:rPr>
                <w:rFonts w:cs="Arial"/>
              </w:rPr>
            </w:pPr>
          </w:p>
        </w:tc>
        <w:tc>
          <w:tcPr>
            <w:tcW w:w="1418" w:type="dxa"/>
          </w:tcPr>
          <w:p w14:paraId="4EB67B2E" w14:textId="535CA2EF" w:rsidR="00CF3172" w:rsidRPr="00B148F9" w:rsidRDefault="00CF3172" w:rsidP="00CF3172">
            <w:pPr>
              <w:jc w:val="center"/>
              <w:rPr>
                <w:rFonts w:cs="Arial"/>
              </w:rPr>
            </w:pPr>
            <w:r w:rsidRPr="00B148F9">
              <w:rPr>
                <w:rFonts w:cs="Arial"/>
              </w:rPr>
              <w:t>286,048</w:t>
            </w:r>
          </w:p>
        </w:tc>
      </w:tr>
      <w:tr w:rsidR="00CF3172" w:rsidRPr="00B148F9" w14:paraId="7E595C3C" w14:textId="77777777" w:rsidTr="00B746FC">
        <w:tc>
          <w:tcPr>
            <w:tcW w:w="250" w:type="dxa"/>
          </w:tcPr>
          <w:p w14:paraId="3C2B9C05" w14:textId="77777777" w:rsidR="00CF3172" w:rsidRPr="00B148F9" w:rsidRDefault="00CF3172" w:rsidP="00CF3172">
            <w:pPr>
              <w:jc w:val="left"/>
              <w:rPr>
                <w:rFonts w:cs="Arial"/>
              </w:rPr>
            </w:pPr>
          </w:p>
        </w:tc>
        <w:tc>
          <w:tcPr>
            <w:tcW w:w="3260" w:type="dxa"/>
          </w:tcPr>
          <w:p w14:paraId="700D4B6C" w14:textId="133A403C" w:rsidR="00CF3172" w:rsidRPr="00B148F9" w:rsidRDefault="00CF3172" w:rsidP="00CF3172">
            <w:pPr>
              <w:jc w:val="left"/>
              <w:rPr>
                <w:rFonts w:cs="Arial"/>
              </w:rPr>
            </w:pPr>
          </w:p>
        </w:tc>
        <w:tc>
          <w:tcPr>
            <w:tcW w:w="284" w:type="dxa"/>
          </w:tcPr>
          <w:p w14:paraId="491365BF" w14:textId="77777777" w:rsidR="00CF3172" w:rsidRPr="00B148F9" w:rsidRDefault="00CF3172" w:rsidP="00CF3172">
            <w:pPr>
              <w:jc w:val="center"/>
              <w:rPr>
                <w:rFonts w:cs="Arial"/>
              </w:rPr>
            </w:pPr>
          </w:p>
        </w:tc>
        <w:tc>
          <w:tcPr>
            <w:tcW w:w="742" w:type="dxa"/>
          </w:tcPr>
          <w:p w14:paraId="08331F71" w14:textId="4FE805FB" w:rsidR="00CF3172" w:rsidRPr="00B148F9" w:rsidRDefault="00CF3172" w:rsidP="00CF3172">
            <w:pPr>
              <w:jc w:val="center"/>
              <w:rPr>
                <w:rFonts w:cs="Arial"/>
              </w:rPr>
            </w:pPr>
          </w:p>
        </w:tc>
        <w:tc>
          <w:tcPr>
            <w:tcW w:w="1276" w:type="dxa"/>
            <w:tcBorders>
              <w:bottom w:val="single" w:sz="4" w:space="0" w:color="auto"/>
            </w:tcBorders>
          </w:tcPr>
          <w:p w14:paraId="2C49D75E" w14:textId="77777777" w:rsidR="00CF3172" w:rsidRPr="00B148F9" w:rsidRDefault="00CF3172" w:rsidP="00CF3172">
            <w:pPr>
              <w:jc w:val="center"/>
              <w:rPr>
                <w:rFonts w:cs="Arial"/>
              </w:rPr>
            </w:pPr>
          </w:p>
        </w:tc>
        <w:tc>
          <w:tcPr>
            <w:tcW w:w="284" w:type="dxa"/>
            <w:tcBorders>
              <w:bottom w:val="single" w:sz="4" w:space="0" w:color="auto"/>
            </w:tcBorders>
          </w:tcPr>
          <w:p w14:paraId="27D7F629" w14:textId="7252071E" w:rsidR="00CF3172" w:rsidRPr="00B148F9" w:rsidRDefault="00CF3172" w:rsidP="00CF3172">
            <w:pPr>
              <w:jc w:val="center"/>
              <w:rPr>
                <w:rFonts w:cs="Arial"/>
              </w:rPr>
            </w:pPr>
          </w:p>
        </w:tc>
        <w:tc>
          <w:tcPr>
            <w:tcW w:w="567" w:type="dxa"/>
            <w:tcBorders>
              <w:bottom w:val="single" w:sz="4" w:space="0" w:color="auto"/>
            </w:tcBorders>
          </w:tcPr>
          <w:p w14:paraId="230B4189" w14:textId="77777777" w:rsidR="00CF3172" w:rsidRPr="00B148F9" w:rsidRDefault="00CF3172" w:rsidP="00CF3172">
            <w:pPr>
              <w:jc w:val="center"/>
              <w:rPr>
                <w:rFonts w:cs="Arial"/>
              </w:rPr>
            </w:pPr>
          </w:p>
        </w:tc>
        <w:tc>
          <w:tcPr>
            <w:tcW w:w="1275" w:type="dxa"/>
            <w:tcBorders>
              <w:bottom w:val="single" w:sz="4" w:space="0" w:color="auto"/>
            </w:tcBorders>
          </w:tcPr>
          <w:p w14:paraId="01DDF8EB" w14:textId="4C6C5051" w:rsidR="00CF3172" w:rsidRPr="00B148F9" w:rsidRDefault="00CF3172" w:rsidP="00CF3172">
            <w:pPr>
              <w:jc w:val="center"/>
              <w:rPr>
                <w:rFonts w:cs="Arial"/>
              </w:rPr>
            </w:pPr>
          </w:p>
        </w:tc>
        <w:tc>
          <w:tcPr>
            <w:tcW w:w="675" w:type="dxa"/>
            <w:tcBorders>
              <w:bottom w:val="single" w:sz="4" w:space="0" w:color="auto"/>
            </w:tcBorders>
          </w:tcPr>
          <w:p w14:paraId="3BA3022C" w14:textId="77777777" w:rsidR="00CF3172" w:rsidRPr="00B148F9" w:rsidRDefault="00CF3172" w:rsidP="00CF3172">
            <w:pPr>
              <w:jc w:val="center"/>
              <w:rPr>
                <w:rFonts w:cs="Arial"/>
              </w:rPr>
            </w:pPr>
          </w:p>
        </w:tc>
        <w:tc>
          <w:tcPr>
            <w:tcW w:w="1418" w:type="dxa"/>
            <w:tcBorders>
              <w:bottom w:val="single" w:sz="4" w:space="0" w:color="auto"/>
            </w:tcBorders>
          </w:tcPr>
          <w:p w14:paraId="779731AB" w14:textId="0E4A1DF7" w:rsidR="00CF3172" w:rsidRPr="00B148F9" w:rsidRDefault="00CF3172" w:rsidP="00CF3172">
            <w:pPr>
              <w:jc w:val="center"/>
              <w:rPr>
                <w:rFonts w:cs="Arial"/>
              </w:rPr>
            </w:pPr>
          </w:p>
        </w:tc>
      </w:tr>
      <w:tr w:rsidR="00CF3172" w:rsidRPr="00B148F9" w14:paraId="2318B58B" w14:textId="77777777" w:rsidTr="00B746FC">
        <w:tc>
          <w:tcPr>
            <w:tcW w:w="3510" w:type="dxa"/>
            <w:gridSpan w:val="2"/>
          </w:tcPr>
          <w:p w14:paraId="58630BE9" w14:textId="3B0BAE0F" w:rsidR="00CF3172" w:rsidRPr="00B148F9" w:rsidRDefault="00CF3172" w:rsidP="00CF3172">
            <w:pPr>
              <w:jc w:val="left"/>
              <w:rPr>
                <w:rFonts w:cs="Arial"/>
                <w:b/>
              </w:rPr>
            </w:pPr>
            <w:r w:rsidRPr="00B148F9">
              <w:rPr>
                <w:rFonts w:cs="Arial"/>
                <w:b/>
              </w:rPr>
              <w:t>Total derivative contracts, at fair value</w:t>
            </w:r>
          </w:p>
        </w:tc>
        <w:tc>
          <w:tcPr>
            <w:tcW w:w="284" w:type="dxa"/>
          </w:tcPr>
          <w:p w14:paraId="6ACCD8FC" w14:textId="77777777" w:rsidR="00CF3172" w:rsidRPr="00B148F9" w:rsidRDefault="00CF3172" w:rsidP="00CF3172">
            <w:pPr>
              <w:jc w:val="center"/>
              <w:rPr>
                <w:rFonts w:cs="Arial"/>
                <w:b/>
              </w:rPr>
            </w:pPr>
          </w:p>
        </w:tc>
        <w:tc>
          <w:tcPr>
            <w:tcW w:w="742" w:type="dxa"/>
          </w:tcPr>
          <w:p w14:paraId="4FAD389A" w14:textId="49F87DA9" w:rsidR="00CF3172" w:rsidRPr="00B148F9" w:rsidRDefault="00CF3172" w:rsidP="00CF3172">
            <w:pPr>
              <w:jc w:val="center"/>
              <w:rPr>
                <w:rFonts w:cs="Arial"/>
                <w:b/>
              </w:rPr>
            </w:pPr>
          </w:p>
        </w:tc>
        <w:tc>
          <w:tcPr>
            <w:tcW w:w="1276" w:type="dxa"/>
            <w:tcBorders>
              <w:top w:val="single" w:sz="4" w:space="0" w:color="auto"/>
            </w:tcBorders>
          </w:tcPr>
          <w:p w14:paraId="43614BEE" w14:textId="00CDE9BA" w:rsidR="00CF3172" w:rsidRPr="00B148F9" w:rsidRDefault="00CF3172" w:rsidP="00CF3172">
            <w:pPr>
              <w:jc w:val="center"/>
              <w:rPr>
                <w:rFonts w:cs="Arial"/>
                <w:b/>
              </w:rPr>
            </w:pPr>
            <w:r w:rsidRPr="00B148F9">
              <w:rPr>
                <w:rFonts w:cs="Arial"/>
                <w:b/>
              </w:rPr>
              <w:t>0.64</w:t>
            </w:r>
          </w:p>
        </w:tc>
        <w:tc>
          <w:tcPr>
            <w:tcW w:w="284" w:type="dxa"/>
          </w:tcPr>
          <w:p w14:paraId="06AAB717" w14:textId="34D0561A" w:rsidR="00CF3172" w:rsidRPr="00B148F9" w:rsidRDefault="00CF3172" w:rsidP="00B746FC">
            <w:pPr>
              <w:jc w:val="left"/>
              <w:rPr>
                <w:rFonts w:cs="Arial"/>
                <w:b/>
              </w:rPr>
            </w:pPr>
            <w:r w:rsidRPr="00B148F9">
              <w:rPr>
                <w:rFonts w:cs="Arial"/>
                <w:b/>
              </w:rPr>
              <w:t>%</w:t>
            </w:r>
          </w:p>
        </w:tc>
        <w:tc>
          <w:tcPr>
            <w:tcW w:w="567" w:type="dxa"/>
          </w:tcPr>
          <w:p w14:paraId="5E3EA7B9" w14:textId="36384D43" w:rsidR="00CF3172" w:rsidRPr="00B148F9" w:rsidRDefault="00CF3172" w:rsidP="00CF3172">
            <w:pPr>
              <w:jc w:val="right"/>
              <w:rPr>
                <w:rFonts w:cs="Arial"/>
                <w:b/>
              </w:rPr>
            </w:pPr>
            <w:r w:rsidRPr="00B148F9">
              <w:rPr>
                <w:rFonts w:cs="Arial"/>
                <w:b/>
              </w:rPr>
              <w:t>US$</w:t>
            </w:r>
          </w:p>
        </w:tc>
        <w:tc>
          <w:tcPr>
            <w:tcW w:w="1275" w:type="dxa"/>
          </w:tcPr>
          <w:p w14:paraId="24B55128" w14:textId="65525A2D" w:rsidR="00CF3172" w:rsidRPr="00B148F9" w:rsidRDefault="00CF3172" w:rsidP="00CF3172">
            <w:pPr>
              <w:jc w:val="center"/>
              <w:rPr>
                <w:rFonts w:cs="Arial"/>
                <w:b/>
              </w:rPr>
            </w:pPr>
            <w:r w:rsidRPr="00B148F9">
              <w:rPr>
                <w:rFonts w:cs="Arial"/>
                <w:b/>
              </w:rPr>
              <w:t>10,930</w:t>
            </w:r>
          </w:p>
        </w:tc>
        <w:tc>
          <w:tcPr>
            <w:tcW w:w="675" w:type="dxa"/>
          </w:tcPr>
          <w:p w14:paraId="5AF7230D" w14:textId="34A29AA3" w:rsidR="00CF3172" w:rsidRPr="00B148F9" w:rsidRDefault="00CF3172" w:rsidP="00CF3172">
            <w:pPr>
              <w:jc w:val="right"/>
              <w:rPr>
                <w:rFonts w:cs="Arial"/>
                <w:b/>
              </w:rPr>
            </w:pPr>
            <w:r w:rsidRPr="00B148F9">
              <w:rPr>
                <w:rFonts w:cs="Arial"/>
                <w:b/>
              </w:rPr>
              <w:t>US$</w:t>
            </w:r>
          </w:p>
        </w:tc>
        <w:tc>
          <w:tcPr>
            <w:tcW w:w="1418" w:type="dxa"/>
          </w:tcPr>
          <w:p w14:paraId="56089A6A" w14:textId="72D14339" w:rsidR="00CF3172" w:rsidRPr="00B148F9" w:rsidRDefault="00CF3172" w:rsidP="00CF3172">
            <w:pPr>
              <w:jc w:val="center"/>
              <w:rPr>
                <w:rFonts w:cs="Arial"/>
                <w:b/>
              </w:rPr>
            </w:pPr>
            <w:r w:rsidRPr="00B148F9">
              <w:rPr>
                <w:rFonts w:cs="Arial"/>
                <w:b/>
              </w:rPr>
              <w:t>1,326,441</w:t>
            </w:r>
          </w:p>
        </w:tc>
      </w:tr>
      <w:tr w:rsidR="00CF3172" w:rsidRPr="00B148F9" w14:paraId="55304721" w14:textId="77777777" w:rsidTr="00B746FC">
        <w:tc>
          <w:tcPr>
            <w:tcW w:w="250" w:type="dxa"/>
          </w:tcPr>
          <w:p w14:paraId="05F95198" w14:textId="77777777" w:rsidR="00CF3172" w:rsidRPr="00B148F9" w:rsidRDefault="00CF3172" w:rsidP="00CF3172">
            <w:pPr>
              <w:jc w:val="left"/>
              <w:rPr>
                <w:rFonts w:cs="Arial"/>
              </w:rPr>
            </w:pPr>
          </w:p>
        </w:tc>
        <w:tc>
          <w:tcPr>
            <w:tcW w:w="3260" w:type="dxa"/>
          </w:tcPr>
          <w:p w14:paraId="48BBDB42" w14:textId="77777777" w:rsidR="00CF3172" w:rsidRPr="00B148F9" w:rsidRDefault="00CF3172" w:rsidP="00CF3172">
            <w:pPr>
              <w:jc w:val="left"/>
              <w:rPr>
                <w:rFonts w:cs="Arial"/>
              </w:rPr>
            </w:pPr>
          </w:p>
        </w:tc>
        <w:tc>
          <w:tcPr>
            <w:tcW w:w="284" w:type="dxa"/>
          </w:tcPr>
          <w:p w14:paraId="69D73ECD" w14:textId="77777777" w:rsidR="00CF3172" w:rsidRPr="00B148F9" w:rsidRDefault="00CF3172" w:rsidP="00CF3172">
            <w:pPr>
              <w:jc w:val="center"/>
              <w:rPr>
                <w:rFonts w:cs="Arial"/>
              </w:rPr>
            </w:pPr>
          </w:p>
        </w:tc>
        <w:tc>
          <w:tcPr>
            <w:tcW w:w="742" w:type="dxa"/>
          </w:tcPr>
          <w:p w14:paraId="019137C9" w14:textId="77777777" w:rsidR="00CF3172" w:rsidRPr="00B148F9" w:rsidRDefault="00CF3172" w:rsidP="00CF3172">
            <w:pPr>
              <w:jc w:val="center"/>
              <w:rPr>
                <w:rFonts w:cs="Arial"/>
              </w:rPr>
            </w:pPr>
          </w:p>
        </w:tc>
        <w:tc>
          <w:tcPr>
            <w:tcW w:w="1276" w:type="dxa"/>
          </w:tcPr>
          <w:p w14:paraId="3B15D06B" w14:textId="77777777" w:rsidR="00CF3172" w:rsidRPr="00B148F9" w:rsidRDefault="00CF3172" w:rsidP="00CF3172">
            <w:pPr>
              <w:jc w:val="center"/>
              <w:rPr>
                <w:rFonts w:cs="Arial"/>
              </w:rPr>
            </w:pPr>
          </w:p>
        </w:tc>
        <w:tc>
          <w:tcPr>
            <w:tcW w:w="284" w:type="dxa"/>
          </w:tcPr>
          <w:p w14:paraId="4EE96DC4" w14:textId="77777777" w:rsidR="00CF3172" w:rsidRPr="00B148F9" w:rsidRDefault="00CF3172" w:rsidP="00CF3172">
            <w:pPr>
              <w:jc w:val="center"/>
              <w:rPr>
                <w:rFonts w:cs="Arial"/>
              </w:rPr>
            </w:pPr>
          </w:p>
        </w:tc>
        <w:tc>
          <w:tcPr>
            <w:tcW w:w="567" w:type="dxa"/>
          </w:tcPr>
          <w:p w14:paraId="6C24D5C9" w14:textId="77777777" w:rsidR="00CF3172" w:rsidRPr="00B148F9" w:rsidRDefault="00CF3172" w:rsidP="00CF3172">
            <w:pPr>
              <w:jc w:val="center"/>
              <w:rPr>
                <w:rFonts w:cs="Arial"/>
              </w:rPr>
            </w:pPr>
          </w:p>
        </w:tc>
        <w:tc>
          <w:tcPr>
            <w:tcW w:w="1275" w:type="dxa"/>
          </w:tcPr>
          <w:p w14:paraId="5C2A7B33" w14:textId="77777777" w:rsidR="00CF3172" w:rsidRPr="00B148F9" w:rsidRDefault="00CF3172" w:rsidP="00CF3172">
            <w:pPr>
              <w:jc w:val="center"/>
              <w:rPr>
                <w:rFonts w:cs="Arial"/>
              </w:rPr>
            </w:pPr>
          </w:p>
        </w:tc>
        <w:tc>
          <w:tcPr>
            <w:tcW w:w="675" w:type="dxa"/>
          </w:tcPr>
          <w:p w14:paraId="64C5450B" w14:textId="77777777" w:rsidR="00CF3172" w:rsidRPr="00B148F9" w:rsidRDefault="00CF3172" w:rsidP="00CF3172">
            <w:pPr>
              <w:jc w:val="center"/>
              <w:rPr>
                <w:rFonts w:cs="Arial"/>
              </w:rPr>
            </w:pPr>
          </w:p>
        </w:tc>
        <w:tc>
          <w:tcPr>
            <w:tcW w:w="1418" w:type="dxa"/>
          </w:tcPr>
          <w:p w14:paraId="7EF697F3" w14:textId="77777777" w:rsidR="00CF3172" w:rsidRPr="00B148F9" w:rsidRDefault="00CF3172" w:rsidP="00CF3172">
            <w:pPr>
              <w:jc w:val="center"/>
              <w:rPr>
                <w:rFonts w:cs="Arial"/>
              </w:rPr>
            </w:pPr>
          </w:p>
        </w:tc>
      </w:tr>
      <w:tr w:rsidR="00CF3172" w:rsidRPr="00B148F9" w14:paraId="4A32A56C" w14:textId="77777777" w:rsidTr="00B746FC">
        <w:tc>
          <w:tcPr>
            <w:tcW w:w="250" w:type="dxa"/>
          </w:tcPr>
          <w:p w14:paraId="38258E96" w14:textId="77777777" w:rsidR="00CF3172" w:rsidRPr="00B148F9" w:rsidRDefault="00CF3172" w:rsidP="00CF3172">
            <w:pPr>
              <w:jc w:val="left"/>
              <w:rPr>
                <w:rFonts w:cs="Arial"/>
              </w:rPr>
            </w:pPr>
          </w:p>
        </w:tc>
        <w:tc>
          <w:tcPr>
            <w:tcW w:w="3260" w:type="dxa"/>
          </w:tcPr>
          <w:p w14:paraId="13DBE2EB" w14:textId="77777777" w:rsidR="00CF3172" w:rsidRPr="00B148F9" w:rsidRDefault="00CF3172" w:rsidP="00CF3172">
            <w:pPr>
              <w:jc w:val="left"/>
              <w:rPr>
                <w:rFonts w:cs="Arial"/>
              </w:rPr>
            </w:pPr>
          </w:p>
        </w:tc>
        <w:tc>
          <w:tcPr>
            <w:tcW w:w="284" w:type="dxa"/>
          </w:tcPr>
          <w:p w14:paraId="759CFD5A" w14:textId="77777777" w:rsidR="00CF3172" w:rsidRPr="00B148F9" w:rsidRDefault="00CF3172" w:rsidP="00CF3172">
            <w:pPr>
              <w:jc w:val="center"/>
              <w:rPr>
                <w:rFonts w:cs="Arial"/>
              </w:rPr>
            </w:pPr>
          </w:p>
        </w:tc>
        <w:tc>
          <w:tcPr>
            <w:tcW w:w="742" w:type="dxa"/>
          </w:tcPr>
          <w:p w14:paraId="22B05770" w14:textId="77777777" w:rsidR="00CF3172" w:rsidRPr="00B148F9" w:rsidRDefault="00CF3172" w:rsidP="00CF3172">
            <w:pPr>
              <w:jc w:val="center"/>
              <w:rPr>
                <w:rFonts w:cs="Arial"/>
              </w:rPr>
            </w:pPr>
          </w:p>
        </w:tc>
        <w:tc>
          <w:tcPr>
            <w:tcW w:w="1276" w:type="dxa"/>
          </w:tcPr>
          <w:p w14:paraId="62173356" w14:textId="77777777" w:rsidR="00CF3172" w:rsidRPr="00B148F9" w:rsidRDefault="00CF3172" w:rsidP="00CF3172">
            <w:pPr>
              <w:jc w:val="center"/>
              <w:rPr>
                <w:rFonts w:cs="Arial"/>
              </w:rPr>
            </w:pPr>
          </w:p>
        </w:tc>
        <w:tc>
          <w:tcPr>
            <w:tcW w:w="284" w:type="dxa"/>
          </w:tcPr>
          <w:p w14:paraId="2F19474E" w14:textId="77777777" w:rsidR="00CF3172" w:rsidRPr="00B148F9" w:rsidRDefault="00CF3172" w:rsidP="00CF3172">
            <w:pPr>
              <w:jc w:val="center"/>
              <w:rPr>
                <w:rFonts w:cs="Arial"/>
              </w:rPr>
            </w:pPr>
          </w:p>
        </w:tc>
        <w:tc>
          <w:tcPr>
            <w:tcW w:w="567" w:type="dxa"/>
          </w:tcPr>
          <w:p w14:paraId="77D145BD" w14:textId="77777777" w:rsidR="00CF3172" w:rsidRPr="00B148F9" w:rsidRDefault="00CF3172" w:rsidP="00CF3172">
            <w:pPr>
              <w:jc w:val="center"/>
              <w:rPr>
                <w:rFonts w:cs="Arial"/>
              </w:rPr>
            </w:pPr>
          </w:p>
        </w:tc>
        <w:tc>
          <w:tcPr>
            <w:tcW w:w="1275" w:type="dxa"/>
          </w:tcPr>
          <w:p w14:paraId="326D4BA9" w14:textId="77777777" w:rsidR="00CF3172" w:rsidRPr="00B148F9" w:rsidRDefault="00CF3172" w:rsidP="00CF3172">
            <w:pPr>
              <w:jc w:val="center"/>
              <w:rPr>
                <w:rFonts w:cs="Arial"/>
              </w:rPr>
            </w:pPr>
          </w:p>
        </w:tc>
        <w:tc>
          <w:tcPr>
            <w:tcW w:w="675" w:type="dxa"/>
          </w:tcPr>
          <w:p w14:paraId="25FC70BB" w14:textId="77777777" w:rsidR="00CF3172" w:rsidRPr="00B148F9" w:rsidRDefault="00CF3172" w:rsidP="00CF3172">
            <w:pPr>
              <w:jc w:val="center"/>
              <w:rPr>
                <w:rFonts w:cs="Arial"/>
              </w:rPr>
            </w:pPr>
          </w:p>
        </w:tc>
        <w:tc>
          <w:tcPr>
            <w:tcW w:w="1418" w:type="dxa"/>
          </w:tcPr>
          <w:p w14:paraId="607D83B5" w14:textId="77777777" w:rsidR="00CF3172" w:rsidRPr="00B148F9" w:rsidRDefault="00CF3172" w:rsidP="00CF3172">
            <w:pPr>
              <w:jc w:val="center"/>
              <w:rPr>
                <w:rFonts w:cs="Arial"/>
              </w:rPr>
            </w:pPr>
          </w:p>
        </w:tc>
      </w:tr>
    </w:tbl>
    <w:p w14:paraId="2D651F8D" w14:textId="4AF7902B" w:rsidR="00215125" w:rsidRPr="00B148F9" w:rsidRDefault="00215125" w:rsidP="00F11A31">
      <w:pPr>
        <w:jc w:val="center"/>
        <w:rPr>
          <w:rFonts w:cs="Arial"/>
          <w:b/>
          <w:bCs/>
        </w:rPr>
      </w:pPr>
    </w:p>
    <w:p w14:paraId="16628DC0" w14:textId="4BF5D6D3" w:rsidR="00215125" w:rsidRPr="00B148F9" w:rsidRDefault="00215125" w:rsidP="00F11A31">
      <w:pPr>
        <w:jc w:val="center"/>
        <w:rPr>
          <w:rFonts w:cs="Arial"/>
          <w:b/>
          <w:bCs/>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3260"/>
        <w:gridCol w:w="284"/>
        <w:gridCol w:w="237"/>
        <w:gridCol w:w="1214"/>
        <w:gridCol w:w="284"/>
        <w:gridCol w:w="1134"/>
        <w:gridCol w:w="567"/>
        <w:gridCol w:w="1275"/>
        <w:gridCol w:w="675"/>
        <w:gridCol w:w="1418"/>
      </w:tblGrid>
      <w:tr w:rsidR="00AB4D6F" w:rsidRPr="00B148F9" w14:paraId="1B836974" w14:textId="77777777" w:rsidTr="00AB4D6F">
        <w:tc>
          <w:tcPr>
            <w:tcW w:w="3794" w:type="dxa"/>
            <w:gridSpan w:val="3"/>
            <w:tcBorders>
              <w:bottom w:val="single" w:sz="4" w:space="0" w:color="auto"/>
            </w:tcBorders>
          </w:tcPr>
          <w:p w14:paraId="505F39B0" w14:textId="77777777" w:rsidR="00AB4D6F" w:rsidRPr="00B148F9" w:rsidRDefault="00AB4D6F" w:rsidP="005F5415">
            <w:pPr>
              <w:jc w:val="left"/>
              <w:rPr>
                <w:rFonts w:cs="Arial"/>
              </w:rPr>
            </w:pPr>
          </w:p>
        </w:tc>
        <w:tc>
          <w:tcPr>
            <w:tcW w:w="237" w:type="dxa"/>
            <w:tcBorders>
              <w:bottom w:val="single" w:sz="4" w:space="0" w:color="auto"/>
            </w:tcBorders>
          </w:tcPr>
          <w:p w14:paraId="703507CD" w14:textId="77777777" w:rsidR="00AB4D6F" w:rsidRPr="00B148F9" w:rsidRDefault="00AB4D6F" w:rsidP="005F5415">
            <w:pPr>
              <w:jc w:val="center"/>
              <w:rPr>
                <w:rFonts w:cs="Arial"/>
              </w:rPr>
            </w:pPr>
          </w:p>
        </w:tc>
        <w:tc>
          <w:tcPr>
            <w:tcW w:w="1214" w:type="dxa"/>
            <w:tcBorders>
              <w:bottom w:val="single" w:sz="4" w:space="0" w:color="auto"/>
            </w:tcBorders>
          </w:tcPr>
          <w:p w14:paraId="3D792EC5" w14:textId="77777777" w:rsidR="00AB4D6F" w:rsidRPr="00B148F9" w:rsidRDefault="00AB4D6F" w:rsidP="005F5415">
            <w:pPr>
              <w:jc w:val="center"/>
              <w:rPr>
                <w:rFonts w:cs="Arial"/>
              </w:rPr>
            </w:pPr>
          </w:p>
        </w:tc>
        <w:tc>
          <w:tcPr>
            <w:tcW w:w="284" w:type="dxa"/>
            <w:tcBorders>
              <w:bottom w:val="single" w:sz="4" w:space="0" w:color="auto"/>
            </w:tcBorders>
          </w:tcPr>
          <w:p w14:paraId="6D041999" w14:textId="77777777" w:rsidR="00AB4D6F" w:rsidRPr="00B148F9" w:rsidRDefault="00AB4D6F" w:rsidP="005F5415">
            <w:pPr>
              <w:jc w:val="center"/>
              <w:rPr>
                <w:rFonts w:cs="Arial"/>
              </w:rPr>
            </w:pPr>
          </w:p>
        </w:tc>
        <w:tc>
          <w:tcPr>
            <w:tcW w:w="1134" w:type="dxa"/>
            <w:tcBorders>
              <w:bottom w:val="single" w:sz="4" w:space="0" w:color="auto"/>
            </w:tcBorders>
          </w:tcPr>
          <w:p w14:paraId="1E449A48" w14:textId="77777777" w:rsidR="00AB4D6F" w:rsidRPr="00B148F9" w:rsidRDefault="00AB4D6F" w:rsidP="005F5415">
            <w:pPr>
              <w:jc w:val="center"/>
              <w:rPr>
                <w:rFonts w:cs="Arial"/>
              </w:rPr>
            </w:pPr>
          </w:p>
        </w:tc>
        <w:tc>
          <w:tcPr>
            <w:tcW w:w="567" w:type="dxa"/>
            <w:tcBorders>
              <w:bottom w:val="single" w:sz="4" w:space="0" w:color="auto"/>
            </w:tcBorders>
          </w:tcPr>
          <w:p w14:paraId="51570136" w14:textId="769070CF" w:rsidR="00AB4D6F" w:rsidRPr="00B148F9" w:rsidRDefault="00AB4D6F" w:rsidP="005F5415">
            <w:pPr>
              <w:jc w:val="center"/>
              <w:rPr>
                <w:rFonts w:cs="Arial"/>
              </w:rPr>
            </w:pPr>
          </w:p>
        </w:tc>
        <w:tc>
          <w:tcPr>
            <w:tcW w:w="1275" w:type="dxa"/>
            <w:tcBorders>
              <w:bottom w:val="single" w:sz="4" w:space="0" w:color="auto"/>
            </w:tcBorders>
          </w:tcPr>
          <w:p w14:paraId="11D64D8F" w14:textId="77777777" w:rsidR="00AB4D6F" w:rsidRPr="00B148F9" w:rsidRDefault="00AB4D6F" w:rsidP="005F5415">
            <w:pPr>
              <w:jc w:val="center"/>
              <w:rPr>
                <w:rFonts w:cs="Arial"/>
              </w:rPr>
            </w:pPr>
          </w:p>
        </w:tc>
        <w:tc>
          <w:tcPr>
            <w:tcW w:w="675" w:type="dxa"/>
            <w:tcBorders>
              <w:bottom w:val="single" w:sz="4" w:space="0" w:color="auto"/>
            </w:tcBorders>
          </w:tcPr>
          <w:p w14:paraId="656A31BA" w14:textId="77777777" w:rsidR="00AB4D6F" w:rsidRPr="00B148F9" w:rsidRDefault="00AB4D6F" w:rsidP="005F5415">
            <w:pPr>
              <w:jc w:val="center"/>
              <w:rPr>
                <w:rFonts w:cs="Arial"/>
              </w:rPr>
            </w:pPr>
          </w:p>
        </w:tc>
        <w:tc>
          <w:tcPr>
            <w:tcW w:w="1418" w:type="dxa"/>
            <w:tcBorders>
              <w:bottom w:val="single" w:sz="4" w:space="0" w:color="auto"/>
            </w:tcBorders>
          </w:tcPr>
          <w:p w14:paraId="3602910D" w14:textId="77777777" w:rsidR="00AB4D6F" w:rsidRPr="00B148F9" w:rsidRDefault="00AB4D6F" w:rsidP="005F5415">
            <w:pPr>
              <w:jc w:val="center"/>
              <w:rPr>
                <w:rFonts w:cs="Arial"/>
              </w:rPr>
            </w:pPr>
          </w:p>
        </w:tc>
      </w:tr>
      <w:tr w:rsidR="00AB4D6F" w:rsidRPr="00B148F9" w14:paraId="051575C7" w14:textId="77777777" w:rsidTr="00401317">
        <w:trPr>
          <w:trHeight w:val="659"/>
        </w:trPr>
        <w:tc>
          <w:tcPr>
            <w:tcW w:w="3794" w:type="dxa"/>
            <w:gridSpan w:val="3"/>
            <w:tcBorders>
              <w:top w:val="single" w:sz="4" w:space="0" w:color="auto"/>
              <w:bottom w:val="single" w:sz="4" w:space="0" w:color="auto"/>
            </w:tcBorders>
            <w:vAlign w:val="bottom"/>
          </w:tcPr>
          <w:p w14:paraId="1B7156CB" w14:textId="77777777" w:rsidR="00AB4D6F" w:rsidRPr="00B148F9" w:rsidRDefault="00AB4D6F" w:rsidP="001B7F08">
            <w:pPr>
              <w:jc w:val="center"/>
              <w:rPr>
                <w:rFonts w:cs="Arial"/>
                <w:b/>
              </w:rPr>
            </w:pPr>
            <w:r w:rsidRPr="00B148F9">
              <w:rPr>
                <w:rFonts w:cs="Arial"/>
                <w:b/>
              </w:rPr>
              <w:t>Descriptions</w:t>
            </w:r>
          </w:p>
        </w:tc>
        <w:tc>
          <w:tcPr>
            <w:tcW w:w="237" w:type="dxa"/>
            <w:tcBorders>
              <w:top w:val="single" w:sz="4" w:space="0" w:color="auto"/>
              <w:bottom w:val="single" w:sz="4" w:space="0" w:color="auto"/>
            </w:tcBorders>
            <w:vAlign w:val="center"/>
          </w:tcPr>
          <w:p w14:paraId="661B6071" w14:textId="36E7AF83" w:rsidR="00AB4D6F" w:rsidRPr="00B148F9" w:rsidRDefault="00AB4D6F" w:rsidP="001B7F08">
            <w:pPr>
              <w:jc w:val="center"/>
              <w:rPr>
                <w:rFonts w:cs="Arial"/>
                <w:b/>
              </w:rPr>
            </w:pPr>
          </w:p>
        </w:tc>
        <w:tc>
          <w:tcPr>
            <w:tcW w:w="1498" w:type="dxa"/>
            <w:gridSpan w:val="2"/>
            <w:tcBorders>
              <w:top w:val="single" w:sz="4" w:space="0" w:color="auto"/>
              <w:bottom w:val="single" w:sz="4" w:space="0" w:color="auto"/>
            </w:tcBorders>
            <w:vAlign w:val="center"/>
          </w:tcPr>
          <w:p w14:paraId="657E9CED" w14:textId="3783EC93" w:rsidR="00AB4D6F" w:rsidRPr="00B148F9" w:rsidRDefault="00AB4D6F" w:rsidP="001B7F08">
            <w:pPr>
              <w:jc w:val="center"/>
              <w:rPr>
                <w:rFonts w:cs="Arial"/>
                <w:b/>
              </w:rPr>
            </w:pPr>
            <w:r w:rsidRPr="00B148F9">
              <w:rPr>
                <w:rFonts w:cs="Arial"/>
                <w:b/>
              </w:rPr>
              <w:t>Percentage of Net Assets</w:t>
            </w:r>
          </w:p>
        </w:tc>
        <w:tc>
          <w:tcPr>
            <w:tcW w:w="1134" w:type="dxa"/>
            <w:tcBorders>
              <w:top w:val="single" w:sz="4" w:space="0" w:color="auto"/>
              <w:bottom w:val="single" w:sz="4" w:space="0" w:color="auto"/>
            </w:tcBorders>
            <w:vAlign w:val="center"/>
          </w:tcPr>
          <w:p w14:paraId="3EFE2932" w14:textId="2550FAE8" w:rsidR="00AB4D6F" w:rsidRPr="00B148F9" w:rsidRDefault="00AB4D6F" w:rsidP="00401317">
            <w:pPr>
              <w:jc w:val="center"/>
              <w:rPr>
                <w:rFonts w:cs="Arial"/>
                <w:b/>
              </w:rPr>
            </w:pPr>
            <w:r w:rsidRPr="00B148F9">
              <w:rPr>
                <w:rFonts w:cs="Arial"/>
                <w:b/>
              </w:rPr>
              <w:t>Number of shares</w:t>
            </w:r>
          </w:p>
        </w:tc>
        <w:tc>
          <w:tcPr>
            <w:tcW w:w="567" w:type="dxa"/>
            <w:tcBorders>
              <w:top w:val="single" w:sz="4" w:space="0" w:color="auto"/>
              <w:bottom w:val="single" w:sz="4" w:space="0" w:color="auto"/>
            </w:tcBorders>
          </w:tcPr>
          <w:p w14:paraId="45570E6F" w14:textId="48DF70FB" w:rsidR="00AB4D6F" w:rsidRPr="00B148F9" w:rsidRDefault="00AB4D6F" w:rsidP="001B7F08">
            <w:pPr>
              <w:jc w:val="center"/>
              <w:rPr>
                <w:rFonts w:cs="Arial"/>
                <w:b/>
              </w:rPr>
            </w:pPr>
          </w:p>
        </w:tc>
        <w:tc>
          <w:tcPr>
            <w:tcW w:w="1275" w:type="dxa"/>
            <w:tcBorders>
              <w:top w:val="single" w:sz="4" w:space="0" w:color="auto"/>
              <w:bottom w:val="single" w:sz="4" w:space="0" w:color="auto"/>
            </w:tcBorders>
            <w:vAlign w:val="center"/>
          </w:tcPr>
          <w:p w14:paraId="37D1861A" w14:textId="692A7963" w:rsidR="00AB4D6F" w:rsidRPr="00B148F9" w:rsidRDefault="00AB4D6F" w:rsidP="001B7F08">
            <w:pPr>
              <w:jc w:val="center"/>
              <w:rPr>
                <w:rFonts w:cs="Arial"/>
                <w:b/>
              </w:rPr>
            </w:pPr>
            <w:r w:rsidRPr="00B148F9">
              <w:rPr>
                <w:rFonts w:cs="Arial"/>
                <w:b/>
              </w:rPr>
              <w:t>Proceeds</w:t>
            </w:r>
          </w:p>
        </w:tc>
        <w:tc>
          <w:tcPr>
            <w:tcW w:w="675" w:type="dxa"/>
            <w:tcBorders>
              <w:top w:val="single" w:sz="4" w:space="0" w:color="auto"/>
              <w:bottom w:val="single" w:sz="4" w:space="0" w:color="auto"/>
            </w:tcBorders>
          </w:tcPr>
          <w:p w14:paraId="7C125BBF" w14:textId="77777777" w:rsidR="00AB4D6F" w:rsidRPr="00B148F9" w:rsidRDefault="00AB4D6F" w:rsidP="001B7F08">
            <w:pPr>
              <w:jc w:val="center"/>
              <w:rPr>
                <w:rFonts w:cs="Arial"/>
                <w:b/>
              </w:rPr>
            </w:pPr>
          </w:p>
        </w:tc>
        <w:tc>
          <w:tcPr>
            <w:tcW w:w="1418" w:type="dxa"/>
            <w:tcBorders>
              <w:top w:val="single" w:sz="4" w:space="0" w:color="auto"/>
              <w:bottom w:val="single" w:sz="4" w:space="0" w:color="auto"/>
            </w:tcBorders>
            <w:vAlign w:val="center"/>
          </w:tcPr>
          <w:p w14:paraId="6756B974" w14:textId="77777777" w:rsidR="00AB4D6F" w:rsidRPr="00B148F9" w:rsidRDefault="00AB4D6F" w:rsidP="001B7F08">
            <w:pPr>
              <w:jc w:val="center"/>
              <w:rPr>
                <w:rFonts w:cs="Arial"/>
                <w:b/>
              </w:rPr>
            </w:pPr>
            <w:r w:rsidRPr="00B148F9">
              <w:rPr>
                <w:rFonts w:cs="Arial"/>
                <w:b/>
              </w:rPr>
              <w:t>Fair Value</w:t>
            </w:r>
          </w:p>
        </w:tc>
      </w:tr>
      <w:tr w:rsidR="00AB4D6F" w:rsidRPr="00B148F9" w14:paraId="4A75242C" w14:textId="77777777" w:rsidTr="00AB4D6F">
        <w:tc>
          <w:tcPr>
            <w:tcW w:w="250" w:type="dxa"/>
            <w:tcBorders>
              <w:top w:val="single" w:sz="4" w:space="0" w:color="auto"/>
            </w:tcBorders>
          </w:tcPr>
          <w:p w14:paraId="23541695" w14:textId="77777777" w:rsidR="00AB4D6F" w:rsidRPr="00B148F9" w:rsidRDefault="00AB4D6F" w:rsidP="001B7F08">
            <w:pPr>
              <w:jc w:val="left"/>
              <w:rPr>
                <w:rFonts w:cs="Arial"/>
              </w:rPr>
            </w:pPr>
          </w:p>
        </w:tc>
        <w:tc>
          <w:tcPr>
            <w:tcW w:w="3260" w:type="dxa"/>
            <w:tcBorders>
              <w:top w:val="single" w:sz="4" w:space="0" w:color="auto"/>
            </w:tcBorders>
          </w:tcPr>
          <w:p w14:paraId="6BF309F3" w14:textId="77777777" w:rsidR="00AB4D6F" w:rsidRPr="00B148F9" w:rsidRDefault="00AB4D6F" w:rsidP="001B7F08">
            <w:pPr>
              <w:jc w:val="left"/>
              <w:rPr>
                <w:rFonts w:cs="Arial"/>
              </w:rPr>
            </w:pPr>
          </w:p>
        </w:tc>
        <w:tc>
          <w:tcPr>
            <w:tcW w:w="284" w:type="dxa"/>
            <w:tcBorders>
              <w:top w:val="single" w:sz="4" w:space="0" w:color="auto"/>
            </w:tcBorders>
          </w:tcPr>
          <w:p w14:paraId="65D1957A" w14:textId="77777777" w:rsidR="00AB4D6F" w:rsidRPr="00B148F9" w:rsidRDefault="00AB4D6F" w:rsidP="001B7F08">
            <w:pPr>
              <w:jc w:val="center"/>
              <w:rPr>
                <w:rFonts w:cs="Arial"/>
              </w:rPr>
            </w:pPr>
          </w:p>
        </w:tc>
        <w:tc>
          <w:tcPr>
            <w:tcW w:w="237" w:type="dxa"/>
            <w:tcBorders>
              <w:top w:val="single" w:sz="4" w:space="0" w:color="auto"/>
            </w:tcBorders>
          </w:tcPr>
          <w:p w14:paraId="3460603C" w14:textId="77777777" w:rsidR="00AB4D6F" w:rsidRPr="00B148F9" w:rsidRDefault="00AB4D6F" w:rsidP="001B7F08">
            <w:pPr>
              <w:jc w:val="center"/>
              <w:rPr>
                <w:rFonts w:cs="Arial"/>
              </w:rPr>
            </w:pPr>
          </w:p>
        </w:tc>
        <w:tc>
          <w:tcPr>
            <w:tcW w:w="1214" w:type="dxa"/>
            <w:tcBorders>
              <w:top w:val="single" w:sz="4" w:space="0" w:color="auto"/>
            </w:tcBorders>
          </w:tcPr>
          <w:p w14:paraId="70589B63" w14:textId="77777777" w:rsidR="00AB4D6F" w:rsidRPr="00B148F9" w:rsidRDefault="00AB4D6F" w:rsidP="001B7F08">
            <w:pPr>
              <w:jc w:val="center"/>
              <w:rPr>
                <w:rFonts w:cs="Arial"/>
              </w:rPr>
            </w:pPr>
          </w:p>
        </w:tc>
        <w:tc>
          <w:tcPr>
            <w:tcW w:w="284" w:type="dxa"/>
            <w:tcBorders>
              <w:top w:val="single" w:sz="4" w:space="0" w:color="auto"/>
            </w:tcBorders>
          </w:tcPr>
          <w:p w14:paraId="124E0AA5" w14:textId="77777777" w:rsidR="00AB4D6F" w:rsidRPr="00B148F9" w:rsidRDefault="00AB4D6F" w:rsidP="001B7F08">
            <w:pPr>
              <w:jc w:val="center"/>
              <w:rPr>
                <w:rFonts w:cs="Arial"/>
              </w:rPr>
            </w:pPr>
          </w:p>
        </w:tc>
        <w:tc>
          <w:tcPr>
            <w:tcW w:w="1134" w:type="dxa"/>
            <w:tcBorders>
              <w:top w:val="single" w:sz="4" w:space="0" w:color="auto"/>
            </w:tcBorders>
          </w:tcPr>
          <w:p w14:paraId="27A49D6A" w14:textId="77777777" w:rsidR="00AB4D6F" w:rsidRPr="00B148F9" w:rsidRDefault="00AB4D6F" w:rsidP="001B7F08">
            <w:pPr>
              <w:jc w:val="center"/>
              <w:rPr>
                <w:rFonts w:cs="Arial"/>
              </w:rPr>
            </w:pPr>
          </w:p>
        </w:tc>
        <w:tc>
          <w:tcPr>
            <w:tcW w:w="567" w:type="dxa"/>
            <w:tcBorders>
              <w:top w:val="single" w:sz="4" w:space="0" w:color="auto"/>
            </w:tcBorders>
          </w:tcPr>
          <w:p w14:paraId="56FB2226" w14:textId="377F3F1A" w:rsidR="00AB4D6F" w:rsidRPr="00B148F9" w:rsidRDefault="00AB4D6F" w:rsidP="001B7F08">
            <w:pPr>
              <w:jc w:val="center"/>
              <w:rPr>
                <w:rFonts w:cs="Arial"/>
              </w:rPr>
            </w:pPr>
          </w:p>
        </w:tc>
        <w:tc>
          <w:tcPr>
            <w:tcW w:w="1275" w:type="dxa"/>
            <w:tcBorders>
              <w:top w:val="single" w:sz="4" w:space="0" w:color="auto"/>
            </w:tcBorders>
          </w:tcPr>
          <w:p w14:paraId="7B59ED35" w14:textId="77777777" w:rsidR="00AB4D6F" w:rsidRPr="00B148F9" w:rsidRDefault="00AB4D6F" w:rsidP="001B7F08">
            <w:pPr>
              <w:jc w:val="center"/>
              <w:rPr>
                <w:rFonts w:cs="Arial"/>
              </w:rPr>
            </w:pPr>
          </w:p>
        </w:tc>
        <w:tc>
          <w:tcPr>
            <w:tcW w:w="675" w:type="dxa"/>
            <w:tcBorders>
              <w:top w:val="single" w:sz="4" w:space="0" w:color="auto"/>
            </w:tcBorders>
          </w:tcPr>
          <w:p w14:paraId="43EE0F8D" w14:textId="77777777" w:rsidR="00AB4D6F" w:rsidRPr="00B148F9" w:rsidRDefault="00AB4D6F" w:rsidP="001B7F08">
            <w:pPr>
              <w:jc w:val="center"/>
              <w:rPr>
                <w:rFonts w:cs="Arial"/>
              </w:rPr>
            </w:pPr>
          </w:p>
        </w:tc>
        <w:tc>
          <w:tcPr>
            <w:tcW w:w="1418" w:type="dxa"/>
            <w:tcBorders>
              <w:top w:val="single" w:sz="4" w:space="0" w:color="auto"/>
            </w:tcBorders>
          </w:tcPr>
          <w:p w14:paraId="1ED77375" w14:textId="77777777" w:rsidR="00AB4D6F" w:rsidRPr="00B148F9" w:rsidRDefault="00AB4D6F" w:rsidP="001B7F08">
            <w:pPr>
              <w:jc w:val="center"/>
              <w:rPr>
                <w:rFonts w:cs="Arial"/>
              </w:rPr>
            </w:pPr>
          </w:p>
        </w:tc>
      </w:tr>
      <w:tr w:rsidR="00AB4D6F" w:rsidRPr="00B148F9" w14:paraId="5069A7D7" w14:textId="77777777" w:rsidTr="00AB4D6F">
        <w:tc>
          <w:tcPr>
            <w:tcW w:w="3794" w:type="dxa"/>
            <w:gridSpan w:val="3"/>
            <w:vAlign w:val="center"/>
          </w:tcPr>
          <w:p w14:paraId="0AF98F91" w14:textId="2EC0BE48" w:rsidR="00AB4D6F" w:rsidRPr="00B148F9" w:rsidRDefault="00AB4D6F" w:rsidP="001B7F08">
            <w:pPr>
              <w:jc w:val="left"/>
              <w:rPr>
                <w:rFonts w:cs="Arial"/>
              </w:rPr>
            </w:pPr>
            <w:r w:rsidRPr="00B148F9">
              <w:rPr>
                <w:rFonts w:cs="Arial"/>
              </w:rPr>
              <w:t>Securities sold short, at fair value</w:t>
            </w:r>
          </w:p>
        </w:tc>
        <w:tc>
          <w:tcPr>
            <w:tcW w:w="237" w:type="dxa"/>
          </w:tcPr>
          <w:p w14:paraId="23057084" w14:textId="77777777" w:rsidR="00AB4D6F" w:rsidRPr="00B148F9" w:rsidRDefault="00AB4D6F" w:rsidP="001B7F08">
            <w:pPr>
              <w:jc w:val="center"/>
              <w:rPr>
                <w:rFonts w:cs="Arial"/>
              </w:rPr>
            </w:pPr>
          </w:p>
        </w:tc>
        <w:tc>
          <w:tcPr>
            <w:tcW w:w="1214" w:type="dxa"/>
          </w:tcPr>
          <w:p w14:paraId="22BA2C55" w14:textId="77777777" w:rsidR="00AB4D6F" w:rsidRPr="00B148F9" w:rsidRDefault="00AB4D6F" w:rsidP="001B7F08">
            <w:pPr>
              <w:jc w:val="center"/>
              <w:rPr>
                <w:rFonts w:cs="Arial"/>
              </w:rPr>
            </w:pPr>
          </w:p>
        </w:tc>
        <w:tc>
          <w:tcPr>
            <w:tcW w:w="284" w:type="dxa"/>
          </w:tcPr>
          <w:p w14:paraId="5B436B14" w14:textId="77777777" w:rsidR="00AB4D6F" w:rsidRPr="00B148F9" w:rsidRDefault="00AB4D6F" w:rsidP="001B7F08">
            <w:pPr>
              <w:jc w:val="center"/>
              <w:rPr>
                <w:rFonts w:cs="Arial"/>
              </w:rPr>
            </w:pPr>
          </w:p>
        </w:tc>
        <w:tc>
          <w:tcPr>
            <w:tcW w:w="1134" w:type="dxa"/>
          </w:tcPr>
          <w:p w14:paraId="037DFA4D" w14:textId="77777777" w:rsidR="00AB4D6F" w:rsidRPr="00B148F9" w:rsidRDefault="00AB4D6F" w:rsidP="001B7F08">
            <w:pPr>
              <w:jc w:val="center"/>
              <w:rPr>
                <w:rFonts w:cs="Arial"/>
              </w:rPr>
            </w:pPr>
          </w:p>
        </w:tc>
        <w:tc>
          <w:tcPr>
            <w:tcW w:w="567" w:type="dxa"/>
          </w:tcPr>
          <w:p w14:paraId="446FD2EE" w14:textId="7137C498" w:rsidR="00AB4D6F" w:rsidRPr="00B148F9" w:rsidRDefault="00AB4D6F" w:rsidP="001B7F08">
            <w:pPr>
              <w:jc w:val="center"/>
              <w:rPr>
                <w:rFonts w:cs="Arial"/>
              </w:rPr>
            </w:pPr>
          </w:p>
        </w:tc>
        <w:tc>
          <w:tcPr>
            <w:tcW w:w="1275" w:type="dxa"/>
          </w:tcPr>
          <w:p w14:paraId="10FBC72F" w14:textId="77777777" w:rsidR="00AB4D6F" w:rsidRPr="00B148F9" w:rsidRDefault="00AB4D6F" w:rsidP="001B7F08">
            <w:pPr>
              <w:jc w:val="center"/>
              <w:rPr>
                <w:rFonts w:cs="Arial"/>
              </w:rPr>
            </w:pPr>
          </w:p>
        </w:tc>
        <w:tc>
          <w:tcPr>
            <w:tcW w:w="675" w:type="dxa"/>
          </w:tcPr>
          <w:p w14:paraId="26151DEF" w14:textId="77777777" w:rsidR="00AB4D6F" w:rsidRPr="00B148F9" w:rsidRDefault="00AB4D6F" w:rsidP="001B7F08">
            <w:pPr>
              <w:jc w:val="center"/>
              <w:rPr>
                <w:rFonts w:cs="Arial"/>
              </w:rPr>
            </w:pPr>
          </w:p>
        </w:tc>
        <w:tc>
          <w:tcPr>
            <w:tcW w:w="1418" w:type="dxa"/>
          </w:tcPr>
          <w:p w14:paraId="132A14B9" w14:textId="77777777" w:rsidR="00AB4D6F" w:rsidRPr="00B148F9" w:rsidRDefault="00AB4D6F" w:rsidP="001B7F08">
            <w:pPr>
              <w:jc w:val="center"/>
              <w:rPr>
                <w:rFonts w:cs="Arial"/>
              </w:rPr>
            </w:pPr>
          </w:p>
        </w:tc>
      </w:tr>
      <w:tr w:rsidR="00AB4D6F" w:rsidRPr="00B148F9" w14:paraId="6D221F70" w14:textId="77777777" w:rsidTr="00AB4D6F">
        <w:tc>
          <w:tcPr>
            <w:tcW w:w="250" w:type="dxa"/>
          </w:tcPr>
          <w:p w14:paraId="0058CA83" w14:textId="77777777" w:rsidR="00AB4D6F" w:rsidRPr="00B148F9" w:rsidRDefault="00AB4D6F" w:rsidP="001B7F08">
            <w:pPr>
              <w:jc w:val="left"/>
              <w:rPr>
                <w:rFonts w:cs="Arial"/>
              </w:rPr>
            </w:pPr>
          </w:p>
        </w:tc>
        <w:tc>
          <w:tcPr>
            <w:tcW w:w="3260" w:type="dxa"/>
          </w:tcPr>
          <w:p w14:paraId="695DAA2D" w14:textId="77777777" w:rsidR="00AB4D6F" w:rsidRPr="00B148F9" w:rsidRDefault="00AB4D6F" w:rsidP="001B7F08">
            <w:pPr>
              <w:jc w:val="left"/>
              <w:rPr>
                <w:rFonts w:cs="Arial"/>
              </w:rPr>
            </w:pPr>
          </w:p>
        </w:tc>
        <w:tc>
          <w:tcPr>
            <w:tcW w:w="284" w:type="dxa"/>
          </w:tcPr>
          <w:p w14:paraId="49566F18" w14:textId="77777777" w:rsidR="00AB4D6F" w:rsidRPr="00B148F9" w:rsidRDefault="00AB4D6F" w:rsidP="001B7F08">
            <w:pPr>
              <w:jc w:val="center"/>
              <w:rPr>
                <w:rFonts w:cs="Arial"/>
              </w:rPr>
            </w:pPr>
          </w:p>
        </w:tc>
        <w:tc>
          <w:tcPr>
            <w:tcW w:w="237" w:type="dxa"/>
          </w:tcPr>
          <w:p w14:paraId="13F0BF6B" w14:textId="77777777" w:rsidR="00AB4D6F" w:rsidRPr="00B148F9" w:rsidRDefault="00AB4D6F" w:rsidP="001B7F08">
            <w:pPr>
              <w:jc w:val="center"/>
              <w:rPr>
                <w:rFonts w:cs="Arial"/>
              </w:rPr>
            </w:pPr>
          </w:p>
        </w:tc>
        <w:tc>
          <w:tcPr>
            <w:tcW w:w="1214" w:type="dxa"/>
          </w:tcPr>
          <w:p w14:paraId="15EC1B3B" w14:textId="77777777" w:rsidR="00AB4D6F" w:rsidRPr="00B148F9" w:rsidRDefault="00AB4D6F" w:rsidP="001B7F08">
            <w:pPr>
              <w:jc w:val="center"/>
              <w:rPr>
                <w:rFonts w:cs="Arial"/>
              </w:rPr>
            </w:pPr>
          </w:p>
        </w:tc>
        <w:tc>
          <w:tcPr>
            <w:tcW w:w="284" w:type="dxa"/>
          </w:tcPr>
          <w:p w14:paraId="1DDD521F" w14:textId="77777777" w:rsidR="00AB4D6F" w:rsidRPr="00B148F9" w:rsidRDefault="00AB4D6F" w:rsidP="001B7F08">
            <w:pPr>
              <w:jc w:val="center"/>
              <w:rPr>
                <w:rFonts w:cs="Arial"/>
              </w:rPr>
            </w:pPr>
          </w:p>
        </w:tc>
        <w:tc>
          <w:tcPr>
            <w:tcW w:w="1134" w:type="dxa"/>
          </w:tcPr>
          <w:p w14:paraId="51D17C4F" w14:textId="77777777" w:rsidR="00AB4D6F" w:rsidRPr="00B148F9" w:rsidRDefault="00AB4D6F" w:rsidP="001B7F08">
            <w:pPr>
              <w:jc w:val="center"/>
              <w:rPr>
                <w:rFonts w:cs="Arial"/>
              </w:rPr>
            </w:pPr>
          </w:p>
        </w:tc>
        <w:tc>
          <w:tcPr>
            <w:tcW w:w="567" w:type="dxa"/>
          </w:tcPr>
          <w:p w14:paraId="4EA41EC4" w14:textId="12F811D9" w:rsidR="00AB4D6F" w:rsidRPr="00B148F9" w:rsidRDefault="00AB4D6F" w:rsidP="001B7F08">
            <w:pPr>
              <w:jc w:val="center"/>
              <w:rPr>
                <w:rFonts w:cs="Arial"/>
              </w:rPr>
            </w:pPr>
          </w:p>
        </w:tc>
        <w:tc>
          <w:tcPr>
            <w:tcW w:w="1275" w:type="dxa"/>
          </w:tcPr>
          <w:p w14:paraId="093D2531" w14:textId="77777777" w:rsidR="00AB4D6F" w:rsidRPr="00B148F9" w:rsidRDefault="00AB4D6F" w:rsidP="001B7F08">
            <w:pPr>
              <w:jc w:val="center"/>
              <w:rPr>
                <w:rFonts w:cs="Arial"/>
              </w:rPr>
            </w:pPr>
          </w:p>
        </w:tc>
        <w:tc>
          <w:tcPr>
            <w:tcW w:w="675" w:type="dxa"/>
          </w:tcPr>
          <w:p w14:paraId="09C87011" w14:textId="77777777" w:rsidR="00AB4D6F" w:rsidRPr="00B148F9" w:rsidRDefault="00AB4D6F" w:rsidP="001B7F08">
            <w:pPr>
              <w:jc w:val="center"/>
              <w:rPr>
                <w:rFonts w:cs="Arial"/>
              </w:rPr>
            </w:pPr>
          </w:p>
        </w:tc>
        <w:tc>
          <w:tcPr>
            <w:tcW w:w="1418" w:type="dxa"/>
          </w:tcPr>
          <w:p w14:paraId="697FF68B" w14:textId="77777777" w:rsidR="00AB4D6F" w:rsidRPr="00B148F9" w:rsidRDefault="00AB4D6F" w:rsidP="001B7F08">
            <w:pPr>
              <w:jc w:val="center"/>
              <w:rPr>
                <w:rFonts w:cs="Arial"/>
              </w:rPr>
            </w:pPr>
          </w:p>
        </w:tc>
      </w:tr>
      <w:tr w:rsidR="00AB4D6F" w:rsidRPr="00B148F9" w14:paraId="2043C4D3" w14:textId="77777777" w:rsidTr="00AB4D6F">
        <w:tc>
          <w:tcPr>
            <w:tcW w:w="3794" w:type="dxa"/>
            <w:gridSpan w:val="3"/>
            <w:vAlign w:val="center"/>
          </w:tcPr>
          <w:p w14:paraId="511D0FEF" w14:textId="2FE3EAD6" w:rsidR="00AB4D6F" w:rsidRPr="00B148F9" w:rsidRDefault="00AB4D6F" w:rsidP="001B7F08">
            <w:pPr>
              <w:jc w:val="left"/>
              <w:rPr>
                <w:rFonts w:cs="Arial"/>
                <w:b/>
              </w:rPr>
            </w:pPr>
            <w:r w:rsidRPr="00B148F9">
              <w:rPr>
                <w:rFonts w:cs="Arial"/>
                <w:b/>
              </w:rPr>
              <w:t>Common Stocks</w:t>
            </w:r>
          </w:p>
        </w:tc>
        <w:tc>
          <w:tcPr>
            <w:tcW w:w="237" w:type="dxa"/>
          </w:tcPr>
          <w:p w14:paraId="62F93497" w14:textId="77777777" w:rsidR="00AB4D6F" w:rsidRPr="00B148F9" w:rsidRDefault="00AB4D6F" w:rsidP="001B7F08">
            <w:pPr>
              <w:jc w:val="center"/>
              <w:rPr>
                <w:rFonts w:cs="Arial"/>
              </w:rPr>
            </w:pPr>
          </w:p>
        </w:tc>
        <w:tc>
          <w:tcPr>
            <w:tcW w:w="1214" w:type="dxa"/>
          </w:tcPr>
          <w:p w14:paraId="0D636CDC" w14:textId="77777777" w:rsidR="00AB4D6F" w:rsidRPr="00B148F9" w:rsidRDefault="00AB4D6F" w:rsidP="001B7F08">
            <w:pPr>
              <w:jc w:val="center"/>
              <w:rPr>
                <w:rFonts w:cs="Arial"/>
              </w:rPr>
            </w:pPr>
          </w:p>
        </w:tc>
        <w:tc>
          <w:tcPr>
            <w:tcW w:w="284" w:type="dxa"/>
          </w:tcPr>
          <w:p w14:paraId="3A53EBE5" w14:textId="77777777" w:rsidR="00AB4D6F" w:rsidRPr="00B148F9" w:rsidRDefault="00AB4D6F" w:rsidP="001B7F08">
            <w:pPr>
              <w:jc w:val="center"/>
              <w:rPr>
                <w:rFonts w:cs="Arial"/>
              </w:rPr>
            </w:pPr>
          </w:p>
        </w:tc>
        <w:tc>
          <w:tcPr>
            <w:tcW w:w="1134" w:type="dxa"/>
          </w:tcPr>
          <w:p w14:paraId="0A6A6757" w14:textId="77777777" w:rsidR="00AB4D6F" w:rsidRPr="00B148F9" w:rsidRDefault="00AB4D6F" w:rsidP="001B7F08">
            <w:pPr>
              <w:jc w:val="center"/>
              <w:rPr>
                <w:rFonts w:cs="Arial"/>
              </w:rPr>
            </w:pPr>
          </w:p>
        </w:tc>
        <w:tc>
          <w:tcPr>
            <w:tcW w:w="567" w:type="dxa"/>
          </w:tcPr>
          <w:p w14:paraId="408D7DF8" w14:textId="6C9AD1AA" w:rsidR="00AB4D6F" w:rsidRPr="00B148F9" w:rsidRDefault="00AB4D6F" w:rsidP="001B7F08">
            <w:pPr>
              <w:jc w:val="center"/>
              <w:rPr>
                <w:rFonts w:cs="Arial"/>
              </w:rPr>
            </w:pPr>
          </w:p>
        </w:tc>
        <w:tc>
          <w:tcPr>
            <w:tcW w:w="1275" w:type="dxa"/>
          </w:tcPr>
          <w:p w14:paraId="0F265B67" w14:textId="77777777" w:rsidR="00AB4D6F" w:rsidRPr="00B148F9" w:rsidRDefault="00AB4D6F" w:rsidP="001B7F08">
            <w:pPr>
              <w:jc w:val="center"/>
              <w:rPr>
                <w:rFonts w:cs="Arial"/>
              </w:rPr>
            </w:pPr>
          </w:p>
        </w:tc>
        <w:tc>
          <w:tcPr>
            <w:tcW w:w="675" w:type="dxa"/>
          </w:tcPr>
          <w:p w14:paraId="4D8D3CC2" w14:textId="77777777" w:rsidR="00AB4D6F" w:rsidRPr="00B148F9" w:rsidRDefault="00AB4D6F" w:rsidP="001B7F08">
            <w:pPr>
              <w:jc w:val="center"/>
              <w:rPr>
                <w:rFonts w:cs="Arial"/>
              </w:rPr>
            </w:pPr>
          </w:p>
        </w:tc>
        <w:tc>
          <w:tcPr>
            <w:tcW w:w="1418" w:type="dxa"/>
          </w:tcPr>
          <w:p w14:paraId="3E60BD1D" w14:textId="77777777" w:rsidR="00AB4D6F" w:rsidRPr="00B148F9" w:rsidRDefault="00AB4D6F" w:rsidP="001B7F08">
            <w:pPr>
              <w:jc w:val="center"/>
              <w:rPr>
                <w:rFonts w:cs="Arial"/>
              </w:rPr>
            </w:pPr>
          </w:p>
        </w:tc>
      </w:tr>
      <w:tr w:rsidR="00AB4D6F" w:rsidRPr="00B148F9" w14:paraId="0D17CBBB" w14:textId="77777777" w:rsidTr="00AB4D6F">
        <w:tc>
          <w:tcPr>
            <w:tcW w:w="250" w:type="dxa"/>
          </w:tcPr>
          <w:p w14:paraId="62E28A79" w14:textId="77777777" w:rsidR="00AB4D6F" w:rsidRPr="00B148F9" w:rsidRDefault="00AB4D6F" w:rsidP="001B7F08">
            <w:pPr>
              <w:jc w:val="left"/>
              <w:rPr>
                <w:rFonts w:cs="Arial"/>
                <w:b/>
              </w:rPr>
            </w:pPr>
          </w:p>
        </w:tc>
        <w:tc>
          <w:tcPr>
            <w:tcW w:w="3260" w:type="dxa"/>
          </w:tcPr>
          <w:p w14:paraId="27E72A29" w14:textId="77777777" w:rsidR="00AB4D6F" w:rsidRPr="00B148F9" w:rsidRDefault="00AB4D6F" w:rsidP="001B7F08">
            <w:pPr>
              <w:jc w:val="left"/>
              <w:rPr>
                <w:rFonts w:cs="Arial"/>
                <w:b/>
              </w:rPr>
            </w:pPr>
            <w:r w:rsidRPr="00B148F9">
              <w:rPr>
                <w:rFonts w:cs="Arial"/>
                <w:b/>
              </w:rPr>
              <w:t>United States</w:t>
            </w:r>
          </w:p>
        </w:tc>
        <w:tc>
          <w:tcPr>
            <w:tcW w:w="284" w:type="dxa"/>
          </w:tcPr>
          <w:p w14:paraId="6A493771" w14:textId="77777777" w:rsidR="00AB4D6F" w:rsidRPr="00B148F9" w:rsidRDefault="00AB4D6F" w:rsidP="001B7F08">
            <w:pPr>
              <w:jc w:val="center"/>
              <w:rPr>
                <w:rFonts w:cs="Arial"/>
              </w:rPr>
            </w:pPr>
          </w:p>
        </w:tc>
        <w:tc>
          <w:tcPr>
            <w:tcW w:w="237" w:type="dxa"/>
          </w:tcPr>
          <w:p w14:paraId="15E0CE02" w14:textId="77777777" w:rsidR="00AB4D6F" w:rsidRPr="00B148F9" w:rsidRDefault="00AB4D6F" w:rsidP="001B7F08">
            <w:pPr>
              <w:jc w:val="center"/>
              <w:rPr>
                <w:rFonts w:cs="Arial"/>
              </w:rPr>
            </w:pPr>
          </w:p>
        </w:tc>
        <w:tc>
          <w:tcPr>
            <w:tcW w:w="1214" w:type="dxa"/>
          </w:tcPr>
          <w:p w14:paraId="6C4BE20A" w14:textId="77777777" w:rsidR="00AB4D6F" w:rsidRPr="00B148F9" w:rsidRDefault="00AB4D6F" w:rsidP="001B7F08">
            <w:pPr>
              <w:jc w:val="center"/>
              <w:rPr>
                <w:rFonts w:cs="Arial"/>
              </w:rPr>
            </w:pPr>
          </w:p>
        </w:tc>
        <w:tc>
          <w:tcPr>
            <w:tcW w:w="284" w:type="dxa"/>
          </w:tcPr>
          <w:p w14:paraId="362B8621" w14:textId="77777777" w:rsidR="00AB4D6F" w:rsidRPr="00B148F9" w:rsidRDefault="00AB4D6F" w:rsidP="001B7F08">
            <w:pPr>
              <w:jc w:val="center"/>
              <w:rPr>
                <w:rFonts w:cs="Arial"/>
              </w:rPr>
            </w:pPr>
          </w:p>
        </w:tc>
        <w:tc>
          <w:tcPr>
            <w:tcW w:w="1134" w:type="dxa"/>
          </w:tcPr>
          <w:p w14:paraId="584D1379" w14:textId="77777777" w:rsidR="00AB4D6F" w:rsidRPr="00B148F9" w:rsidRDefault="00AB4D6F" w:rsidP="001B7F08">
            <w:pPr>
              <w:jc w:val="center"/>
              <w:rPr>
                <w:rFonts w:cs="Arial"/>
              </w:rPr>
            </w:pPr>
          </w:p>
        </w:tc>
        <w:tc>
          <w:tcPr>
            <w:tcW w:w="567" w:type="dxa"/>
          </w:tcPr>
          <w:p w14:paraId="3EC57A6D" w14:textId="2F0B1C65" w:rsidR="00AB4D6F" w:rsidRPr="00B148F9" w:rsidRDefault="00AB4D6F" w:rsidP="001B7F08">
            <w:pPr>
              <w:jc w:val="center"/>
              <w:rPr>
                <w:rFonts w:cs="Arial"/>
              </w:rPr>
            </w:pPr>
          </w:p>
        </w:tc>
        <w:tc>
          <w:tcPr>
            <w:tcW w:w="1275" w:type="dxa"/>
          </w:tcPr>
          <w:p w14:paraId="38F68AA7" w14:textId="77777777" w:rsidR="00AB4D6F" w:rsidRPr="00B148F9" w:rsidRDefault="00AB4D6F" w:rsidP="001B7F08">
            <w:pPr>
              <w:jc w:val="center"/>
              <w:rPr>
                <w:rFonts w:cs="Arial"/>
              </w:rPr>
            </w:pPr>
          </w:p>
        </w:tc>
        <w:tc>
          <w:tcPr>
            <w:tcW w:w="675" w:type="dxa"/>
          </w:tcPr>
          <w:p w14:paraId="65320773" w14:textId="77777777" w:rsidR="00AB4D6F" w:rsidRPr="00B148F9" w:rsidRDefault="00AB4D6F" w:rsidP="001B7F08">
            <w:pPr>
              <w:jc w:val="center"/>
              <w:rPr>
                <w:rFonts w:cs="Arial"/>
              </w:rPr>
            </w:pPr>
          </w:p>
        </w:tc>
        <w:tc>
          <w:tcPr>
            <w:tcW w:w="1418" w:type="dxa"/>
          </w:tcPr>
          <w:p w14:paraId="4B54BE5D" w14:textId="77777777" w:rsidR="00AB4D6F" w:rsidRPr="00B148F9" w:rsidRDefault="00AB4D6F" w:rsidP="001B7F08">
            <w:pPr>
              <w:jc w:val="center"/>
              <w:rPr>
                <w:rFonts w:cs="Arial"/>
              </w:rPr>
            </w:pPr>
          </w:p>
        </w:tc>
      </w:tr>
      <w:tr w:rsidR="00AB4D6F" w:rsidRPr="00B148F9" w14:paraId="3CAA3302" w14:textId="77777777" w:rsidTr="00AB4D6F">
        <w:tc>
          <w:tcPr>
            <w:tcW w:w="250" w:type="dxa"/>
          </w:tcPr>
          <w:p w14:paraId="64EF8585" w14:textId="77777777" w:rsidR="00AB4D6F" w:rsidRPr="00B148F9" w:rsidRDefault="00AB4D6F" w:rsidP="00CF3172">
            <w:pPr>
              <w:jc w:val="left"/>
              <w:rPr>
                <w:rFonts w:cs="Arial"/>
              </w:rPr>
            </w:pPr>
          </w:p>
        </w:tc>
        <w:tc>
          <w:tcPr>
            <w:tcW w:w="3260" w:type="dxa"/>
          </w:tcPr>
          <w:p w14:paraId="53E22F2F" w14:textId="5B17A808" w:rsidR="00AB4D6F" w:rsidRPr="00B148F9" w:rsidRDefault="00AB4D6F" w:rsidP="00CF3172">
            <w:pPr>
              <w:jc w:val="left"/>
              <w:rPr>
                <w:rFonts w:cs="Arial"/>
              </w:rPr>
            </w:pPr>
            <w:r w:rsidRPr="00B148F9">
              <w:rPr>
                <w:rFonts w:cs="Arial"/>
              </w:rPr>
              <w:t>Healthcare</w:t>
            </w:r>
          </w:p>
        </w:tc>
        <w:tc>
          <w:tcPr>
            <w:tcW w:w="284" w:type="dxa"/>
          </w:tcPr>
          <w:p w14:paraId="2738FF2F" w14:textId="77777777" w:rsidR="00AB4D6F" w:rsidRPr="00B148F9" w:rsidRDefault="00AB4D6F" w:rsidP="00CF3172">
            <w:pPr>
              <w:jc w:val="center"/>
              <w:rPr>
                <w:rFonts w:cs="Arial"/>
              </w:rPr>
            </w:pPr>
          </w:p>
        </w:tc>
        <w:tc>
          <w:tcPr>
            <w:tcW w:w="237" w:type="dxa"/>
          </w:tcPr>
          <w:p w14:paraId="50A27122" w14:textId="2CEB3585" w:rsidR="00AB4D6F" w:rsidRPr="00B148F9" w:rsidRDefault="00AB4D6F" w:rsidP="00CF3172">
            <w:pPr>
              <w:jc w:val="center"/>
              <w:rPr>
                <w:rFonts w:cs="Arial"/>
              </w:rPr>
            </w:pPr>
          </w:p>
        </w:tc>
        <w:tc>
          <w:tcPr>
            <w:tcW w:w="1214" w:type="dxa"/>
          </w:tcPr>
          <w:p w14:paraId="02DB1500" w14:textId="0E6745CE" w:rsidR="00AB4D6F" w:rsidRPr="00B148F9" w:rsidRDefault="00AB4D6F" w:rsidP="00CF3172">
            <w:pPr>
              <w:jc w:val="center"/>
              <w:rPr>
                <w:rFonts w:cs="Arial"/>
              </w:rPr>
            </w:pPr>
            <w:r w:rsidRPr="00B148F9">
              <w:rPr>
                <w:rFonts w:cs="Arial"/>
              </w:rPr>
              <w:t>0.10</w:t>
            </w:r>
          </w:p>
        </w:tc>
        <w:tc>
          <w:tcPr>
            <w:tcW w:w="284" w:type="dxa"/>
          </w:tcPr>
          <w:p w14:paraId="29C146D7" w14:textId="35961293" w:rsidR="00AB4D6F" w:rsidRPr="00B148F9" w:rsidRDefault="00AB4D6F" w:rsidP="00B746FC">
            <w:pPr>
              <w:jc w:val="left"/>
              <w:rPr>
                <w:rFonts w:cs="Arial"/>
              </w:rPr>
            </w:pPr>
            <w:r w:rsidRPr="00B148F9">
              <w:rPr>
                <w:rFonts w:cs="Arial"/>
              </w:rPr>
              <w:t>%</w:t>
            </w:r>
          </w:p>
        </w:tc>
        <w:tc>
          <w:tcPr>
            <w:tcW w:w="1134" w:type="dxa"/>
          </w:tcPr>
          <w:p w14:paraId="7B838C60" w14:textId="05A10C55" w:rsidR="00AB4D6F" w:rsidRPr="00B148F9" w:rsidRDefault="00AB4D6F" w:rsidP="00CF3172">
            <w:pPr>
              <w:jc w:val="center"/>
              <w:rPr>
                <w:rFonts w:cs="Arial"/>
              </w:rPr>
            </w:pPr>
            <w:r w:rsidRPr="00B148F9">
              <w:rPr>
                <w:rFonts w:cs="Arial"/>
              </w:rPr>
              <w:t>27,190</w:t>
            </w:r>
          </w:p>
        </w:tc>
        <w:tc>
          <w:tcPr>
            <w:tcW w:w="567" w:type="dxa"/>
          </w:tcPr>
          <w:p w14:paraId="76C77587" w14:textId="1FF0FF6C" w:rsidR="00AB4D6F" w:rsidRPr="00B148F9" w:rsidRDefault="00AB4D6F" w:rsidP="00CF3172">
            <w:pPr>
              <w:jc w:val="center"/>
              <w:rPr>
                <w:rFonts w:cs="Arial"/>
              </w:rPr>
            </w:pPr>
          </w:p>
        </w:tc>
        <w:tc>
          <w:tcPr>
            <w:tcW w:w="1275" w:type="dxa"/>
          </w:tcPr>
          <w:p w14:paraId="5CF4C190" w14:textId="0D4C98E7" w:rsidR="00AB4D6F" w:rsidRPr="00B148F9" w:rsidRDefault="00AB4D6F" w:rsidP="00CF3172">
            <w:pPr>
              <w:jc w:val="center"/>
              <w:rPr>
                <w:rFonts w:cs="Arial"/>
              </w:rPr>
            </w:pPr>
            <w:r w:rsidRPr="00B148F9">
              <w:rPr>
                <w:rFonts w:cs="Arial"/>
              </w:rPr>
              <w:t>193,650</w:t>
            </w:r>
          </w:p>
        </w:tc>
        <w:tc>
          <w:tcPr>
            <w:tcW w:w="675" w:type="dxa"/>
          </w:tcPr>
          <w:p w14:paraId="34B2A587" w14:textId="77777777" w:rsidR="00AB4D6F" w:rsidRPr="00B148F9" w:rsidRDefault="00AB4D6F" w:rsidP="00CF3172">
            <w:pPr>
              <w:jc w:val="center"/>
              <w:rPr>
                <w:rFonts w:cs="Arial"/>
              </w:rPr>
            </w:pPr>
          </w:p>
        </w:tc>
        <w:tc>
          <w:tcPr>
            <w:tcW w:w="1418" w:type="dxa"/>
          </w:tcPr>
          <w:p w14:paraId="4484FB51" w14:textId="667DBDBC" w:rsidR="00AB4D6F" w:rsidRPr="00B148F9" w:rsidRDefault="00AB4D6F" w:rsidP="00CF3172">
            <w:pPr>
              <w:jc w:val="center"/>
              <w:rPr>
                <w:rFonts w:cs="Arial"/>
              </w:rPr>
            </w:pPr>
            <w:r w:rsidRPr="00B148F9">
              <w:rPr>
                <w:rFonts w:cs="Arial"/>
              </w:rPr>
              <w:t>202,933</w:t>
            </w:r>
          </w:p>
        </w:tc>
      </w:tr>
      <w:tr w:rsidR="00AB4D6F" w:rsidRPr="00B148F9" w14:paraId="178EB89D" w14:textId="77777777" w:rsidTr="00AB4D6F">
        <w:tc>
          <w:tcPr>
            <w:tcW w:w="250" w:type="dxa"/>
          </w:tcPr>
          <w:p w14:paraId="72AE9B81" w14:textId="77777777" w:rsidR="00AB4D6F" w:rsidRPr="00B148F9" w:rsidRDefault="00AB4D6F" w:rsidP="00CF3172">
            <w:pPr>
              <w:jc w:val="left"/>
              <w:rPr>
                <w:rFonts w:cs="Arial"/>
              </w:rPr>
            </w:pPr>
          </w:p>
        </w:tc>
        <w:tc>
          <w:tcPr>
            <w:tcW w:w="3260" w:type="dxa"/>
          </w:tcPr>
          <w:p w14:paraId="2F90AAA9" w14:textId="77777777" w:rsidR="00AB4D6F" w:rsidRPr="00B148F9" w:rsidRDefault="00AB4D6F" w:rsidP="00CF3172">
            <w:pPr>
              <w:jc w:val="left"/>
              <w:rPr>
                <w:rFonts w:cs="Arial"/>
              </w:rPr>
            </w:pPr>
          </w:p>
        </w:tc>
        <w:tc>
          <w:tcPr>
            <w:tcW w:w="284" w:type="dxa"/>
          </w:tcPr>
          <w:p w14:paraId="5BEFE68A" w14:textId="77777777" w:rsidR="00AB4D6F" w:rsidRPr="00B148F9" w:rsidRDefault="00AB4D6F" w:rsidP="00CF3172">
            <w:pPr>
              <w:jc w:val="center"/>
              <w:rPr>
                <w:rFonts w:cs="Arial"/>
              </w:rPr>
            </w:pPr>
          </w:p>
        </w:tc>
        <w:tc>
          <w:tcPr>
            <w:tcW w:w="237" w:type="dxa"/>
          </w:tcPr>
          <w:p w14:paraId="1D6C3179" w14:textId="77777777" w:rsidR="00AB4D6F" w:rsidRPr="00B148F9" w:rsidRDefault="00AB4D6F" w:rsidP="00CF3172">
            <w:pPr>
              <w:jc w:val="center"/>
              <w:rPr>
                <w:rFonts w:cs="Arial"/>
              </w:rPr>
            </w:pPr>
          </w:p>
        </w:tc>
        <w:tc>
          <w:tcPr>
            <w:tcW w:w="1214" w:type="dxa"/>
            <w:tcBorders>
              <w:bottom w:val="single" w:sz="4" w:space="0" w:color="auto"/>
            </w:tcBorders>
          </w:tcPr>
          <w:p w14:paraId="5AB2B3AA" w14:textId="77777777" w:rsidR="00AB4D6F" w:rsidRPr="00B148F9" w:rsidRDefault="00AB4D6F" w:rsidP="00CF3172">
            <w:pPr>
              <w:jc w:val="center"/>
              <w:rPr>
                <w:rFonts w:cs="Arial"/>
              </w:rPr>
            </w:pPr>
          </w:p>
        </w:tc>
        <w:tc>
          <w:tcPr>
            <w:tcW w:w="284" w:type="dxa"/>
            <w:tcBorders>
              <w:bottom w:val="single" w:sz="4" w:space="0" w:color="auto"/>
            </w:tcBorders>
          </w:tcPr>
          <w:p w14:paraId="14A37041" w14:textId="77777777" w:rsidR="00AB4D6F" w:rsidRPr="00B148F9" w:rsidRDefault="00AB4D6F" w:rsidP="00CF3172">
            <w:pPr>
              <w:jc w:val="center"/>
              <w:rPr>
                <w:rFonts w:cs="Arial"/>
              </w:rPr>
            </w:pPr>
          </w:p>
        </w:tc>
        <w:tc>
          <w:tcPr>
            <w:tcW w:w="1134" w:type="dxa"/>
            <w:tcBorders>
              <w:bottom w:val="single" w:sz="4" w:space="0" w:color="auto"/>
            </w:tcBorders>
          </w:tcPr>
          <w:p w14:paraId="1114B71F" w14:textId="77777777" w:rsidR="00AB4D6F" w:rsidRPr="00B148F9" w:rsidRDefault="00AB4D6F" w:rsidP="00CF3172">
            <w:pPr>
              <w:jc w:val="center"/>
              <w:rPr>
                <w:rFonts w:cs="Arial"/>
              </w:rPr>
            </w:pPr>
          </w:p>
        </w:tc>
        <w:tc>
          <w:tcPr>
            <w:tcW w:w="567" w:type="dxa"/>
            <w:tcBorders>
              <w:bottom w:val="single" w:sz="4" w:space="0" w:color="auto"/>
            </w:tcBorders>
          </w:tcPr>
          <w:p w14:paraId="5D162BE1" w14:textId="00AD3D49" w:rsidR="00AB4D6F" w:rsidRPr="00B148F9" w:rsidRDefault="00AB4D6F" w:rsidP="00CF3172">
            <w:pPr>
              <w:jc w:val="center"/>
              <w:rPr>
                <w:rFonts w:cs="Arial"/>
              </w:rPr>
            </w:pPr>
          </w:p>
        </w:tc>
        <w:tc>
          <w:tcPr>
            <w:tcW w:w="1275" w:type="dxa"/>
            <w:tcBorders>
              <w:bottom w:val="single" w:sz="4" w:space="0" w:color="auto"/>
            </w:tcBorders>
          </w:tcPr>
          <w:p w14:paraId="369E2E68" w14:textId="77777777" w:rsidR="00AB4D6F" w:rsidRPr="00B148F9" w:rsidRDefault="00AB4D6F" w:rsidP="00CF3172">
            <w:pPr>
              <w:jc w:val="center"/>
              <w:rPr>
                <w:rFonts w:cs="Arial"/>
              </w:rPr>
            </w:pPr>
          </w:p>
        </w:tc>
        <w:tc>
          <w:tcPr>
            <w:tcW w:w="675" w:type="dxa"/>
            <w:tcBorders>
              <w:bottom w:val="single" w:sz="4" w:space="0" w:color="auto"/>
            </w:tcBorders>
          </w:tcPr>
          <w:p w14:paraId="6D67132F" w14:textId="77777777" w:rsidR="00AB4D6F" w:rsidRPr="00B148F9" w:rsidRDefault="00AB4D6F" w:rsidP="00CF3172">
            <w:pPr>
              <w:jc w:val="center"/>
              <w:rPr>
                <w:rFonts w:cs="Arial"/>
              </w:rPr>
            </w:pPr>
          </w:p>
        </w:tc>
        <w:tc>
          <w:tcPr>
            <w:tcW w:w="1418" w:type="dxa"/>
            <w:tcBorders>
              <w:bottom w:val="single" w:sz="4" w:space="0" w:color="auto"/>
            </w:tcBorders>
          </w:tcPr>
          <w:p w14:paraId="2657F640" w14:textId="77777777" w:rsidR="00AB4D6F" w:rsidRPr="00B148F9" w:rsidRDefault="00AB4D6F" w:rsidP="00CF3172">
            <w:pPr>
              <w:jc w:val="center"/>
              <w:rPr>
                <w:rFonts w:cs="Arial"/>
              </w:rPr>
            </w:pPr>
          </w:p>
        </w:tc>
      </w:tr>
      <w:tr w:rsidR="00AB4D6F" w:rsidRPr="00B148F9" w14:paraId="5564366B" w14:textId="77777777" w:rsidTr="00AB4D6F">
        <w:tc>
          <w:tcPr>
            <w:tcW w:w="3510" w:type="dxa"/>
            <w:gridSpan w:val="2"/>
          </w:tcPr>
          <w:p w14:paraId="6D1E95DD" w14:textId="3ECEAA6C" w:rsidR="00AB4D6F" w:rsidRPr="00B148F9" w:rsidRDefault="00AB4D6F" w:rsidP="00CF3172">
            <w:pPr>
              <w:jc w:val="left"/>
              <w:rPr>
                <w:rFonts w:cs="Arial"/>
                <w:b/>
              </w:rPr>
            </w:pPr>
            <w:r w:rsidRPr="00B148F9">
              <w:rPr>
                <w:rFonts w:cs="Arial"/>
                <w:b/>
              </w:rPr>
              <w:t>Total securities sold short, at fair value</w:t>
            </w:r>
          </w:p>
        </w:tc>
        <w:tc>
          <w:tcPr>
            <w:tcW w:w="284" w:type="dxa"/>
          </w:tcPr>
          <w:p w14:paraId="49683A65" w14:textId="77777777" w:rsidR="00AB4D6F" w:rsidRPr="00B148F9" w:rsidRDefault="00AB4D6F" w:rsidP="00CF3172">
            <w:pPr>
              <w:jc w:val="center"/>
              <w:rPr>
                <w:rFonts w:cs="Arial"/>
                <w:b/>
              </w:rPr>
            </w:pPr>
          </w:p>
        </w:tc>
        <w:tc>
          <w:tcPr>
            <w:tcW w:w="237" w:type="dxa"/>
          </w:tcPr>
          <w:p w14:paraId="3E950FE1" w14:textId="567100B0" w:rsidR="00AB4D6F" w:rsidRPr="00B148F9" w:rsidRDefault="00AB4D6F" w:rsidP="00CF3172">
            <w:pPr>
              <w:jc w:val="center"/>
              <w:rPr>
                <w:rFonts w:cs="Arial"/>
                <w:b/>
              </w:rPr>
            </w:pPr>
          </w:p>
        </w:tc>
        <w:tc>
          <w:tcPr>
            <w:tcW w:w="1214" w:type="dxa"/>
            <w:tcBorders>
              <w:top w:val="single" w:sz="4" w:space="0" w:color="auto"/>
            </w:tcBorders>
          </w:tcPr>
          <w:p w14:paraId="778F06BF" w14:textId="0493E3CC" w:rsidR="00AB4D6F" w:rsidRPr="00B148F9" w:rsidRDefault="00AB4D6F" w:rsidP="00CF3172">
            <w:pPr>
              <w:jc w:val="center"/>
              <w:rPr>
                <w:rFonts w:cs="Arial"/>
                <w:b/>
              </w:rPr>
            </w:pPr>
            <w:r w:rsidRPr="00B148F9">
              <w:rPr>
                <w:rFonts w:cs="Arial"/>
                <w:b/>
              </w:rPr>
              <w:t>0.10</w:t>
            </w:r>
          </w:p>
        </w:tc>
        <w:tc>
          <w:tcPr>
            <w:tcW w:w="284" w:type="dxa"/>
          </w:tcPr>
          <w:p w14:paraId="4502CFB0" w14:textId="595358CF" w:rsidR="00AB4D6F" w:rsidRPr="00B148F9" w:rsidRDefault="00AB4D6F" w:rsidP="00B746FC">
            <w:pPr>
              <w:jc w:val="left"/>
              <w:rPr>
                <w:rFonts w:cs="Arial"/>
                <w:b/>
              </w:rPr>
            </w:pPr>
            <w:r w:rsidRPr="00B148F9">
              <w:rPr>
                <w:rFonts w:cs="Arial"/>
                <w:b/>
              </w:rPr>
              <w:t>%</w:t>
            </w:r>
          </w:p>
        </w:tc>
        <w:tc>
          <w:tcPr>
            <w:tcW w:w="1134" w:type="dxa"/>
          </w:tcPr>
          <w:p w14:paraId="3F720784" w14:textId="1764B93C" w:rsidR="00AB4D6F" w:rsidRPr="00B148F9" w:rsidRDefault="00AB4D6F" w:rsidP="00AB4D6F">
            <w:pPr>
              <w:jc w:val="center"/>
              <w:rPr>
                <w:rFonts w:cs="Arial"/>
                <w:b/>
              </w:rPr>
            </w:pPr>
            <w:r w:rsidRPr="00B148F9">
              <w:rPr>
                <w:rFonts w:cs="Arial"/>
                <w:b/>
              </w:rPr>
              <w:t>27,190</w:t>
            </w:r>
          </w:p>
        </w:tc>
        <w:tc>
          <w:tcPr>
            <w:tcW w:w="567" w:type="dxa"/>
          </w:tcPr>
          <w:p w14:paraId="17E667FC" w14:textId="62C1CA12" w:rsidR="00AB4D6F" w:rsidRPr="00B148F9" w:rsidRDefault="00AB4D6F" w:rsidP="00CF3172">
            <w:pPr>
              <w:jc w:val="right"/>
              <w:rPr>
                <w:rFonts w:cs="Arial"/>
                <w:b/>
              </w:rPr>
            </w:pPr>
            <w:r w:rsidRPr="00B148F9">
              <w:rPr>
                <w:rFonts w:cs="Arial"/>
                <w:b/>
              </w:rPr>
              <w:t>US$</w:t>
            </w:r>
          </w:p>
        </w:tc>
        <w:tc>
          <w:tcPr>
            <w:tcW w:w="1275" w:type="dxa"/>
          </w:tcPr>
          <w:p w14:paraId="7D2FE83D" w14:textId="11F89C52" w:rsidR="00AB4D6F" w:rsidRPr="00B148F9" w:rsidRDefault="00AB4D6F" w:rsidP="00CF3172">
            <w:pPr>
              <w:jc w:val="center"/>
              <w:rPr>
                <w:rFonts w:cs="Arial"/>
                <w:b/>
              </w:rPr>
            </w:pPr>
            <w:r w:rsidRPr="00B148F9">
              <w:rPr>
                <w:rFonts w:cs="Arial"/>
                <w:b/>
              </w:rPr>
              <w:t>193,650</w:t>
            </w:r>
          </w:p>
        </w:tc>
        <w:tc>
          <w:tcPr>
            <w:tcW w:w="675" w:type="dxa"/>
          </w:tcPr>
          <w:p w14:paraId="31ED671E" w14:textId="1EF9E22B" w:rsidR="00AB4D6F" w:rsidRPr="00B148F9" w:rsidRDefault="00AB4D6F" w:rsidP="00CF3172">
            <w:pPr>
              <w:jc w:val="right"/>
              <w:rPr>
                <w:rFonts w:cs="Arial"/>
                <w:b/>
              </w:rPr>
            </w:pPr>
            <w:r w:rsidRPr="00B148F9">
              <w:rPr>
                <w:rFonts w:cs="Arial"/>
                <w:b/>
              </w:rPr>
              <w:t>US$</w:t>
            </w:r>
          </w:p>
        </w:tc>
        <w:tc>
          <w:tcPr>
            <w:tcW w:w="1418" w:type="dxa"/>
          </w:tcPr>
          <w:p w14:paraId="7B99C695" w14:textId="7A36E48F" w:rsidR="00AB4D6F" w:rsidRPr="00B148F9" w:rsidRDefault="00AB4D6F" w:rsidP="00CF3172">
            <w:pPr>
              <w:jc w:val="center"/>
              <w:rPr>
                <w:rFonts w:cs="Arial"/>
                <w:b/>
              </w:rPr>
            </w:pPr>
            <w:r w:rsidRPr="00B148F9">
              <w:rPr>
                <w:rFonts w:cs="Arial"/>
                <w:b/>
              </w:rPr>
              <w:t>202,933</w:t>
            </w:r>
          </w:p>
        </w:tc>
      </w:tr>
      <w:tr w:rsidR="00AB4D6F" w:rsidRPr="00B148F9" w14:paraId="1B12F9DF" w14:textId="77777777" w:rsidTr="00AB4D6F">
        <w:tc>
          <w:tcPr>
            <w:tcW w:w="250" w:type="dxa"/>
          </w:tcPr>
          <w:p w14:paraId="00887D1E" w14:textId="77777777" w:rsidR="00AB4D6F" w:rsidRPr="00B148F9" w:rsidRDefault="00AB4D6F" w:rsidP="00CF3172">
            <w:pPr>
              <w:jc w:val="left"/>
              <w:rPr>
                <w:rFonts w:cs="Arial"/>
              </w:rPr>
            </w:pPr>
          </w:p>
        </w:tc>
        <w:tc>
          <w:tcPr>
            <w:tcW w:w="3260" w:type="dxa"/>
          </w:tcPr>
          <w:p w14:paraId="0F349E00" w14:textId="77777777" w:rsidR="00AB4D6F" w:rsidRPr="00B148F9" w:rsidRDefault="00AB4D6F" w:rsidP="00CF3172">
            <w:pPr>
              <w:jc w:val="left"/>
              <w:rPr>
                <w:rFonts w:cs="Arial"/>
              </w:rPr>
            </w:pPr>
          </w:p>
        </w:tc>
        <w:tc>
          <w:tcPr>
            <w:tcW w:w="284" w:type="dxa"/>
          </w:tcPr>
          <w:p w14:paraId="709E1F05" w14:textId="77777777" w:rsidR="00AB4D6F" w:rsidRPr="00B148F9" w:rsidRDefault="00AB4D6F" w:rsidP="00CF3172">
            <w:pPr>
              <w:jc w:val="center"/>
              <w:rPr>
                <w:rFonts w:cs="Arial"/>
              </w:rPr>
            </w:pPr>
          </w:p>
        </w:tc>
        <w:tc>
          <w:tcPr>
            <w:tcW w:w="237" w:type="dxa"/>
          </w:tcPr>
          <w:p w14:paraId="7D18F0EC" w14:textId="77777777" w:rsidR="00AB4D6F" w:rsidRPr="00B148F9" w:rsidRDefault="00AB4D6F" w:rsidP="00CF3172">
            <w:pPr>
              <w:jc w:val="center"/>
              <w:rPr>
                <w:rFonts w:cs="Arial"/>
              </w:rPr>
            </w:pPr>
          </w:p>
        </w:tc>
        <w:tc>
          <w:tcPr>
            <w:tcW w:w="1214" w:type="dxa"/>
          </w:tcPr>
          <w:p w14:paraId="40DF77C2" w14:textId="77777777" w:rsidR="00AB4D6F" w:rsidRPr="00B148F9" w:rsidRDefault="00AB4D6F" w:rsidP="00CF3172">
            <w:pPr>
              <w:jc w:val="center"/>
              <w:rPr>
                <w:rFonts w:cs="Arial"/>
              </w:rPr>
            </w:pPr>
          </w:p>
        </w:tc>
        <w:tc>
          <w:tcPr>
            <w:tcW w:w="284" w:type="dxa"/>
          </w:tcPr>
          <w:p w14:paraId="58022837" w14:textId="77777777" w:rsidR="00AB4D6F" w:rsidRPr="00B148F9" w:rsidRDefault="00AB4D6F" w:rsidP="00CF3172">
            <w:pPr>
              <w:jc w:val="center"/>
              <w:rPr>
                <w:rFonts w:cs="Arial"/>
              </w:rPr>
            </w:pPr>
          </w:p>
        </w:tc>
        <w:tc>
          <w:tcPr>
            <w:tcW w:w="1134" w:type="dxa"/>
          </w:tcPr>
          <w:p w14:paraId="07EE8A4A" w14:textId="77777777" w:rsidR="00AB4D6F" w:rsidRPr="00B148F9" w:rsidRDefault="00AB4D6F" w:rsidP="00CF3172">
            <w:pPr>
              <w:jc w:val="center"/>
              <w:rPr>
                <w:rFonts w:cs="Arial"/>
              </w:rPr>
            </w:pPr>
          </w:p>
        </w:tc>
        <w:tc>
          <w:tcPr>
            <w:tcW w:w="567" w:type="dxa"/>
          </w:tcPr>
          <w:p w14:paraId="65CD9E8B" w14:textId="14973590" w:rsidR="00AB4D6F" w:rsidRPr="00B148F9" w:rsidRDefault="00AB4D6F" w:rsidP="00CF3172">
            <w:pPr>
              <w:jc w:val="center"/>
              <w:rPr>
                <w:rFonts w:cs="Arial"/>
              </w:rPr>
            </w:pPr>
          </w:p>
        </w:tc>
        <w:tc>
          <w:tcPr>
            <w:tcW w:w="1275" w:type="dxa"/>
          </w:tcPr>
          <w:p w14:paraId="1C482F29" w14:textId="77777777" w:rsidR="00AB4D6F" w:rsidRPr="00B148F9" w:rsidRDefault="00AB4D6F" w:rsidP="00CF3172">
            <w:pPr>
              <w:jc w:val="center"/>
              <w:rPr>
                <w:rFonts w:cs="Arial"/>
              </w:rPr>
            </w:pPr>
          </w:p>
        </w:tc>
        <w:tc>
          <w:tcPr>
            <w:tcW w:w="675" w:type="dxa"/>
          </w:tcPr>
          <w:p w14:paraId="18460A9E" w14:textId="77777777" w:rsidR="00AB4D6F" w:rsidRPr="00B148F9" w:rsidRDefault="00AB4D6F" w:rsidP="00CF3172">
            <w:pPr>
              <w:jc w:val="center"/>
              <w:rPr>
                <w:rFonts w:cs="Arial"/>
              </w:rPr>
            </w:pPr>
          </w:p>
        </w:tc>
        <w:tc>
          <w:tcPr>
            <w:tcW w:w="1418" w:type="dxa"/>
          </w:tcPr>
          <w:p w14:paraId="52121741" w14:textId="77777777" w:rsidR="00AB4D6F" w:rsidRPr="00B148F9" w:rsidRDefault="00AB4D6F" w:rsidP="00CF3172">
            <w:pPr>
              <w:jc w:val="center"/>
              <w:rPr>
                <w:rFonts w:cs="Arial"/>
              </w:rPr>
            </w:pPr>
          </w:p>
        </w:tc>
      </w:tr>
      <w:tr w:rsidR="00AB4D6F" w:rsidRPr="00B148F9" w14:paraId="58666C86" w14:textId="77777777" w:rsidTr="00AB4D6F">
        <w:tc>
          <w:tcPr>
            <w:tcW w:w="250" w:type="dxa"/>
          </w:tcPr>
          <w:p w14:paraId="4208B102" w14:textId="77777777" w:rsidR="00AB4D6F" w:rsidRPr="00B148F9" w:rsidRDefault="00AB4D6F" w:rsidP="00CF3172">
            <w:pPr>
              <w:jc w:val="left"/>
              <w:rPr>
                <w:rFonts w:cs="Arial"/>
              </w:rPr>
            </w:pPr>
          </w:p>
        </w:tc>
        <w:tc>
          <w:tcPr>
            <w:tcW w:w="3260" w:type="dxa"/>
          </w:tcPr>
          <w:p w14:paraId="627B8120" w14:textId="77777777" w:rsidR="00AB4D6F" w:rsidRPr="00B148F9" w:rsidRDefault="00AB4D6F" w:rsidP="00CF3172">
            <w:pPr>
              <w:jc w:val="left"/>
              <w:rPr>
                <w:rFonts w:cs="Arial"/>
              </w:rPr>
            </w:pPr>
          </w:p>
        </w:tc>
        <w:tc>
          <w:tcPr>
            <w:tcW w:w="284" w:type="dxa"/>
          </w:tcPr>
          <w:p w14:paraId="37159BF1" w14:textId="77777777" w:rsidR="00AB4D6F" w:rsidRPr="00B148F9" w:rsidRDefault="00AB4D6F" w:rsidP="00CF3172">
            <w:pPr>
              <w:jc w:val="center"/>
              <w:rPr>
                <w:rFonts w:cs="Arial"/>
              </w:rPr>
            </w:pPr>
          </w:p>
        </w:tc>
        <w:tc>
          <w:tcPr>
            <w:tcW w:w="237" w:type="dxa"/>
          </w:tcPr>
          <w:p w14:paraId="530C34EE" w14:textId="77777777" w:rsidR="00AB4D6F" w:rsidRPr="00B148F9" w:rsidRDefault="00AB4D6F" w:rsidP="00CF3172">
            <w:pPr>
              <w:jc w:val="center"/>
              <w:rPr>
                <w:rFonts w:cs="Arial"/>
              </w:rPr>
            </w:pPr>
          </w:p>
        </w:tc>
        <w:tc>
          <w:tcPr>
            <w:tcW w:w="1214" w:type="dxa"/>
          </w:tcPr>
          <w:p w14:paraId="16577A23" w14:textId="77777777" w:rsidR="00AB4D6F" w:rsidRPr="00B148F9" w:rsidRDefault="00AB4D6F" w:rsidP="00CF3172">
            <w:pPr>
              <w:jc w:val="center"/>
              <w:rPr>
                <w:rFonts w:cs="Arial"/>
              </w:rPr>
            </w:pPr>
          </w:p>
        </w:tc>
        <w:tc>
          <w:tcPr>
            <w:tcW w:w="284" w:type="dxa"/>
          </w:tcPr>
          <w:p w14:paraId="34F544DE" w14:textId="77777777" w:rsidR="00AB4D6F" w:rsidRPr="00B148F9" w:rsidRDefault="00AB4D6F" w:rsidP="00CF3172">
            <w:pPr>
              <w:jc w:val="center"/>
              <w:rPr>
                <w:rFonts w:cs="Arial"/>
              </w:rPr>
            </w:pPr>
          </w:p>
        </w:tc>
        <w:tc>
          <w:tcPr>
            <w:tcW w:w="1134" w:type="dxa"/>
          </w:tcPr>
          <w:p w14:paraId="49515B4A" w14:textId="77777777" w:rsidR="00AB4D6F" w:rsidRPr="00B148F9" w:rsidRDefault="00AB4D6F" w:rsidP="00CF3172">
            <w:pPr>
              <w:jc w:val="center"/>
              <w:rPr>
                <w:rFonts w:cs="Arial"/>
              </w:rPr>
            </w:pPr>
          </w:p>
        </w:tc>
        <w:tc>
          <w:tcPr>
            <w:tcW w:w="567" w:type="dxa"/>
          </w:tcPr>
          <w:p w14:paraId="405FBC4F" w14:textId="653BFC77" w:rsidR="00AB4D6F" w:rsidRPr="00B148F9" w:rsidRDefault="00AB4D6F" w:rsidP="00CF3172">
            <w:pPr>
              <w:jc w:val="center"/>
              <w:rPr>
                <w:rFonts w:cs="Arial"/>
              </w:rPr>
            </w:pPr>
          </w:p>
        </w:tc>
        <w:tc>
          <w:tcPr>
            <w:tcW w:w="1275" w:type="dxa"/>
          </w:tcPr>
          <w:p w14:paraId="33C7FD5D" w14:textId="77777777" w:rsidR="00AB4D6F" w:rsidRPr="00B148F9" w:rsidRDefault="00AB4D6F" w:rsidP="00CF3172">
            <w:pPr>
              <w:jc w:val="center"/>
              <w:rPr>
                <w:rFonts w:cs="Arial"/>
              </w:rPr>
            </w:pPr>
          </w:p>
        </w:tc>
        <w:tc>
          <w:tcPr>
            <w:tcW w:w="675" w:type="dxa"/>
          </w:tcPr>
          <w:p w14:paraId="1A4FAA62" w14:textId="77777777" w:rsidR="00AB4D6F" w:rsidRPr="00B148F9" w:rsidRDefault="00AB4D6F" w:rsidP="00CF3172">
            <w:pPr>
              <w:jc w:val="center"/>
              <w:rPr>
                <w:rFonts w:cs="Arial"/>
              </w:rPr>
            </w:pPr>
          </w:p>
        </w:tc>
        <w:tc>
          <w:tcPr>
            <w:tcW w:w="1418" w:type="dxa"/>
          </w:tcPr>
          <w:p w14:paraId="7D484405" w14:textId="77777777" w:rsidR="00AB4D6F" w:rsidRPr="00B148F9" w:rsidRDefault="00AB4D6F" w:rsidP="00CF3172">
            <w:pPr>
              <w:jc w:val="center"/>
              <w:rPr>
                <w:rFonts w:cs="Arial"/>
              </w:rPr>
            </w:pPr>
          </w:p>
        </w:tc>
      </w:tr>
    </w:tbl>
    <w:p w14:paraId="6C5E427E" w14:textId="77777777" w:rsidR="00215125" w:rsidRPr="00B148F9" w:rsidRDefault="00215125" w:rsidP="00215125">
      <w:pPr>
        <w:jc w:val="center"/>
        <w:rPr>
          <w:rFonts w:cs="Arial"/>
          <w:b/>
          <w:bCs/>
        </w:rPr>
      </w:pPr>
    </w:p>
    <w:p w14:paraId="0FCE6049" w14:textId="60E0AC84" w:rsidR="0062249A" w:rsidRPr="00B148F9" w:rsidRDefault="0062249A" w:rsidP="00F11A31">
      <w:pPr>
        <w:jc w:val="center"/>
        <w:rPr>
          <w:rFonts w:cs="Arial"/>
          <w:b/>
          <w:bCs/>
        </w:rPr>
      </w:pPr>
    </w:p>
    <w:p w14:paraId="69962824" w14:textId="256DD3AB" w:rsidR="00BE3DA3" w:rsidRPr="00B148F9" w:rsidRDefault="00BE3DA3" w:rsidP="00BE3DA3">
      <w:pPr>
        <w:rPr>
          <w:rFonts w:cs="Arial"/>
        </w:rPr>
      </w:pPr>
      <w:r w:rsidRPr="00B148F9">
        <w:rPr>
          <w:rFonts w:cs="Arial"/>
        </w:rPr>
        <w:t>See accompanying notes to the financial statements</w:t>
      </w:r>
      <w:r w:rsidR="002260B9" w:rsidRPr="00B148F9">
        <w:rPr>
          <w:rFonts w:cs="Arial"/>
        </w:rPr>
        <w:t>.</w:t>
      </w:r>
    </w:p>
    <w:p w14:paraId="26473612" w14:textId="584E1F38" w:rsidR="0062249A" w:rsidRPr="00B148F9" w:rsidRDefault="0062249A" w:rsidP="00F11A31">
      <w:pPr>
        <w:jc w:val="center"/>
        <w:rPr>
          <w:rFonts w:cs="Arial"/>
          <w:b/>
          <w:bCs/>
        </w:rPr>
      </w:pPr>
    </w:p>
    <w:p w14:paraId="0CD74FF0" w14:textId="77777777" w:rsidR="00B961FE" w:rsidRPr="00B148F9" w:rsidRDefault="00B961FE" w:rsidP="00F11A31">
      <w:pPr>
        <w:jc w:val="center"/>
        <w:rPr>
          <w:rFonts w:cs="Arial"/>
          <w:b/>
          <w:bCs/>
        </w:rPr>
        <w:sectPr w:rsidR="00B961FE" w:rsidRPr="00B148F9" w:rsidSect="00B961FE">
          <w:pgSz w:w="11906" w:h="16838"/>
          <w:pgMar w:top="720" w:right="720" w:bottom="720" w:left="720" w:header="708" w:footer="708" w:gutter="0"/>
          <w:cols w:space="708"/>
          <w:docGrid w:linePitch="360"/>
        </w:sectPr>
      </w:pPr>
    </w:p>
    <w:p w14:paraId="4C23FD06" w14:textId="1BA7BBAB" w:rsidR="0062249A" w:rsidRPr="00B148F9" w:rsidRDefault="0062249A" w:rsidP="00F11A31">
      <w:pPr>
        <w:jc w:val="center"/>
        <w:rPr>
          <w:rFonts w:cs="Arial"/>
          <w:b/>
          <w:bCs/>
        </w:rPr>
      </w:pPr>
    </w:p>
    <w:p w14:paraId="3BC607A4" w14:textId="0AA5790C" w:rsidR="00F11A31" w:rsidRPr="00B148F9" w:rsidRDefault="00466D2D" w:rsidP="00B961FE">
      <w:pPr>
        <w:pStyle w:val="Heading1"/>
        <w:rPr>
          <w:sz w:val="20"/>
        </w:rPr>
      </w:pPr>
      <w:r w:rsidRPr="00B148F9">
        <w:rPr>
          <w:sz w:val="20"/>
        </w:rPr>
        <w:t xml:space="preserve">Condensed </w:t>
      </w:r>
      <w:r w:rsidR="00F11A31" w:rsidRPr="00B148F9">
        <w:rPr>
          <w:sz w:val="20"/>
        </w:rPr>
        <w:t>Schedule of Investments</w:t>
      </w:r>
    </w:p>
    <w:p w14:paraId="372004DB" w14:textId="41DF1795" w:rsidR="00F11A31" w:rsidRPr="00B148F9" w:rsidRDefault="00466D2D" w:rsidP="00F11A31">
      <w:pPr>
        <w:jc w:val="center"/>
        <w:rPr>
          <w:rFonts w:cs="Arial"/>
          <w:b/>
          <w:bCs/>
        </w:rPr>
      </w:pPr>
      <w:r w:rsidRPr="00B148F9">
        <w:rPr>
          <w:rFonts w:cs="Arial"/>
          <w:b/>
          <w:bCs/>
        </w:rPr>
        <w:t>as at</w:t>
      </w:r>
      <w:r w:rsidR="00F11A31" w:rsidRPr="00B148F9">
        <w:rPr>
          <w:rFonts w:cs="Arial"/>
          <w:b/>
          <w:bCs/>
        </w:rPr>
        <w:t xml:space="preserve"> 31 December 2018</w:t>
      </w:r>
    </w:p>
    <w:p w14:paraId="7F9D4E4A" w14:textId="77777777" w:rsidR="00382CEF" w:rsidRPr="00B148F9" w:rsidRDefault="00382CEF" w:rsidP="00382CEF">
      <w:pPr>
        <w:jc w:val="center"/>
        <w:rPr>
          <w:rFonts w:cs="Arial"/>
          <w:bCs/>
        </w:rPr>
      </w:pPr>
      <w:r w:rsidRPr="00B148F9">
        <w:rPr>
          <w:rFonts w:cs="Arial"/>
          <w:bCs/>
        </w:rPr>
        <w:t>(Expressed in United States Dollars)</w:t>
      </w:r>
    </w:p>
    <w:p w14:paraId="21956AEF" w14:textId="77777777" w:rsidR="00F11A31" w:rsidRPr="00B148F9" w:rsidRDefault="00F11A31" w:rsidP="00F11A31">
      <w:pPr>
        <w:jc w:val="center"/>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
        <w:gridCol w:w="1890"/>
        <w:gridCol w:w="1050"/>
        <w:gridCol w:w="423"/>
        <w:gridCol w:w="1349"/>
        <w:gridCol w:w="371"/>
        <w:gridCol w:w="1387"/>
        <w:gridCol w:w="561"/>
        <w:gridCol w:w="1309"/>
        <w:gridCol w:w="561"/>
        <w:gridCol w:w="1225"/>
      </w:tblGrid>
      <w:tr w:rsidR="005D7078" w:rsidRPr="00B148F9" w14:paraId="574F4455" w14:textId="77777777" w:rsidTr="00B746FC">
        <w:tc>
          <w:tcPr>
            <w:tcW w:w="3186" w:type="dxa"/>
            <w:gridSpan w:val="3"/>
            <w:tcBorders>
              <w:bottom w:val="single" w:sz="4" w:space="0" w:color="auto"/>
            </w:tcBorders>
          </w:tcPr>
          <w:p w14:paraId="3C60D2D6" w14:textId="4FB0EDC4" w:rsidR="00F11A31" w:rsidRPr="00B148F9" w:rsidRDefault="00F11A31" w:rsidP="000D4E06">
            <w:pPr>
              <w:jc w:val="left"/>
              <w:rPr>
                <w:rFonts w:cs="Arial"/>
              </w:rPr>
            </w:pPr>
          </w:p>
        </w:tc>
        <w:tc>
          <w:tcPr>
            <w:tcW w:w="423" w:type="dxa"/>
            <w:tcBorders>
              <w:bottom w:val="single" w:sz="4" w:space="0" w:color="auto"/>
            </w:tcBorders>
          </w:tcPr>
          <w:p w14:paraId="69852372" w14:textId="77777777" w:rsidR="00F11A31" w:rsidRPr="00B148F9" w:rsidRDefault="00F11A31" w:rsidP="00F11A31">
            <w:pPr>
              <w:jc w:val="center"/>
              <w:rPr>
                <w:rFonts w:cs="Arial"/>
              </w:rPr>
            </w:pPr>
          </w:p>
        </w:tc>
        <w:tc>
          <w:tcPr>
            <w:tcW w:w="941" w:type="dxa"/>
            <w:tcBorders>
              <w:bottom w:val="single" w:sz="4" w:space="0" w:color="auto"/>
            </w:tcBorders>
          </w:tcPr>
          <w:p w14:paraId="33ADC619" w14:textId="77777777" w:rsidR="00F11A31" w:rsidRPr="00B148F9" w:rsidRDefault="00F11A31" w:rsidP="00F11A31">
            <w:pPr>
              <w:jc w:val="center"/>
              <w:rPr>
                <w:rFonts w:cs="Arial"/>
              </w:rPr>
            </w:pPr>
          </w:p>
        </w:tc>
        <w:tc>
          <w:tcPr>
            <w:tcW w:w="236" w:type="dxa"/>
            <w:tcBorders>
              <w:bottom w:val="single" w:sz="4" w:space="0" w:color="auto"/>
            </w:tcBorders>
          </w:tcPr>
          <w:p w14:paraId="2C958653" w14:textId="77777777" w:rsidR="00F11A31" w:rsidRPr="00B148F9" w:rsidRDefault="00F11A31" w:rsidP="00F11A31">
            <w:pPr>
              <w:jc w:val="center"/>
              <w:rPr>
                <w:rFonts w:cs="Arial"/>
              </w:rPr>
            </w:pPr>
          </w:p>
        </w:tc>
        <w:tc>
          <w:tcPr>
            <w:tcW w:w="1387" w:type="dxa"/>
            <w:tcBorders>
              <w:bottom w:val="single" w:sz="4" w:space="0" w:color="auto"/>
            </w:tcBorders>
          </w:tcPr>
          <w:p w14:paraId="7F4EDE70" w14:textId="77777777" w:rsidR="00F11A31" w:rsidRPr="00B148F9" w:rsidRDefault="00F11A31" w:rsidP="00F11A31">
            <w:pPr>
              <w:jc w:val="center"/>
              <w:rPr>
                <w:rFonts w:cs="Arial"/>
              </w:rPr>
            </w:pPr>
          </w:p>
        </w:tc>
        <w:tc>
          <w:tcPr>
            <w:tcW w:w="561" w:type="dxa"/>
            <w:tcBorders>
              <w:bottom w:val="single" w:sz="4" w:space="0" w:color="auto"/>
            </w:tcBorders>
          </w:tcPr>
          <w:p w14:paraId="0FB8690C" w14:textId="77777777" w:rsidR="00F11A31" w:rsidRPr="00B148F9" w:rsidRDefault="00F11A31" w:rsidP="00F11A31">
            <w:pPr>
              <w:jc w:val="center"/>
              <w:rPr>
                <w:rFonts w:cs="Arial"/>
              </w:rPr>
            </w:pPr>
          </w:p>
        </w:tc>
        <w:tc>
          <w:tcPr>
            <w:tcW w:w="1309" w:type="dxa"/>
            <w:tcBorders>
              <w:bottom w:val="single" w:sz="4" w:space="0" w:color="auto"/>
            </w:tcBorders>
          </w:tcPr>
          <w:p w14:paraId="30A2BCAA" w14:textId="77777777" w:rsidR="00F11A31" w:rsidRPr="00B148F9" w:rsidRDefault="00F11A31" w:rsidP="00F11A31">
            <w:pPr>
              <w:jc w:val="center"/>
              <w:rPr>
                <w:rFonts w:cs="Arial"/>
              </w:rPr>
            </w:pPr>
          </w:p>
        </w:tc>
        <w:tc>
          <w:tcPr>
            <w:tcW w:w="561" w:type="dxa"/>
            <w:tcBorders>
              <w:bottom w:val="single" w:sz="4" w:space="0" w:color="auto"/>
            </w:tcBorders>
          </w:tcPr>
          <w:p w14:paraId="6E2C8E49" w14:textId="77777777" w:rsidR="00F11A31" w:rsidRPr="00B148F9" w:rsidRDefault="00F11A31" w:rsidP="00F11A31">
            <w:pPr>
              <w:jc w:val="center"/>
              <w:rPr>
                <w:rFonts w:cs="Arial"/>
              </w:rPr>
            </w:pPr>
          </w:p>
        </w:tc>
        <w:tc>
          <w:tcPr>
            <w:tcW w:w="1225" w:type="dxa"/>
            <w:tcBorders>
              <w:bottom w:val="single" w:sz="4" w:space="0" w:color="auto"/>
            </w:tcBorders>
          </w:tcPr>
          <w:p w14:paraId="3E5B8021" w14:textId="77777777" w:rsidR="00F11A31" w:rsidRPr="00B148F9" w:rsidRDefault="00F11A31" w:rsidP="00F11A31">
            <w:pPr>
              <w:jc w:val="center"/>
              <w:rPr>
                <w:rFonts w:cs="Arial"/>
              </w:rPr>
            </w:pPr>
          </w:p>
        </w:tc>
      </w:tr>
      <w:tr w:rsidR="00F11A31" w:rsidRPr="00B148F9" w14:paraId="3EB4FC0E" w14:textId="77777777" w:rsidTr="00B746FC">
        <w:trPr>
          <w:trHeight w:val="659"/>
        </w:trPr>
        <w:tc>
          <w:tcPr>
            <w:tcW w:w="3609" w:type="dxa"/>
            <w:gridSpan w:val="4"/>
            <w:tcBorders>
              <w:top w:val="single" w:sz="4" w:space="0" w:color="auto"/>
              <w:bottom w:val="single" w:sz="4" w:space="0" w:color="auto"/>
            </w:tcBorders>
            <w:vAlign w:val="bottom"/>
          </w:tcPr>
          <w:p w14:paraId="16FD629F" w14:textId="77777777" w:rsidR="00F11A31" w:rsidRPr="00B148F9" w:rsidRDefault="00F11A31" w:rsidP="00F11A31">
            <w:pPr>
              <w:jc w:val="center"/>
              <w:rPr>
                <w:rFonts w:cs="Arial"/>
                <w:b/>
              </w:rPr>
            </w:pPr>
            <w:r w:rsidRPr="00B148F9">
              <w:rPr>
                <w:rFonts w:cs="Arial"/>
                <w:b/>
              </w:rPr>
              <w:t>Descriptions</w:t>
            </w:r>
          </w:p>
        </w:tc>
        <w:tc>
          <w:tcPr>
            <w:tcW w:w="941" w:type="dxa"/>
            <w:tcBorders>
              <w:top w:val="single" w:sz="4" w:space="0" w:color="auto"/>
              <w:bottom w:val="single" w:sz="4" w:space="0" w:color="auto"/>
            </w:tcBorders>
            <w:vAlign w:val="center"/>
          </w:tcPr>
          <w:p w14:paraId="11BD3D44" w14:textId="6D82DB02" w:rsidR="00F11A31" w:rsidRPr="00B148F9" w:rsidRDefault="00BE3DA3" w:rsidP="00F11A31">
            <w:pPr>
              <w:jc w:val="center"/>
              <w:rPr>
                <w:rFonts w:cs="Arial"/>
                <w:b/>
              </w:rPr>
            </w:pPr>
            <w:r w:rsidRPr="00B148F9">
              <w:rPr>
                <w:rFonts w:cs="Arial"/>
                <w:b/>
              </w:rPr>
              <w:t xml:space="preserve">Percentage </w:t>
            </w:r>
            <w:r w:rsidR="00F11A31" w:rsidRPr="00B148F9">
              <w:rPr>
                <w:rFonts w:cs="Arial"/>
                <w:b/>
              </w:rPr>
              <w:t>of Net Assets</w:t>
            </w:r>
          </w:p>
        </w:tc>
        <w:tc>
          <w:tcPr>
            <w:tcW w:w="236" w:type="dxa"/>
            <w:tcBorders>
              <w:top w:val="single" w:sz="4" w:space="0" w:color="auto"/>
              <w:bottom w:val="single" w:sz="4" w:space="0" w:color="auto"/>
            </w:tcBorders>
            <w:vAlign w:val="center"/>
          </w:tcPr>
          <w:p w14:paraId="23E40277" w14:textId="77777777" w:rsidR="00F11A31" w:rsidRPr="00B148F9" w:rsidRDefault="00F11A31" w:rsidP="00F11A31">
            <w:pPr>
              <w:jc w:val="center"/>
              <w:rPr>
                <w:rFonts w:cs="Arial"/>
                <w:b/>
              </w:rPr>
            </w:pPr>
          </w:p>
        </w:tc>
        <w:tc>
          <w:tcPr>
            <w:tcW w:w="1387" w:type="dxa"/>
            <w:tcBorders>
              <w:top w:val="single" w:sz="4" w:space="0" w:color="auto"/>
              <w:bottom w:val="single" w:sz="4" w:space="0" w:color="auto"/>
            </w:tcBorders>
            <w:vAlign w:val="center"/>
          </w:tcPr>
          <w:p w14:paraId="7D3F61DF" w14:textId="13B28FA7" w:rsidR="00F11A31" w:rsidRPr="00B148F9" w:rsidRDefault="000D4E06" w:rsidP="00F11A31">
            <w:pPr>
              <w:jc w:val="center"/>
              <w:rPr>
                <w:rFonts w:cs="Arial"/>
                <w:b/>
              </w:rPr>
            </w:pPr>
            <w:r w:rsidRPr="00B148F9">
              <w:rPr>
                <w:rFonts w:cs="Arial"/>
                <w:b/>
              </w:rPr>
              <w:t>Number of Shares</w:t>
            </w:r>
          </w:p>
        </w:tc>
        <w:tc>
          <w:tcPr>
            <w:tcW w:w="561" w:type="dxa"/>
            <w:tcBorders>
              <w:top w:val="single" w:sz="4" w:space="0" w:color="auto"/>
              <w:bottom w:val="single" w:sz="4" w:space="0" w:color="auto"/>
            </w:tcBorders>
          </w:tcPr>
          <w:p w14:paraId="039AB5A1" w14:textId="77777777" w:rsidR="00F11A31" w:rsidRPr="00B148F9" w:rsidRDefault="00F11A31" w:rsidP="00F11A31">
            <w:pPr>
              <w:jc w:val="center"/>
              <w:rPr>
                <w:rFonts w:cs="Arial"/>
                <w:b/>
              </w:rPr>
            </w:pPr>
          </w:p>
        </w:tc>
        <w:tc>
          <w:tcPr>
            <w:tcW w:w="1309" w:type="dxa"/>
            <w:tcBorders>
              <w:top w:val="single" w:sz="4" w:space="0" w:color="auto"/>
              <w:bottom w:val="single" w:sz="4" w:space="0" w:color="auto"/>
            </w:tcBorders>
            <w:vAlign w:val="center"/>
          </w:tcPr>
          <w:p w14:paraId="6136A0A7" w14:textId="77777777" w:rsidR="00F11A31" w:rsidRPr="00B148F9" w:rsidRDefault="00F11A31" w:rsidP="00F11A31">
            <w:pPr>
              <w:jc w:val="center"/>
              <w:rPr>
                <w:rFonts w:cs="Arial"/>
                <w:b/>
              </w:rPr>
            </w:pPr>
            <w:r w:rsidRPr="00B148F9">
              <w:rPr>
                <w:rFonts w:cs="Arial"/>
                <w:b/>
              </w:rPr>
              <w:t>Cost</w:t>
            </w:r>
          </w:p>
        </w:tc>
        <w:tc>
          <w:tcPr>
            <w:tcW w:w="561" w:type="dxa"/>
            <w:tcBorders>
              <w:top w:val="single" w:sz="4" w:space="0" w:color="auto"/>
              <w:bottom w:val="single" w:sz="4" w:space="0" w:color="auto"/>
            </w:tcBorders>
          </w:tcPr>
          <w:p w14:paraId="07BE053B" w14:textId="77777777" w:rsidR="00F11A31" w:rsidRPr="00B148F9" w:rsidRDefault="00F11A31" w:rsidP="00F11A31">
            <w:pPr>
              <w:jc w:val="center"/>
              <w:rPr>
                <w:rFonts w:cs="Arial"/>
                <w:b/>
              </w:rPr>
            </w:pPr>
          </w:p>
        </w:tc>
        <w:tc>
          <w:tcPr>
            <w:tcW w:w="1225" w:type="dxa"/>
            <w:tcBorders>
              <w:top w:val="single" w:sz="4" w:space="0" w:color="auto"/>
              <w:bottom w:val="single" w:sz="4" w:space="0" w:color="auto"/>
            </w:tcBorders>
            <w:vAlign w:val="center"/>
          </w:tcPr>
          <w:p w14:paraId="1FDB64C1" w14:textId="77777777" w:rsidR="00F11A31" w:rsidRPr="00B148F9" w:rsidRDefault="00F11A31" w:rsidP="00F11A31">
            <w:pPr>
              <w:jc w:val="center"/>
              <w:rPr>
                <w:rFonts w:cs="Arial"/>
                <w:b/>
              </w:rPr>
            </w:pPr>
            <w:r w:rsidRPr="00B148F9">
              <w:rPr>
                <w:rFonts w:cs="Arial"/>
                <w:b/>
              </w:rPr>
              <w:t>Fair Value</w:t>
            </w:r>
          </w:p>
        </w:tc>
      </w:tr>
      <w:tr w:rsidR="005D7078" w:rsidRPr="00B148F9" w14:paraId="227DD5BA" w14:textId="77777777" w:rsidTr="00B746FC">
        <w:tc>
          <w:tcPr>
            <w:tcW w:w="246" w:type="dxa"/>
            <w:tcBorders>
              <w:top w:val="single" w:sz="4" w:space="0" w:color="auto"/>
            </w:tcBorders>
          </w:tcPr>
          <w:p w14:paraId="40368AEA" w14:textId="77777777" w:rsidR="00F11A31" w:rsidRPr="00B148F9" w:rsidRDefault="00F11A31" w:rsidP="00F11A31">
            <w:pPr>
              <w:jc w:val="left"/>
              <w:rPr>
                <w:rFonts w:cs="Arial"/>
              </w:rPr>
            </w:pPr>
          </w:p>
        </w:tc>
        <w:tc>
          <w:tcPr>
            <w:tcW w:w="1890" w:type="dxa"/>
            <w:tcBorders>
              <w:top w:val="single" w:sz="4" w:space="0" w:color="auto"/>
            </w:tcBorders>
          </w:tcPr>
          <w:p w14:paraId="077C0715" w14:textId="77777777" w:rsidR="00F11A31" w:rsidRPr="00B148F9" w:rsidRDefault="00F11A31" w:rsidP="00F11A31">
            <w:pPr>
              <w:jc w:val="left"/>
              <w:rPr>
                <w:rFonts w:cs="Arial"/>
              </w:rPr>
            </w:pPr>
          </w:p>
        </w:tc>
        <w:tc>
          <w:tcPr>
            <w:tcW w:w="1050" w:type="dxa"/>
            <w:tcBorders>
              <w:top w:val="single" w:sz="4" w:space="0" w:color="auto"/>
            </w:tcBorders>
          </w:tcPr>
          <w:p w14:paraId="3C285C76" w14:textId="77777777" w:rsidR="00F11A31" w:rsidRPr="00B148F9" w:rsidRDefault="00F11A31" w:rsidP="00F11A31">
            <w:pPr>
              <w:jc w:val="center"/>
              <w:rPr>
                <w:rFonts w:cs="Arial"/>
              </w:rPr>
            </w:pPr>
          </w:p>
        </w:tc>
        <w:tc>
          <w:tcPr>
            <w:tcW w:w="423" w:type="dxa"/>
            <w:tcBorders>
              <w:top w:val="single" w:sz="4" w:space="0" w:color="auto"/>
            </w:tcBorders>
          </w:tcPr>
          <w:p w14:paraId="736FFEAB" w14:textId="77777777" w:rsidR="00F11A31" w:rsidRPr="00B148F9" w:rsidRDefault="00F11A31" w:rsidP="00F11A31">
            <w:pPr>
              <w:jc w:val="center"/>
              <w:rPr>
                <w:rFonts w:cs="Arial"/>
              </w:rPr>
            </w:pPr>
          </w:p>
        </w:tc>
        <w:tc>
          <w:tcPr>
            <w:tcW w:w="941" w:type="dxa"/>
            <w:tcBorders>
              <w:top w:val="single" w:sz="4" w:space="0" w:color="auto"/>
            </w:tcBorders>
          </w:tcPr>
          <w:p w14:paraId="2A89E43A" w14:textId="77777777" w:rsidR="00F11A31" w:rsidRPr="00B148F9" w:rsidRDefault="00F11A31" w:rsidP="00F11A31">
            <w:pPr>
              <w:jc w:val="center"/>
              <w:rPr>
                <w:rFonts w:cs="Arial"/>
              </w:rPr>
            </w:pPr>
          </w:p>
        </w:tc>
        <w:tc>
          <w:tcPr>
            <w:tcW w:w="236" w:type="dxa"/>
            <w:tcBorders>
              <w:top w:val="single" w:sz="4" w:space="0" w:color="auto"/>
            </w:tcBorders>
          </w:tcPr>
          <w:p w14:paraId="07055386" w14:textId="77777777" w:rsidR="00F11A31" w:rsidRPr="00B148F9" w:rsidRDefault="00F11A31" w:rsidP="00F11A31">
            <w:pPr>
              <w:jc w:val="center"/>
              <w:rPr>
                <w:rFonts w:cs="Arial"/>
              </w:rPr>
            </w:pPr>
          </w:p>
        </w:tc>
        <w:tc>
          <w:tcPr>
            <w:tcW w:w="1387" w:type="dxa"/>
            <w:tcBorders>
              <w:top w:val="single" w:sz="4" w:space="0" w:color="auto"/>
            </w:tcBorders>
          </w:tcPr>
          <w:p w14:paraId="7261F5F9" w14:textId="77777777" w:rsidR="00F11A31" w:rsidRPr="00B148F9" w:rsidRDefault="00F11A31" w:rsidP="00F11A31">
            <w:pPr>
              <w:jc w:val="center"/>
              <w:rPr>
                <w:rFonts w:cs="Arial"/>
              </w:rPr>
            </w:pPr>
          </w:p>
        </w:tc>
        <w:tc>
          <w:tcPr>
            <w:tcW w:w="561" w:type="dxa"/>
            <w:tcBorders>
              <w:top w:val="single" w:sz="4" w:space="0" w:color="auto"/>
            </w:tcBorders>
          </w:tcPr>
          <w:p w14:paraId="33263770" w14:textId="77777777" w:rsidR="00F11A31" w:rsidRPr="00B148F9" w:rsidRDefault="00F11A31" w:rsidP="00F11A31">
            <w:pPr>
              <w:jc w:val="center"/>
              <w:rPr>
                <w:rFonts w:cs="Arial"/>
              </w:rPr>
            </w:pPr>
          </w:p>
        </w:tc>
        <w:tc>
          <w:tcPr>
            <w:tcW w:w="1309" w:type="dxa"/>
            <w:tcBorders>
              <w:top w:val="single" w:sz="4" w:space="0" w:color="auto"/>
            </w:tcBorders>
          </w:tcPr>
          <w:p w14:paraId="5C297F67" w14:textId="77777777" w:rsidR="00F11A31" w:rsidRPr="00B148F9" w:rsidRDefault="00F11A31" w:rsidP="00F11A31">
            <w:pPr>
              <w:jc w:val="center"/>
              <w:rPr>
                <w:rFonts w:cs="Arial"/>
              </w:rPr>
            </w:pPr>
          </w:p>
        </w:tc>
        <w:tc>
          <w:tcPr>
            <w:tcW w:w="561" w:type="dxa"/>
            <w:tcBorders>
              <w:top w:val="single" w:sz="4" w:space="0" w:color="auto"/>
            </w:tcBorders>
          </w:tcPr>
          <w:p w14:paraId="3F0989B4" w14:textId="77777777" w:rsidR="00F11A31" w:rsidRPr="00B148F9" w:rsidRDefault="00F11A31" w:rsidP="00F11A31">
            <w:pPr>
              <w:jc w:val="center"/>
              <w:rPr>
                <w:rFonts w:cs="Arial"/>
              </w:rPr>
            </w:pPr>
          </w:p>
        </w:tc>
        <w:tc>
          <w:tcPr>
            <w:tcW w:w="1225" w:type="dxa"/>
            <w:tcBorders>
              <w:top w:val="single" w:sz="4" w:space="0" w:color="auto"/>
            </w:tcBorders>
          </w:tcPr>
          <w:p w14:paraId="6BF49ED2" w14:textId="77777777" w:rsidR="00F11A31" w:rsidRPr="00B148F9" w:rsidRDefault="00F11A31" w:rsidP="00F11A31">
            <w:pPr>
              <w:jc w:val="center"/>
              <w:rPr>
                <w:rFonts w:cs="Arial"/>
              </w:rPr>
            </w:pPr>
          </w:p>
        </w:tc>
      </w:tr>
      <w:tr w:rsidR="005D7078" w:rsidRPr="00B148F9" w14:paraId="3A06BD74" w14:textId="77777777" w:rsidTr="00B746FC">
        <w:tc>
          <w:tcPr>
            <w:tcW w:w="3186" w:type="dxa"/>
            <w:gridSpan w:val="3"/>
            <w:vAlign w:val="center"/>
          </w:tcPr>
          <w:p w14:paraId="67C49E56" w14:textId="76D65707" w:rsidR="005D7078" w:rsidRPr="00B148F9" w:rsidRDefault="005D7078" w:rsidP="005D7078">
            <w:pPr>
              <w:jc w:val="left"/>
              <w:rPr>
                <w:rFonts w:cs="Arial"/>
              </w:rPr>
            </w:pPr>
            <w:r w:rsidRPr="00B148F9">
              <w:rPr>
                <w:rFonts w:cs="Arial"/>
              </w:rPr>
              <w:t>Investments, at fair value</w:t>
            </w:r>
          </w:p>
        </w:tc>
        <w:tc>
          <w:tcPr>
            <w:tcW w:w="423" w:type="dxa"/>
          </w:tcPr>
          <w:p w14:paraId="7CFB301E" w14:textId="77777777" w:rsidR="005D7078" w:rsidRPr="00B148F9" w:rsidRDefault="005D7078" w:rsidP="00F11A31">
            <w:pPr>
              <w:jc w:val="center"/>
              <w:rPr>
                <w:rFonts w:cs="Arial"/>
              </w:rPr>
            </w:pPr>
          </w:p>
        </w:tc>
        <w:tc>
          <w:tcPr>
            <w:tcW w:w="941" w:type="dxa"/>
          </w:tcPr>
          <w:p w14:paraId="4B71D7CC" w14:textId="77777777" w:rsidR="005D7078" w:rsidRPr="00B148F9" w:rsidRDefault="005D7078" w:rsidP="00F11A31">
            <w:pPr>
              <w:jc w:val="center"/>
              <w:rPr>
                <w:rFonts w:cs="Arial"/>
              </w:rPr>
            </w:pPr>
          </w:p>
        </w:tc>
        <w:tc>
          <w:tcPr>
            <w:tcW w:w="236" w:type="dxa"/>
          </w:tcPr>
          <w:p w14:paraId="69709256" w14:textId="77777777" w:rsidR="005D7078" w:rsidRPr="00B148F9" w:rsidRDefault="005D7078" w:rsidP="00F11A31">
            <w:pPr>
              <w:jc w:val="center"/>
              <w:rPr>
                <w:rFonts w:cs="Arial"/>
              </w:rPr>
            </w:pPr>
          </w:p>
        </w:tc>
        <w:tc>
          <w:tcPr>
            <w:tcW w:w="1387" w:type="dxa"/>
          </w:tcPr>
          <w:p w14:paraId="1EAAD64B" w14:textId="77777777" w:rsidR="005D7078" w:rsidRPr="00B148F9" w:rsidRDefault="005D7078" w:rsidP="00F11A31">
            <w:pPr>
              <w:jc w:val="center"/>
              <w:rPr>
                <w:rFonts w:cs="Arial"/>
              </w:rPr>
            </w:pPr>
          </w:p>
        </w:tc>
        <w:tc>
          <w:tcPr>
            <w:tcW w:w="561" w:type="dxa"/>
          </w:tcPr>
          <w:p w14:paraId="1AEBC80D" w14:textId="77777777" w:rsidR="005D7078" w:rsidRPr="00B148F9" w:rsidRDefault="005D7078" w:rsidP="00F11A31">
            <w:pPr>
              <w:jc w:val="center"/>
              <w:rPr>
                <w:rFonts w:cs="Arial"/>
              </w:rPr>
            </w:pPr>
          </w:p>
        </w:tc>
        <w:tc>
          <w:tcPr>
            <w:tcW w:w="1309" w:type="dxa"/>
          </w:tcPr>
          <w:p w14:paraId="6266552A" w14:textId="77777777" w:rsidR="005D7078" w:rsidRPr="00B148F9" w:rsidRDefault="005D7078" w:rsidP="00F11A31">
            <w:pPr>
              <w:jc w:val="center"/>
              <w:rPr>
                <w:rFonts w:cs="Arial"/>
              </w:rPr>
            </w:pPr>
          </w:p>
        </w:tc>
        <w:tc>
          <w:tcPr>
            <w:tcW w:w="561" w:type="dxa"/>
          </w:tcPr>
          <w:p w14:paraId="0ADE202D" w14:textId="77777777" w:rsidR="005D7078" w:rsidRPr="00B148F9" w:rsidRDefault="005D7078" w:rsidP="00F11A31">
            <w:pPr>
              <w:jc w:val="center"/>
              <w:rPr>
                <w:rFonts w:cs="Arial"/>
              </w:rPr>
            </w:pPr>
          </w:p>
        </w:tc>
        <w:tc>
          <w:tcPr>
            <w:tcW w:w="1225" w:type="dxa"/>
          </w:tcPr>
          <w:p w14:paraId="068511C1" w14:textId="77777777" w:rsidR="005D7078" w:rsidRPr="00B148F9" w:rsidRDefault="005D7078" w:rsidP="00F11A31">
            <w:pPr>
              <w:jc w:val="center"/>
              <w:rPr>
                <w:rFonts w:cs="Arial"/>
              </w:rPr>
            </w:pPr>
          </w:p>
        </w:tc>
      </w:tr>
      <w:tr w:rsidR="005D7078" w:rsidRPr="00B148F9" w14:paraId="7115C8F8" w14:textId="77777777" w:rsidTr="00B746FC">
        <w:tc>
          <w:tcPr>
            <w:tcW w:w="246" w:type="dxa"/>
          </w:tcPr>
          <w:p w14:paraId="2F9EE8A7" w14:textId="77777777" w:rsidR="00F11A31" w:rsidRPr="00B148F9" w:rsidRDefault="00F11A31" w:rsidP="00F11A31">
            <w:pPr>
              <w:jc w:val="left"/>
              <w:rPr>
                <w:rFonts w:cs="Arial"/>
              </w:rPr>
            </w:pPr>
          </w:p>
        </w:tc>
        <w:tc>
          <w:tcPr>
            <w:tcW w:w="1890" w:type="dxa"/>
          </w:tcPr>
          <w:p w14:paraId="7E501C84" w14:textId="77777777" w:rsidR="00F11A31" w:rsidRPr="00B148F9" w:rsidRDefault="00F11A31" w:rsidP="00F11A31">
            <w:pPr>
              <w:jc w:val="left"/>
              <w:rPr>
                <w:rFonts w:cs="Arial"/>
              </w:rPr>
            </w:pPr>
          </w:p>
        </w:tc>
        <w:tc>
          <w:tcPr>
            <w:tcW w:w="1050" w:type="dxa"/>
          </w:tcPr>
          <w:p w14:paraId="6262E997" w14:textId="77777777" w:rsidR="00F11A31" w:rsidRPr="00B148F9" w:rsidRDefault="00F11A31" w:rsidP="00F11A31">
            <w:pPr>
              <w:jc w:val="center"/>
              <w:rPr>
                <w:rFonts w:cs="Arial"/>
              </w:rPr>
            </w:pPr>
          </w:p>
        </w:tc>
        <w:tc>
          <w:tcPr>
            <w:tcW w:w="423" w:type="dxa"/>
          </w:tcPr>
          <w:p w14:paraId="07A82697" w14:textId="77777777" w:rsidR="00F11A31" w:rsidRPr="00B148F9" w:rsidRDefault="00F11A31" w:rsidP="00F11A31">
            <w:pPr>
              <w:jc w:val="center"/>
              <w:rPr>
                <w:rFonts w:cs="Arial"/>
              </w:rPr>
            </w:pPr>
          </w:p>
        </w:tc>
        <w:tc>
          <w:tcPr>
            <w:tcW w:w="941" w:type="dxa"/>
          </w:tcPr>
          <w:p w14:paraId="58DD3570" w14:textId="77777777" w:rsidR="00F11A31" w:rsidRPr="00B148F9" w:rsidRDefault="00F11A31" w:rsidP="00F11A31">
            <w:pPr>
              <w:jc w:val="center"/>
              <w:rPr>
                <w:rFonts w:cs="Arial"/>
              </w:rPr>
            </w:pPr>
          </w:p>
        </w:tc>
        <w:tc>
          <w:tcPr>
            <w:tcW w:w="236" w:type="dxa"/>
          </w:tcPr>
          <w:p w14:paraId="3957E793" w14:textId="77777777" w:rsidR="00F11A31" w:rsidRPr="00B148F9" w:rsidRDefault="00F11A31" w:rsidP="00F11A31">
            <w:pPr>
              <w:jc w:val="center"/>
              <w:rPr>
                <w:rFonts w:cs="Arial"/>
              </w:rPr>
            </w:pPr>
          </w:p>
        </w:tc>
        <w:tc>
          <w:tcPr>
            <w:tcW w:w="1387" w:type="dxa"/>
          </w:tcPr>
          <w:p w14:paraId="7C5BBCBA" w14:textId="77777777" w:rsidR="00F11A31" w:rsidRPr="00B148F9" w:rsidRDefault="00F11A31" w:rsidP="00F11A31">
            <w:pPr>
              <w:jc w:val="center"/>
              <w:rPr>
                <w:rFonts w:cs="Arial"/>
              </w:rPr>
            </w:pPr>
          </w:p>
        </w:tc>
        <w:tc>
          <w:tcPr>
            <w:tcW w:w="561" w:type="dxa"/>
          </w:tcPr>
          <w:p w14:paraId="666432F7" w14:textId="77777777" w:rsidR="00F11A31" w:rsidRPr="00B148F9" w:rsidRDefault="00F11A31" w:rsidP="00F11A31">
            <w:pPr>
              <w:jc w:val="center"/>
              <w:rPr>
                <w:rFonts w:cs="Arial"/>
              </w:rPr>
            </w:pPr>
          </w:p>
        </w:tc>
        <w:tc>
          <w:tcPr>
            <w:tcW w:w="1309" w:type="dxa"/>
          </w:tcPr>
          <w:p w14:paraId="2D041043" w14:textId="77777777" w:rsidR="00F11A31" w:rsidRPr="00B148F9" w:rsidRDefault="00F11A31" w:rsidP="00F11A31">
            <w:pPr>
              <w:jc w:val="center"/>
              <w:rPr>
                <w:rFonts w:cs="Arial"/>
              </w:rPr>
            </w:pPr>
          </w:p>
        </w:tc>
        <w:tc>
          <w:tcPr>
            <w:tcW w:w="561" w:type="dxa"/>
          </w:tcPr>
          <w:p w14:paraId="0FF0AEB6" w14:textId="77777777" w:rsidR="00F11A31" w:rsidRPr="00B148F9" w:rsidRDefault="00F11A31" w:rsidP="00F11A31">
            <w:pPr>
              <w:jc w:val="center"/>
              <w:rPr>
                <w:rFonts w:cs="Arial"/>
              </w:rPr>
            </w:pPr>
          </w:p>
        </w:tc>
        <w:tc>
          <w:tcPr>
            <w:tcW w:w="1225" w:type="dxa"/>
          </w:tcPr>
          <w:p w14:paraId="1F6B43D3" w14:textId="77777777" w:rsidR="00F11A31" w:rsidRPr="00B148F9" w:rsidRDefault="00F11A31" w:rsidP="00F11A31">
            <w:pPr>
              <w:jc w:val="center"/>
              <w:rPr>
                <w:rFonts w:cs="Arial"/>
              </w:rPr>
            </w:pPr>
          </w:p>
        </w:tc>
      </w:tr>
      <w:tr w:rsidR="005D7078" w:rsidRPr="00B148F9" w14:paraId="5C61B747" w14:textId="77777777" w:rsidTr="00B746FC">
        <w:tc>
          <w:tcPr>
            <w:tcW w:w="3186" w:type="dxa"/>
            <w:gridSpan w:val="3"/>
            <w:vAlign w:val="center"/>
          </w:tcPr>
          <w:p w14:paraId="63A2575D" w14:textId="4595CFCF" w:rsidR="005D7078" w:rsidRPr="00B148F9" w:rsidRDefault="005D7078" w:rsidP="005D7078">
            <w:pPr>
              <w:jc w:val="left"/>
              <w:rPr>
                <w:rFonts w:cs="Arial"/>
              </w:rPr>
            </w:pPr>
            <w:r w:rsidRPr="00B148F9">
              <w:rPr>
                <w:rFonts w:cs="Arial"/>
                <w:b/>
              </w:rPr>
              <w:t>Common stock</w:t>
            </w:r>
          </w:p>
        </w:tc>
        <w:tc>
          <w:tcPr>
            <w:tcW w:w="423" w:type="dxa"/>
          </w:tcPr>
          <w:p w14:paraId="65FE7F39" w14:textId="77777777" w:rsidR="005D7078" w:rsidRPr="00B148F9" w:rsidRDefault="005D7078" w:rsidP="00F11A31">
            <w:pPr>
              <w:jc w:val="center"/>
              <w:rPr>
                <w:rFonts w:cs="Arial"/>
              </w:rPr>
            </w:pPr>
          </w:p>
        </w:tc>
        <w:tc>
          <w:tcPr>
            <w:tcW w:w="941" w:type="dxa"/>
          </w:tcPr>
          <w:p w14:paraId="6F6391E2" w14:textId="77777777" w:rsidR="005D7078" w:rsidRPr="00B148F9" w:rsidRDefault="005D7078" w:rsidP="00F11A31">
            <w:pPr>
              <w:jc w:val="center"/>
              <w:rPr>
                <w:rFonts w:cs="Arial"/>
              </w:rPr>
            </w:pPr>
          </w:p>
        </w:tc>
        <w:tc>
          <w:tcPr>
            <w:tcW w:w="236" w:type="dxa"/>
          </w:tcPr>
          <w:p w14:paraId="59E085AF" w14:textId="77777777" w:rsidR="005D7078" w:rsidRPr="00B148F9" w:rsidRDefault="005D7078" w:rsidP="00F11A31">
            <w:pPr>
              <w:jc w:val="center"/>
              <w:rPr>
                <w:rFonts w:cs="Arial"/>
              </w:rPr>
            </w:pPr>
          </w:p>
        </w:tc>
        <w:tc>
          <w:tcPr>
            <w:tcW w:w="1387" w:type="dxa"/>
          </w:tcPr>
          <w:p w14:paraId="15756AB6" w14:textId="77777777" w:rsidR="005D7078" w:rsidRPr="00B148F9" w:rsidRDefault="005D7078" w:rsidP="00F11A31">
            <w:pPr>
              <w:jc w:val="center"/>
              <w:rPr>
                <w:rFonts w:cs="Arial"/>
              </w:rPr>
            </w:pPr>
          </w:p>
        </w:tc>
        <w:tc>
          <w:tcPr>
            <w:tcW w:w="561" w:type="dxa"/>
          </w:tcPr>
          <w:p w14:paraId="548B7D51" w14:textId="77777777" w:rsidR="005D7078" w:rsidRPr="00B148F9" w:rsidRDefault="005D7078" w:rsidP="00F11A31">
            <w:pPr>
              <w:jc w:val="center"/>
              <w:rPr>
                <w:rFonts w:cs="Arial"/>
              </w:rPr>
            </w:pPr>
          </w:p>
        </w:tc>
        <w:tc>
          <w:tcPr>
            <w:tcW w:w="1309" w:type="dxa"/>
          </w:tcPr>
          <w:p w14:paraId="065364EC" w14:textId="77777777" w:rsidR="005D7078" w:rsidRPr="00B148F9" w:rsidRDefault="005D7078" w:rsidP="00F11A31">
            <w:pPr>
              <w:jc w:val="center"/>
              <w:rPr>
                <w:rFonts w:cs="Arial"/>
              </w:rPr>
            </w:pPr>
          </w:p>
        </w:tc>
        <w:tc>
          <w:tcPr>
            <w:tcW w:w="561" w:type="dxa"/>
          </w:tcPr>
          <w:p w14:paraId="485352B4" w14:textId="77777777" w:rsidR="005D7078" w:rsidRPr="00B148F9" w:rsidRDefault="005D7078" w:rsidP="00F11A31">
            <w:pPr>
              <w:jc w:val="center"/>
              <w:rPr>
                <w:rFonts w:cs="Arial"/>
              </w:rPr>
            </w:pPr>
          </w:p>
        </w:tc>
        <w:tc>
          <w:tcPr>
            <w:tcW w:w="1225" w:type="dxa"/>
          </w:tcPr>
          <w:p w14:paraId="3F989A3C" w14:textId="77777777" w:rsidR="005D7078" w:rsidRPr="00B148F9" w:rsidRDefault="005D7078" w:rsidP="00F11A31">
            <w:pPr>
              <w:jc w:val="center"/>
              <w:rPr>
                <w:rFonts w:cs="Arial"/>
              </w:rPr>
            </w:pPr>
          </w:p>
        </w:tc>
      </w:tr>
      <w:tr w:rsidR="005D7078" w:rsidRPr="00B148F9" w14:paraId="508A8DFD" w14:textId="77777777" w:rsidTr="00B746FC">
        <w:tc>
          <w:tcPr>
            <w:tcW w:w="246" w:type="dxa"/>
          </w:tcPr>
          <w:p w14:paraId="2BC10393" w14:textId="77777777" w:rsidR="00F11A31" w:rsidRPr="00B148F9" w:rsidRDefault="00F11A31" w:rsidP="00F11A31">
            <w:pPr>
              <w:jc w:val="left"/>
              <w:rPr>
                <w:rFonts w:cs="Arial"/>
              </w:rPr>
            </w:pPr>
          </w:p>
        </w:tc>
        <w:tc>
          <w:tcPr>
            <w:tcW w:w="1890" w:type="dxa"/>
          </w:tcPr>
          <w:p w14:paraId="26B2DDA5" w14:textId="1A99C679" w:rsidR="00F11A31" w:rsidRPr="00B148F9" w:rsidRDefault="005D7078" w:rsidP="00F11A31">
            <w:pPr>
              <w:jc w:val="left"/>
              <w:rPr>
                <w:rFonts w:cs="Arial"/>
                <w:b/>
              </w:rPr>
            </w:pPr>
            <w:r w:rsidRPr="00B148F9">
              <w:rPr>
                <w:rFonts w:cs="Arial"/>
                <w:b/>
              </w:rPr>
              <w:t>United States</w:t>
            </w:r>
          </w:p>
        </w:tc>
        <w:tc>
          <w:tcPr>
            <w:tcW w:w="1050" w:type="dxa"/>
          </w:tcPr>
          <w:p w14:paraId="36EDC21B" w14:textId="77777777" w:rsidR="00F11A31" w:rsidRPr="00B148F9" w:rsidRDefault="00F11A31" w:rsidP="00F11A31">
            <w:pPr>
              <w:jc w:val="center"/>
              <w:rPr>
                <w:rFonts w:cs="Arial"/>
              </w:rPr>
            </w:pPr>
          </w:p>
        </w:tc>
        <w:tc>
          <w:tcPr>
            <w:tcW w:w="423" w:type="dxa"/>
          </w:tcPr>
          <w:p w14:paraId="5A3C645E" w14:textId="77777777" w:rsidR="00F11A31" w:rsidRPr="00B148F9" w:rsidRDefault="00F11A31" w:rsidP="00F11A31">
            <w:pPr>
              <w:jc w:val="center"/>
              <w:rPr>
                <w:rFonts w:cs="Arial"/>
              </w:rPr>
            </w:pPr>
          </w:p>
        </w:tc>
        <w:tc>
          <w:tcPr>
            <w:tcW w:w="941" w:type="dxa"/>
          </w:tcPr>
          <w:p w14:paraId="59E34CD4" w14:textId="77777777" w:rsidR="00F11A31" w:rsidRPr="00B148F9" w:rsidRDefault="00F11A31" w:rsidP="00F11A31">
            <w:pPr>
              <w:jc w:val="center"/>
              <w:rPr>
                <w:rFonts w:cs="Arial"/>
              </w:rPr>
            </w:pPr>
          </w:p>
        </w:tc>
        <w:tc>
          <w:tcPr>
            <w:tcW w:w="236" w:type="dxa"/>
          </w:tcPr>
          <w:p w14:paraId="00074353" w14:textId="77777777" w:rsidR="00F11A31" w:rsidRPr="00B148F9" w:rsidRDefault="00F11A31" w:rsidP="00F11A31">
            <w:pPr>
              <w:jc w:val="center"/>
              <w:rPr>
                <w:rFonts w:cs="Arial"/>
              </w:rPr>
            </w:pPr>
          </w:p>
        </w:tc>
        <w:tc>
          <w:tcPr>
            <w:tcW w:w="1387" w:type="dxa"/>
          </w:tcPr>
          <w:p w14:paraId="31AE869E" w14:textId="77777777" w:rsidR="00F11A31" w:rsidRPr="00B148F9" w:rsidRDefault="00F11A31" w:rsidP="00F11A31">
            <w:pPr>
              <w:jc w:val="center"/>
              <w:rPr>
                <w:rFonts w:cs="Arial"/>
              </w:rPr>
            </w:pPr>
          </w:p>
        </w:tc>
        <w:tc>
          <w:tcPr>
            <w:tcW w:w="561" w:type="dxa"/>
          </w:tcPr>
          <w:p w14:paraId="0F6F2F79" w14:textId="77777777" w:rsidR="00F11A31" w:rsidRPr="00B148F9" w:rsidRDefault="00F11A31" w:rsidP="00F11A31">
            <w:pPr>
              <w:jc w:val="center"/>
              <w:rPr>
                <w:rFonts w:cs="Arial"/>
              </w:rPr>
            </w:pPr>
          </w:p>
        </w:tc>
        <w:tc>
          <w:tcPr>
            <w:tcW w:w="1309" w:type="dxa"/>
          </w:tcPr>
          <w:p w14:paraId="377CEE6E" w14:textId="77777777" w:rsidR="00F11A31" w:rsidRPr="00B148F9" w:rsidRDefault="00F11A31" w:rsidP="00F11A31">
            <w:pPr>
              <w:jc w:val="center"/>
              <w:rPr>
                <w:rFonts w:cs="Arial"/>
              </w:rPr>
            </w:pPr>
          </w:p>
        </w:tc>
        <w:tc>
          <w:tcPr>
            <w:tcW w:w="561" w:type="dxa"/>
          </w:tcPr>
          <w:p w14:paraId="4ED3B1A6" w14:textId="77777777" w:rsidR="00F11A31" w:rsidRPr="00B148F9" w:rsidRDefault="00F11A31" w:rsidP="00F11A31">
            <w:pPr>
              <w:jc w:val="center"/>
              <w:rPr>
                <w:rFonts w:cs="Arial"/>
              </w:rPr>
            </w:pPr>
          </w:p>
        </w:tc>
        <w:tc>
          <w:tcPr>
            <w:tcW w:w="1225" w:type="dxa"/>
          </w:tcPr>
          <w:p w14:paraId="2A531648" w14:textId="77777777" w:rsidR="00F11A31" w:rsidRPr="00B148F9" w:rsidRDefault="00F11A31" w:rsidP="00F11A31">
            <w:pPr>
              <w:jc w:val="center"/>
              <w:rPr>
                <w:rFonts w:cs="Arial"/>
              </w:rPr>
            </w:pPr>
          </w:p>
        </w:tc>
      </w:tr>
      <w:tr w:rsidR="005D7078" w:rsidRPr="00B148F9" w14:paraId="0DCE3703" w14:textId="77777777" w:rsidTr="00B746FC">
        <w:tc>
          <w:tcPr>
            <w:tcW w:w="246" w:type="dxa"/>
          </w:tcPr>
          <w:p w14:paraId="6E7607D6" w14:textId="77777777" w:rsidR="00F11A31" w:rsidRPr="00B148F9" w:rsidRDefault="00F11A31" w:rsidP="00F11A31">
            <w:pPr>
              <w:jc w:val="left"/>
              <w:rPr>
                <w:rFonts w:cs="Arial"/>
              </w:rPr>
            </w:pPr>
          </w:p>
        </w:tc>
        <w:tc>
          <w:tcPr>
            <w:tcW w:w="1890" w:type="dxa"/>
          </w:tcPr>
          <w:p w14:paraId="41179048" w14:textId="305C1EA8" w:rsidR="00F11A31" w:rsidRPr="00B148F9" w:rsidRDefault="00974A66" w:rsidP="00F11A31">
            <w:pPr>
              <w:jc w:val="left"/>
              <w:rPr>
                <w:rFonts w:cs="Arial"/>
                <w:b/>
              </w:rPr>
            </w:pPr>
            <w:r w:rsidRPr="00B148F9">
              <w:rPr>
                <w:rFonts w:cs="Arial"/>
                <w:b/>
              </w:rPr>
              <w:t>Thera</w:t>
            </w:r>
            <w:r w:rsidR="005D7078" w:rsidRPr="00B148F9">
              <w:rPr>
                <w:rFonts w:cs="Arial"/>
                <w:b/>
              </w:rPr>
              <w:t>peutics</w:t>
            </w:r>
          </w:p>
        </w:tc>
        <w:tc>
          <w:tcPr>
            <w:tcW w:w="1050" w:type="dxa"/>
          </w:tcPr>
          <w:p w14:paraId="4006F798" w14:textId="77777777" w:rsidR="00F11A31" w:rsidRPr="00B148F9" w:rsidRDefault="00F11A31" w:rsidP="00F11A31">
            <w:pPr>
              <w:jc w:val="center"/>
              <w:rPr>
                <w:rFonts w:cs="Arial"/>
              </w:rPr>
            </w:pPr>
          </w:p>
        </w:tc>
        <w:tc>
          <w:tcPr>
            <w:tcW w:w="423" w:type="dxa"/>
          </w:tcPr>
          <w:p w14:paraId="66554919" w14:textId="77777777" w:rsidR="00F11A31" w:rsidRPr="00B148F9" w:rsidRDefault="00F11A31" w:rsidP="00F11A31">
            <w:pPr>
              <w:jc w:val="center"/>
              <w:rPr>
                <w:rFonts w:cs="Arial"/>
              </w:rPr>
            </w:pPr>
          </w:p>
        </w:tc>
        <w:tc>
          <w:tcPr>
            <w:tcW w:w="941" w:type="dxa"/>
          </w:tcPr>
          <w:p w14:paraId="70E23DD6" w14:textId="77777777" w:rsidR="00F11A31" w:rsidRPr="00B148F9" w:rsidRDefault="00F11A31" w:rsidP="00F11A31">
            <w:pPr>
              <w:jc w:val="center"/>
              <w:rPr>
                <w:rFonts w:cs="Arial"/>
              </w:rPr>
            </w:pPr>
          </w:p>
        </w:tc>
        <w:tc>
          <w:tcPr>
            <w:tcW w:w="236" w:type="dxa"/>
          </w:tcPr>
          <w:p w14:paraId="326B4151" w14:textId="77777777" w:rsidR="00F11A31" w:rsidRPr="00B148F9" w:rsidRDefault="00F11A31" w:rsidP="00F11A31">
            <w:pPr>
              <w:jc w:val="center"/>
              <w:rPr>
                <w:rFonts w:cs="Arial"/>
              </w:rPr>
            </w:pPr>
          </w:p>
        </w:tc>
        <w:tc>
          <w:tcPr>
            <w:tcW w:w="1387" w:type="dxa"/>
          </w:tcPr>
          <w:p w14:paraId="57B57C98" w14:textId="77777777" w:rsidR="00F11A31" w:rsidRPr="00B148F9" w:rsidRDefault="00F11A31" w:rsidP="00F11A31">
            <w:pPr>
              <w:jc w:val="center"/>
              <w:rPr>
                <w:rFonts w:cs="Arial"/>
              </w:rPr>
            </w:pPr>
          </w:p>
        </w:tc>
        <w:tc>
          <w:tcPr>
            <w:tcW w:w="561" w:type="dxa"/>
          </w:tcPr>
          <w:p w14:paraId="6879A796" w14:textId="77777777" w:rsidR="00F11A31" w:rsidRPr="00B148F9" w:rsidRDefault="00F11A31" w:rsidP="00F11A31">
            <w:pPr>
              <w:jc w:val="center"/>
              <w:rPr>
                <w:rFonts w:cs="Arial"/>
              </w:rPr>
            </w:pPr>
          </w:p>
        </w:tc>
        <w:tc>
          <w:tcPr>
            <w:tcW w:w="1309" w:type="dxa"/>
          </w:tcPr>
          <w:p w14:paraId="1E1F1390" w14:textId="77777777" w:rsidR="00F11A31" w:rsidRPr="00B148F9" w:rsidRDefault="00F11A31" w:rsidP="00F11A31">
            <w:pPr>
              <w:jc w:val="center"/>
              <w:rPr>
                <w:rFonts w:cs="Arial"/>
              </w:rPr>
            </w:pPr>
          </w:p>
        </w:tc>
        <w:tc>
          <w:tcPr>
            <w:tcW w:w="561" w:type="dxa"/>
          </w:tcPr>
          <w:p w14:paraId="293E4EA2" w14:textId="77777777" w:rsidR="00F11A31" w:rsidRPr="00B148F9" w:rsidRDefault="00F11A31" w:rsidP="00F11A31">
            <w:pPr>
              <w:jc w:val="center"/>
              <w:rPr>
                <w:rFonts w:cs="Arial"/>
              </w:rPr>
            </w:pPr>
          </w:p>
        </w:tc>
        <w:tc>
          <w:tcPr>
            <w:tcW w:w="1225" w:type="dxa"/>
          </w:tcPr>
          <w:p w14:paraId="565B7617" w14:textId="77777777" w:rsidR="00F11A31" w:rsidRPr="00B148F9" w:rsidRDefault="00F11A31" w:rsidP="00F11A31">
            <w:pPr>
              <w:jc w:val="center"/>
              <w:rPr>
                <w:rFonts w:cs="Arial"/>
              </w:rPr>
            </w:pPr>
          </w:p>
        </w:tc>
      </w:tr>
      <w:tr w:rsidR="005D7078" w:rsidRPr="00B148F9" w14:paraId="0BBACAE0" w14:textId="77777777" w:rsidTr="00B746FC">
        <w:tc>
          <w:tcPr>
            <w:tcW w:w="246" w:type="dxa"/>
          </w:tcPr>
          <w:p w14:paraId="3B211BB9" w14:textId="77777777" w:rsidR="005D7078" w:rsidRPr="00B148F9" w:rsidRDefault="005D7078" w:rsidP="00F11A31">
            <w:pPr>
              <w:jc w:val="left"/>
              <w:rPr>
                <w:rFonts w:cs="Arial"/>
              </w:rPr>
            </w:pPr>
          </w:p>
        </w:tc>
        <w:tc>
          <w:tcPr>
            <w:tcW w:w="3363" w:type="dxa"/>
            <w:gridSpan w:val="3"/>
            <w:vAlign w:val="center"/>
          </w:tcPr>
          <w:p w14:paraId="554EBB9E" w14:textId="1D3B9E37" w:rsidR="005D7078" w:rsidRPr="00B148F9" w:rsidRDefault="005D7078" w:rsidP="005D7078">
            <w:pPr>
              <w:jc w:val="left"/>
              <w:rPr>
                <w:rFonts w:cs="Arial"/>
              </w:rPr>
            </w:pPr>
            <w:r w:rsidRPr="00B148F9">
              <w:rPr>
                <w:rFonts w:cs="Arial"/>
              </w:rPr>
              <w:t>Rocket Pharmaceuticals, Inc.</w:t>
            </w:r>
          </w:p>
        </w:tc>
        <w:tc>
          <w:tcPr>
            <w:tcW w:w="941" w:type="dxa"/>
          </w:tcPr>
          <w:p w14:paraId="48807CAE" w14:textId="5381D49F" w:rsidR="005D7078" w:rsidRPr="00B148F9" w:rsidRDefault="005D7078" w:rsidP="00F11A31">
            <w:pPr>
              <w:jc w:val="center"/>
              <w:rPr>
                <w:rFonts w:cs="Arial"/>
              </w:rPr>
            </w:pPr>
            <w:r w:rsidRPr="00B148F9">
              <w:rPr>
                <w:rFonts w:cs="Arial"/>
              </w:rPr>
              <w:t>100</w:t>
            </w:r>
            <w:r w:rsidR="005D79DC" w:rsidRPr="00B148F9">
              <w:rPr>
                <w:rFonts w:cs="Arial"/>
              </w:rPr>
              <w:t>.00</w:t>
            </w:r>
          </w:p>
        </w:tc>
        <w:tc>
          <w:tcPr>
            <w:tcW w:w="236" w:type="dxa"/>
          </w:tcPr>
          <w:p w14:paraId="043C08B7" w14:textId="3A183F04" w:rsidR="005D7078" w:rsidRPr="00B148F9" w:rsidRDefault="00BE3DA3" w:rsidP="00B746FC">
            <w:pPr>
              <w:jc w:val="left"/>
              <w:rPr>
                <w:rFonts w:cs="Arial"/>
              </w:rPr>
            </w:pPr>
            <w:r w:rsidRPr="00B148F9">
              <w:rPr>
                <w:rFonts w:cs="Arial"/>
              </w:rPr>
              <w:t>%</w:t>
            </w:r>
          </w:p>
        </w:tc>
        <w:tc>
          <w:tcPr>
            <w:tcW w:w="1387" w:type="dxa"/>
          </w:tcPr>
          <w:p w14:paraId="0E26FE5E" w14:textId="2D747655" w:rsidR="005D7078" w:rsidRPr="00B148F9" w:rsidRDefault="005D7078" w:rsidP="00F11A31">
            <w:pPr>
              <w:jc w:val="center"/>
              <w:rPr>
                <w:rFonts w:cs="Arial"/>
              </w:rPr>
            </w:pPr>
            <w:r w:rsidRPr="00B148F9">
              <w:rPr>
                <w:rFonts w:cs="Arial"/>
              </w:rPr>
              <w:t>4,434,653</w:t>
            </w:r>
          </w:p>
        </w:tc>
        <w:tc>
          <w:tcPr>
            <w:tcW w:w="561" w:type="dxa"/>
            <w:vAlign w:val="bottom"/>
          </w:tcPr>
          <w:p w14:paraId="08F9243C" w14:textId="0A250E43" w:rsidR="005D7078" w:rsidRPr="00B148F9" w:rsidRDefault="00392D8E" w:rsidP="00DE3E70">
            <w:pPr>
              <w:jc w:val="right"/>
              <w:rPr>
                <w:rFonts w:cs="Arial"/>
              </w:rPr>
            </w:pPr>
            <w:r w:rsidRPr="00B148F9">
              <w:rPr>
                <w:rFonts w:cs="Arial"/>
              </w:rPr>
              <w:t>US$</w:t>
            </w:r>
          </w:p>
        </w:tc>
        <w:tc>
          <w:tcPr>
            <w:tcW w:w="1309" w:type="dxa"/>
          </w:tcPr>
          <w:p w14:paraId="58EFBB3B" w14:textId="67B1B679" w:rsidR="005D7078" w:rsidRPr="00B148F9" w:rsidRDefault="005D7078" w:rsidP="00F11A31">
            <w:pPr>
              <w:jc w:val="center"/>
              <w:rPr>
                <w:rFonts w:cs="Arial"/>
              </w:rPr>
            </w:pPr>
            <w:r w:rsidRPr="00B148F9">
              <w:rPr>
                <w:rFonts w:cs="Arial"/>
              </w:rPr>
              <w:t>11,670,904</w:t>
            </w:r>
          </w:p>
        </w:tc>
        <w:tc>
          <w:tcPr>
            <w:tcW w:w="561" w:type="dxa"/>
            <w:vAlign w:val="bottom"/>
          </w:tcPr>
          <w:p w14:paraId="7FEEB16D" w14:textId="3A926068" w:rsidR="005D7078" w:rsidRPr="00B148F9" w:rsidRDefault="00392D8E" w:rsidP="00DE3E70">
            <w:pPr>
              <w:jc w:val="right"/>
              <w:rPr>
                <w:rFonts w:cs="Arial"/>
              </w:rPr>
            </w:pPr>
            <w:r w:rsidRPr="00B148F9">
              <w:rPr>
                <w:rFonts w:cs="Arial"/>
              </w:rPr>
              <w:t>US$</w:t>
            </w:r>
          </w:p>
        </w:tc>
        <w:tc>
          <w:tcPr>
            <w:tcW w:w="1225" w:type="dxa"/>
          </w:tcPr>
          <w:p w14:paraId="0319B17D" w14:textId="32349D19" w:rsidR="005D7078" w:rsidRPr="00B148F9" w:rsidRDefault="005D7078" w:rsidP="00F11A31">
            <w:pPr>
              <w:jc w:val="center"/>
              <w:rPr>
                <w:rFonts w:cs="Arial"/>
              </w:rPr>
            </w:pPr>
            <w:r w:rsidRPr="00B148F9">
              <w:rPr>
                <w:rFonts w:cs="Arial"/>
              </w:rPr>
              <w:t>65,721,557</w:t>
            </w:r>
          </w:p>
        </w:tc>
      </w:tr>
      <w:tr w:rsidR="005D7078" w:rsidRPr="00B148F9" w14:paraId="6A2EF813" w14:textId="77777777" w:rsidTr="00B746FC">
        <w:tc>
          <w:tcPr>
            <w:tcW w:w="246" w:type="dxa"/>
          </w:tcPr>
          <w:p w14:paraId="1805AB47" w14:textId="77777777" w:rsidR="00F11A31" w:rsidRPr="00B148F9" w:rsidRDefault="00F11A31" w:rsidP="00F11A31">
            <w:pPr>
              <w:jc w:val="left"/>
              <w:rPr>
                <w:rFonts w:cs="Arial"/>
              </w:rPr>
            </w:pPr>
          </w:p>
        </w:tc>
        <w:tc>
          <w:tcPr>
            <w:tcW w:w="1890" w:type="dxa"/>
          </w:tcPr>
          <w:p w14:paraId="2C887A3B" w14:textId="77777777" w:rsidR="00F11A31" w:rsidRPr="00B148F9" w:rsidRDefault="00F11A31" w:rsidP="00F11A31">
            <w:pPr>
              <w:jc w:val="left"/>
              <w:rPr>
                <w:rFonts w:cs="Arial"/>
              </w:rPr>
            </w:pPr>
          </w:p>
        </w:tc>
        <w:tc>
          <w:tcPr>
            <w:tcW w:w="1050" w:type="dxa"/>
          </w:tcPr>
          <w:p w14:paraId="0AC603EA" w14:textId="77777777" w:rsidR="00F11A31" w:rsidRPr="00B148F9" w:rsidRDefault="00F11A31" w:rsidP="00F11A31">
            <w:pPr>
              <w:jc w:val="center"/>
              <w:rPr>
                <w:rFonts w:cs="Arial"/>
              </w:rPr>
            </w:pPr>
          </w:p>
        </w:tc>
        <w:tc>
          <w:tcPr>
            <w:tcW w:w="423" w:type="dxa"/>
          </w:tcPr>
          <w:p w14:paraId="6990D500" w14:textId="77777777" w:rsidR="00F11A31" w:rsidRPr="00B148F9" w:rsidRDefault="00F11A31" w:rsidP="00F11A31">
            <w:pPr>
              <w:jc w:val="center"/>
              <w:rPr>
                <w:rFonts w:cs="Arial"/>
              </w:rPr>
            </w:pPr>
          </w:p>
        </w:tc>
        <w:tc>
          <w:tcPr>
            <w:tcW w:w="941" w:type="dxa"/>
            <w:tcBorders>
              <w:bottom w:val="single" w:sz="4" w:space="0" w:color="auto"/>
            </w:tcBorders>
          </w:tcPr>
          <w:p w14:paraId="744850E7" w14:textId="77777777" w:rsidR="00F11A31" w:rsidRPr="00B148F9" w:rsidRDefault="00F11A31" w:rsidP="00F11A31">
            <w:pPr>
              <w:jc w:val="center"/>
              <w:rPr>
                <w:rFonts w:cs="Arial"/>
              </w:rPr>
            </w:pPr>
          </w:p>
        </w:tc>
        <w:tc>
          <w:tcPr>
            <w:tcW w:w="236" w:type="dxa"/>
            <w:tcBorders>
              <w:bottom w:val="single" w:sz="4" w:space="0" w:color="auto"/>
            </w:tcBorders>
          </w:tcPr>
          <w:p w14:paraId="1554A5A8" w14:textId="77777777" w:rsidR="00F11A31" w:rsidRPr="00B148F9" w:rsidRDefault="00F11A31" w:rsidP="00F11A31">
            <w:pPr>
              <w:jc w:val="center"/>
              <w:rPr>
                <w:rFonts w:cs="Arial"/>
              </w:rPr>
            </w:pPr>
          </w:p>
        </w:tc>
        <w:tc>
          <w:tcPr>
            <w:tcW w:w="1387" w:type="dxa"/>
            <w:tcBorders>
              <w:bottom w:val="single" w:sz="4" w:space="0" w:color="auto"/>
            </w:tcBorders>
          </w:tcPr>
          <w:p w14:paraId="6B63DBB2" w14:textId="77777777" w:rsidR="00F11A31" w:rsidRPr="00B148F9" w:rsidRDefault="00F11A31" w:rsidP="00F11A31">
            <w:pPr>
              <w:jc w:val="center"/>
              <w:rPr>
                <w:rFonts w:cs="Arial"/>
              </w:rPr>
            </w:pPr>
          </w:p>
        </w:tc>
        <w:tc>
          <w:tcPr>
            <w:tcW w:w="561" w:type="dxa"/>
            <w:tcBorders>
              <w:bottom w:val="single" w:sz="4" w:space="0" w:color="auto"/>
            </w:tcBorders>
          </w:tcPr>
          <w:p w14:paraId="70F0284F" w14:textId="77777777" w:rsidR="00F11A31" w:rsidRPr="00B148F9" w:rsidRDefault="00F11A31" w:rsidP="00F11A31">
            <w:pPr>
              <w:jc w:val="center"/>
              <w:rPr>
                <w:rFonts w:cs="Arial"/>
              </w:rPr>
            </w:pPr>
          </w:p>
        </w:tc>
        <w:tc>
          <w:tcPr>
            <w:tcW w:w="1309" w:type="dxa"/>
            <w:tcBorders>
              <w:bottom w:val="single" w:sz="4" w:space="0" w:color="auto"/>
            </w:tcBorders>
          </w:tcPr>
          <w:p w14:paraId="48474739" w14:textId="77777777" w:rsidR="00F11A31" w:rsidRPr="00B148F9" w:rsidRDefault="00F11A31" w:rsidP="00F11A31">
            <w:pPr>
              <w:jc w:val="center"/>
              <w:rPr>
                <w:rFonts w:cs="Arial"/>
              </w:rPr>
            </w:pPr>
          </w:p>
        </w:tc>
        <w:tc>
          <w:tcPr>
            <w:tcW w:w="561" w:type="dxa"/>
            <w:tcBorders>
              <w:bottom w:val="single" w:sz="4" w:space="0" w:color="auto"/>
            </w:tcBorders>
          </w:tcPr>
          <w:p w14:paraId="71843E87" w14:textId="77777777" w:rsidR="00F11A31" w:rsidRPr="00B148F9" w:rsidRDefault="00F11A31" w:rsidP="00F11A31">
            <w:pPr>
              <w:jc w:val="center"/>
              <w:rPr>
                <w:rFonts w:cs="Arial"/>
              </w:rPr>
            </w:pPr>
          </w:p>
        </w:tc>
        <w:tc>
          <w:tcPr>
            <w:tcW w:w="1225" w:type="dxa"/>
            <w:tcBorders>
              <w:bottom w:val="single" w:sz="4" w:space="0" w:color="auto"/>
            </w:tcBorders>
          </w:tcPr>
          <w:p w14:paraId="795FC5AA" w14:textId="77777777" w:rsidR="00F11A31" w:rsidRPr="00B148F9" w:rsidRDefault="00F11A31" w:rsidP="00F11A31">
            <w:pPr>
              <w:jc w:val="center"/>
              <w:rPr>
                <w:rFonts w:cs="Arial"/>
              </w:rPr>
            </w:pPr>
          </w:p>
        </w:tc>
      </w:tr>
      <w:tr w:rsidR="005D7078" w:rsidRPr="00B148F9" w14:paraId="3DAE87DE" w14:textId="77777777" w:rsidTr="00B746FC">
        <w:tc>
          <w:tcPr>
            <w:tcW w:w="3186" w:type="dxa"/>
            <w:gridSpan w:val="3"/>
            <w:vAlign w:val="center"/>
          </w:tcPr>
          <w:p w14:paraId="69921932" w14:textId="1335A31D" w:rsidR="005D7078" w:rsidRPr="00B148F9" w:rsidRDefault="005D7078" w:rsidP="005D7078">
            <w:pPr>
              <w:jc w:val="left"/>
              <w:rPr>
                <w:rFonts w:cs="Arial"/>
                <w:b/>
              </w:rPr>
            </w:pPr>
            <w:r w:rsidRPr="00B148F9">
              <w:rPr>
                <w:rFonts w:cs="Arial"/>
                <w:b/>
              </w:rPr>
              <w:t>Total Investments, at fair value</w:t>
            </w:r>
          </w:p>
        </w:tc>
        <w:tc>
          <w:tcPr>
            <w:tcW w:w="423" w:type="dxa"/>
          </w:tcPr>
          <w:p w14:paraId="24DD8AC0" w14:textId="77777777" w:rsidR="005D7078" w:rsidRPr="00B148F9" w:rsidRDefault="005D7078" w:rsidP="005D7078">
            <w:pPr>
              <w:jc w:val="center"/>
              <w:rPr>
                <w:rFonts w:cs="Arial"/>
              </w:rPr>
            </w:pPr>
          </w:p>
        </w:tc>
        <w:tc>
          <w:tcPr>
            <w:tcW w:w="941" w:type="dxa"/>
            <w:tcBorders>
              <w:top w:val="single" w:sz="4" w:space="0" w:color="auto"/>
              <w:bottom w:val="single" w:sz="4" w:space="0" w:color="auto"/>
            </w:tcBorders>
          </w:tcPr>
          <w:p w14:paraId="6220BDB1" w14:textId="4C1E4A2C" w:rsidR="005D7078" w:rsidRPr="00B148F9" w:rsidRDefault="005D7078" w:rsidP="005D7078">
            <w:pPr>
              <w:jc w:val="center"/>
              <w:rPr>
                <w:rFonts w:cs="Arial"/>
                <w:b/>
              </w:rPr>
            </w:pPr>
            <w:r w:rsidRPr="00B148F9">
              <w:rPr>
                <w:rFonts w:cs="Arial"/>
                <w:b/>
              </w:rPr>
              <w:t>100</w:t>
            </w:r>
            <w:r w:rsidR="005D79DC" w:rsidRPr="00B148F9">
              <w:rPr>
                <w:rFonts w:cs="Arial"/>
                <w:b/>
              </w:rPr>
              <w:t>.00</w:t>
            </w:r>
          </w:p>
        </w:tc>
        <w:tc>
          <w:tcPr>
            <w:tcW w:w="236" w:type="dxa"/>
            <w:tcBorders>
              <w:top w:val="single" w:sz="4" w:space="0" w:color="auto"/>
              <w:bottom w:val="single" w:sz="4" w:space="0" w:color="auto"/>
            </w:tcBorders>
          </w:tcPr>
          <w:p w14:paraId="1D1A1641" w14:textId="750A3D63" w:rsidR="005D7078" w:rsidRPr="00B148F9" w:rsidRDefault="00BE3DA3" w:rsidP="00B746FC">
            <w:pPr>
              <w:jc w:val="left"/>
              <w:rPr>
                <w:rFonts w:cs="Arial"/>
              </w:rPr>
            </w:pPr>
            <w:r w:rsidRPr="00B148F9">
              <w:rPr>
                <w:rFonts w:cs="Arial"/>
              </w:rPr>
              <w:t>%</w:t>
            </w:r>
          </w:p>
        </w:tc>
        <w:tc>
          <w:tcPr>
            <w:tcW w:w="1387" w:type="dxa"/>
            <w:tcBorders>
              <w:top w:val="single" w:sz="4" w:space="0" w:color="auto"/>
              <w:bottom w:val="single" w:sz="4" w:space="0" w:color="auto"/>
            </w:tcBorders>
          </w:tcPr>
          <w:p w14:paraId="0CD4851F" w14:textId="0B50D4D6" w:rsidR="005D7078" w:rsidRPr="00B148F9" w:rsidRDefault="005D7078" w:rsidP="005D7078">
            <w:pPr>
              <w:jc w:val="center"/>
              <w:rPr>
                <w:rFonts w:cs="Arial"/>
                <w:b/>
              </w:rPr>
            </w:pPr>
            <w:r w:rsidRPr="00B148F9">
              <w:rPr>
                <w:rFonts w:cs="Arial"/>
                <w:b/>
              </w:rPr>
              <w:t>4,434,653</w:t>
            </w:r>
          </w:p>
        </w:tc>
        <w:tc>
          <w:tcPr>
            <w:tcW w:w="561" w:type="dxa"/>
            <w:tcBorders>
              <w:top w:val="single" w:sz="4" w:space="0" w:color="auto"/>
              <w:bottom w:val="single" w:sz="4" w:space="0" w:color="auto"/>
            </w:tcBorders>
            <w:vAlign w:val="bottom"/>
          </w:tcPr>
          <w:p w14:paraId="5003B101" w14:textId="1CCBEBBC" w:rsidR="005D7078" w:rsidRPr="00B148F9" w:rsidRDefault="00392D8E" w:rsidP="00DE3E70">
            <w:pPr>
              <w:jc w:val="right"/>
              <w:rPr>
                <w:rFonts w:cs="Arial"/>
                <w:b/>
              </w:rPr>
            </w:pPr>
            <w:r w:rsidRPr="00B148F9">
              <w:rPr>
                <w:rFonts w:cs="Arial"/>
                <w:b/>
              </w:rPr>
              <w:t>US$</w:t>
            </w:r>
          </w:p>
        </w:tc>
        <w:tc>
          <w:tcPr>
            <w:tcW w:w="1309" w:type="dxa"/>
            <w:tcBorders>
              <w:top w:val="single" w:sz="4" w:space="0" w:color="auto"/>
              <w:bottom w:val="single" w:sz="4" w:space="0" w:color="auto"/>
            </w:tcBorders>
          </w:tcPr>
          <w:p w14:paraId="38AA5CCA" w14:textId="3701D090" w:rsidR="005D7078" w:rsidRPr="00B148F9" w:rsidRDefault="005D7078" w:rsidP="005D7078">
            <w:pPr>
              <w:jc w:val="center"/>
              <w:rPr>
                <w:rFonts w:cs="Arial"/>
                <w:b/>
              </w:rPr>
            </w:pPr>
            <w:r w:rsidRPr="00B148F9">
              <w:rPr>
                <w:rFonts w:cs="Arial"/>
                <w:b/>
              </w:rPr>
              <w:t>11,670,904</w:t>
            </w:r>
          </w:p>
        </w:tc>
        <w:tc>
          <w:tcPr>
            <w:tcW w:w="561" w:type="dxa"/>
            <w:tcBorders>
              <w:top w:val="single" w:sz="4" w:space="0" w:color="auto"/>
              <w:bottom w:val="single" w:sz="4" w:space="0" w:color="auto"/>
            </w:tcBorders>
            <w:vAlign w:val="bottom"/>
          </w:tcPr>
          <w:p w14:paraId="7AB67AA9" w14:textId="330DE423" w:rsidR="005D7078" w:rsidRPr="00B148F9" w:rsidRDefault="00392D8E" w:rsidP="00DE3E70">
            <w:pPr>
              <w:jc w:val="right"/>
              <w:rPr>
                <w:rFonts w:cs="Arial"/>
                <w:b/>
              </w:rPr>
            </w:pPr>
            <w:r w:rsidRPr="00B148F9">
              <w:rPr>
                <w:rFonts w:cs="Arial"/>
                <w:b/>
              </w:rPr>
              <w:t>US$</w:t>
            </w:r>
          </w:p>
        </w:tc>
        <w:tc>
          <w:tcPr>
            <w:tcW w:w="1225" w:type="dxa"/>
            <w:tcBorders>
              <w:top w:val="single" w:sz="4" w:space="0" w:color="auto"/>
              <w:bottom w:val="single" w:sz="4" w:space="0" w:color="auto"/>
            </w:tcBorders>
          </w:tcPr>
          <w:p w14:paraId="458C97F6" w14:textId="5BAB0555" w:rsidR="005D7078" w:rsidRPr="00B148F9" w:rsidRDefault="005D7078" w:rsidP="005D7078">
            <w:pPr>
              <w:jc w:val="center"/>
              <w:rPr>
                <w:rFonts w:cs="Arial"/>
                <w:b/>
              </w:rPr>
            </w:pPr>
            <w:r w:rsidRPr="00B148F9">
              <w:rPr>
                <w:rFonts w:cs="Arial"/>
                <w:b/>
              </w:rPr>
              <w:t>65,721,557</w:t>
            </w:r>
          </w:p>
        </w:tc>
      </w:tr>
      <w:tr w:rsidR="005D7078" w:rsidRPr="00B148F9" w14:paraId="545AF9E1" w14:textId="77777777" w:rsidTr="00B746FC">
        <w:tc>
          <w:tcPr>
            <w:tcW w:w="246" w:type="dxa"/>
          </w:tcPr>
          <w:p w14:paraId="6B9F1EC5" w14:textId="77777777" w:rsidR="00F11A31" w:rsidRPr="00B148F9" w:rsidRDefault="00F11A31" w:rsidP="00F11A31">
            <w:pPr>
              <w:jc w:val="left"/>
              <w:rPr>
                <w:rFonts w:cs="Arial"/>
              </w:rPr>
            </w:pPr>
          </w:p>
        </w:tc>
        <w:tc>
          <w:tcPr>
            <w:tcW w:w="1890" w:type="dxa"/>
          </w:tcPr>
          <w:p w14:paraId="526C6493" w14:textId="77777777" w:rsidR="00F11A31" w:rsidRPr="00B148F9" w:rsidRDefault="00F11A31" w:rsidP="00F11A31">
            <w:pPr>
              <w:jc w:val="left"/>
              <w:rPr>
                <w:rFonts w:cs="Arial"/>
              </w:rPr>
            </w:pPr>
          </w:p>
        </w:tc>
        <w:tc>
          <w:tcPr>
            <w:tcW w:w="1050" w:type="dxa"/>
          </w:tcPr>
          <w:p w14:paraId="235B42BB" w14:textId="77777777" w:rsidR="00F11A31" w:rsidRPr="00B148F9" w:rsidRDefault="00F11A31" w:rsidP="00F11A31">
            <w:pPr>
              <w:jc w:val="center"/>
              <w:rPr>
                <w:rFonts w:cs="Arial"/>
              </w:rPr>
            </w:pPr>
          </w:p>
        </w:tc>
        <w:tc>
          <w:tcPr>
            <w:tcW w:w="423" w:type="dxa"/>
          </w:tcPr>
          <w:p w14:paraId="7F1BC5EA" w14:textId="77777777" w:rsidR="00F11A31" w:rsidRPr="00B148F9" w:rsidRDefault="00F11A31" w:rsidP="00F11A31">
            <w:pPr>
              <w:jc w:val="center"/>
              <w:rPr>
                <w:rFonts w:cs="Arial"/>
              </w:rPr>
            </w:pPr>
          </w:p>
        </w:tc>
        <w:tc>
          <w:tcPr>
            <w:tcW w:w="941" w:type="dxa"/>
          </w:tcPr>
          <w:p w14:paraId="678494DF" w14:textId="77777777" w:rsidR="00F11A31" w:rsidRPr="00B148F9" w:rsidRDefault="00F11A31" w:rsidP="00F11A31">
            <w:pPr>
              <w:jc w:val="center"/>
              <w:rPr>
                <w:rFonts w:cs="Arial"/>
              </w:rPr>
            </w:pPr>
          </w:p>
        </w:tc>
        <w:tc>
          <w:tcPr>
            <w:tcW w:w="236" w:type="dxa"/>
          </w:tcPr>
          <w:p w14:paraId="64501A62" w14:textId="77777777" w:rsidR="00F11A31" w:rsidRPr="00B148F9" w:rsidRDefault="00F11A31" w:rsidP="00F11A31">
            <w:pPr>
              <w:jc w:val="center"/>
              <w:rPr>
                <w:rFonts w:cs="Arial"/>
              </w:rPr>
            </w:pPr>
          </w:p>
        </w:tc>
        <w:tc>
          <w:tcPr>
            <w:tcW w:w="1387" w:type="dxa"/>
            <w:tcBorders>
              <w:top w:val="single" w:sz="4" w:space="0" w:color="auto"/>
            </w:tcBorders>
          </w:tcPr>
          <w:p w14:paraId="7011069A" w14:textId="77777777" w:rsidR="00F11A31" w:rsidRPr="00B148F9" w:rsidRDefault="00F11A31" w:rsidP="00F11A31">
            <w:pPr>
              <w:jc w:val="center"/>
              <w:rPr>
                <w:rFonts w:cs="Arial"/>
              </w:rPr>
            </w:pPr>
          </w:p>
        </w:tc>
        <w:tc>
          <w:tcPr>
            <w:tcW w:w="561" w:type="dxa"/>
          </w:tcPr>
          <w:p w14:paraId="58373C74" w14:textId="77777777" w:rsidR="00F11A31" w:rsidRPr="00B148F9" w:rsidRDefault="00F11A31" w:rsidP="00F11A31">
            <w:pPr>
              <w:jc w:val="center"/>
              <w:rPr>
                <w:rFonts w:cs="Arial"/>
              </w:rPr>
            </w:pPr>
          </w:p>
        </w:tc>
        <w:tc>
          <w:tcPr>
            <w:tcW w:w="1309" w:type="dxa"/>
            <w:tcBorders>
              <w:top w:val="single" w:sz="4" w:space="0" w:color="auto"/>
            </w:tcBorders>
          </w:tcPr>
          <w:p w14:paraId="5A170761" w14:textId="77777777" w:rsidR="00F11A31" w:rsidRPr="00B148F9" w:rsidRDefault="00F11A31" w:rsidP="00F11A31">
            <w:pPr>
              <w:jc w:val="center"/>
              <w:rPr>
                <w:rFonts w:cs="Arial"/>
              </w:rPr>
            </w:pPr>
          </w:p>
        </w:tc>
        <w:tc>
          <w:tcPr>
            <w:tcW w:w="561" w:type="dxa"/>
            <w:tcBorders>
              <w:top w:val="single" w:sz="4" w:space="0" w:color="auto"/>
            </w:tcBorders>
          </w:tcPr>
          <w:p w14:paraId="4082FAE4" w14:textId="77777777" w:rsidR="00F11A31" w:rsidRPr="00B148F9" w:rsidRDefault="00F11A31" w:rsidP="00F11A31">
            <w:pPr>
              <w:jc w:val="center"/>
              <w:rPr>
                <w:rFonts w:cs="Arial"/>
              </w:rPr>
            </w:pPr>
          </w:p>
        </w:tc>
        <w:tc>
          <w:tcPr>
            <w:tcW w:w="1225" w:type="dxa"/>
            <w:tcBorders>
              <w:top w:val="single" w:sz="4" w:space="0" w:color="auto"/>
            </w:tcBorders>
          </w:tcPr>
          <w:p w14:paraId="7BDFD0D2" w14:textId="77777777" w:rsidR="00F11A31" w:rsidRPr="00B148F9" w:rsidRDefault="00F11A31" w:rsidP="00F11A31">
            <w:pPr>
              <w:jc w:val="center"/>
              <w:rPr>
                <w:rFonts w:cs="Arial"/>
              </w:rPr>
            </w:pPr>
          </w:p>
        </w:tc>
      </w:tr>
      <w:tr w:rsidR="005D7078" w:rsidRPr="00B148F9" w14:paraId="303D6B5A" w14:textId="77777777" w:rsidTr="00B746FC">
        <w:tc>
          <w:tcPr>
            <w:tcW w:w="246" w:type="dxa"/>
          </w:tcPr>
          <w:p w14:paraId="413114AA" w14:textId="77777777" w:rsidR="00F11A31" w:rsidRPr="00B148F9" w:rsidRDefault="00F11A31" w:rsidP="00F11A31">
            <w:pPr>
              <w:jc w:val="left"/>
              <w:rPr>
                <w:rFonts w:cs="Arial"/>
              </w:rPr>
            </w:pPr>
          </w:p>
        </w:tc>
        <w:tc>
          <w:tcPr>
            <w:tcW w:w="1890" w:type="dxa"/>
          </w:tcPr>
          <w:p w14:paraId="12F29521" w14:textId="77777777" w:rsidR="00F11A31" w:rsidRPr="00B148F9" w:rsidRDefault="00F11A31" w:rsidP="00F11A31">
            <w:pPr>
              <w:jc w:val="left"/>
              <w:rPr>
                <w:rFonts w:cs="Arial"/>
              </w:rPr>
            </w:pPr>
          </w:p>
        </w:tc>
        <w:tc>
          <w:tcPr>
            <w:tcW w:w="1050" w:type="dxa"/>
          </w:tcPr>
          <w:p w14:paraId="7F4FBE85" w14:textId="77777777" w:rsidR="00F11A31" w:rsidRPr="00B148F9" w:rsidRDefault="00F11A31" w:rsidP="00F11A31">
            <w:pPr>
              <w:jc w:val="center"/>
              <w:rPr>
                <w:rFonts w:cs="Arial"/>
              </w:rPr>
            </w:pPr>
          </w:p>
        </w:tc>
        <w:tc>
          <w:tcPr>
            <w:tcW w:w="423" w:type="dxa"/>
          </w:tcPr>
          <w:p w14:paraId="314CE29D" w14:textId="77777777" w:rsidR="00F11A31" w:rsidRPr="00B148F9" w:rsidRDefault="00F11A31" w:rsidP="00F11A31">
            <w:pPr>
              <w:jc w:val="center"/>
              <w:rPr>
                <w:rFonts w:cs="Arial"/>
              </w:rPr>
            </w:pPr>
          </w:p>
        </w:tc>
        <w:tc>
          <w:tcPr>
            <w:tcW w:w="941" w:type="dxa"/>
          </w:tcPr>
          <w:p w14:paraId="6D9E62E5" w14:textId="77777777" w:rsidR="00F11A31" w:rsidRPr="00B148F9" w:rsidRDefault="00F11A31" w:rsidP="00F11A31">
            <w:pPr>
              <w:jc w:val="center"/>
              <w:rPr>
                <w:rFonts w:cs="Arial"/>
              </w:rPr>
            </w:pPr>
          </w:p>
        </w:tc>
        <w:tc>
          <w:tcPr>
            <w:tcW w:w="236" w:type="dxa"/>
          </w:tcPr>
          <w:p w14:paraId="7044DE6E" w14:textId="77777777" w:rsidR="00F11A31" w:rsidRPr="00B148F9" w:rsidRDefault="00F11A31" w:rsidP="00F11A31">
            <w:pPr>
              <w:jc w:val="center"/>
              <w:rPr>
                <w:rFonts w:cs="Arial"/>
              </w:rPr>
            </w:pPr>
          </w:p>
        </w:tc>
        <w:tc>
          <w:tcPr>
            <w:tcW w:w="1387" w:type="dxa"/>
          </w:tcPr>
          <w:p w14:paraId="1D1609E4" w14:textId="77777777" w:rsidR="00F11A31" w:rsidRPr="00B148F9" w:rsidRDefault="00F11A31" w:rsidP="00F11A31">
            <w:pPr>
              <w:jc w:val="center"/>
              <w:rPr>
                <w:rFonts w:cs="Arial"/>
              </w:rPr>
            </w:pPr>
          </w:p>
        </w:tc>
        <w:tc>
          <w:tcPr>
            <w:tcW w:w="561" w:type="dxa"/>
          </w:tcPr>
          <w:p w14:paraId="718620E7" w14:textId="77777777" w:rsidR="00F11A31" w:rsidRPr="00B148F9" w:rsidRDefault="00F11A31" w:rsidP="00F11A31">
            <w:pPr>
              <w:jc w:val="center"/>
              <w:rPr>
                <w:rFonts w:cs="Arial"/>
              </w:rPr>
            </w:pPr>
          </w:p>
        </w:tc>
        <w:tc>
          <w:tcPr>
            <w:tcW w:w="1309" w:type="dxa"/>
          </w:tcPr>
          <w:p w14:paraId="41A93D25" w14:textId="77777777" w:rsidR="00F11A31" w:rsidRPr="00B148F9" w:rsidRDefault="00F11A31" w:rsidP="00F11A31">
            <w:pPr>
              <w:jc w:val="center"/>
              <w:rPr>
                <w:rFonts w:cs="Arial"/>
              </w:rPr>
            </w:pPr>
          </w:p>
        </w:tc>
        <w:tc>
          <w:tcPr>
            <w:tcW w:w="561" w:type="dxa"/>
          </w:tcPr>
          <w:p w14:paraId="149B9EC5" w14:textId="77777777" w:rsidR="00F11A31" w:rsidRPr="00B148F9" w:rsidRDefault="00F11A31" w:rsidP="00F11A31">
            <w:pPr>
              <w:jc w:val="center"/>
              <w:rPr>
                <w:rFonts w:cs="Arial"/>
              </w:rPr>
            </w:pPr>
          </w:p>
        </w:tc>
        <w:tc>
          <w:tcPr>
            <w:tcW w:w="1225" w:type="dxa"/>
          </w:tcPr>
          <w:p w14:paraId="31269561" w14:textId="77777777" w:rsidR="00F11A31" w:rsidRPr="00B148F9" w:rsidRDefault="00F11A31" w:rsidP="00F11A31">
            <w:pPr>
              <w:jc w:val="center"/>
              <w:rPr>
                <w:rFonts w:cs="Arial"/>
              </w:rPr>
            </w:pPr>
          </w:p>
        </w:tc>
      </w:tr>
      <w:tr w:rsidR="005D7078" w:rsidRPr="00B148F9" w14:paraId="31015317" w14:textId="77777777" w:rsidTr="00B746FC">
        <w:tc>
          <w:tcPr>
            <w:tcW w:w="246" w:type="dxa"/>
          </w:tcPr>
          <w:p w14:paraId="3F4C2F9E" w14:textId="77777777" w:rsidR="00F11A31" w:rsidRPr="00B148F9" w:rsidRDefault="00F11A31" w:rsidP="00F11A31">
            <w:pPr>
              <w:jc w:val="left"/>
              <w:rPr>
                <w:rFonts w:cs="Arial"/>
              </w:rPr>
            </w:pPr>
          </w:p>
        </w:tc>
        <w:tc>
          <w:tcPr>
            <w:tcW w:w="1890" w:type="dxa"/>
          </w:tcPr>
          <w:p w14:paraId="68CB84A8" w14:textId="77777777" w:rsidR="00F11A31" w:rsidRPr="00B148F9" w:rsidRDefault="00F11A31" w:rsidP="00F11A31">
            <w:pPr>
              <w:jc w:val="left"/>
              <w:rPr>
                <w:rFonts w:cs="Arial"/>
              </w:rPr>
            </w:pPr>
          </w:p>
        </w:tc>
        <w:tc>
          <w:tcPr>
            <w:tcW w:w="1050" w:type="dxa"/>
          </w:tcPr>
          <w:p w14:paraId="62AD0D13" w14:textId="77777777" w:rsidR="00F11A31" w:rsidRPr="00B148F9" w:rsidRDefault="00F11A31" w:rsidP="00F11A31">
            <w:pPr>
              <w:jc w:val="center"/>
              <w:rPr>
                <w:rFonts w:cs="Arial"/>
              </w:rPr>
            </w:pPr>
          </w:p>
        </w:tc>
        <w:tc>
          <w:tcPr>
            <w:tcW w:w="423" w:type="dxa"/>
          </w:tcPr>
          <w:p w14:paraId="23DB8F42" w14:textId="77777777" w:rsidR="00F11A31" w:rsidRPr="00B148F9" w:rsidRDefault="00F11A31" w:rsidP="00F11A31">
            <w:pPr>
              <w:jc w:val="center"/>
              <w:rPr>
                <w:rFonts w:cs="Arial"/>
              </w:rPr>
            </w:pPr>
          </w:p>
        </w:tc>
        <w:tc>
          <w:tcPr>
            <w:tcW w:w="941" w:type="dxa"/>
          </w:tcPr>
          <w:p w14:paraId="3913AC65" w14:textId="77777777" w:rsidR="00F11A31" w:rsidRPr="00B148F9" w:rsidRDefault="00F11A31" w:rsidP="00F11A31">
            <w:pPr>
              <w:jc w:val="center"/>
              <w:rPr>
                <w:rFonts w:cs="Arial"/>
              </w:rPr>
            </w:pPr>
          </w:p>
        </w:tc>
        <w:tc>
          <w:tcPr>
            <w:tcW w:w="236" w:type="dxa"/>
          </w:tcPr>
          <w:p w14:paraId="42C97B3A" w14:textId="77777777" w:rsidR="00F11A31" w:rsidRPr="00B148F9" w:rsidRDefault="00F11A31" w:rsidP="00F11A31">
            <w:pPr>
              <w:jc w:val="center"/>
              <w:rPr>
                <w:rFonts w:cs="Arial"/>
              </w:rPr>
            </w:pPr>
          </w:p>
        </w:tc>
        <w:tc>
          <w:tcPr>
            <w:tcW w:w="1387" w:type="dxa"/>
          </w:tcPr>
          <w:p w14:paraId="4689466C" w14:textId="77777777" w:rsidR="00F11A31" w:rsidRPr="00B148F9" w:rsidRDefault="00F11A31" w:rsidP="00F11A31">
            <w:pPr>
              <w:jc w:val="center"/>
              <w:rPr>
                <w:rFonts w:cs="Arial"/>
              </w:rPr>
            </w:pPr>
          </w:p>
        </w:tc>
        <w:tc>
          <w:tcPr>
            <w:tcW w:w="561" w:type="dxa"/>
          </w:tcPr>
          <w:p w14:paraId="1B5F7BB9" w14:textId="77777777" w:rsidR="00F11A31" w:rsidRPr="00B148F9" w:rsidRDefault="00F11A31" w:rsidP="00F11A31">
            <w:pPr>
              <w:jc w:val="center"/>
              <w:rPr>
                <w:rFonts w:cs="Arial"/>
              </w:rPr>
            </w:pPr>
          </w:p>
        </w:tc>
        <w:tc>
          <w:tcPr>
            <w:tcW w:w="1309" w:type="dxa"/>
          </w:tcPr>
          <w:p w14:paraId="391A1D8F" w14:textId="77777777" w:rsidR="00F11A31" w:rsidRPr="00B148F9" w:rsidRDefault="00F11A31" w:rsidP="00F11A31">
            <w:pPr>
              <w:jc w:val="center"/>
              <w:rPr>
                <w:rFonts w:cs="Arial"/>
              </w:rPr>
            </w:pPr>
          </w:p>
        </w:tc>
        <w:tc>
          <w:tcPr>
            <w:tcW w:w="561" w:type="dxa"/>
          </w:tcPr>
          <w:p w14:paraId="39ECB703" w14:textId="77777777" w:rsidR="00F11A31" w:rsidRPr="00B148F9" w:rsidRDefault="00F11A31" w:rsidP="00F11A31">
            <w:pPr>
              <w:jc w:val="center"/>
              <w:rPr>
                <w:rFonts w:cs="Arial"/>
              </w:rPr>
            </w:pPr>
          </w:p>
        </w:tc>
        <w:tc>
          <w:tcPr>
            <w:tcW w:w="1225" w:type="dxa"/>
          </w:tcPr>
          <w:p w14:paraId="4935D38B" w14:textId="77777777" w:rsidR="00F11A31" w:rsidRPr="00B148F9" w:rsidRDefault="00F11A31" w:rsidP="00F11A31">
            <w:pPr>
              <w:jc w:val="center"/>
              <w:rPr>
                <w:rFonts w:cs="Arial"/>
              </w:rPr>
            </w:pPr>
          </w:p>
        </w:tc>
      </w:tr>
      <w:tr w:rsidR="005D7078" w:rsidRPr="00B148F9" w14:paraId="15C09FF8" w14:textId="77777777" w:rsidTr="00B746FC">
        <w:tc>
          <w:tcPr>
            <w:tcW w:w="246" w:type="dxa"/>
          </w:tcPr>
          <w:p w14:paraId="1ADD59CC" w14:textId="77777777" w:rsidR="00F11A31" w:rsidRPr="00B148F9" w:rsidRDefault="00F11A31" w:rsidP="00F11A31">
            <w:pPr>
              <w:jc w:val="left"/>
              <w:rPr>
                <w:rFonts w:cs="Arial"/>
              </w:rPr>
            </w:pPr>
          </w:p>
        </w:tc>
        <w:tc>
          <w:tcPr>
            <w:tcW w:w="1890" w:type="dxa"/>
          </w:tcPr>
          <w:p w14:paraId="38CAA2AE" w14:textId="77777777" w:rsidR="00F11A31" w:rsidRPr="00B148F9" w:rsidRDefault="00F11A31" w:rsidP="00F11A31">
            <w:pPr>
              <w:jc w:val="left"/>
              <w:rPr>
                <w:rFonts w:cs="Arial"/>
              </w:rPr>
            </w:pPr>
          </w:p>
        </w:tc>
        <w:tc>
          <w:tcPr>
            <w:tcW w:w="1050" w:type="dxa"/>
          </w:tcPr>
          <w:p w14:paraId="50CFB032" w14:textId="77777777" w:rsidR="00F11A31" w:rsidRPr="00B148F9" w:rsidRDefault="00F11A31" w:rsidP="00F11A31">
            <w:pPr>
              <w:jc w:val="center"/>
              <w:rPr>
                <w:rFonts w:cs="Arial"/>
              </w:rPr>
            </w:pPr>
          </w:p>
        </w:tc>
        <w:tc>
          <w:tcPr>
            <w:tcW w:w="423" w:type="dxa"/>
          </w:tcPr>
          <w:p w14:paraId="4AA756D7" w14:textId="77777777" w:rsidR="00F11A31" w:rsidRPr="00B148F9" w:rsidRDefault="00F11A31" w:rsidP="00F11A31">
            <w:pPr>
              <w:jc w:val="center"/>
              <w:rPr>
                <w:rFonts w:cs="Arial"/>
              </w:rPr>
            </w:pPr>
          </w:p>
        </w:tc>
        <w:tc>
          <w:tcPr>
            <w:tcW w:w="941" w:type="dxa"/>
          </w:tcPr>
          <w:p w14:paraId="10BB466F" w14:textId="77777777" w:rsidR="00F11A31" w:rsidRPr="00B148F9" w:rsidRDefault="00F11A31" w:rsidP="00F11A31">
            <w:pPr>
              <w:jc w:val="center"/>
              <w:rPr>
                <w:rFonts w:cs="Arial"/>
              </w:rPr>
            </w:pPr>
          </w:p>
        </w:tc>
        <w:tc>
          <w:tcPr>
            <w:tcW w:w="236" w:type="dxa"/>
          </w:tcPr>
          <w:p w14:paraId="7B89B902" w14:textId="77777777" w:rsidR="00F11A31" w:rsidRPr="00B148F9" w:rsidRDefault="00F11A31" w:rsidP="00F11A31">
            <w:pPr>
              <w:jc w:val="center"/>
              <w:rPr>
                <w:rFonts w:cs="Arial"/>
              </w:rPr>
            </w:pPr>
          </w:p>
        </w:tc>
        <w:tc>
          <w:tcPr>
            <w:tcW w:w="1387" w:type="dxa"/>
          </w:tcPr>
          <w:p w14:paraId="6D8B73C4" w14:textId="77777777" w:rsidR="00F11A31" w:rsidRPr="00B148F9" w:rsidRDefault="00F11A31" w:rsidP="00F11A31">
            <w:pPr>
              <w:jc w:val="center"/>
              <w:rPr>
                <w:rFonts w:cs="Arial"/>
              </w:rPr>
            </w:pPr>
          </w:p>
        </w:tc>
        <w:tc>
          <w:tcPr>
            <w:tcW w:w="561" w:type="dxa"/>
          </w:tcPr>
          <w:p w14:paraId="19E511BA" w14:textId="77777777" w:rsidR="00F11A31" w:rsidRPr="00B148F9" w:rsidRDefault="00F11A31" w:rsidP="00F11A31">
            <w:pPr>
              <w:jc w:val="center"/>
              <w:rPr>
                <w:rFonts w:cs="Arial"/>
              </w:rPr>
            </w:pPr>
          </w:p>
        </w:tc>
        <w:tc>
          <w:tcPr>
            <w:tcW w:w="1309" w:type="dxa"/>
          </w:tcPr>
          <w:p w14:paraId="03E5D93A" w14:textId="77777777" w:rsidR="00F11A31" w:rsidRPr="00B148F9" w:rsidRDefault="00F11A31" w:rsidP="00F11A31">
            <w:pPr>
              <w:jc w:val="center"/>
              <w:rPr>
                <w:rFonts w:cs="Arial"/>
              </w:rPr>
            </w:pPr>
          </w:p>
        </w:tc>
        <w:tc>
          <w:tcPr>
            <w:tcW w:w="561" w:type="dxa"/>
          </w:tcPr>
          <w:p w14:paraId="23CB3294" w14:textId="77777777" w:rsidR="00F11A31" w:rsidRPr="00B148F9" w:rsidRDefault="00F11A31" w:rsidP="00F11A31">
            <w:pPr>
              <w:jc w:val="center"/>
              <w:rPr>
                <w:rFonts w:cs="Arial"/>
              </w:rPr>
            </w:pPr>
          </w:p>
        </w:tc>
        <w:tc>
          <w:tcPr>
            <w:tcW w:w="1225" w:type="dxa"/>
          </w:tcPr>
          <w:p w14:paraId="45602D8F" w14:textId="77777777" w:rsidR="00F11A31" w:rsidRPr="00B148F9" w:rsidRDefault="00F11A31" w:rsidP="00F11A31">
            <w:pPr>
              <w:jc w:val="center"/>
              <w:rPr>
                <w:rFonts w:cs="Arial"/>
              </w:rPr>
            </w:pPr>
          </w:p>
        </w:tc>
      </w:tr>
      <w:tr w:rsidR="005D7078" w:rsidRPr="00B148F9" w14:paraId="2D0D3FC3" w14:textId="77777777" w:rsidTr="00B746FC">
        <w:tc>
          <w:tcPr>
            <w:tcW w:w="246" w:type="dxa"/>
          </w:tcPr>
          <w:p w14:paraId="19C5987B" w14:textId="77777777" w:rsidR="00F11A31" w:rsidRPr="00B148F9" w:rsidRDefault="00F11A31" w:rsidP="00F11A31">
            <w:pPr>
              <w:jc w:val="left"/>
              <w:rPr>
                <w:rFonts w:cs="Arial"/>
              </w:rPr>
            </w:pPr>
          </w:p>
        </w:tc>
        <w:tc>
          <w:tcPr>
            <w:tcW w:w="1890" w:type="dxa"/>
          </w:tcPr>
          <w:p w14:paraId="4C7760AD" w14:textId="77777777" w:rsidR="00F11A31" w:rsidRPr="00B148F9" w:rsidRDefault="00F11A31" w:rsidP="00F11A31">
            <w:pPr>
              <w:jc w:val="left"/>
              <w:rPr>
                <w:rFonts w:cs="Arial"/>
              </w:rPr>
            </w:pPr>
          </w:p>
        </w:tc>
        <w:tc>
          <w:tcPr>
            <w:tcW w:w="1050" w:type="dxa"/>
          </w:tcPr>
          <w:p w14:paraId="1AC4BD51" w14:textId="77777777" w:rsidR="00F11A31" w:rsidRPr="00B148F9" w:rsidRDefault="00F11A31" w:rsidP="00F11A31">
            <w:pPr>
              <w:jc w:val="center"/>
              <w:rPr>
                <w:rFonts w:cs="Arial"/>
              </w:rPr>
            </w:pPr>
          </w:p>
        </w:tc>
        <w:tc>
          <w:tcPr>
            <w:tcW w:w="423" w:type="dxa"/>
          </w:tcPr>
          <w:p w14:paraId="089F988E" w14:textId="77777777" w:rsidR="00F11A31" w:rsidRPr="00B148F9" w:rsidRDefault="00F11A31" w:rsidP="00F11A31">
            <w:pPr>
              <w:jc w:val="center"/>
              <w:rPr>
                <w:rFonts w:cs="Arial"/>
              </w:rPr>
            </w:pPr>
          </w:p>
        </w:tc>
        <w:tc>
          <w:tcPr>
            <w:tcW w:w="941" w:type="dxa"/>
          </w:tcPr>
          <w:p w14:paraId="6DAC480A" w14:textId="77777777" w:rsidR="00F11A31" w:rsidRPr="00B148F9" w:rsidRDefault="00F11A31" w:rsidP="00F11A31">
            <w:pPr>
              <w:jc w:val="center"/>
              <w:rPr>
                <w:rFonts w:cs="Arial"/>
              </w:rPr>
            </w:pPr>
          </w:p>
        </w:tc>
        <w:tc>
          <w:tcPr>
            <w:tcW w:w="236" w:type="dxa"/>
          </w:tcPr>
          <w:p w14:paraId="05549A47" w14:textId="77777777" w:rsidR="00F11A31" w:rsidRPr="00B148F9" w:rsidRDefault="00F11A31" w:rsidP="00F11A31">
            <w:pPr>
              <w:jc w:val="center"/>
              <w:rPr>
                <w:rFonts w:cs="Arial"/>
              </w:rPr>
            </w:pPr>
          </w:p>
        </w:tc>
        <w:tc>
          <w:tcPr>
            <w:tcW w:w="1387" w:type="dxa"/>
          </w:tcPr>
          <w:p w14:paraId="19AF45F9" w14:textId="77777777" w:rsidR="00F11A31" w:rsidRPr="00B148F9" w:rsidRDefault="00F11A31" w:rsidP="00F11A31">
            <w:pPr>
              <w:jc w:val="center"/>
              <w:rPr>
                <w:rFonts w:cs="Arial"/>
              </w:rPr>
            </w:pPr>
          </w:p>
        </w:tc>
        <w:tc>
          <w:tcPr>
            <w:tcW w:w="561" w:type="dxa"/>
          </w:tcPr>
          <w:p w14:paraId="741C336D" w14:textId="77777777" w:rsidR="00F11A31" w:rsidRPr="00B148F9" w:rsidRDefault="00F11A31" w:rsidP="00F11A31">
            <w:pPr>
              <w:jc w:val="center"/>
              <w:rPr>
                <w:rFonts w:cs="Arial"/>
              </w:rPr>
            </w:pPr>
          </w:p>
        </w:tc>
        <w:tc>
          <w:tcPr>
            <w:tcW w:w="1309" w:type="dxa"/>
          </w:tcPr>
          <w:p w14:paraId="78EDD1DB" w14:textId="77777777" w:rsidR="00F11A31" w:rsidRPr="00B148F9" w:rsidRDefault="00F11A31" w:rsidP="00F11A31">
            <w:pPr>
              <w:jc w:val="center"/>
              <w:rPr>
                <w:rFonts w:cs="Arial"/>
              </w:rPr>
            </w:pPr>
          </w:p>
        </w:tc>
        <w:tc>
          <w:tcPr>
            <w:tcW w:w="561" w:type="dxa"/>
          </w:tcPr>
          <w:p w14:paraId="5698C91A" w14:textId="77777777" w:rsidR="00F11A31" w:rsidRPr="00B148F9" w:rsidRDefault="00F11A31" w:rsidP="00F11A31">
            <w:pPr>
              <w:jc w:val="center"/>
              <w:rPr>
                <w:rFonts w:cs="Arial"/>
              </w:rPr>
            </w:pPr>
          </w:p>
        </w:tc>
        <w:tc>
          <w:tcPr>
            <w:tcW w:w="1225" w:type="dxa"/>
          </w:tcPr>
          <w:p w14:paraId="3E67BEBD" w14:textId="77777777" w:rsidR="00F11A31" w:rsidRPr="00B148F9" w:rsidRDefault="00F11A31" w:rsidP="00F11A31">
            <w:pPr>
              <w:jc w:val="center"/>
              <w:rPr>
                <w:rFonts w:cs="Arial"/>
              </w:rPr>
            </w:pPr>
          </w:p>
        </w:tc>
      </w:tr>
      <w:tr w:rsidR="005D7078" w:rsidRPr="00B148F9" w14:paraId="13816E6E" w14:textId="77777777" w:rsidTr="00B746FC">
        <w:tc>
          <w:tcPr>
            <w:tcW w:w="246" w:type="dxa"/>
          </w:tcPr>
          <w:p w14:paraId="7053F347" w14:textId="77777777" w:rsidR="00F11A31" w:rsidRPr="00B148F9" w:rsidRDefault="00F11A31" w:rsidP="00F11A31">
            <w:pPr>
              <w:jc w:val="left"/>
              <w:rPr>
                <w:rFonts w:cs="Arial"/>
              </w:rPr>
            </w:pPr>
          </w:p>
        </w:tc>
        <w:tc>
          <w:tcPr>
            <w:tcW w:w="1890" w:type="dxa"/>
          </w:tcPr>
          <w:p w14:paraId="5FA8EA05" w14:textId="77777777" w:rsidR="00F11A31" w:rsidRPr="00B148F9" w:rsidRDefault="00F11A31" w:rsidP="00F11A31">
            <w:pPr>
              <w:jc w:val="left"/>
              <w:rPr>
                <w:rFonts w:cs="Arial"/>
              </w:rPr>
            </w:pPr>
          </w:p>
        </w:tc>
        <w:tc>
          <w:tcPr>
            <w:tcW w:w="1050" w:type="dxa"/>
          </w:tcPr>
          <w:p w14:paraId="6E26AC23" w14:textId="77777777" w:rsidR="00F11A31" w:rsidRPr="00B148F9" w:rsidRDefault="00F11A31" w:rsidP="00F11A31">
            <w:pPr>
              <w:jc w:val="center"/>
              <w:rPr>
                <w:rFonts w:cs="Arial"/>
              </w:rPr>
            </w:pPr>
          </w:p>
        </w:tc>
        <w:tc>
          <w:tcPr>
            <w:tcW w:w="423" w:type="dxa"/>
          </w:tcPr>
          <w:p w14:paraId="5CA6B140" w14:textId="77777777" w:rsidR="00F11A31" w:rsidRPr="00B148F9" w:rsidRDefault="00F11A31" w:rsidP="00F11A31">
            <w:pPr>
              <w:jc w:val="center"/>
              <w:rPr>
                <w:rFonts w:cs="Arial"/>
              </w:rPr>
            </w:pPr>
          </w:p>
        </w:tc>
        <w:tc>
          <w:tcPr>
            <w:tcW w:w="941" w:type="dxa"/>
          </w:tcPr>
          <w:p w14:paraId="01EACBE1" w14:textId="77777777" w:rsidR="00F11A31" w:rsidRPr="00B148F9" w:rsidRDefault="00F11A31" w:rsidP="00F11A31">
            <w:pPr>
              <w:jc w:val="center"/>
              <w:rPr>
                <w:rFonts w:cs="Arial"/>
              </w:rPr>
            </w:pPr>
          </w:p>
        </w:tc>
        <w:tc>
          <w:tcPr>
            <w:tcW w:w="236" w:type="dxa"/>
          </w:tcPr>
          <w:p w14:paraId="279C323C" w14:textId="77777777" w:rsidR="00F11A31" w:rsidRPr="00B148F9" w:rsidRDefault="00F11A31" w:rsidP="00F11A31">
            <w:pPr>
              <w:jc w:val="center"/>
              <w:rPr>
                <w:rFonts w:cs="Arial"/>
              </w:rPr>
            </w:pPr>
          </w:p>
        </w:tc>
        <w:tc>
          <w:tcPr>
            <w:tcW w:w="1387" w:type="dxa"/>
          </w:tcPr>
          <w:p w14:paraId="2E3FE3D1" w14:textId="77777777" w:rsidR="00F11A31" w:rsidRPr="00B148F9" w:rsidRDefault="00F11A31" w:rsidP="00F11A31">
            <w:pPr>
              <w:jc w:val="center"/>
              <w:rPr>
                <w:rFonts w:cs="Arial"/>
              </w:rPr>
            </w:pPr>
          </w:p>
        </w:tc>
        <w:tc>
          <w:tcPr>
            <w:tcW w:w="561" w:type="dxa"/>
          </w:tcPr>
          <w:p w14:paraId="6413A65C" w14:textId="77777777" w:rsidR="00F11A31" w:rsidRPr="00B148F9" w:rsidRDefault="00F11A31" w:rsidP="00F11A31">
            <w:pPr>
              <w:jc w:val="center"/>
              <w:rPr>
                <w:rFonts w:cs="Arial"/>
              </w:rPr>
            </w:pPr>
          </w:p>
        </w:tc>
        <w:tc>
          <w:tcPr>
            <w:tcW w:w="1309" w:type="dxa"/>
          </w:tcPr>
          <w:p w14:paraId="60E204AA" w14:textId="77777777" w:rsidR="00F11A31" w:rsidRPr="00B148F9" w:rsidRDefault="00F11A31" w:rsidP="00F11A31">
            <w:pPr>
              <w:jc w:val="center"/>
              <w:rPr>
                <w:rFonts w:cs="Arial"/>
              </w:rPr>
            </w:pPr>
          </w:p>
        </w:tc>
        <w:tc>
          <w:tcPr>
            <w:tcW w:w="561" w:type="dxa"/>
          </w:tcPr>
          <w:p w14:paraId="59D9E784" w14:textId="77777777" w:rsidR="00F11A31" w:rsidRPr="00B148F9" w:rsidRDefault="00F11A31" w:rsidP="00F11A31">
            <w:pPr>
              <w:jc w:val="center"/>
              <w:rPr>
                <w:rFonts w:cs="Arial"/>
              </w:rPr>
            </w:pPr>
          </w:p>
        </w:tc>
        <w:tc>
          <w:tcPr>
            <w:tcW w:w="1225" w:type="dxa"/>
          </w:tcPr>
          <w:p w14:paraId="1793932A" w14:textId="77777777" w:rsidR="00F11A31" w:rsidRPr="00B148F9" w:rsidRDefault="00F11A31" w:rsidP="00F11A31">
            <w:pPr>
              <w:jc w:val="center"/>
              <w:rPr>
                <w:rFonts w:cs="Arial"/>
              </w:rPr>
            </w:pPr>
          </w:p>
        </w:tc>
      </w:tr>
    </w:tbl>
    <w:p w14:paraId="680144A1" w14:textId="4869FC1B" w:rsidR="002E0BED" w:rsidRPr="00B148F9" w:rsidRDefault="002E0BED" w:rsidP="00326CD3">
      <w:pPr>
        <w:jc w:val="center"/>
        <w:rPr>
          <w:rFonts w:cs="Arial"/>
        </w:rPr>
      </w:pPr>
    </w:p>
    <w:p w14:paraId="24F972B3" w14:textId="60542EF2" w:rsidR="002E0BED" w:rsidRPr="00B148F9" w:rsidRDefault="002E0BED" w:rsidP="00326CD3">
      <w:pPr>
        <w:jc w:val="center"/>
        <w:rPr>
          <w:rFonts w:cs="Arial"/>
        </w:rPr>
      </w:pPr>
    </w:p>
    <w:p w14:paraId="6DFD56F7" w14:textId="31000D8B" w:rsidR="00BE3DA3" w:rsidRDefault="00BE3DA3" w:rsidP="00BE3DA3">
      <w:pPr>
        <w:rPr>
          <w:rFonts w:cs="Arial"/>
        </w:rPr>
      </w:pPr>
      <w:r w:rsidRPr="00B148F9">
        <w:rPr>
          <w:rFonts w:cs="Arial"/>
        </w:rPr>
        <w:t>See accompanying notes to the financial statements</w:t>
      </w:r>
      <w:r w:rsidR="002260B9" w:rsidRPr="00B148F9">
        <w:rPr>
          <w:rFonts w:cs="Arial"/>
        </w:rPr>
        <w:t>.</w:t>
      </w:r>
    </w:p>
    <w:p w14:paraId="6A144E9B" w14:textId="28188A98" w:rsidR="009E4CA7" w:rsidRDefault="009E4CA7" w:rsidP="00BE3DA3">
      <w:pPr>
        <w:rPr>
          <w:rFonts w:cs="Arial"/>
        </w:rPr>
      </w:pPr>
    </w:p>
    <w:p w14:paraId="5089AD7A" w14:textId="7A67B495" w:rsidR="009E4CA7" w:rsidRPr="009E4CA7" w:rsidRDefault="009E4CA7" w:rsidP="009E4CA7">
      <w:pPr>
        <w:jc w:val="center"/>
        <w:rPr>
          <w:rFonts w:cs="Arial"/>
          <w:b/>
        </w:rPr>
      </w:pPr>
      <w:r w:rsidRPr="009E4CA7">
        <w:rPr>
          <w:rFonts w:cs="Arial"/>
          <w:b/>
        </w:rPr>
        <w:t>Notes to the Financial Statements</w:t>
      </w:r>
    </w:p>
    <w:p w14:paraId="7787A42C" w14:textId="70EE9CE2" w:rsidR="009E4CA7" w:rsidRPr="009E4CA7" w:rsidRDefault="009E4CA7" w:rsidP="009E4CA7">
      <w:pPr>
        <w:jc w:val="center"/>
        <w:rPr>
          <w:rFonts w:cs="Arial"/>
          <w:b/>
        </w:rPr>
      </w:pPr>
      <w:r w:rsidRPr="009E4CA7">
        <w:rPr>
          <w:rFonts w:cs="Arial"/>
          <w:b/>
        </w:rPr>
        <w:t>For the year ended 31 December 2019</w:t>
      </w:r>
    </w:p>
    <w:p w14:paraId="3AABCF01" w14:textId="165F485F" w:rsidR="002E0BED" w:rsidRDefault="009E4CA7" w:rsidP="00326CD3">
      <w:pPr>
        <w:jc w:val="center"/>
        <w:rPr>
          <w:rFonts w:cs="Arial"/>
        </w:rPr>
      </w:pPr>
      <w:r>
        <w:rPr>
          <w:rFonts w:cs="Arial"/>
        </w:rPr>
        <w:t>(Expressed in United States Dollars)</w:t>
      </w:r>
    </w:p>
    <w:p w14:paraId="2FCDB366" w14:textId="77777777" w:rsidR="000D0A9C" w:rsidRPr="00B148F9" w:rsidRDefault="000D0A9C" w:rsidP="000D0A9C">
      <w:pPr>
        <w:tabs>
          <w:tab w:val="left" w:pos="6513"/>
        </w:tabs>
        <w:rPr>
          <w:rFonts w:cs="Arial"/>
          <w:b/>
        </w:rPr>
        <w:sectPr w:rsidR="000D0A9C" w:rsidRPr="00B148F9" w:rsidSect="00B961FE">
          <w:pgSz w:w="11906" w:h="16838"/>
          <w:pgMar w:top="720" w:right="720" w:bottom="720" w:left="720" w:header="708" w:footer="708" w:gutter="0"/>
          <w:cols w:space="708"/>
          <w:docGrid w:linePitch="360"/>
        </w:sectPr>
      </w:pPr>
    </w:p>
    <w:p w14:paraId="2C25464A" w14:textId="77777777" w:rsidR="00B12A9C" w:rsidRPr="00B148F9" w:rsidRDefault="00B12A9C" w:rsidP="00326CD3">
      <w:pPr>
        <w:tabs>
          <w:tab w:val="left" w:pos="426"/>
          <w:tab w:val="left" w:pos="2160"/>
        </w:tabs>
        <w:rPr>
          <w:rFonts w:cs="Arial"/>
        </w:rPr>
      </w:pPr>
    </w:p>
    <w:p w14:paraId="6272020D" w14:textId="77777777" w:rsidR="00C95513" w:rsidRPr="00B148F9" w:rsidRDefault="00C95513" w:rsidP="00A94612">
      <w:pPr>
        <w:pStyle w:val="Heading1"/>
        <w:numPr>
          <w:ilvl w:val="0"/>
          <w:numId w:val="9"/>
        </w:numPr>
        <w:ind w:left="284" w:hanging="284"/>
        <w:jc w:val="left"/>
        <w:rPr>
          <w:sz w:val="20"/>
        </w:rPr>
      </w:pPr>
      <w:r w:rsidRPr="00B148F9">
        <w:rPr>
          <w:sz w:val="20"/>
        </w:rPr>
        <w:t>Nature of operations and summary of significant accounting policies</w:t>
      </w:r>
    </w:p>
    <w:p w14:paraId="45A99F3A" w14:textId="77777777" w:rsidR="00C95513" w:rsidRPr="00B148F9" w:rsidRDefault="00C95513" w:rsidP="001B1F6B"/>
    <w:p w14:paraId="35992C5E" w14:textId="2DDD2624" w:rsidR="001B1F6B" w:rsidRPr="00B148F9" w:rsidRDefault="001B1F6B" w:rsidP="001B1F6B">
      <w:r w:rsidRPr="00B148F9">
        <w:t>RTW Venture Fund Limited (formerly known as RTW Special Purpose Fund I, LLC) (the "</w:t>
      </w:r>
      <w:r w:rsidR="008D38F8" w:rsidRPr="00B148F9">
        <w:t>Company</w:t>
      </w:r>
      <w:r w:rsidRPr="00B148F9">
        <w:t xml:space="preserve">"), is a publicly listed Guernsey non-cellular company limited by shares. </w:t>
      </w:r>
      <w:r w:rsidR="00817228" w:rsidRPr="00B148F9">
        <w:t xml:space="preserve">It was originally incorporated in the State of Delaware, United States of America, but </w:t>
      </w:r>
      <w:r w:rsidR="008673F8" w:rsidRPr="00B148F9">
        <w:t>re</w:t>
      </w:r>
      <w:r w:rsidR="006C5486" w:rsidRPr="00B148F9">
        <w:t>-</w:t>
      </w:r>
      <w:r w:rsidR="008673F8" w:rsidRPr="00B148F9">
        <w:t xml:space="preserve">domiciled </w:t>
      </w:r>
      <w:r w:rsidR="00817228" w:rsidRPr="00B148F9">
        <w:t xml:space="preserve">into Guernsey under the Companies Law on 2 October 2019, and was allocated registration number 66847 on the Guernsey Register of Companies. </w:t>
      </w:r>
      <w:r w:rsidR="00382CEF" w:rsidRPr="00B148F9">
        <w:t xml:space="preserve">On 30 October 2019, all of the issued Ordinary Shares of the Company were listed and admitted to trading on the Specialist Fund Segment of the LSE (“SFS”) under ticker symbol: RTW. </w:t>
      </w:r>
    </w:p>
    <w:p w14:paraId="7B06D9DE" w14:textId="77777777" w:rsidR="001B1F6B" w:rsidRPr="00B148F9" w:rsidRDefault="001B1F6B" w:rsidP="001B1F6B"/>
    <w:p w14:paraId="3A3A951F" w14:textId="25E7E280" w:rsidR="001B0B26" w:rsidRPr="00B148F9" w:rsidRDefault="008519E5" w:rsidP="001B1F6B">
      <w:pPr>
        <w:rPr>
          <w:rFonts w:cs="AvenirNextLTPro-Regular"/>
        </w:rPr>
      </w:pPr>
      <w:r w:rsidRPr="00B148F9">
        <w:t>The Company will seek to use equity capital (from the net proceeds of any share issuance or, where appropriate, from the net proceeds of investment divestments or other related profits) to provide seed and additional growth capital to the private investments. To mitigate cash-drag, the uninvested portion will be invested across public stocks largely replicating the public stock portfolios of the Investment Manager’s existing US-based funds. The Company</w:t>
      </w:r>
      <w:r w:rsidR="00734C6E" w:rsidRPr="00B148F9">
        <w:t xml:space="preserve"> will</w:t>
      </w:r>
      <w:r w:rsidRPr="00B148F9">
        <w:t xml:space="preserve"> </w:t>
      </w:r>
      <w:r w:rsidR="00734C6E" w:rsidRPr="00B148F9">
        <w:rPr>
          <w:rFonts w:cs="AvenirNextLTPro-Regular"/>
        </w:rPr>
        <w:t xml:space="preserve">focus on </w:t>
      </w:r>
      <w:r w:rsidR="00C50A89" w:rsidRPr="00B148F9">
        <w:rPr>
          <w:rFonts w:cs="AvenirNextLTPro-Regular"/>
        </w:rPr>
        <w:t>creating</w:t>
      </w:r>
      <w:r w:rsidR="00734C6E" w:rsidRPr="00B148F9">
        <w:rPr>
          <w:rFonts w:cs="AvenirNextLTPro-Regular"/>
        </w:rPr>
        <w:t xml:space="preserve">, building, and supporting world-class life sciences, biopharmaceutical and medical technology companies. </w:t>
      </w:r>
    </w:p>
    <w:p w14:paraId="50D5A177" w14:textId="77777777" w:rsidR="00FE4734" w:rsidRPr="00B148F9" w:rsidRDefault="00FE4734" w:rsidP="001B1F6B"/>
    <w:p w14:paraId="246A1B0A" w14:textId="04268EE6" w:rsidR="001B1F6B" w:rsidRPr="00B148F9" w:rsidRDefault="001B0B26" w:rsidP="001B1F6B">
      <w:r w:rsidRPr="00B148F9">
        <w:t xml:space="preserve">Prior to re-domiciliation, </w:t>
      </w:r>
      <w:r w:rsidR="00382CEF" w:rsidRPr="00B148F9">
        <w:t xml:space="preserve">RTW Special Purpose Fund I, LLC had been created for the purpose of acquiring securities issued by Rocket Pharmaceuticals, Inc. (“Rocket”) which was its sole designated investment. The </w:t>
      </w:r>
      <w:r w:rsidRPr="00B148F9">
        <w:t xml:space="preserve">overall investment objective </w:t>
      </w:r>
      <w:r w:rsidR="00382CEF" w:rsidRPr="00B148F9">
        <w:t xml:space="preserve">of RTW Special Purpose Fund I, LLC </w:t>
      </w:r>
      <w:r w:rsidRPr="00B148F9">
        <w:t xml:space="preserve">was to generate attractive returns through its investment in Rocket, a biotechnology company with a pipeline of early stage gene therapy programs that address rare paediatric diseases that cause debilitating conditions, cancer and death. Rocket is attempting to achieve proof of concept and deliver commercially available, first-in-class, curative therapies to devastating, rare diseases. </w:t>
      </w:r>
    </w:p>
    <w:p w14:paraId="7D3BC580" w14:textId="0A454332" w:rsidR="00CE5E80" w:rsidRPr="00B148F9" w:rsidRDefault="00CE5E80" w:rsidP="001B1F6B"/>
    <w:p w14:paraId="1E2F7DB4" w14:textId="4D5B3B63" w:rsidR="00CE5E80" w:rsidRPr="00B148F9" w:rsidRDefault="009307D1" w:rsidP="001B1F6B">
      <w:r w:rsidRPr="00B148F9">
        <w:t>On 4</w:t>
      </w:r>
      <w:r w:rsidR="00CE5E80" w:rsidRPr="00B148F9">
        <w:t xml:space="preserve"> January 2018, Rocket </w:t>
      </w:r>
      <w:r w:rsidRPr="00B148F9">
        <w:t xml:space="preserve">completed the reverse merger with Inotek Pharmaceutical, Inc. and </w:t>
      </w:r>
      <w:r w:rsidR="00CE5E80" w:rsidRPr="00B148F9">
        <w:t>became a publicly traded company with ticker RCKT on the NASDAQ national market.</w:t>
      </w:r>
    </w:p>
    <w:p w14:paraId="554D98A6" w14:textId="77777777" w:rsidR="00CE5E80" w:rsidRPr="00B148F9" w:rsidRDefault="00CE5E80" w:rsidP="001B1F6B"/>
    <w:p w14:paraId="0A8AD680" w14:textId="3468FCC8" w:rsidR="00D345A4" w:rsidRPr="00B148F9" w:rsidRDefault="00D345A4" w:rsidP="001B1F6B">
      <w:r w:rsidRPr="00B148F9">
        <w:t xml:space="preserve">Pursuant to an investment management agreement, the </w:t>
      </w:r>
      <w:r w:rsidR="00196B8B" w:rsidRPr="00B148F9">
        <w:t>Company</w:t>
      </w:r>
      <w:r w:rsidRPr="00B148F9">
        <w:t xml:space="preserve"> is managed by RTW Investments, LP</w:t>
      </w:r>
      <w:r w:rsidR="000D0A9C" w:rsidRPr="00B148F9">
        <w:t>, a Delaware limited partnership</w:t>
      </w:r>
      <w:r w:rsidRPr="00B148F9">
        <w:t xml:space="preserve"> (the “Investment Manager”). The Investment Manager is an investment adviser registered with the U.S. Securities and Exchange Commission under the Investment Advisers Act of 1940. The </w:t>
      </w:r>
      <w:r w:rsidR="00196B8B" w:rsidRPr="00B148F9">
        <w:t>Company</w:t>
      </w:r>
      <w:r w:rsidRPr="00B148F9">
        <w:t>'s investment objective is to generate attractive risk-adjusted returns through investments in securities, both equity and debt, long and short, of companies with a focus on the pharmaceutical sector.</w:t>
      </w:r>
    </w:p>
    <w:p w14:paraId="79143A4D" w14:textId="77777777" w:rsidR="006002C4" w:rsidRPr="00B148F9" w:rsidRDefault="006002C4" w:rsidP="00326CD3">
      <w:pPr>
        <w:tabs>
          <w:tab w:val="left" w:pos="426"/>
        </w:tabs>
        <w:rPr>
          <w:rFonts w:cs="Arial"/>
          <w:b/>
        </w:rPr>
      </w:pPr>
    </w:p>
    <w:p w14:paraId="180D9C7A" w14:textId="785CE1A5" w:rsidR="006002C4" w:rsidRPr="00B148F9" w:rsidRDefault="006002C4" w:rsidP="00326CD3">
      <w:pPr>
        <w:tabs>
          <w:tab w:val="left" w:pos="426"/>
        </w:tabs>
        <w:rPr>
          <w:rFonts w:cs="Arial"/>
          <w:b/>
        </w:rPr>
      </w:pPr>
      <w:r w:rsidRPr="00B148F9">
        <w:rPr>
          <w:rFonts w:cs="Arial"/>
          <w:b/>
        </w:rPr>
        <w:t xml:space="preserve">Basis of </w:t>
      </w:r>
      <w:r w:rsidR="00621DB0" w:rsidRPr="00B148F9">
        <w:rPr>
          <w:rFonts w:cs="Arial"/>
          <w:b/>
        </w:rPr>
        <w:t>presentation</w:t>
      </w:r>
    </w:p>
    <w:p w14:paraId="59C306CD" w14:textId="77777777" w:rsidR="00621DB0" w:rsidRPr="00B148F9" w:rsidRDefault="00621DB0" w:rsidP="00326CD3">
      <w:pPr>
        <w:tabs>
          <w:tab w:val="left" w:pos="426"/>
        </w:tabs>
        <w:rPr>
          <w:rFonts w:cs="Arial"/>
          <w:b/>
        </w:rPr>
      </w:pPr>
    </w:p>
    <w:p w14:paraId="6888ABCE" w14:textId="7A03A014" w:rsidR="00621DB0" w:rsidRPr="00B148F9" w:rsidRDefault="00621DB0" w:rsidP="00913AEB">
      <w:pPr>
        <w:tabs>
          <w:tab w:val="left" w:pos="426"/>
        </w:tabs>
        <w:rPr>
          <w:rFonts w:cs="Arial"/>
        </w:rPr>
      </w:pPr>
      <w:r w:rsidRPr="00B148F9">
        <w:rPr>
          <w:rFonts w:cs="Arial"/>
        </w:rPr>
        <w:t>The financial statements are expressed in United States dollars</w:t>
      </w:r>
      <w:r w:rsidR="00434863" w:rsidRPr="00B148F9">
        <w:rPr>
          <w:rFonts w:cs="Arial"/>
        </w:rPr>
        <w:t>.</w:t>
      </w:r>
      <w:r w:rsidRPr="00B148F9">
        <w:rPr>
          <w:rFonts w:cs="Arial"/>
        </w:rPr>
        <w:t xml:space="preserve"> </w:t>
      </w:r>
      <w:r w:rsidR="00434863" w:rsidRPr="00B148F9">
        <w:rPr>
          <w:rFonts w:cs="Arial"/>
        </w:rPr>
        <w:t>The financial statements present a true and fair view of the financial position, profit or loss and cash flows and</w:t>
      </w:r>
      <w:r w:rsidRPr="00B148F9">
        <w:rPr>
          <w:rFonts w:cs="Arial"/>
        </w:rPr>
        <w:t xml:space="preserve"> have been prepared in conformity with accounting principles generally accepted in the United States of America (“GAAP”)</w:t>
      </w:r>
      <w:r w:rsidR="00434863" w:rsidRPr="00B148F9">
        <w:rPr>
          <w:rFonts w:cs="Arial"/>
        </w:rPr>
        <w:t xml:space="preserve"> and are in compliance with the Companies (Guernsey) Law, 2008</w:t>
      </w:r>
      <w:r w:rsidRPr="00B148F9">
        <w:rPr>
          <w:rFonts w:cs="Arial"/>
        </w:rPr>
        <w:t xml:space="preserve">. The </w:t>
      </w:r>
      <w:r w:rsidR="00196B8B" w:rsidRPr="00B148F9">
        <w:rPr>
          <w:rFonts w:cs="Arial"/>
        </w:rPr>
        <w:t>Company</w:t>
      </w:r>
      <w:r w:rsidRPr="00B148F9">
        <w:rPr>
          <w:rFonts w:cs="Arial"/>
        </w:rPr>
        <w:t xml:space="preserve"> is an investment company and follows the accounting and reporting guidance in Financial Accounting Standards Board’s (“FASB”) Accounting Standards Codification Topic 946, Financial Services – Investment Companies. </w:t>
      </w:r>
    </w:p>
    <w:p w14:paraId="63EC66AE" w14:textId="77777777" w:rsidR="00621DB0" w:rsidRPr="00B148F9" w:rsidRDefault="00621DB0" w:rsidP="00913AEB">
      <w:pPr>
        <w:tabs>
          <w:tab w:val="left" w:pos="426"/>
        </w:tabs>
        <w:rPr>
          <w:rFonts w:cs="Arial"/>
        </w:rPr>
      </w:pPr>
    </w:p>
    <w:p w14:paraId="3229D92E" w14:textId="77777777" w:rsidR="004B25BC" w:rsidRPr="00B148F9" w:rsidRDefault="004B25BC" w:rsidP="00913AEB">
      <w:pPr>
        <w:tabs>
          <w:tab w:val="left" w:pos="426"/>
        </w:tabs>
        <w:rPr>
          <w:rFonts w:cs="Arial"/>
        </w:rPr>
      </w:pPr>
      <w:r w:rsidRPr="00B148F9">
        <w:rPr>
          <w:rFonts w:cs="Arial"/>
        </w:rPr>
        <w:t>T</w:t>
      </w:r>
      <w:r w:rsidR="00CE3524" w:rsidRPr="00B148F9">
        <w:rPr>
          <w:rFonts w:cs="Arial"/>
        </w:rPr>
        <w:t xml:space="preserve">he </w:t>
      </w:r>
      <w:r w:rsidRPr="00B148F9">
        <w:rPr>
          <w:rFonts w:cs="Arial"/>
        </w:rPr>
        <w:t>D</w:t>
      </w:r>
      <w:r w:rsidR="00CE3524" w:rsidRPr="00B148F9">
        <w:rPr>
          <w:rFonts w:cs="Arial"/>
        </w:rPr>
        <w:t xml:space="preserve">irectors considered that it is appropriate to adopt a going concern basis of accounting in preparing the financial statements. In reaching this assessment, the </w:t>
      </w:r>
      <w:r w:rsidRPr="00B148F9">
        <w:rPr>
          <w:rFonts w:cs="Arial"/>
        </w:rPr>
        <w:t>D</w:t>
      </w:r>
      <w:r w:rsidR="00CE3524" w:rsidRPr="00B148F9">
        <w:rPr>
          <w:rFonts w:cs="Arial"/>
        </w:rPr>
        <w:t>irectors have considered a wide range of information relating to present and future conditions including the balance sheets, future projections, cash flows and the longer-term strategy of the business.</w:t>
      </w:r>
    </w:p>
    <w:p w14:paraId="2D6081F1" w14:textId="77777777" w:rsidR="00141315" w:rsidRPr="00B148F9" w:rsidRDefault="00141315" w:rsidP="00141315">
      <w:pPr>
        <w:rPr>
          <w:rFonts w:cs="Arial"/>
          <w:b/>
        </w:rPr>
      </w:pPr>
    </w:p>
    <w:p w14:paraId="6A65D79C" w14:textId="0D867118" w:rsidR="00141315" w:rsidRPr="00B148F9" w:rsidRDefault="00141315" w:rsidP="00141315">
      <w:pPr>
        <w:rPr>
          <w:rFonts w:cs="Arial"/>
        </w:rPr>
      </w:pPr>
      <w:r w:rsidRPr="00B148F9">
        <w:rPr>
          <w:rFonts w:cs="Arial"/>
        </w:rPr>
        <w:t xml:space="preserve">Cash represents cash deposits held at financial institutions. Cash equivalents include short-term highly liquid investments of sufficient credit quality that are readily convertible to known amounts of cash and have original maturities of three months or less. Cash equivalents are </w:t>
      </w:r>
      <w:r w:rsidRPr="00B148F9">
        <w:rPr>
          <w:rFonts w:cs="Arial"/>
        </w:rPr>
        <w:lastRenderedPageBreak/>
        <w:t xml:space="preserve">carried at cost plus accrued interest, which approximates fair value. Cash equivalents are held for the purpose of meeting short-term liquidity requirements, rather than for investments purposes. As at 31 December 2019 and 31 December 2018, the Company had no cash equivalents. </w:t>
      </w:r>
    </w:p>
    <w:p w14:paraId="600D6C70" w14:textId="77777777" w:rsidR="00141315" w:rsidRPr="00B148F9" w:rsidRDefault="00141315" w:rsidP="00141315">
      <w:pPr>
        <w:rPr>
          <w:rFonts w:cs="Arial"/>
        </w:rPr>
      </w:pPr>
    </w:p>
    <w:p w14:paraId="7E05ECAF" w14:textId="01589786" w:rsidR="00141315" w:rsidRPr="00B148F9" w:rsidRDefault="00141315" w:rsidP="00141315">
      <w:pPr>
        <w:rPr>
          <w:rFonts w:cs="Arial"/>
        </w:rPr>
      </w:pPr>
      <w:r w:rsidRPr="00B148F9">
        <w:rPr>
          <w:rFonts w:cs="Arial"/>
        </w:rPr>
        <w:t>Restricted cash is subject to a legal or contractual restriction by third parties as well as a restriction as to withdrawal or use, including restrictions that require the funds to be used for a specified purpose and restrictions that limit the purpose for which the funds can be used. The Company considers cash pledged as collateral for securities sold short</w:t>
      </w:r>
      <w:r w:rsidR="00382CEF" w:rsidRPr="00B148F9">
        <w:rPr>
          <w:rFonts w:cs="Arial"/>
        </w:rPr>
        <w:t>,</w:t>
      </w:r>
      <w:r w:rsidRPr="00B148F9">
        <w:rPr>
          <w:rFonts w:cs="Arial"/>
        </w:rPr>
        <w:t xml:space="preserve"> cash collateral posted with counterparties for derivative contracts </w:t>
      </w:r>
      <w:r w:rsidR="00382CEF" w:rsidRPr="00B148F9">
        <w:rPr>
          <w:rFonts w:cs="Arial"/>
        </w:rPr>
        <w:t xml:space="preserve">and further amounts due from brokers </w:t>
      </w:r>
      <w:r w:rsidRPr="00B148F9">
        <w:rPr>
          <w:rFonts w:cs="Arial"/>
        </w:rPr>
        <w:t>to be restricted cash, as outlined in note 3.</w:t>
      </w:r>
    </w:p>
    <w:p w14:paraId="346413CD" w14:textId="77777777" w:rsidR="00141315" w:rsidRPr="00B148F9" w:rsidRDefault="00141315" w:rsidP="001047F9">
      <w:pPr>
        <w:rPr>
          <w:rFonts w:cs="Arial"/>
          <w:b/>
        </w:rPr>
      </w:pPr>
    </w:p>
    <w:p w14:paraId="50EC0D6C" w14:textId="0E1AC77F" w:rsidR="001047F9" w:rsidRPr="00B148F9" w:rsidRDefault="001047F9" w:rsidP="001047F9">
      <w:pPr>
        <w:rPr>
          <w:rFonts w:cs="Arial"/>
        </w:rPr>
      </w:pPr>
      <w:r w:rsidRPr="00B148F9">
        <w:rPr>
          <w:rFonts w:cs="Arial"/>
          <w:b/>
        </w:rPr>
        <w:t xml:space="preserve">Fair Value - Definition and Hierarchy </w:t>
      </w:r>
    </w:p>
    <w:p w14:paraId="2E6094A1" w14:textId="77777777" w:rsidR="001047F9" w:rsidRPr="00B148F9" w:rsidRDefault="001047F9" w:rsidP="00621DB0">
      <w:pPr>
        <w:rPr>
          <w:rFonts w:cs="Arial"/>
        </w:rPr>
      </w:pPr>
    </w:p>
    <w:p w14:paraId="4A529A09" w14:textId="77777777" w:rsidR="0037352B" w:rsidRPr="00B148F9" w:rsidRDefault="0037352B" w:rsidP="0037352B">
      <w:pPr>
        <w:rPr>
          <w:rFonts w:cs="Arial"/>
        </w:rPr>
      </w:pPr>
      <w:r w:rsidRPr="00B148F9">
        <w:rPr>
          <w:rFonts w:cs="Arial"/>
        </w:rPr>
        <w:t>Fair value is defined as the price that would be received to sell an asset or paid to transfer a liability (i.e. the ‘exit price’) in an orderly transaction between market participants at the measurement date.</w:t>
      </w:r>
    </w:p>
    <w:p w14:paraId="1CF6A938" w14:textId="77777777" w:rsidR="0037352B" w:rsidRPr="00B148F9" w:rsidRDefault="0037352B" w:rsidP="00261D23">
      <w:pPr>
        <w:rPr>
          <w:rFonts w:cs="Arial"/>
        </w:rPr>
      </w:pPr>
    </w:p>
    <w:p w14:paraId="75A17EFC" w14:textId="4127550D" w:rsidR="00261D23" w:rsidRPr="00B148F9" w:rsidRDefault="00261D23" w:rsidP="00261D23">
      <w:pPr>
        <w:rPr>
          <w:rFonts w:cs="Arial"/>
        </w:rPr>
      </w:pPr>
      <w:r w:rsidRPr="00B148F9">
        <w:rPr>
          <w:rFonts w:cs="Arial"/>
        </w:rPr>
        <w:t>In determining fair value, the Company uses various valuation techniques. A fair value hierarchy for inputs is used in measuring fair value that maximizes the use of observable inputs and minimizes the use of unobservable inputs by requiring that the most observable inputs are to be used when available. Observable inputs are those that market participants would use in pricing the asset or liability based on market data obtained from sources independent of the Company.</w:t>
      </w:r>
    </w:p>
    <w:p w14:paraId="0719CC5E" w14:textId="77777777" w:rsidR="00261D23" w:rsidRPr="00B148F9" w:rsidRDefault="00261D23" w:rsidP="00621DB0">
      <w:pPr>
        <w:rPr>
          <w:rFonts w:cs="Arial"/>
        </w:rPr>
      </w:pPr>
    </w:p>
    <w:p w14:paraId="4791F6B5" w14:textId="22F75F90" w:rsidR="00621DB0" w:rsidRPr="00B148F9" w:rsidRDefault="00621DB0" w:rsidP="00621DB0">
      <w:pPr>
        <w:rPr>
          <w:rFonts w:cs="Arial"/>
        </w:rPr>
      </w:pPr>
      <w:r w:rsidRPr="00B148F9">
        <w:rPr>
          <w:rFonts w:cs="Arial"/>
        </w:rPr>
        <w:t xml:space="preserve">Unobservable inputs reflect the </w:t>
      </w:r>
      <w:r w:rsidR="000F02B6" w:rsidRPr="00B148F9">
        <w:rPr>
          <w:rFonts w:cs="Arial"/>
        </w:rPr>
        <w:t>Company’s</w:t>
      </w:r>
      <w:r w:rsidRPr="00B148F9">
        <w:rPr>
          <w:rFonts w:cs="Arial"/>
        </w:rPr>
        <w:t xml:space="preserve"> assumptions about the inputs market participants would use in pricing the asset or liability developed based on the best information available in the circumstances. The fair value hierarchy is categorized into three levels based on the inputs as follows:</w:t>
      </w:r>
    </w:p>
    <w:p w14:paraId="485B9CAC" w14:textId="77777777" w:rsidR="00E44657" w:rsidRPr="00B148F9" w:rsidRDefault="00E44657" w:rsidP="004C025F">
      <w:pPr>
        <w:rPr>
          <w:rFonts w:cs="Arial"/>
        </w:rPr>
      </w:pPr>
    </w:p>
    <w:p w14:paraId="33FD1784" w14:textId="31862992" w:rsidR="000F02B6" w:rsidRPr="00B148F9" w:rsidRDefault="000F02B6" w:rsidP="00913AEB">
      <w:pPr>
        <w:ind w:left="720"/>
        <w:rPr>
          <w:rFonts w:cs="Arial"/>
        </w:rPr>
      </w:pPr>
      <w:r w:rsidRPr="00B148F9">
        <w:rPr>
          <w:rFonts w:cs="Arial"/>
        </w:rPr>
        <w:t xml:space="preserve">Level 1 - Valuations based on unadjusted quoted prices in active markets for identical assets or liabilities that the </w:t>
      </w:r>
      <w:r w:rsidR="00196B8B" w:rsidRPr="00B148F9">
        <w:rPr>
          <w:rFonts w:cs="Arial"/>
        </w:rPr>
        <w:t>Company</w:t>
      </w:r>
      <w:r w:rsidRPr="00B148F9">
        <w:rPr>
          <w:rFonts w:cs="Arial"/>
        </w:rPr>
        <w:t xml:space="preserve"> has the ability to access. Valuation adjustments are not applied to Level 1 investments. Since valuations are based on quoted prices that are readily and regularly available in an active market, valuation of these investments does not entail a significant degree of judgment.</w:t>
      </w:r>
    </w:p>
    <w:p w14:paraId="14A71BEF" w14:textId="77777777" w:rsidR="000F02B6" w:rsidRPr="00B148F9" w:rsidRDefault="000F02B6" w:rsidP="000F02B6">
      <w:pPr>
        <w:rPr>
          <w:rFonts w:cs="Arial"/>
        </w:rPr>
      </w:pPr>
    </w:p>
    <w:p w14:paraId="227E2AD8" w14:textId="263BB5F6" w:rsidR="000F02B6" w:rsidRPr="00B148F9" w:rsidRDefault="000F02B6" w:rsidP="00913AEB">
      <w:pPr>
        <w:ind w:left="720"/>
        <w:rPr>
          <w:rFonts w:cs="Arial"/>
        </w:rPr>
      </w:pPr>
      <w:r w:rsidRPr="00B148F9">
        <w:rPr>
          <w:rFonts w:cs="Arial"/>
        </w:rPr>
        <w:t xml:space="preserve">Level 2 - </w:t>
      </w:r>
      <w:r w:rsidR="004B25BC" w:rsidRPr="00B148F9">
        <w:rPr>
          <w:rFonts w:cs="Arial"/>
        </w:rPr>
        <w:t>Valuations based on inputs, other than quoted prices included in Level 1, that</w:t>
      </w:r>
      <w:r w:rsidR="004B25BC" w:rsidRPr="00B148F9" w:rsidDel="004B25BC">
        <w:rPr>
          <w:rFonts w:cs="Arial"/>
        </w:rPr>
        <w:t xml:space="preserve"> </w:t>
      </w:r>
      <w:r w:rsidRPr="00B148F9">
        <w:rPr>
          <w:rFonts w:cs="Arial"/>
        </w:rPr>
        <w:t>are observable, either directly or indirectly.</w:t>
      </w:r>
      <w:r w:rsidR="004B25BC" w:rsidRPr="00B148F9">
        <w:rPr>
          <w:rFonts w:cs="Arial"/>
        </w:rPr>
        <w:t xml:space="preserve"> </w:t>
      </w:r>
    </w:p>
    <w:p w14:paraId="3745E8C4" w14:textId="77777777" w:rsidR="000F02B6" w:rsidRPr="00B148F9" w:rsidRDefault="000F02B6" w:rsidP="004C025F">
      <w:pPr>
        <w:rPr>
          <w:rFonts w:cs="Arial"/>
        </w:rPr>
      </w:pPr>
    </w:p>
    <w:p w14:paraId="15B0E797" w14:textId="00C586A8" w:rsidR="00E97111" w:rsidRPr="00B148F9" w:rsidRDefault="000F02B6" w:rsidP="00913AEB">
      <w:pPr>
        <w:ind w:left="720"/>
        <w:rPr>
          <w:rFonts w:cs="Arial"/>
        </w:rPr>
      </w:pPr>
      <w:r w:rsidRPr="00B148F9">
        <w:rPr>
          <w:rFonts w:cs="Arial"/>
        </w:rPr>
        <w:t>Level 3 - Valuations based on inputs that are unobservable and significant to the overall fair value measurement.</w:t>
      </w:r>
    </w:p>
    <w:p w14:paraId="77A1E1FF" w14:textId="77777777" w:rsidR="002018D7" w:rsidRPr="00B148F9" w:rsidRDefault="002018D7" w:rsidP="00326CD3">
      <w:pPr>
        <w:rPr>
          <w:rFonts w:cs="Arial"/>
        </w:rPr>
      </w:pPr>
    </w:p>
    <w:p w14:paraId="64F8D40F" w14:textId="77777777" w:rsidR="00141315" w:rsidRPr="00B148F9" w:rsidRDefault="00141315" w:rsidP="00141315">
      <w:pPr>
        <w:rPr>
          <w:rFonts w:cs="Arial"/>
        </w:rPr>
      </w:pPr>
      <w:r w:rsidRPr="00B148F9">
        <w:rPr>
          <w:rFonts w:cs="Arial"/>
        </w:rPr>
        <w:t xml:space="preserve">The availability of valuation techniques and observable inputs can vary from investment to investment and is affected by a wide variety of factors, including the type of investment, whether the investment is new and not yet established in the marketplace, and other characteristics particular to the transaction. To the extent that valuation is based on models or inputs that are less observable or unobservable in the market, the determination of fair value requires more judgement. Those estimated values do not necessarily represent the amounts that may be ultimately realised due to the occurrence of future circumstances that cannot be reasonably determined. Because of the inherent uncertainty of valuation, those estimated values may be materially higher or lower than the values that would have been used had a ready market for the investments existed. Accordingly, the degree of judgement exercised by the Company in determining fair value is greatest for investments categorized in Level 3. In certain cases, the inputs used to measure fair value may fall into different levels of the fair value hierarchy. In such cases, for disclosure purposes, the level in the fair value hierarchy within </w:t>
      </w:r>
      <w:r w:rsidRPr="00B148F9">
        <w:rPr>
          <w:rFonts w:cs="Arial"/>
        </w:rPr>
        <w:lastRenderedPageBreak/>
        <w:t>which the fair value measurement falls in its entirety is determined based on the lowest level input that is significant to the fair value measurement.</w:t>
      </w:r>
    </w:p>
    <w:p w14:paraId="38EC303F" w14:textId="77777777" w:rsidR="00141315" w:rsidRPr="00B148F9" w:rsidRDefault="00141315" w:rsidP="00141315">
      <w:pPr>
        <w:rPr>
          <w:rFonts w:cs="Arial"/>
        </w:rPr>
      </w:pPr>
    </w:p>
    <w:p w14:paraId="5803B0D6" w14:textId="77777777" w:rsidR="00141315" w:rsidRPr="00B148F9" w:rsidRDefault="00141315" w:rsidP="00141315">
      <w:pPr>
        <w:rPr>
          <w:rFonts w:cs="Arial"/>
        </w:rPr>
      </w:pPr>
      <w:r w:rsidRPr="00B148F9">
        <w:rPr>
          <w:rFonts w:cs="Arial"/>
        </w:rPr>
        <w:t xml:space="preserve">Fair value is a market-based measure considered from the perspective of a market participant rather than an entity-specific measure. Therefore, even when market assumptions are not readily available, the Company’s own assumptions are set to reflect those that market participants would use in pricing the asset or liability at the measurement date. The Company uses prices and inputs that are current as of the measurement date, including periods of market dislocation. In periods of market dislocation, the observability of prices and inputs may be reduced for many investments. This condition could cause an investment to be reclassified to a lower level within the fair value hierarchy. </w:t>
      </w:r>
    </w:p>
    <w:p w14:paraId="66E6064F" w14:textId="77777777" w:rsidR="00141315" w:rsidRPr="00B148F9" w:rsidRDefault="00141315" w:rsidP="005A1345">
      <w:pPr>
        <w:rPr>
          <w:rFonts w:cs="Arial"/>
          <w:b/>
        </w:rPr>
      </w:pPr>
    </w:p>
    <w:p w14:paraId="3744AA34" w14:textId="437E7F4A" w:rsidR="005A1345" w:rsidRPr="00B148F9" w:rsidRDefault="005A1345" w:rsidP="005A1345">
      <w:pPr>
        <w:rPr>
          <w:rFonts w:cs="Arial"/>
        </w:rPr>
      </w:pPr>
      <w:r w:rsidRPr="00B148F9">
        <w:rPr>
          <w:rFonts w:cs="Arial"/>
          <w:b/>
        </w:rPr>
        <w:t>Fair Value – Valuation Techniques and Inputs</w:t>
      </w:r>
    </w:p>
    <w:p w14:paraId="60426754" w14:textId="77777777" w:rsidR="005A1345" w:rsidRPr="00B148F9" w:rsidRDefault="005A1345" w:rsidP="005A1345">
      <w:pPr>
        <w:rPr>
          <w:rFonts w:cs="Arial"/>
        </w:rPr>
      </w:pPr>
    </w:p>
    <w:p w14:paraId="6E82E491" w14:textId="1FBD0C5E" w:rsidR="005A1345" w:rsidRPr="00B148F9" w:rsidRDefault="005A1345" w:rsidP="005A1345">
      <w:pPr>
        <w:rPr>
          <w:rFonts w:cs="Arial"/>
        </w:rPr>
      </w:pPr>
      <w:r w:rsidRPr="00B148F9">
        <w:rPr>
          <w:rFonts w:cs="Arial"/>
        </w:rPr>
        <w:t>Investments in Securities</w:t>
      </w:r>
      <w:r w:rsidR="00B064B3" w:rsidRPr="00B148F9">
        <w:rPr>
          <w:rFonts w:cs="Arial"/>
        </w:rPr>
        <w:t xml:space="preserve"> and Securities Sold Short</w:t>
      </w:r>
    </w:p>
    <w:p w14:paraId="32902A1F" w14:textId="77777777" w:rsidR="00261D23" w:rsidRPr="00B148F9" w:rsidRDefault="00261D23" w:rsidP="005A1345">
      <w:pPr>
        <w:rPr>
          <w:rFonts w:cs="Arial"/>
        </w:rPr>
      </w:pPr>
    </w:p>
    <w:p w14:paraId="2E8793D3" w14:textId="3B2ADC03" w:rsidR="005A1345" w:rsidRPr="00B148F9" w:rsidRDefault="005A1345" w:rsidP="005A1345">
      <w:pPr>
        <w:rPr>
          <w:rFonts w:cs="Arial"/>
        </w:rPr>
      </w:pPr>
      <w:r w:rsidRPr="00B148F9">
        <w:rPr>
          <w:rFonts w:cs="Arial"/>
        </w:rPr>
        <w:t xml:space="preserve">The Company values investments in securities including exchange traded funds and securities sold short that are freely tradable and are listed on a national securities exchange or reported on the NASDAQ national market at their closing sales price as of the valuation date. To the extent these securities are actively traded and valuation adjustments are not applied, they are categorized in Level 1 of the fair value hierarchy. Securities traded on inactive markets or valued by reference to similar instruments or where a discount may be applied are </w:t>
      </w:r>
      <w:r w:rsidR="006919B5" w:rsidRPr="00B148F9">
        <w:rPr>
          <w:rFonts w:cs="Arial"/>
        </w:rPr>
        <w:t>categorized</w:t>
      </w:r>
      <w:r w:rsidRPr="00B148F9">
        <w:rPr>
          <w:rFonts w:cs="Arial"/>
        </w:rPr>
        <w:t xml:space="preserve"> in Level 2 or 3 of the fair value hierarchy.</w:t>
      </w:r>
    </w:p>
    <w:p w14:paraId="7812359E" w14:textId="72C3FAEB" w:rsidR="00892154" w:rsidRPr="00B148F9" w:rsidRDefault="00892154" w:rsidP="005A1345">
      <w:pPr>
        <w:rPr>
          <w:rFonts w:cs="Arial"/>
        </w:rPr>
      </w:pPr>
    </w:p>
    <w:p w14:paraId="115ABF37" w14:textId="1E981947" w:rsidR="00E65118" w:rsidRPr="00B148F9" w:rsidRDefault="00892154" w:rsidP="005A1345">
      <w:pPr>
        <w:rPr>
          <w:rFonts w:cs="Arial"/>
        </w:rPr>
      </w:pPr>
      <w:r w:rsidRPr="00B148F9">
        <w:rPr>
          <w:rFonts w:cs="Arial"/>
        </w:rPr>
        <w:t>For investments i</w:t>
      </w:r>
      <w:r w:rsidR="006919B5" w:rsidRPr="00B148F9">
        <w:rPr>
          <w:rFonts w:cs="Arial"/>
        </w:rPr>
        <w:t>n securities categoriz</w:t>
      </w:r>
      <w:r w:rsidRPr="00B148F9">
        <w:rPr>
          <w:rFonts w:cs="Arial"/>
        </w:rPr>
        <w:t xml:space="preserve">ed in </w:t>
      </w:r>
      <w:r w:rsidR="006919B5" w:rsidRPr="00B148F9">
        <w:rPr>
          <w:rFonts w:cs="Arial"/>
        </w:rPr>
        <w:t xml:space="preserve">Level 2 or 3 of the fair value hierarchy, inputs considered in these valuations include; </w:t>
      </w:r>
      <w:r w:rsidR="00D81F9B" w:rsidRPr="00B148F9">
        <w:rPr>
          <w:rFonts w:cs="Arial"/>
        </w:rPr>
        <w:t>estimated future cash flows, risk-adjusted discount rates, fundamental valuation models, recent comparable transactions, all relevant and known operating and competitive environment information as well as the Independent Valuer’s valuation report</w:t>
      </w:r>
      <w:r w:rsidR="006919B5" w:rsidRPr="00B148F9">
        <w:rPr>
          <w:rFonts w:cs="Arial"/>
        </w:rPr>
        <w:t xml:space="preserve">. </w:t>
      </w:r>
      <w:r w:rsidR="00E65118" w:rsidRPr="00B148F9">
        <w:rPr>
          <w:rFonts w:cs="Arial"/>
        </w:rPr>
        <w:t>Initially these investments are marked at cost, as the most appropriate fair value for newly acquired securities. Following this, valuations for these investments are calculated using an option pricing model that considers both the market approach and income approach to valuing investments in securities.</w:t>
      </w:r>
    </w:p>
    <w:p w14:paraId="22BF17E4" w14:textId="77777777" w:rsidR="00141315" w:rsidRPr="00B148F9" w:rsidRDefault="00141315" w:rsidP="005A1345">
      <w:pPr>
        <w:rPr>
          <w:rFonts w:cs="Arial"/>
        </w:rPr>
      </w:pPr>
    </w:p>
    <w:p w14:paraId="637DFCE9" w14:textId="238AE6A5" w:rsidR="00892154" w:rsidRPr="00B148F9" w:rsidRDefault="00E65118" w:rsidP="005A1345">
      <w:pPr>
        <w:rPr>
          <w:szCs w:val="18"/>
        </w:rPr>
      </w:pPr>
      <w:r w:rsidRPr="00B148F9">
        <w:rPr>
          <w:rFonts w:cs="Arial"/>
        </w:rPr>
        <w:t xml:space="preserve">The market approach utilizes guideline public companies relying on projected revenues to derive an indicated enterprise value. Due to the nature of the investments, being in the early stages of development, </w:t>
      </w:r>
      <w:r w:rsidRPr="00B148F9">
        <w:rPr>
          <w:szCs w:val="18"/>
        </w:rPr>
        <w:t>the projected revenues in the terminal year of each investment was used as the proxy for stable state revenue. A selected multiple is then applied based on the observed market multiples of the guideline public companies. To reflect the risk associated with the achievement of the projected revenues, the early development stage of each of the investments and the time to reach maturity, the indicated enterprise value in the terminal year was discounted at a venture capital rate.</w:t>
      </w:r>
    </w:p>
    <w:p w14:paraId="3374C87B" w14:textId="0B3100C8" w:rsidR="00E65118" w:rsidRPr="00B148F9" w:rsidRDefault="00E65118" w:rsidP="005A1345">
      <w:pPr>
        <w:rPr>
          <w:szCs w:val="18"/>
        </w:rPr>
      </w:pPr>
    </w:p>
    <w:p w14:paraId="09DF1CB0" w14:textId="634C486D" w:rsidR="00E65118" w:rsidRPr="00B148F9" w:rsidRDefault="00E65118" w:rsidP="00E65118">
      <w:pPr>
        <w:rPr>
          <w:rFonts w:cs="Arial"/>
        </w:rPr>
      </w:pPr>
      <w:r w:rsidRPr="00B148F9">
        <w:rPr>
          <w:rFonts w:cs="Arial"/>
        </w:rPr>
        <w:t>The income approach utilizes the discounted cash flow method. Projected cash flows for each investment w</w:t>
      </w:r>
      <w:r w:rsidR="000513EA" w:rsidRPr="00B148F9">
        <w:rPr>
          <w:rFonts w:cs="Arial"/>
        </w:rPr>
        <w:t>ere</w:t>
      </w:r>
      <w:r w:rsidRPr="00B148F9">
        <w:rPr>
          <w:rFonts w:cs="Arial"/>
        </w:rPr>
        <w:t xml:space="preserve"> used to determine the internal rate of return based on an assumed enterprise value. The indicated enterprise value was determined using a back-solve model based on the pricing of the most recent round of financing. The internal rate of return for each investment was compared to the selected venture capital rate applied in the market approach to assess the reasonableness of the indicated value implied by each financing round.</w:t>
      </w:r>
    </w:p>
    <w:p w14:paraId="7CF9A9B8" w14:textId="77777777" w:rsidR="00E65118" w:rsidRPr="00B148F9" w:rsidRDefault="00E65118" w:rsidP="00E65118">
      <w:pPr>
        <w:rPr>
          <w:rFonts w:cs="Arial"/>
        </w:rPr>
      </w:pPr>
    </w:p>
    <w:p w14:paraId="71F7B951" w14:textId="15873552" w:rsidR="00E65118" w:rsidRPr="00B148F9" w:rsidRDefault="00E65118" w:rsidP="00E65118">
      <w:pPr>
        <w:rPr>
          <w:rFonts w:cs="Arial"/>
        </w:rPr>
      </w:pPr>
      <w:r w:rsidRPr="00B148F9">
        <w:rPr>
          <w:rFonts w:cs="Arial"/>
        </w:rPr>
        <w:t>The derived enterprise value was allocated to the equity class of the most recent round of financing on a fully diluted basis and using an option pricing model. The resulting per share values formed a range of indicated value on a per share basis, which were then multiplied by the number of shares to derive the fair market value of each investment.</w:t>
      </w:r>
    </w:p>
    <w:p w14:paraId="7F155005" w14:textId="50E1D0FD" w:rsidR="00754208" w:rsidRPr="00B148F9" w:rsidRDefault="00754208" w:rsidP="00E65118">
      <w:pPr>
        <w:rPr>
          <w:rFonts w:cs="Arial"/>
        </w:rPr>
      </w:pPr>
    </w:p>
    <w:p w14:paraId="021B4D9C" w14:textId="5F0B1106" w:rsidR="00754208" w:rsidRPr="00B148F9" w:rsidRDefault="00754208" w:rsidP="00E65118">
      <w:pPr>
        <w:rPr>
          <w:rFonts w:cs="Arial"/>
        </w:rPr>
      </w:pPr>
      <w:r w:rsidRPr="00B148F9">
        <w:rPr>
          <w:rFonts w:cs="Arial"/>
        </w:rPr>
        <w:t>American Depository Receipts</w:t>
      </w:r>
    </w:p>
    <w:p w14:paraId="4698FB1B" w14:textId="5B58A53C" w:rsidR="00754208" w:rsidRPr="00B148F9" w:rsidRDefault="00754208" w:rsidP="00E65118">
      <w:pPr>
        <w:rPr>
          <w:rFonts w:cs="Arial"/>
        </w:rPr>
      </w:pPr>
    </w:p>
    <w:p w14:paraId="72C7DE5D" w14:textId="699C272A" w:rsidR="00754208" w:rsidRPr="00B148F9" w:rsidRDefault="00754208" w:rsidP="00754208">
      <w:pPr>
        <w:rPr>
          <w:rFonts w:cs="Arial"/>
        </w:rPr>
      </w:pPr>
      <w:r w:rsidRPr="00B148F9">
        <w:rPr>
          <w:rFonts w:cs="Arial"/>
        </w:rPr>
        <w:lastRenderedPageBreak/>
        <w:t>The Company values investments in American depositary receipts that are freely tradable and are listed on a national securities exchange or reported on the NASDAQ national market at their last reported sales price as of the valuation date. These investments are categorized in Level 1 of the fair value hierarchy.</w:t>
      </w:r>
    </w:p>
    <w:p w14:paraId="45728510" w14:textId="77777777" w:rsidR="00D97A7B" w:rsidRPr="00B148F9" w:rsidRDefault="00D97A7B" w:rsidP="005518CB">
      <w:pPr>
        <w:rPr>
          <w:rFonts w:cs="Arial"/>
        </w:rPr>
      </w:pPr>
    </w:p>
    <w:p w14:paraId="3233EA91" w14:textId="4D66EDE3" w:rsidR="00007B96" w:rsidRPr="00B148F9" w:rsidRDefault="00007B96" w:rsidP="00007B96">
      <w:pPr>
        <w:rPr>
          <w:rFonts w:cs="Arial"/>
        </w:rPr>
      </w:pPr>
      <w:r w:rsidRPr="00B148F9">
        <w:rPr>
          <w:rFonts w:cs="Arial"/>
        </w:rPr>
        <w:t>Equity swaps</w:t>
      </w:r>
    </w:p>
    <w:p w14:paraId="00C10864" w14:textId="77777777" w:rsidR="00261D23" w:rsidRPr="00B148F9" w:rsidRDefault="00261D23" w:rsidP="00007B96">
      <w:pPr>
        <w:rPr>
          <w:rFonts w:cs="Arial"/>
        </w:rPr>
      </w:pPr>
    </w:p>
    <w:p w14:paraId="759A0647" w14:textId="4F8A2B66" w:rsidR="00007B96" w:rsidRPr="00B148F9" w:rsidRDefault="00007B96" w:rsidP="00007B96">
      <w:pPr>
        <w:rPr>
          <w:rFonts w:cs="Arial"/>
        </w:rPr>
      </w:pPr>
      <w:r w:rsidRPr="00B148F9">
        <w:rPr>
          <w:rFonts w:cs="Arial"/>
        </w:rPr>
        <w:t xml:space="preserve">Equity swaps may be centrally cleared or traded on the </w:t>
      </w:r>
      <w:r w:rsidR="006B492F" w:rsidRPr="00B148F9">
        <w:rPr>
          <w:rFonts w:cs="Arial"/>
        </w:rPr>
        <w:t xml:space="preserve">over-the-counter </w:t>
      </w:r>
      <w:r w:rsidRPr="00B148F9">
        <w:rPr>
          <w:rFonts w:cs="Arial"/>
        </w:rPr>
        <w:t>market. The fair value of equity swaps is calculated based on the terms of the contract and current market data, such as changes in fair value of the reference asset. The fair value of equity swaps is generally categorized in Level 2 of the fair value hierarchy.</w:t>
      </w:r>
    </w:p>
    <w:p w14:paraId="02AFBCA7" w14:textId="17FBC5B1" w:rsidR="00E65118" w:rsidRPr="00B148F9" w:rsidRDefault="00E65118" w:rsidP="00007B96">
      <w:pPr>
        <w:rPr>
          <w:rFonts w:cs="Arial"/>
        </w:rPr>
      </w:pPr>
    </w:p>
    <w:p w14:paraId="75BC5C32" w14:textId="77777777" w:rsidR="00817824" w:rsidRPr="00B148F9" w:rsidRDefault="00817824" w:rsidP="00817824">
      <w:pPr>
        <w:rPr>
          <w:rFonts w:cs="Arial"/>
        </w:rPr>
      </w:pPr>
      <w:r w:rsidRPr="00B148F9">
        <w:rPr>
          <w:rFonts w:cs="Arial"/>
          <w:b/>
        </w:rPr>
        <w:t>Fair Value – Valuation Processes</w:t>
      </w:r>
    </w:p>
    <w:p w14:paraId="5629EAF7" w14:textId="77777777" w:rsidR="00817824" w:rsidRPr="00B148F9" w:rsidRDefault="00817824" w:rsidP="00817824">
      <w:pPr>
        <w:rPr>
          <w:rFonts w:cs="Arial"/>
        </w:rPr>
      </w:pPr>
    </w:p>
    <w:p w14:paraId="2127E8DD" w14:textId="6738DFFD" w:rsidR="00817824" w:rsidRPr="00B148F9" w:rsidRDefault="00817824" w:rsidP="00817824">
      <w:pPr>
        <w:rPr>
          <w:rFonts w:cs="Arial"/>
        </w:rPr>
      </w:pPr>
      <w:r w:rsidRPr="00B148F9">
        <w:rPr>
          <w:rFonts w:cs="Arial"/>
        </w:rPr>
        <w:t xml:space="preserve">In August 2018, the FASB issued Accounting Standards Update (ASU) 2018-13, Disclosure Framework – Changes to the Disclosure Requirements for Fair Value Measurement, which modifies the disclosure requirements for fair value measurements. The Company adopted ASU 2018-13 on a retrospective basis as of </w:t>
      </w:r>
      <w:r w:rsidR="00743A8E" w:rsidRPr="00B148F9">
        <w:rPr>
          <w:rFonts w:cs="Arial"/>
        </w:rPr>
        <w:t xml:space="preserve">1 </w:t>
      </w:r>
      <w:r w:rsidRPr="00B148F9">
        <w:rPr>
          <w:rFonts w:cs="Arial"/>
        </w:rPr>
        <w:t>January 2018. The effect of adopting this accounting guidance resulted in the removal or modification of certain fair value measurement disclosures presented in the Company’s financial statements.</w:t>
      </w:r>
    </w:p>
    <w:p w14:paraId="0AB40035" w14:textId="14364BBD" w:rsidR="00817824" w:rsidRPr="00B148F9" w:rsidRDefault="00817824" w:rsidP="00326CD3">
      <w:pPr>
        <w:rPr>
          <w:rFonts w:cs="Arial"/>
        </w:rPr>
      </w:pPr>
    </w:p>
    <w:p w14:paraId="5A84FE99" w14:textId="2253F293" w:rsidR="00BB75E4" w:rsidRPr="00B148F9" w:rsidRDefault="00BB75E4" w:rsidP="00BB75E4">
      <w:pPr>
        <w:rPr>
          <w:rFonts w:cs="Arial"/>
        </w:rPr>
      </w:pPr>
      <w:r w:rsidRPr="00B148F9">
        <w:rPr>
          <w:rFonts w:cs="Arial"/>
        </w:rPr>
        <w:t xml:space="preserve">The </w:t>
      </w:r>
      <w:r w:rsidR="00196B8B" w:rsidRPr="00B148F9">
        <w:rPr>
          <w:rFonts w:cs="Arial"/>
        </w:rPr>
        <w:t>Company</w:t>
      </w:r>
      <w:r w:rsidRPr="00B148F9">
        <w:rPr>
          <w:rFonts w:cs="Arial"/>
        </w:rPr>
        <w:t xml:space="preserve"> establishes valuation processes and procedures to ensure that the valuation techniques are fair and consistent, and valuation inputs are supportable. The </w:t>
      </w:r>
      <w:r w:rsidR="00196B8B" w:rsidRPr="00B148F9">
        <w:rPr>
          <w:rFonts w:cs="Arial"/>
        </w:rPr>
        <w:t>Company</w:t>
      </w:r>
      <w:r w:rsidR="000F583A" w:rsidRPr="00B148F9">
        <w:rPr>
          <w:rFonts w:cs="Arial"/>
        </w:rPr>
        <w:t xml:space="preserve"> designates the Investment Manager’s Valuation Committee to oversee the entire valuation process of the Company’s investments. The Valuation Committee comprises various members of the Investment Manager, including those separate from the Company’s portfolio management and trading functions, and reports to the Board.</w:t>
      </w:r>
      <w:r w:rsidRPr="00B148F9">
        <w:rPr>
          <w:rFonts w:cs="Arial"/>
        </w:rPr>
        <w:t xml:space="preserve"> The </w:t>
      </w:r>
      <w:r w:rsidR="000F583A" w:rsidRPr="00B148F9">
        <w:rPr>
          <w:rFonts w:cs="Arial"/>
        </w:rPr>
        <w:t>Valuation Committee</w:t>
      </w:r>
      <w:r w:rsidRPr="00B148F9">
        <w:rPr>
          <w:rFonts w:cs="Arial"/>
        </w:rPr>
        <w:t xml:space="preserve"> is responsible for developing the </w:t>
      </w:r>
      <w:r w:rsidR="00196B8B" w:rsidRPr="00B148F9">
        <w:rPr>
          <w:rFonts w:cs="Arial"/>
        </w:rPr>
        <w:t>Company</w:t>
      </w:r>
      <w:r w:rsidRPr="00B148F9">
        <w:rPr>
          <w:rFonts w:cs="Arial"/>
        </w:rPr>
        <w:t>’s written valuation processes and procedures, conducting periodic reviews of the valuation policies, and evaluating the overall fairness and consistent application of the valuation policies.</w:t>
      </w:r>
    </w:p>
    <w:p w14:paraId="1B61460F" w14:textId="77777777" w:rsidR="00BB75E4" w:rsidRPr="00B148F9" w:rsidRDefault="00BB75E4" w:rsidP="00BB75E4">
      <w:pPr>
        <w:rPr>
          <w:rFonts w:cs="Arial"/>
        </w:rPr>
      </w:pPr>
    </w:p>
    <w:p w14:paraId="0BC6A7B5" w14:textId="704B0C15" w:rsidR="00BB75E4" w:rsidRPr="00B148F9" w:rsidRDefault="000F583A" w:rsidP="00BB75E4">
      <w:pPr>
        <w:rPr>
          <w:rFonts w:cs="Arial"/>
        </w:rPr>
      </w:pPr>
      <w:r w:rsidRPr="00B148F9">
        <w:rPr>
          <w:rFonts w:cs="Arial"/>
        </w:rPr>
        <w:t xml:space="preserve">The Investment Manager’s Valuation Committee meets on a monthly basis or more frequently, as needed, to determine the valuations of the Company’s Level 3 investments. Valuations determined by the Valuation Committee </w:t>
      </w:r>
      <w:r w:rsidR="00BB75E4" w:rsidRPr="00B148F9">
        <w:rPr>
          <w:rFonts w:cs="Arial"/>
        </w:rPr>
        <w:t>are required to be supported by market data, third-party pricing sources, industry-accepted pricing models, counterparty prices or other methods the</w:t>
      </w:r>
      <w:r w:rsidR="008863F0" w:rsidRPr="00B148F9">
        <w:rPr>
          <w:rFonts w:cs="Arial"/>
        </w:rPr>
        <w:t>y deem</w:t>
      </w:r>
      <w:r w:rsidR="00BB75E4" w:rsidRPr="00B148F9">
        <w:rPr>
          <w:rFonts w:cs="Arial"/>
        </w:rPr>
        <w:t xml:space="preserve"> to be appropriate, including the use of internal proprietary pricing models</w:t>
      </w:r>
      <w:r w:rsidRPr="00B148F9">
        <w:rPr>
          <w:rFonts w:cs="Arial"/>
        </w:rPr>
        <w:t>.</w:t>
      </w:r>
    </w:p>
    <w:p w14:paraId="4000A3CE" w14:textId="77777777" w:rsidR="00BB75E4" w:rsidRPr="00B148F9" w:rsidRDefault="00BB75E4" w:rsidP="00BB75E4">
      <w:pPr>
        <w:rPr>
          <w:rFonts w:cs="Arial"/>
        </w:rPr>
      </w:pPr>
    </w:p>
    <w:p w14:paraId="1BEE4F66" w14:textId="08E4A8A3" w:rsidR="00BB75E4" w:rsidRPr="00B148F9" w:rsidRDefault="00BB75E4" w:rsidP="00BB75E4">
      <w:pPr>
        <w:rPr>
          <w:rFonts w:cs="Arial"/>
        </w:rPr>
      </w:pPr>
      <w:r w:rsidRPr="00B148F9">
        <w:rPr>
          <w:rFonts w:cs="Arial"/>
        </w:rPr>
        <w:t xml:space="preserve">The </w:t>
      </w:r>
      <w:r w:rsidR="00196B8B" w:rsidRPr="00B148F9">
        <w:rPr>
          <w:rFonts w:cs="Arial"/>
        </w:rPr>
        <w:t>Company</w:t>
      </w:r>
      <w:r w:rsidRPr="00B148F9">
        <w:rPr>
          <w:rFonts w:cs="Arial"/>
        </w:rPr>
        <w:t xml:space="preserve"> periodically tests its valuations of Level 3 investments by performing back</w:t>
      </w:r>
      <w:r w:rsidR="000513EA" w:rsidRPr="00B148F9">
        <w:rPr>
          <w:rFonts w:cs="Arial"/>
        </w:rPr>
        <w:t>-</w:t>
      </w:r>
      <w:r w:rsidRPr="00B148F9">
        <w:rPr>
          <w:rFonts w:cs="Arial"/>
        </w:rPr>
        <w:t>testing. Back</w:t>
      </w:r>
      <w:r w:rsidR="000513EA" w:rsidRPr="00B148F9">
        <w:rPr>
          <w:rFonts w:cs="Arial"/>
        </w:rPr>
        <w:t>-</w:t>
      </w:r>
      <w:r w:rsidRPr="00B148F9">
        <w:rPr>
          <w:rFonts w:cs="Arial"/>
        </w:rPr>
        <w:t>testing involves the comparison of sales proceeds of those investments to the most recent fair values reported and, if necessary, uses the findings to recalibrate its valuation procedures.</w:t>
      </w:r>
    </w:p>
    <w:p w14:paraId="37A815B9" w14:textId="77777777" w:rsidR="00BB75E4" w:rsidRPr="00B148F9" w:rsidRDefault="00BB75E4" w:rsidP="00BB75E4">
      <w:pPr>
        <w:rPr>
          <w:rFonts w:cs="Arial"/>
        </w:rPr>
      </w:pPr>
    </w:p>
    <w:p w14:paraId="5432BBD4" w14:textId="22890E08" w:rsidR="003A3294" w:rsidRPr="00B148F9" w:rsidRDefault="000F583A" w:rsidP="000F583A">
      <w:pPr>
        <w:rPr>
          <w:rFonts w:cs="Arial"/>
        </w:rPr>
      </w:pPr>
      <w:r w:rsidRPr="00B148F9">
        <w:rPr>
          <w:rFonts w:cs="Arial"/>
        </w:rPr>
        <w:t xml:space="preserve">On a regular basis, the Company engages the services of a third-party valuation firm to perform an independent review of the valuation of the Company’s Level 3 investments and may adjust its valuations based on the recommendations from the </w:t>
      </w:r>
      <w:r w:rsidR="00382CEF" w:rsidRPr="00B148F9">
        <w:rPr>
          <w:rFonts w:cs="Arial"/>
        </w:rPr>
        <w:t xml:space="preserve">Investment Manager’s </w:t>
      </w:r>
      <w:r w:rsidRPr="00B148F9">
        <w:rPr>
          <w:rFonts w:cs="Arial"/>
        </w:rPr>
        <w:t>Valuation Committee.</w:t>
      </w:r>
    </w:p>
    <w:p w14:paraId="7EEBFE40" w14:textId="1DE83E95" w:rsidR="00BA02EC" w:rsidRPr="00B148F9" w:rsidRDefault="00BA02EC" w:rsidP="000F583A">
      <w:pPr>
        <w:rPr>
          <w:rFonts w:cs="Arial"/>
        </w:rPr>
      </w:pPr>
    </w:p>
    <w:p w14:paraId="6E1BF05A" w14:textId="77777777" w:rsidR="00BA02EC" w:rsidRPr="00B148F9" w:rsidRDefault="00BA02EC" w:rsidP="00BA02EC">
      <w:pPr>
        <w:rPr>
          <w:rFonts w:cs="Arial"/>
        </w:rPr>
      </w:pPr>
      <w:r w:rsidRPr="00B148F9">
        <w:rPr>
          <w:rFonts w:cs="Arial"/>
          <w:b/>
        </w:rPr>
        <w:t>Translation of Foreign Currency</w:t>
      </w:r>
    </w:p>
    <w:p w14:paraId="40E0A2C8" w14:textId="77777777" w:rsidR="00BA02EC" w:rsidRPr="00B148F9" w:rsidRDefault="00BA02EC" w:rsidP="00BA02EC">
      <w:pPr>
        <w:rPr>
          <w:rFonts w:cs="Arial"/>
        </w:rPr>
      </w:pPr>
    </w:p>
    <w:p w14:paraId="04D1B6B1" w14:textId="77777777" w:rsidR="00BA02EC" w:rsidRPr="00B148F9" w:rsidRDefault="00BA02EC" w:rsidP="00BA02EC">
      <w:pPr>
        <w:rPr>
          <w:rFonts w:cs="Arial"/>
        </w:rPr>
      </w:pPr>
      <w:r w:rsidRPr="00B148F9">
        <w:rPr>
          <w:rFonts w:cs="Arial"/>
        </w:rPr>
        <w:t>Assets and liabilities denominated in foreign currencies are translated into United States dollar amounts at the year-end exchange rates. Transactions denominated in foreign currencies, including purchases and sales of investments, and income and expenses, are translated into United States dollar amounts on the transaction date. Adjustments arising from foreign currency transactions are reflected in the statement of operations.</w:t>
      </w:r>
    </w:p>
    <w:p w14:paraId="5326E2D0" w14:textId="315B7276" w:rsidR="00BB75E4" w:rsidRPr="00B148F9" w:rsidRDefault="00BB75E4" w:rsidP="00BB75E4">
      <w:pPr>
        <w:rPr>
          <w:rFonts w:cs="Arial"/>
        </w:rPr>
      </w:pPr>
    </w:p>
    <w:p w14:paraId="612DCEEB" w14:textId="1BA41868" w:rsidR="00BB75E4" w:rsidRPr="00251CF4" w:rsidRDefault="00BB75E4" w:rsidP="00BB75E4">
      <w:pPr>
        <w:rPr>
          <w:rFonts w:cs="Arial"/>
        </w:rPr>
      </w:pPr>
      <w:r w:rsidRPr="00B148F9">
        <w:rPr>
          <w:rFonts w:cs="Arial"/>
        </w:rPr>
        <w:lastRenderedPageBreak/>
        <w:t xml:space="preserve">The </w:t>
      </w:r>
      <w:r w:rsidR="00196B8B" w:rsidRPr="00B148F9">
        <w:rPr>
          <w:rFonts w:cs="Arial"/>
        </w:rPr>
        <w:t>Company</w:t>
      </w:r>
      <w:r w:rsidRPr="00B148F9">
        <w:rPr>
          <w:rFonts w:cs="Arial"/>
        </w:rPr>
        <w:t xml:space="preserve"> does not isolate that portion of the results of operations arising from the effect of changes in foreign exchange rates on investments from fluctuations arising from changes in market prices of investments held. Such fluctuations are included in net </w:t>
      </w:r>
      <w:r w:rsidR="003535FE" w:rsidRPr="00B148F9">
        <w:rPr>
          <w:rFonts w:cs="Arial"/>
        </w:rPr>
        <w:t>realised</w:t>
      </w:r>
      <w:r w:rsidRPr="00B148F9">
        <w:rPr>
          <w:rFonts w:cs="Arial"/>
        </w:rPr>
        <w:t xml:space="preserve"> and change in un</w:t>
      </w:r>
      <w:r w:rsidR="003535FE" w:rsidRPr="00B148F9">
        <w:rPr>
          <w:rFonts w:cs="Arial"/>
        </w:rPr>
        <w:t>realised</w:t>
      </w:r>
      <w:r w:rsidRPr="00B148F9">
        <w:rPr>
          <w:rFonts w:cs="Arial"/>
        </w:rPr>
        <w:t xml:space="preserve"> gain on </w:t>
      </w:r>
      <w:r w:rsidR="00C0544E">
        <w:rPr>
          <w:rFonts w:cs="Arial"/>
        </w:rPr>
        <w:t>securities</w:t>
      </w:r>
      <w:r w:rsidRPr="00251CF4">
        <w:rPr>
          <w:rFonts w:cs="Arial"/>
        </w:rPr>
        <w:t>, derivatives and foreign currency transactions in the statement of operations.</w:t>
      </w:r>
    </w:p>
    <w:p w14:paraId="287E82E1" w14:textId="77777777" w:rsidR="00BB75E4" w:rsidRPr="00B148F9" w:rsidRDefault="00BB75E4" w:rsidP="00BB75E4">
      <w:pPr>
        <w:rPr>
          <w:rFonts w:cs="Arial"/>
        </w:rPr>
      </w:pPr>
    </w:p>
    <w:p w14:paraId="0662AEE9" w14:textId="4BBCE5D4" w:rsidR="00BB75E4" w:rsidRPr="00B148F9" w:rsidRDefault="00BB75E4" w:rsidP="00BB75E4">
      <w:pPr>
        <w:rPr>
          <w:rFonts w:cs="Arial"/>
        </w:rPr>
      </w:pPr>
      <w:r w:rsidRPr="00B148F9">
        <w:rPr>
          <w:rFonts w:cs="Arial"/>
        </w:rPr>
        <w:t xml:space="preserve">Reported net </w:t>
      </w:r>
      <w:r w:rsidR="003535FE" w:rsidRPr="00B148F9">
        <w:rPr>
          <w:rFonts w:cs="Arial"/>
        </w:rPr>
        <w:t>realised</w:t>
      </w:r>
      <w:r w:rsidRPr="00B148F9">
        <w:rPr>
          <w:rFonts w:cs="Arial"/>
        </w:rPr>
        <w:t xml:space="preserve"> gain (loss) from foreign currency transactions arise from sales of foreign currencies; currency gains or losses </w:t>
      </w:r>
      <w:r w:rsidR="003535FE" w:rsidRPr="00B148F9">
        <w:rPr>
          <w:rFonts w:cs="Arial"/>
        </w:rPr>
        <w:t>realised</w:t>
      </w:r>
      <w:r w:rsidRPr="00B148F9">
        <w:rPr>
          <w:rFonts w:cs="Arial"/>
        </w:rPr>
        <w:t xml:space="preserve"> between the trade and settlement dates on securities transactions; and the difference between the amounts of dividends, interest, and foreign withholding taxes recorded on the </w:t>
      </w:r>
      <w:r w:rsidR="00196B8B" w:rsidRPr="00B148F9">
        <w:rPr>
          <w:rFonts w:cs="Arial"/>
        </w:rPr>
        <w:t>Company</w:t>
      </w:r>
      <w:r w:rsidRPr="00B148F9">
        <w:rPr>
          <w:rFonts w:cs="Arial"/>
        </w:rPr>
        <w:t>’s books and the U.S. dollar equivalent of the amounts actually received or paid.</w:t>
      </w:r>
    </w:p>
    <w:p w14:paraId="3565EDB7" w14:textId="7E8D5C95" w:rsidR="00BA600F" w:rsidRPr="00B148F9" w:rsidRDefault="00BA600F" w:rsidP="00BB75E4">
      <w:pPr>
        <w:rPr>
          <w:rFonts w:cs="Arial"/>
        </w:rPr>
      </w:pPr>
    </w:p>
    <w:p w14:paraId="16EC99DD" w14:textId="26E79EFE" w:rsidR="00817824" w:rsidRPr="00B148F9" w:rsidRDefault="00817824" w:rsidP="00817824">
      <w:pPr>
        <w:rPr>
          <w:rFonts w:cs="Arial"/>
        </w:rPr>
      </w:pPr>
      <w:r w:rsidRPr="00B148F9">
        <w:rPr>
          <w:rFonts w:cs="Arial"/>
        </w:rPr>
        <w:t>Net change in un</w:t>
      </w:r>
      <w:r w:rsidR="003535FE" w:rsidRPr="00B148F9">
        <w:rPr>
          <w:rFonts w:cs="Arial"/>
        </w:rPr>
        <w:t>realised</w:t>
      </w:r>
      <w:r w:rsidRPr="00B148F9">
        <w:rPr>
          <w:rFonts w:cs="Arial"/>
        </w:rPr>
        <w:t xml:space="preserve"> </w:t>
      </w:r>
      <w:r w:rsidR="003A034F" w:rsidRPr="00B148F9">
        <w:rPr>
          <w:rFonts w:cs="Arial"/>
        </w:rPr>
        <w:t>appreciation</w:t>
      </w:r>
      <w:r w:rsidRPr="00B148F9">
        <w:rPr>
          <w:rFonts w:cs="Arial"/>
        </w:rPr>
        <w:t xml:space="preserve"> on </w:t>
      </w:r>
      <w:r w:rsidR="003A034F" w:rsidRPr="00B148F9">
        <w:rPr>
          <w:rFonts w:cs="Arial"/>
        </w:rPr>
        <w:t xml:space="preserve">translation </w:t>
      </w:r>
      <w:r w:rsidRPr="00B148F9">
        <w:rPr>
          <w:rFonts w:cs="Arial"/>
        </w:rPr>
        <w:t>of assets and liabilities in foreign currencies arise</w:t>
      </w:r>
      <w:r w:rsidR="000513EA" w:rsidRPr="00B148F9">
        <w:rPr>
          <w:rFonts w:cs="Arial"/>
        </w:rPr>
        <w:t>s</w:t>
      </w:r>
      <w:r w:rsidRPr="00B148F9">
        <w:rPr>
          <w:rFonts w:cs="Arial"/>
        </w:rPr>
        <w:t xml:space="preserve"> from changes in the fair values of assets and liabilities, other than investments in securities at the end of the period, resulting from changes in exchanges rates.</w:t>
      </w:r>
    </w:p>
    <w:p w14:paraId="59014348" w14:textId="32C8B4DA" w:rsidR="00925737" w:rsidRPr="00B148F9" w:rsidRDefault="00925737" w:rsidP="00817824">
      <w:pPr>
        <w:rPr>
          <w:rFonts w:cs="Arial"/>
        </w:rPr>
      </w:pPr>
    </w:p>
    <w:p w14:paraId="63AD15E3" w14:textId="77777777" w:rsidR="000F583A" w:rsidRPr="00B148F9" w:rsidRDefault="000F583A" w:rsidP="000F583A">
      <w:pPr>
        <w:rPr>
          <w:rFonts w:cs="Arial"/>
          <w:b/>
        </w:rPr>
      </w:pPr>
      <w:r w:rsidRPr="00B148F9">
        <w:rPr>
          <w:rFonts w:cs="Arial"/>
          <w:b/>
        </w:rPr>
        <w:t>Investment Transactions and Related Investment Income</w:t>
      </w:r>
    </w:p>
    <w:p w14:paraId="022D896C" w14:textId="77777777" w:rsidR="000F583A" w:rsidRPr="00B148F9" w:rsidRDefault="000F583A" w:rsidP="000F583A">
      <w:pPr>
        <w:rPr>
          <w:rFonts w:cs="Arial"/>
          <w:b/>
        </w:rPr>
      </w:pPr>
    </w:p>
    <w:p w14:paraId="27FDB38D" w14:textId="77777777" w:rsidR="000F583A" w:rsidRPr="00B148F9" w:rsidRDefault="000F583A" w:rsidP="000F583A">
      <w:pPr>
        <w:rPr>
          <w:rFonts w:cs="Arial"/>
        </w:rPr>
      </w:pPr>
      <w:r w:rsidRPr="00B148F9">
        <w:rPr>
          <w:rFonts w:cs="Arial"/>
        </w:rPr>
        <w:t>Investment transactions are accounted for on a trade date basis. Realised gains and losses on investment transactions are determined using cost calculated on first in, first out basis. Dividends are recorded on the ex-dividend date and interest is recognized on the accrual basis. Withholding taxes on foreign dividends have been provided for in accordance with the Company's understanding of the applicable country's rules and rates.</w:t>
      </w:r>
    </w:p>
    <w:p w14:paraId="391A3BA9" w14:textId="77777777" w:rsidR="000F583A" w:rsidRPr="00B148F9" w:rsidRDefault="000F583A" w:rsidP="00846125">
      <w:pPr>
        <w:rPr>
          <w:rFonts w:cs="Arial"/>
          <w:b/>
        </w:rPr>
      </w:pPr>
    </w:p>
    <w:p w14:paraId="127AE10F" w14:textId="27B07F8E" w:rsidR="00846125" w:rsidRPr="00B148F9" w:rsidRDefault="00846125" w:rsidP="00846125">
      <w:pPr>
        <w:rPr>
          <w:rFonts w:cs="Arial"/>
          <w:b/>
        </w:rPr>
      </w:pPr>
      <w:r w:rsidRPr="00B148F9">
        <w:rPr>
          <w:rFonts w:cs="Arial"/>
          <w:b/>
        </w:rPr>
        <w:t>Offsetting of Amounts Related to Certain Contracts</w:t>
      </w:r>
    </w:p>
    <w:p w14:paraId="08377758" w14:textId="77777777" w:rsidR="00846125" w:rsidRPr="00B148F9" w:rsidRDefault="00846125" w:rsidP="00846125">
      <w:pPr>
        <w:rPr>
          <w:rFonts w:cs="Arial"/>
          <w:b/>
        </w:rPr>
      </w:pPr>
    </w:p>
    <w:p w14:paraId="422A5CDF" w14:textId="553C7BE8" w:rsidR="00846125" w:rsidRPr="00B148F9" w:rsidRDefault="00846125" w:rsidP="00846125">
      <w:pPr>
        <w:rPr>
          <w:rFonts w:cs="Arial"/>
        </w:rPr>
      </w:pPr>
      <w:r w:rsidRPr="00B148F9">
        <w:rPr>
          <w:rFonts w:cs="Arial"/>
        </w:rPr>
        <w:t xml:space="preserve">Amounts due from and to brokers are presented on a net basis, by counterparty, to the extent the </w:t>
      </w:r>
      <w:r w:rsidR="00196B8B" w:rsidRPr="00B148F9">
        <w:rPr>
          <w:rFonts w:cs="Arial"/>
        </w:rPr>
        <w:t>Company</w:t>
      </w:r>
      <w:r w:rsidRPr="00B148F9">
        <w:rPr>
          <w:rFonts w:cs="Arial"/>
        </w:rPr>
        <w:t xml:space="preserve"> has the legal right to offset the recognized amounts and intends to settle on a net basis.</w:t>
      </w:r>
    </w:p>
    <w:p w14:paraId="5B4D8CDB" w14:textId="77777777" w:rsidR="00846125" w:rsidRPr="00B148F9" w:rsidRDefault="00846125" w:rsidP="00846125">
      <w:pPr>
        <w:rPr>
          <w:rFonts w:cs="Arial"/>
        </w:rPr>
      </w:pPr>
    </w:p>
    <w:p w14:paraId="08A8A3C6" w14:textId="06C6C590" w:rsidR="00D97A7B" w:rsidRPr="00B148F9" w:rsidRDefault="00846125" w:rsidP="00846125">
      <w:pPr>
        <w:rPr>
          <w:rFonts w:cs="Arial"/>
        </w:rPr>
      </w:pPr>
      <w:r w:rsidRPr="00B148F9">
        <w:rPr>
          <w:rFonts w:cs="Arial"/>
        </w:rPr>
        <w:t xml:space="preserve">The </w:t>
      </w:r>
      <w:r w:rsidR="00196B8B" w:rsidRPr="00B148F9">
        <w:rPr>
          <w:rFonts w:cs="Arial"/>
        </w:rPr>
        <w:t>Company</w:t>
      </w:r>
      <w:r w:rsidRPr="00B148F9">
        <w:rPr>
          <w:rFonts w:cs="Arial"/>
        </w:rPr>
        <w:t xml:space="preserve"> has elected not to offset fair value amounts recognized for cash collateral receivables and payables against fair value amounts recognized for derivative positions executed with the same counterparty under the same master netting a</w:t>
      </w:r>
      <w:r w:rsidR="000965FB" w:rsidRPr="00B148F9">
        <w:rPr>
          <w:rFonts w:cs="Arial"/>
        </w:rPr>
        <w:t xml:space="preserve">rrangement. At </w:t>
      </w:r>
      <w:r w:rsidR="00BE3B5C" w:rsidRPr="00B148F9">
        <w:rPr>
          <w:rFonts w:cs="Arial"/>
        </w:rPr>
        <w:t xml:space="preserve">31 </w:t>
      </w:r>
      <w:r w:rsidR="000965FB" w:rsidRPr="00B148F9">
        <w:rPr>
          <w:rFonts w:cs="Arial"/>
        </w:rPr>
        <w:t>December 2019</w:t>
      </w:r>
      <w:r w:rsidRPr="00B148F9">
        <w:rPr>
          <w:rFonts w:cs="Arial"/>
        </w:rPr>
        <w:t xml:space="preserve">, the </w:t>
      </w:r>
      <w:r w:rsidR="00196B8B" w:rsidRPr="00B148F9">
        <w:rPr>
          <w:rFonts w:cs="Arial"/>
        </w:rPr>
        <w:t>Company</w:t>
      </w:r>
      <w:r w:rsidRPr="00B148F9">
        <w:rPr>
          <w:rFonts w:cs="Arial"/>
        </w:rPr>
        <w:t xml:space="preserve"> had cash collateral receivables of </w:t>
      </w:r>
      <w:r w:rsidR="00BE05D5" w:rsidRPr="00B148F9">
        <w:rPr>
          <w:rFonts w:cs="Arial"/>
        </w:rPr>
        <w:t>US$</w:t>
      </w:r>
      <w:r w:rsidR="00074388" w:rsidRPr="00B148F9">
        <w:rPr>
          <w:rFonts w:cs="Arial"/>
        </w:rPr>
        <w:t xml:space="preserve">1.9 million </w:t>
      </w:r>
      <w:r w:rsidRPr="00B148F9">
        <w:rPr>
          <w:rFonts w:cs="Arial"/>
        </w:rPr>
        <w:t>with derivative counterparties under the same master netting arrangement.</w:t>
      </w:r>
    </w:p>
    <w:p w14:paraId="1295E17C" w14:textId="2B99DC67" w:rsidR="00E65118" w:rsidRPr="00B148F9" w:rsidRDefault="00E65118" w:rsidP="00846125">
      <w:pPr>
        <w:rPr>
          <w:rFonts w:cs="Arial"/>
        </w:rPr>
      </w:pPr>
    </w:p>
    <w:p w14:paraId="695D0961" w14:textId="77777777" w:rsidR="00BA02EC" w:rsidRPr="00B148F9" w:rsidRDefault="00BA02EC" w:rsidP="00BA02EC">
      <w:pPr>
        <w:rPr>
          <w:rFonts w:cs="Arial"/>
          <w:b/>
        </w:rPr>
      </w:pPr>
      <w:r w:rsidRPr="00B148F9">
        <w:rPr>
          <w:rFonts w:cs="Arial"/>
          <w:b/>
        </w:rPr>
        <w:t>Income Taxes</w:t>
      </w:r>
    </w:p>
    <w:p w14:paraId="313DB7AA" w14:textId="77777777" w:rsidR="00BA02EC" w:rsidRPr="00B148F9" w:rsidRDefault="00BA02EC" w:rsidP="00BA02EC">
      <w:pPr>
        <w:rPr>
          <w:rFonts w:cs="Arial"/>
        </w:rPr>
      </w:pPr>
    </w:p>
    <w:p w14:paraId="27BBBE0A" w14:textId="77777777" w:rsidR="00BA02EC" w:rsidRPr="00B148F9" w:rsidRDefault="00BA02EC" w:rsidP="00BA02EC">
      <w:pPr>
        <w:rPr>
          <w:rFonts w:cs="Arial"/>
        </w:rPr>
      </w:pPr>
      <w:r w:rsidRPr="00B148F9">
        <w:rPr>
          <w:rFonts w:cs="Arial"/>
        </w:rPr>
        <w:t>The Company is exempt from taxation in Guernsey and is charged an annual exemption fee of £1,200. The Company will only be liable to tax in Guernsey in respect of income arising or accruing from a Guernsey source, other than from a relevant bank deposit. It is not anticipated that such Guernsey source taxable income will arise.</w:t>
      </w:r>
    </w:p>
    <w:p w14:paraId="687651D5" w14:textId="77777777" w:rsidR="00BA02EC" w:rsidRPr="00B148F9" w:rsidRDefault="00BA02EC" w:rsidP="00BA02EC">
      <w:pPr>
        <w:rPr>
          <w:rFonts w:cs="Arial"/>
        </w:rPr>
      </w:pPr>
    </w:p>
    <w:p w14:paraId="1E2E4E2B" w14:textId="77777777" w:rsidR="00BA02EC" w:rsidRPr="00B148F9" w:rsidRDefault="00BA02EC" w:rsidP="00BA02EC">
      <w:pPr>
        <w:autoSpaceDE w:val="0"/>
        <w:autoSpaceDN w:val="0"/>
        <w:adjustRightInd w:val="0"/>
        <w:rPr>
          <w:rFonts w:cs="AvenirNextLTPro-Regular"/>
        </w:rPr>
      </w:pPr>
      <w:r w:rsidRPr="00B148F9">
        <w:rPr>
          <w:rFonts w:cs="AvenirNextLTPro-Regular"/>
        </w:rPr>
        <w:t>The Company is managed so as not to be resident in the UK for UK tax purposes and as a foreign limited partnership for US tax purposes and provides full tax reporting for its US shareholders.</w:t>
      </w:r>
    </w:p>
    <w:p w14:paraId="3A9CC5DC" w14:textId="1C42E79F" w:rsidR="00846125" w:rsidRPr="00B148F9" w:rsidRDefault="00846125" w:rsidP="00846125">
      <w:pPr>
        <w:rPr>
          <w:rFonts w:cs="Arial"/>
        </w:rPr>
      </w:pPr>
    </w:p>
    <w:p w14:paraId="15BBF325" w14:textId="75E6DC27" w:rsidR="0020280D" w:rsidRPr="00B148F9" w:rsidRDefault="0020280D" w:rsidP="0020280D">
      <w:pPr>
        <w:autoSpaceDE w:val="0"/>
        <w:autoSpaceDN w:val="0"/>
        <w:adjustRightInd w:val="0"/>
        <w:rPr>
          <w:rFonts w:cs="AvenirNextLTPro-Regular"/>
        </w:rPr>
      </w:pPr>
      <w:r w:rsidRPr="00B148F9">
        <w:rPr>
          <w:rFonts w:cs="AvenirNextLTPro-Regular"/>
        </w:rPr>
        <w:t>The Company recognises tax benefits of uncertain tax positions only where the position is more likely than not to be sustained assuming examination by a tax authority based on the technical merits of the position. In evaluating whether a tax position has met the recognition threshold, the Company must presume the position will be examined by the appropriate taxing authority and that taxing authority has full knowledge of all relevant information. A tax position meeting the more likely than not recognition threshold is measured to determine the amount of benefit to recognise in the Company’s financial statements. Income tax and related interest and penalties would be recognised as tax expense in the statement of operations if the tax position was deemed to meet the more likely than not threshold.</w:t>
      </w:r>
    </w:p>
    <w:p w14:paraId="3498A979" w14:textId="4F74AB53" w:rsidR="0020280D" w:rsidRPr="00B148F9" w:rsidRDefault="0020280D" w:rsidP="0020280D">
      <w:pPr>
        <w:autoSpaceDE w:val="0"/>
        <w:autoSpaceDN w:val="0"/>
        <w:adjustRightInd w:val="0"/>
        <w:rPr>
          <w:rFonts w:cs="AvenirNextLTPro-Regular"/>
        </w:rPr>
      </w:pPr>
    </w:p>
    <w:p w14:paraId="49DD5C2E" w14:textId="0A0055A9" w:rsidR="0020280D" w:rsidRPr="00B148F9" w:rsidRDefault="0020280D" w:rsidP="0020280D">
      <w:pPr>
        <w:autoSpaceDE w:val="0"/>
        <w:autoSpaceDN w:val="0"/>
        <w:adjustRightInd w:val="0"/>
        <w:rPr>
          <w:rFonts w:cs="AvenirNextLTPro-Regular"/>
        </w:rPr>
      </w:pPr>
      <w:r w:rsidRPr="00B148F9">
        <w:rPr>
          <w:rFonts w:cs="AvenirNextLTPro-Regular"/>
        </w:rPr>
        <w:t>The Investment Manager has analysed the Company’s tax positions and has concluded no liability for unrecognised tax benefits should be recorded related to uncertain tax positions. Further, management is not aware of any tax positions for which it is reasonably possible the total amounts of unrecognised tax benefits will significantly change in the next twelve months.</w:t>
      </w:r>
    </w:p>
    <w:p w14:paraId="49E2DA02" w14:textId="4AB79A67" w:rsidR="00D25B6E" w:rsidRPr="00B148F9" w:rsidRDefault="00D25B6E" w:rsidP="0020280D">
      <w:pPr>
        <w:autoSpaceDE w:val="0"/>
        <w:autoSpaceDN w:val="0"/>
        <w:adjustRightInd w:val="0"/>
        <w:rPr>
          <w:rFonts w:cs="AvenirNextLTPro-Regular"/>
        </w:rPr>
      </w:pPr>
    </w:p>
    <w:p w14:paraId="64537686" w14:textId="7930D8D6" w:rsidR="00D25B6E" w:rsidRPr="00B148F9" w:rsidRDefault="00D25B6E" w:rsidP="00D25B6E">
      <w:pPr>
        <w:autoSpaceDE w:val="0"/>
        <w:autoSpaceDN w:val="0"/>
        <w:adjustRightInd w:val="0"/>
        <w:rPr>
          <w:rFonts w:cs="AvenirNextLTPro-Regular"/>
        </w:rPr>
      </w:pPr>
      <w:r w:rsidRPr="00B148F9">
        <w:rPr>
          <w:rFonts w:cs="AvenirNextLTPro-Regular"/>
        </w:rPr>
        <w:t>Prior to re-domiciliation the Company did not record a provision for US federal, state, or local income taxes because the participating members reported their share of the Company's income or loss on their income tax returns. The Company filed an income tax return in the US federal jurisdiction, and may have filed income tax returns in various US states and foreign jurisdictions. Generally, the Company was subject to income tax examinations by major taxing authorities for the tax period since inception. Based on its analysis, the Company determined that it had not incurred any liability for unrecognized tax benefits as of 31 December 2018</w:t>
      </w:r>
      <w:r w:rsidR="00382CEF" w:rsidRPr="00B148F9">
        <w:rPr>
          <w:rFonts w:cs="AvenirNextLTPro-Regular"/>
        </w:rPr>
        <w:t xml:space="preserve"> or 31 December 2019</w:t>
      </w:r>
      <w:r w:rsidRPr="00B148F9">
        <w:rPr>
          <w:rFonts w:cs="AvenirNextLTPro-Regular"/>
        </w:rPr>
        <w:t>.</w:t>
      </w:r>
    </w:p>
    <w:p w14:paraId="5F5A42FF" w14:textId="62202BB2" w:rsidR="00D97A7B" w:rsidRPr="00B148F9" w:rsidRDefault="00D97A7B" w:rsidP="00326CD3">
      <w:pPr>
        <w:rPr>
          <w:rFonts w:cs="Arial"/>
        </w:rPr>
      </w:pPr>
    </w:p>
    <w:p w14:paraId="69E86AA8" w14:textId="6DF54D69" w:rsidR="00846125" w:rsidRPr="00B148F9" w:rsidRDefault="00846125" w:rsidP="00846125">
      <w:pPr>
        <w:rPr>
          <w:rFonts w:cs="Arial"/>
          <w:b/>
        </w:rPr>
      </w:pPr>
      <w:r w:rsidRPr="00B148F9">
        <w:rPr>
          <w:rFonts w:cs="Arial"/>
          <w:b/>
        </w:rPr>
        <w:t>Use of Estimates</w:t>
      </w:r>
    </w:p>
    <w:p w14:paraId="6190462B" w14:textId="77777777" w:rsidR="00846125" w:rsidRPr="00B148F9" w:rsidRDefault="00846125" w:rsidP="00846125">
      <w:pPr>
        <w:rPr>
          <w:rFonts w:cs="Arial"/>
          <w:b/>
        </w:rPr>
      </w:pPr>
    </w:p>
    <w:p w14:paraId="5B517F40" w14:textId="00DF29D9" w:rsidR="00D97A7B" w:rsidRPr="00B148F9" w:rsidRDefault="00846125" w:rsidP="00846125">
      <w:pPr>
        <w:rPr>
          <w:rFonts w:cs="Arial"/>
        </w:rPr>
      </w:pPr>
      <w:r w:rsidRPr="00B148F9">
        <w:rPr>
          <w:rFonts w:cs="Arial"/>
        </w:rPr>
        <w:t xml:space="preserve">Preparing financial statements in accordance with </w:t>
      </w:r>
      <w:r w:rsidR="00C41915" w:rsidRPr="00B148F9">
        <w:rPr>
          <w:rFonts w:cs="Arial"/>
        </w:rPr>
        <w:t xml:space="preserve">US </w:t>
      </w:r>
      <w:r w:rsidRPr="00B148F9">
        <w:rPr>
          <w:rFonts w:cs="Arial"/>
        </w:rPr>
        <w:t>GAAP requires management to make estimates and assumptions in determining the reported amounts of assets and liabilities, including the fair value of investments, and disclosure of contingent assets and liabilities as of the date of the financial statements and the reported amounts of income and expenses during the reporting period. Actual results could differ from those estimates.</w:t>
      </w:r>
    </w:p>
    <w:p w14:paraId="0C552ACC" w14:textId="48280481" w:rsidR="00E65118" w:rsidRPr="00B148F9" w:rsidRDefault="00E65118" w:rsidP="00846125">
      <w:pPr>
        <w:rPr>
          <w:rFonts w:cs="Arial"/>
        </w:rPr>
      </w:pPr>
    </w:p>
    <w:p w14:paraId="4241B309" w14:textId="28FAA772" w:rsidR="00382CEF" w:rsidRPr="00B148F9" w:rsidRDefault="00382CEF" w:rsidP="00846125">
      <w:pPr>
        <w:rPr>
          <w:rFonts w:cs="Arial"/>
          <w:b/>
        </w:rPr>
      </w:pPr>
      <w:r w:rsidRPr="00B148F9">
        <w:rPr>
          <w:rFonts w:cs="Arial"/>
          <w:b/>
        </w:rPr>
        <w:t>New Accounting Pronouncements</w:t>
      </w:r>
    </w:p>
    <w:p w14:paraId="32F67CE2" w14:textId="339876DA" w:rsidR="00382CEF" w:rsidRPr="00B148F9" w:rsidRDefault="00382CEF" w:rsidP="00846125">
      <w:pPr>
        <w:rPr>
          <w:rFonts w:cs="Arial"/>
        </w:rPr>
      </w:pPr>
    </w:p>
    <w:p w14:paraId="7B145F23" w14:textId="14AB532C" w:rsidR="00382CEF" w:rsidRPr="00B148F9" w:rsidRDefault="00382CEF" w:rsidP="00382CEF">
      <w:pPr>
        <w:rPr>
          <w:rFonts w:cs="Arial"/>
        </w:rPr>
      </w:pPr>
      <w:r w:rsidRPr="00B148F9">
        <w:rPr>
          <w:rFonts w:cs="Arial"/>
        </w:rPr>
        <w:t>In November 2016, the FASB issued ASU 2016-18, Stat</w:t>
      </w:r>
      <w:r w:rsidR="00BA02EC" w:rsidRPr="00B148F9">
        <w:rPr>
          <w:rFonts w:cs="Arial"/>
        </w:rPr>
        <w:t xml:space="preserve">ement of Cash Flows (Topic 230) </w:t>
      </w:r>
      <w:r w:rsidRPr="00B148F9">
        <w:rPr>
          <w:rFonts w:cs="Arial"/>
        </w:rPr>
        <w:t>-- Restricted Cash,</w:t>
      </w:r>
      <w:r w:rsidR="00BA02EC" w:rsidRPr="00B148F9">
        <w:rPr>
          <w:rFonts w:cs="Arial"/>
        </w:rPr>
        <w:t xml:space="preserve"> </w:t>
      </w:r>
      <w:r w:rsidRPr="00B148F9">
        <w:rPr>
          <w:rFonts w:cs="Arial"/>
        </w:rPr>
        <w:t>which requires the statement of cash flows to explain the change during the period in the total of cash and</w:t>
      </w:r>
      <w:r w:rsidR="00BA02EC" w:rsidRPr="00B148F9">
        <w:rPr>
          <w:rFonts w:cs="Arial"/>
        </w:rPr>
        <w:t xml:space="preserve"> </w:t>
      </w:r>
      <w:r w:rsidRPr="00B148F9">
        <w:rPr>
          <w:rFonts w:cs="Arial"/>
        </w:rPr>
        <w:t xml:space="preserve">amounts generally described as restricted cash. Therefore, amounts generally described as restricted cash should be included with cash when reconciling the beginning-of-period and end-of-period total amounts shown on the statement of cash flows. The Company adopted ASU 2016-18 on a retrospective basis as of </w:t>
      </w:r>
      <w:r w:rsidR="00BA02EC" w:rsidRPr="00B148F9">
        <w:rPr>
          <w:rFonts w:cs="Arial"/>
        </w:rPr>
        <w:t xml:space="preserve">1 January </w:t>
      </w:r>
      <w:r w:rsidRPr="00B148F9">
        <w:rPr>
          <w:rFonts w:cs="Arial"/>
        </w:rPr>
        <w:t>2019. The effects of adopting this accounting guidance resulted in the reclassification of restricted cash on the statement of cash flows and the addition of disclosures regarding the nature of the restrictions on restricted cash.</w:t>
      </w:r>
    </w:p>
    <w:p w14:paraId="1EC8C9E6" w14:textId="4E7760C2" w:rsidR="00E65118" w:rsidRPr="00B148F9" w:rsidRDefault="00E65118" w:rsidP="00846125">
      <w:pPr>
        <w:rPr>
          <w:rFonts w:cs="Arial"/>
        </w:rPr>
      </w:pPr>
    </w:p>
    <w:p w14:paraId="0DFD5BFF" w14:textId="5FF07638" w:rsidR="00D97A7B" w:rsidRPr="00B148F9" w:rsidRDefault="00D81F9B" w:rsidP="001251FE">
      <w:pPr>
        <w:pStyle w:val="Heading1"/>
        <w:ind w:left="284" w:hanging="284"/>
        <w:jc w:val="left"/>
        <w:rPr>
          <w:sz w:val="20"/>
        </w:rPr>
      </w:pPr>
      <w:r w:rsidRPr="00B148F9">
        <w:rPr>
          <w:rFonts w:cs="Arial"/>
          <w:sz w:val="20"/>
        </w:rPr>
        <w:t xml:space="preserve">2. </w:t>
      </w:r>
      <w:r w:rsidR="00846125" w:rsidRPr="00B148F9">
        <w:rPr>
          <w:sz w:val="20"/>
        </w:rPr>
        <w:t>Fair Value measurements</w:t>
      </w:r>
    </w:p>
    <w:p w14:paraId="043AA015" w14:textId="25D014DD" w:rsidR="00846125" w:rsidRPr="00B148F9" w:rsidRDefault="00846125" w:rsidP="00913AEB">
      <w:pPr>
        <w:tabs>
          <w:tab w:val="left" w:pos="426"/>
          <w:tab w:val="left" w:pos="2160"/>
        </w:tabs>
        <w:rPr>
          <w:rFonts w:cs="Arial"/>
          <w:b/>
        </w:rPr>
      </w:pPr>
    </w:p>
    <w:p w14:paraId="7C6A3919" w14:textId="148A4ED7" w:rsidR="00496748" w:rsidRPr="00B148F9" w:rsidRDefault="00496748" w:rsidP="00496748">
      <w:pPr>
        <w:tabs>
          <w:tab w:val="left" w:pos="426"/>
          <w:tab w:val="left" w:pos="2160"/>
        </w:tabs>
        <w:rPr>
          <w:rFonts w:cs="Arial"/>
        </w:rPr>
      </w:pPr>
      <w:r w:rsidRPr="00B148F9">
        <w:rPr>
          <w:rFonts w:cs="Arial"/>
        </w:rPr>
        <w:t xml:space="preserve">The </w:t>
      </w:r>
      <w:r w:rsidR="00196B8B" w:rsidRPr="00B148F9">
        <w:rPr>
          <w:rFonts w:cs="Arial"/>
        </w:rPr>
        <w:t>Company</w:t>
      </w:r>
      <w:r w:rsidRPr="00B148F9">
        <w:rPr>
          <w:rFonts w:cs="Arial"/>
        </w:rPr>
        <w:t xml:space="preserve">’s assets and liabilities recorded at fair value have been categorized based upon a fair value hierarchy as described in the </w:t>
      </w:r>
      <w:r w:rsidR="00196B8B" w:rsidRPr="00B148F9">
        <w:rPr>
          <w:rFonts w:cs="Arial"/>
        </w:rPr>
        <w:t>Company</w:t>
      </w:r>
      <w:r w:rsidRPr="00B148F9">
        <w:rPr>
          <w:rFonts w:cs="Arial"/>
        </w:rPr>
        <w:t>’s significant accounting policies in Note 1.</w:t>
      </w:r>
    </w:p>
    <w:p w14:paraId="17D5B21C" w14:textId="77777777" w:rsidR="00817824" w:rsidRPr="00B148F9" w:rsidRDefault="00817824" w:rsidP="00913AEB">
      <w:pPr>
        <w:tabs>
          <w:tab w:val="left" w:pos="426"/>
          <w:tab w:val="left" w:pos="2160"/>
        </w:tabs>
        <w:rPr>
          <w:rFonts w:cs="Arial"/>
        </w:rPr>
      </w:pPr>
    </w:p>
    <w:p w14:paraId="3ABD2712" w14:textId="4FFBB536" w:rsidR="00846125" w:rsidRPr="00B148F9" w:rsidRDefault="00496748" w:rsidP="00913AEB">
      <w:pPr>
        <w:tabs>
          <w:tab w:val="left" w:pos="426"/>
          <w:tab w:val="left" w:pos="2160"/>
        </w:tabs>
        <w:rPr>
          <w:rFonts w:cs="Arial"/>
        </w:rPr>
      </w:pPr>
      <w:r w:rsidRPr="00B148F9">
        <w:rPr>
          <w:rFonts w:cs="Arial"/>
        </w:rPr>
        <w:t xml:space="preserve">The following table presents information about the </w:t>
      </w:r>
      <w:r w:rsidR="00196B8B" w:rsidRPr="00B148F9">
        <w:rPr>
          <w:rFonts w:cs="Arial"/>
        </w:rPr>
        <w:t>Company</w:t>
      </w:r>
      <w:r w:rsidRPr="00B148F9">
        <w:rPr>
          <w:rFonts w:cs="Arial"/>
        </w:rPr>
        <w:t xml:space="preserve">’s assets and liabilities measured at fair value as of </w:t>
      </w:r>
      <w:r w:rsidR="00BE3B5C" w:rsidRPr="00B148F9">
        <w:rPr>
          <w:rFonts w:cs="Arial"/>
        </w:rPr>
        <w:t xml:space="preserve">31 </w:t>
      </w:r>
      <w:r w:rsidRPr="00B148F9">
        <w:rPr>
          <w:rFonts w:cs="Arial"/>
        </w:rPr>
        <w:t>December 2019:</w:t>
      </w:r>
    </w:p>
    <w:p w14:paraId="6BB5024F" w14:textId="006A4A85" w:rsidR="00496748" w:rsidRPr="00B148F9" w:rsidRDefault="00496748" w:rsidP="00913AEB">
      <w:pPr>
        <w:tabs>
          <w:tab w:val="left" w:pos="426"/>
          <w:tab w:val="left" w:pos="2160"/>
        </w:tabs>
        <w:rPr>
          <w:rFonts w:cs="Aria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
        <w:gridCol w:w="3146"/>
        <w:gridCol w:w="1560"/>
        <w:gridCol w:w="1701"/>
        <w:gridCol w:w="1701"/>
        <w:gridCol w:w="1559"/>
      </w:tblGrid>
      <w:tr w:rsidR="00D25B6E" w:rsidRPr="00B148F9" w14:paraId="56FDB525" w14:textId="77777777" w:rsidTr="00EE53BF">
        <w:tc>
          <w:tcPr>
            <w:tcW w:w="256" w:type="dxa"/>
          </w:tcPr>
          <w:p w14:paraId="7A814EDF" w14:textId="77777777" w:rsidR="001A58F9" w:rsidRPr="00B148F9" w:rsidRDefault="001A58F9" w:rsidP="00496748">
            <w:pPr>
              <w:tabs>
                <w:tab w:val="left" w:pos="426"/>
                <w:tab w:val="left" w:pos="2160"/>
              </w:tabs>
              <w:rPr>
                <w:rFonts w:cs="Arial"/>
              </w:rPr>
            </w:pPr>
          </w:p>
        </w:tc>
        <w:tc>
          <w:tcPr>
            <w:tcW w:w="3146" w:type="dxa"/>
          </w:tcPr>
          <w:p w14:paraId="4DBBAF88" w14:textId="77777777" w:rsidR="001A58F9" w:rsidRPr="00B148F9" w:rsidRDefault="001A58F9" w:rsidP="00496748">
            <w:pPr>
              <w:tabs>
                <w:tab w:val="left" w:pos="426"/>
                <w:tab w:val="left" w:pos="2160"/>
              </w:tabs>
              <w:rPr>
                <w:rFonts w:cs="Arial"/>
              </w:rPr>
            </w:pPr>
          </w:p>
        </w:tc>
        <w:tc>
          <w:tcPr>
            <w:tcW w:w="1560" w:type="dxa"/>
          </w:tcPr>
          <w:p w14:paraId="0E071DBC" w14:textId="2C1A00C9" w:rsidR="001A58F9" w:rsidRPr="00B148F9" w:rsidRDefault="001A58F9" w:rsidP="00913AEB">
            <w:pPr>
              <w:tabs>
                <w:tab w:val="left" w:pos="426"/>
                <w:tab w:val="left" w:pos="2160"/>
              </w:tabs>
              <w:jc w:val="center"/>
              <w:rPr>
                <w:rFonts w:cs="Arial"/>
                <w:b/>
              </w:rPr>
            </w:pPr>
            <w:r w:rsidRPr="00B148F9">
              <w:rPr>
                <w:rFonts w:cs="Arial"/>
                <w:b/>
              </w:rPr>
              <w:t>Level 1</w:t>
            </w:r>
          </w:p>
        </w:tc>
        <w:tc>
          <w:tcPr>
            <w:tcW w:w="1701" w:type="dxa"/>
          </w:tcPr>
          <w:p w14:paraId="420C73B6" w14:textId="39CF48BE" w:rsidR="001A58F9" w:rsidRPr="00B148F9" w:rsidRDefault="001A58F9" w:rsidP="00913AEB">
            <w:pPr>
              <w:tabs>
                <w:tab w:val="left" w:pos="426"/>
                <w:tab w:val="left" w:pos="2160"/>
              </w:tabs>
              <w:jc w:val="center"/>
              <w:rPr>
                <w:rFonts w:cs="Arial"/>
                <w:b/>
              </w:rPr>
            </w:pPr>
            <w:r w:rsidRPr="00B148F9">
              <w:rPr>
                <w:rFonts w:cs="Arial"/>
                <w:b/>
              </w:rPr>
              <w:t>Level 2</w:t>
            </w:r>
          </w:p>
        </w:tc>
        <w:tc>
          <w:tcPr>
            <w:tcW w:w="1701" w:type="dxa"/>
          </w:tcPr>
          <w:p w14:paraId="72BFF2B8" w14:textId="61F231E1" w:rsidR="001A58F9" w:rsidRPr="00B148F9" w:rsidRDefault="001A58F9" w:rsidP="00913AEB">
            <w:pPr>
              <w:tabs>
                <w:tab w:val="left" w:pos="426"/>
                <w:tab w:val="left" w:pos="2160"/>
              </w:tabs>
              <w:jc w:val="center"/>
              <w:rPr>
                <w:rFonts w:cs="Arial"/>
                <w:b/>
              </w:rPr>
            </w:pPr>
            <w:r w:rsidRPr="00B148F9">
              <w:rPr>
                <w:rFonts w:cs="Arial"/>
                <w:b/>
              </w:rPr>
              <w:t>Level 3</w:t>
            </w:r>
          </w:p>
        </w:tc>
        <w:tc>
          <w:tcPr>
            <w:tcW w:w="1559" w:type="dxa"/>
          </w:tcPr>
          <w:p w14:paraId="48CF625F" w14:textId="13BCDB95" w:rsidR="001A58F9" w:rsidRPr="00B148F9" w:rsidRDefault="001A58F9" w:rsidP="00913AEB">
            <w:pPr>
              <w:tabs>
                <w:tab w:val="left" w:pos="426"/>
                <w:tab w:val="left" w:pos="2160"/>
              </w:tabs>
              <w:jc w:val="center"/>
              <w:rPr>
                <w:rFonts w:cs="Arial"/>
                <w:b/>
              </w:rPr>
            </w:pPr>
            <w:r w:rsidRPr="00B148F9">
              <w:rPr>
                <w:rFonts w:cs="Arial"/>
                <w:b/>
              </w:rPr>
              <w:t>Total</w:t>
            </w:r>
          </w:p>
        </w:tc>
      </w:tr>
      <w:tr w:rsidR="00D25B6E" w:rsidRPr="00B148F9" w14:paraId="0CAA3C8A" w14:textId="77777777" w:rsidTr="00EE53BF">
        <w:tc>
          <w:tcPr>
            <w:tcW w:w="3402" w:type="dxa"/>
            <w:gridSpan w:val="2"/>
          </w:tcPr>
          <w:p w14:paraId="5FB0C155" w14:textId="77777777" w:rsidR="001A58F9" w:rsidRPr="00B148F9" w:rsidRDefault="001A58F9" w:rsidP="00496748">
            <w:pPr>
              <w:tabs>
                <w:tab w:val="left" w:pos="426"/>
                <w:tab w:val="left" w:pos="2160"/>
              </w:tabs>
              <w:rPr>
                <w:rFonts w:cs="Arial"/>
                <w:b/>
                <w:sz w:val="16"/>
              </w:rPr>
            </w:pPr>
          </w:p>
        </w:tc>
        <w:tc>
          <w:tcPr>
            <w:tcW w:w="1560" w:type="dxa"/>
            <w:tcBorders>
              <w:top w:val="single" w:sz="4" w:space="0" w:color="auto"/>
            </w:tcBorders>
          </w:tcPr>
          <w:p w14:paraId="1AF5B239" w14:textId="4F1AB104" w:rsidR="001A58F9" w:rsidRPr="00B148F9" w:rsidRDefault="00BE05D5" w:rsidP="00C41915">
            <w:pPr>
              <w:tabs>
                <w:tab w:val="left" w:pos="426"/>
                <w:tab w:val="left" w:pos="2160"/>
              </w:tabs>
              <w:jc w:val="center"/>
              <w:rPr>
                <w:rFonts w:cs="Arial"/>
              </w:rPr>
            </w:pPr>
            <w:r w:rsidRPr="00B148F9">
              <w:rPr>
                <w:rFonts w:cs="Arial"/>
              </w:rPr>
              <w:t>US$</w:t>
            </w:r>
          </w:p>
        </w:tc>
        <w:tc>
          <w:tcPr>
            <w:tcW w:w="1701" w:type="dxa"/>
            <w:tcBorders>
              <w:top w:val="single" w:sz="4" w:space="0" w:color="auto"/>
            </w:tcBorders>
          </w:tcPr>
          <w:p w14:paraId="5EC2EE1A" w14:textId="4E05D8DF" w:rsidR="001A58F9" w:rsidRPr="00B148F9" w:rsidRDefault="00BE05D5" w:rsidP="00C41915">
            <w:pPr>
              <w:tabs>
                <w:tab w:val="left" w:pos="426"/>
                <w:tab w:val="left" w:pos="2160"/>
              </w:tabs>
              <w:jc w:val="center"/>
              <w:rPr>
                <w:rFonts w:cs="Arial"/>
              </w:rPr>
            </w:pPr>
            <w:r w:rsidRPr="00B148F9">
              <w:rPr>
                <w:rFonts w:cs="Arial"/>
              </w:rPr>
              <w:t>US$</w:t>
            </w:r>
          </w:p>
        </w:tc>
        <w:tc>
          <w:tcPr>
            <w:tcW w:w="1701" w:type="dxa"/>
            <w:tcBorders>
              <w:top w:val="single" w:sz="4" w:space="0" w:color="auto"/>
            </w:tcBorders>
          </w:tcPr>
          <w:p w14:paraId="77353A87" w14:textId="515DB2E2" w:rsidR="001A58F9" w:rsidRPr="00B148F9" w:rsidRDefault="00BE05D5" w:rsidP="00C41915">
            <w:pPr>
              <w:tabs>
                <w:tab w:val="left" w:pos="426"/>
                <w:tab w:val="left" w:pos="2160"/>
              </w:tabs>
              <w:jc w:val="center"/>
              <w:rPr>
                <w:rFonts w:cs="Arial"/>
              </w:rPr>
            </w:pPr>
            <w:r w:rsidRPr="00B148F9">
              <w:rPr>
                <w:rFonts w:cs="Arial"/>
              </w:rPr>
              <w:t>US$</w:t>
            </w:r>
          </w:p>
        </w:tc>
        <w:tc>
          <w:tcPr>
            <w:tcW w:w="1559" w:type="dxa"/>
            <w:tcBorders>
              <w:top w:val="single" w:sz="4" w:space="0" w:color="auto"/>
            </w:tcBorders>
          </w:tcPr>
          <w:p w14:paraId="50133A23" w14:textId="12A47A12" w:rsidR="001A58F9" w:rsidRPr="00B148F9" w:rsidRDefault="00BE05D5" w:rsidP="00C41915">
            <w:pPr>
              <w:tabs>
                <w:tab w:val="left" w:pos="426"/>
                <w:tab w:val="left" w:pos="2160"/>
              </w:tabs>
              <w:jc w:val="center"/>
              <w:rPr>
                <w:rFonts w:cs="Arial"/>
              </w:rPr>
            </w:pPr>
            <w:r w:rsidRPr="00B148F9">
              <w:rPr>
                <w:rFonts w:cs="Arial"/>
              </w:rPr>
              <w:t>US$</w:t>
            </w:r>
          </w:p>
        </w:tc>
      </w:tr>
      <w:tr w:rsidR="00D25B6E" w:rsidRPr="00B148F9" w14:paraId="7CE61015" w14:textId="77777777" w:rsidTr="00EE53BF">
        <w:tc>
          <w:tcPr>
            <w:tcW w:w="3402" w:type="dxa"/>
            <w:gridSpan w:val="2"/>
          </w:tcPr>
          <w:p w14:paraId="54F6EE8A" w14:textId="0DC7A7F8" w:rsidR="001A58F9" w:rsidRPr="00B148F9" w:rsidRDefault="001A58F9" w:rsidP="00496748">
            <w:pPr>
              <w:tabs>
                <w:tab w:val="left" w:pos="426"/>
                <w:tab w:val="left" w:pos="2160"/>
              </w:tabs>
              <w:rPr>
                <w:rFonts w:cs="Arial"/>
                <w:sz w:val="16"/>
              </w:rPr>
            </w:pPr>
            <w:r w:rsidRPr="00B148F9">
              <w:rPr>
                <w:rFonts w:cs="Arial"/>
                <w:b/>
                <w:sz w:val="16"/>
              </w:rPr>
              <w:t>Assets</w:t>
            </w:r>
            <w:r w:rsidRPr="00B148F9">
              <w:rPr>
                <w:rFonts w:cs="Arial"/>
                <w:sz w:val="16"/>
              </w:rPr>
              <w:t xml:space="preserve"> (at fair value)</w:t>
            </w:r>
          </w:p>
        </w:tc>
        <w:tc>
          <w:tcPr>
            <w:tcW w:w="1560" w:type="dxa"/>
          </w:tcPr>
          <w:p w14:paraId="07DB55CB" w14:textId="77777777" w:rsidR="001A58F9" w:rsidRPr="00B148F9" w:rsidRDefault="001A58F9" w:rsidP="00496748">
            <w:pPr>
              <w:tabs>
                <w:tab w:val="left" w:pos="426"/>
                <w:tab w:val="left" w:pos="2160"/>
              </w:tabs>
              <w:rPr>
                <w:rFonts w:cs="Arial"/>
              </w:rPr>
            </w:pPr>
          </w:p>
        </w:tc>
        <w:tc>
          <w:tcPr>
            <w:tcW w:w="1701" w:type="dxa"/>
          </w:tcPr>
          <w:p w14:paraId="04770A57" w14:textId="77777777" w:rsidR="001A58F9" w:rsidRPr="00B148F9" w:rsidRDefault="001A58F9" w:rsidP="00496748">
            <w:pPr>
              <w:tabs>
                <w:tab w:val="left" w:pos="426"/>
                <w:tab w:val="left" w:pos="2160"/>
              </w:tabs>
              <w:rPr>
                <w:rFonts w:cs="Arial"/>
              </w:rPr>
            </w:pPr>
          </w:p>
        </w:tc>
        <w:tc>
          <w:tcPr>
            <w:tcW w:w="1701" w:type="dxa"/>
          </w:tcPr>
          <w:p w14:paraId="65D46AEB" w14:textId="77777777" w:rsidR="001A58F9" w:rsidRPr="00B148F9" w:rsidRDefault="001A58F9" w:rsidP="00496748">
            <w:pPr>
              <w:tabs>
                <w:tab w:val="left" w:pos="426"/>
                <w:tab w:val="left" w:pos="2160"/>
              </w:tabs>
              <w:rPr>
                <w:rFonts w:cs="Arial"/>
              </w:rPr>
            </w:pPr>
          </w:p>
        </w:tc>
        <w:tc>
          <w:tcPr>
            <w:tcW w:w="1559" w:type="dxa"/>
          </w:tcPr>
          <w:p w14:paraId="2116A5DF" w14:textId="77777777" w:rsidR="001A58F9" w:rsidRPr="00B148F9" w:rsidRDefault="001A58F9" w:rsidP="00496748">
            <w:pPr>
              <w:tabs>
                <w:tab w:val="left" w:pos="426"/>
                <w:tab w:val="left" w:pos="2160"/>
              </w:tabs>
              <w:rPr>
                <w:rFonts w:cs="Arial"/>
              </w:rPr>
            </w:pPr>
          </w:p>
        </w:tc>
      </w:tr>
      <w:tr w:rsidR="00D25B6E" w:rsidRPr="00B148F9" w14:paraId="56548899" w14:textId="77777777" w:rsidTr="00EE53BF">
        <w:tc>
          <w:tcPr>
            <w:tcW w:w="256" w:type="dxa"/>
          </w:tcPr>
          <w:p w14:paraId="2103FF0D" w14:textId="77777777" w:rsidR="001A58F9" w:rsidRPr="00B148F9" w:rsidRDefault="001A58F9" w:rsidP="00496748">
            <w:pPr>
              <w:tabs>
                <w:tab w:val="left" w:pos="426"/>
                <w:tab w:val="left" w:pos="2160"/>
              </w:tabs>
              <w:rPr>
                <w:rFonts w:cs="Arial"/>
                <w:sz w:val="16"/>
              </w:rPr>
            </w:pPr>
          </w:p>
        </w:tc>
        <w:tc>
          <w:tcPr>
            <w:tcW w:w="3146" w:type="dxa"/>
          </w:tcPr>
          <w:p w14:paraId="315C4E4B" w14:textId="77777777" w:rsidR="001A58F9" w:rsidRPr="00B148F9" w:rsidRDefault="001A58F9" w:rsidP="00496748">
            <w:pPr>
              <w:tabs>
                <w:tab w:val="left" w:pos="426"/>
                <w:tab w:val="left" w:pos="2160"/>
              </w:tabs>
              <w:rPr>
                <w:rFonts w:cs="Arial"/>
                <w:sz w:val="16"/>
              </w:rPr>
            </w:pPr>
          </w:p>
        </w:tc>
        <w:tc>
          <w:tcPr>
            <w:tcW w:w="1560" w:type="dxa"/>
          </w:tcPr>
          <w:p w14:paraId="2015CD7C" w14:textId="77777777" w:rsidR="001A58F9" w:rsidRPr="00B148F9" w:rsidRDefault="001A58F9" w:rsidP="00496748">
            <w:pPr>
              <w:tabs>
                <w:tab w:val="left" w:pos="426"/>
                <w:tab w:val="left" w:pos="2160"/>
              </w:tabs>
              <w:rPr>
                <w:rFonts w:cs="Arial"/>
              </w:rPr>
            </w:pPr>
          </w:p>
        </w:tc>
        <w:tc>
          <w:tcPr>
            <w:tcW w:w="1701" w:type="dxa"/>
          </w:tcPr>
          <w:p w14:paraId="7F78CF61" w14:textId="77777777" w:rsidR="001A58F9" w:rsidRPr="00B148F9" w:rsidRDefault="001A58F9" w:rsidP="00496748">
            <w:pPr>
              <w:tabs>
                <w:tab w:val="left" w:pos="426"/>
                <w:tab w:val="left" w:pos="2160"/>
              </w:tabs>
              <w:rPr>
                <w:rFonts w:cs="Arial"/>
              </w:rPr>
            </w:pPr>
          </w:p>
        </w:tc>
        <w:tc>
          <w:tcPr>
            <w:tcW w:w="1701" w:type="dxa"/>
          </w:tcPr>
          <w:p w14:paraId="58B8CB6D" w14:textId="77777777" w:rsidR="001A58F9" w:rsidRPr="00B148F9" w:rsidRDefault="001A58F9" w:rsidP="00496748">
            <w:pPr>
              <w:tabs>
                <w:tab w:val="left" w:pos="426"/>
                <w:tab w:val="left" w:pos="2160"/>
              </w:tabs>
              <w:rPr>
                <w:rFonts w:cs="Arial"/>
              </w:rPr>
            </w:pPr>
          </w:p>
        </w:tc>
        <w:tc>
          <w:tcPr>
            <w:tcW w:w="1559" w:type="dxa"/>
          </w:tcPr>
          <w:p w14:paraId="4460F2EF" w14:textId="77777777" w:rsidR="001A58F9" w:rsidRPr="00B148F9" w:rsidRDefault="001A58F9" w:rsidP="00496748">
            <w:pPr>
              <w:tabs>
                <w:tab w:val="left" w:pos="426"/>
                <w:tab w:val="left" w:pos="2160"/>
              </w:tabs>
              <w:rPr>
                <w:rFonts w:cs="Arial"/>
              </w:rPr>
            </w:pPr>
          </w:p>
        </w:tc>
      </w:tr>
      <w:tr w:rsidR="00D25B6E" w:rsidRPr="00B148F9" w14:paraId="72B33457" w14:textId="77777777" w:rsidTr="00EE53BF">
        <w:tc>
          <w:tcPr>
            <w:tcW w:w="256" w:type="dxa"/>
          </w:tcPr>
          <w:p w14:paraId="2AC2446D" w14:textId="77777777" w:rsidR="001A58F9" w:rsidRPr="00B148F9" w:rsidRDefault="001A58F9" w:rsidP="00496748">
            <w:pPr>
              <w:tabs>
                <w:tab w:val="left" w:pos="426"/>
                <w:tab w:val="left" w:pos="2160"/>
              </w:tabs>
              <w:rPr>
                <w:rFonts w:cs="Arial"/>
                <w:sz w:val="16"/>
              </w:rPr>
            </w:pPr>
          </w:p>
        </w:tc>
        <w:tc>
          <w:tcPr>
            <w:tcW w:w="3146" w:type="dxa"/>
          </w:tcPr>
          <w:p w14:paraId="79C7DA38" w14:textId="108C30EC" w:rsidR="001A58F9" w:rsidRPr="00B148F9" w:rsidRDefault="001A58F9" w:rsidP="00496748">
            <w:pPr>
              <w:tabs>
                <w:tab w:val="left" w:pos="426"/>
                <w:tab w:val="left" w:pos="2160"/>
              </w:tabs>
              <w:rPr>
                <w:rFonts w:cs="Arial"/>
                <w:b/>
                <w:sz w:val="16"/>
              </w:rPr>
            </w:pPr>
            <w:r w:rsidRPr="00B148F9">
              <w:rPr>
                <w:rFonts w:cs="Arial"/>
                <w:b/>
                <w:sz w:val="16"/>
              </w:rPr>
              <w:t>Investment</w:t>
            </w:r>
            <w:r w:rsidR="00A533EE" w:rsidRPr="00B148F9">
              <w:rPr>
                <w:rFonts w:cs="Arial"/>
                <w:b/>
                <w:sz w:val="16"/>
              </w:rPr>
              <w:t>s</w:t>
            </w:r>
            <w:r w:rsidRPr="00B148F9">
              <w:rPr>
                <w:rFonts w:cs="Arial"/>
                <w:b/>
                <w:sz w:val="16"/>
              </w:rPr>
              <w:t xml:space="preserve"> in securities</w:t>
            </w:r>
          </w:p>
        </w:tc>
        <w:tc>
          <w:tcPr>
            <w:tcW w:w="1560" w:type="dxa"/>
          </w:tcPr>
          <w:p w14:paraId="6B6AEF55" w14:textId="77777777" w:rsidR="001A58F9" w:rsidRPr="00B148F9" w:rsidRDefault="001A58F9" w:rsidP="00496748">
            <w:pPr>
              <w:tabs>
                <w:tab w:val="left" w:pos="426"/>
                <w:tab w:val="left" w:pos="2160"/>
              </w:tabs>
              <w:rPr>
                <w:rFonts w:cs="Arial"/>
              </w:rPr>
            </w:pPr>
          </w:p>
        </w:tc>
        <w:tc>
          <w:tcPr>
            <w:tcW w:w="1701" w:type="dxa"/>
          </w:tcPr>
          <w:p w14:paraId="006C83B9" w14:textId="77777777" w:rsidR="001A58F9" w:rsidRPr="00B148F9" w:rsidRDefault="001A58F9" w:rsidP="00496748">
            <w:pPr>
              <w:tabs>
                <w:tab w:val="left" w:pos="426"/>
                <w:tab w:val="left" w:pos="2160"/>
              </w:tabs>
              <w:rPr>
                <w:rFonts w:cs="Arial"/>
              </w:rPr>
            </w:pPr>
          </w:p>
        </w:tc>
        <w:tc>
          <w:tcPr>
            <w:tcW w:w="1701" w:type="dxa"/>
          </w:tcPr>
          <w:p w14:paraId="5E0613B7" w14:textId="77777777" w:rsidR="001A58F9" w:rsidRPr="00B148F9" w:rsidRDefault="001A58F9" w:rsidP="00496748">
            <w:pPr>
              <w:tabs>
                <w:tab w:val="left" w:pos="426"/>
                <w:tab w:val="left" w:pos="2160"/>
              </w:tabs>
              <w:rPr>
                <w:rFonts w:cs="Arial"/>
              </w:rPr>
            </w:pPr>
          </w:p>
        </w:tc>
        <w:tc>
          <w:tcPr>
            <w:tcW w:w="1559" w:type="dxa"/>
          </w:tcPr>
          <w:p w14:paraId="2A2F4693" w14:textId="77777777" w:rsidR="001A58F9" w:rsidRPr="00B148F9" w:rsidRDefault="001A58F9" w:rsidP="00496748">
            <w:pPr>
              <w:tabs>
                <w:tab w:val="left" w:pos="426"/>
                <w:tab w:val="left" w:pos="2160"/>
              </w:tabs>
              <w:rPr>
                <w:rFonts w:cs="Arial"/>
              </w:rPr>
            </w:pPr>
          </w:p>
        </w:tc>
      </w:tr>
      <w:tr w:rsidR="00D25B6E" w:rsidRPr="00B148F9" w14:paraId="484A17E3" w14:textId="77777777" w:rsidTr="00EE53BF">
        <w:tc>
          <w:tcPr>
            <w:tcW w:w="256" w:type="dxa"/>
          </w:tcPr>
          <w:p w14:paraId="5FEBDD9F" w14:textId="77777777" w:rsidR="001A58F9" w:rsidRPr="00B148F9" w:rsidRDefault="001A58F9" w:rsidP="00496748">
            <w:pPr>
              <w:tabs>
                <w:tab w:val="left" w:pos="426"/>
                <w:tab w:val="left" w:pos="2160"/>
              </w:tabs>
              <w:rPr>
                <w:rFonts w:cs="Arial"/>
                <w:sz w:val="16"/>
              </w:rPr>
            </w:pPr>
          </w:p>
        </w:tc>
        <w:tc>
          <w:tcPr>
            <w:tcW w:w="3146" w:type="dxa"/>
          </w:tcPr>
          <w:p w14:paraId="76A20BE1" w14:textId="1577E75F" w:rsidR="001A58F9" w:rsidRPr="00B148F9" w:rsidRDefault="00074388" w:rsidP="00496748">
            <w:pPr>
              <w:tabs>
                <w:tab w:val="left" w:pos="426"/>
                <w:tab w:val="left" w:pos="2160"/>
              </w:tabs>
              <w:rPr>
                <w:rFonts w:cs="Arial"/>
                <w:sz w:val="16"/>
              </w:rPr>
            </w:pPr>
            <w:r w:rsidRPr="00B148F9">
              <w:rPr>
                <w:rFonts w:cs="Arial"/>
                <w:sz w:val="16"/>
              </w:rPr>
              <w:t xml:space="preserve">Common </w:t>
            </w:r>
            <w:r w:rsidR="00A533EE" w:rsidRPr="00B148F9">
              <w:rPr>
                <w:rFonts w:cs="Arial"/>
                <w:sz w:val="16"/>
              </w:rPr>
              <w:t>s</w:t>
            </w:r>
            <w:r w:rsidRPr="00B148F9">
              <w:rPr>
                <w:rFonts w:cs="Arial"/>
                <w:sz w:val="16"/>
              </w:rPr>
              <w:t>tocks</w:t>
            </w:r>
          </w:p>
        </w:tc>
        <w:tc>
          <w:tcPr>
            <w:tcW w:w="1560" w:type="dxa"/>
            <w:vAlign w:val="bottom"/>
          </w:tcPr>
          <w:p w14:paraId="631256E2" w14:textId="1656BD06" w:rsidR="001A58F9" w:rsidRPr="00B148F9" w:rsidRDefault="00074388" w:rsidP="00780DC6">
            <w:pPr>
              <w:tabs>
                <w:tab w:val="left" w:pos="426"/>
                <w:tab w:val="left" w:pos="2160"/>
              </w:tabs>
              <w:jc w:val="right"/>
              <w:rPr>
                <w:rFonts w:cs="Arial"/>
              </w:rPr>
            </w:pPr>
            <w:r w:rsidRPr="00B148F9">
              <w:rPr>
                <w:rFonts w:cs="Arial"/>
              </w:rPr>
              <w:t>1</w:t>
            </w:r>
            <w:r w:rsidR="00D25B6E" w:rsidRPr="00B148F9">
              <w:rPr>
                <w:rFonts w:cs="Arial"/>
              </w:rPr>
              <w:t>39</w:t>
            </w:r>
            <w:r w:rsidRPr="00B148F9">
              <w:rPr>
                <w:rFonts w:cs="Arial"/>
              </w:rPr>
              <w:t>,</w:t>
            </w:r>
            <w:r w:rsidR="00D25B6E" w:rsidRPr="00B148F9">
              <w:rPr>
                <w:rFonts w:cs="Arial"/>
              </w:rPr>
              <w:t>525</w:t>
            </w:r>
            <w:r w:rsidRPr="00B148F9">
              <w:rPr>
                <w:rFonts w:cs="Arial"/>
              </w:rPr>
              <w:t>,</w:t>
            </w:r>
            <w:r w:rsidR="00D25B6E" w:rsidRPr="00B148F9">
              <w:rPr>
                <w:rFonts w:cs="Arial"/>
              </w:rPr>
              <w:t>895</w:t>
            </w:r>
          </w:p>
        </w:tc>
        <w:tc>
          <w:tcPr>
            <w:tcW w:w="1701" w:type="dxa"/>
            <w:vAlign w:val="bottom"/>
          </w:tcPr>
          <w:p w14:paraId="519C15EF" w14:textId="6CBA4CAF" w:rsidR="001A58F9" w:rsidRPr="00B148F9" w:rsidRDefault="00074388" w:rsidP="00DE3E70">
            <w:pPr>
              <w:tabs>
                <w:tab w:val="left" w:pos="426"/>
                <w:tab w:val="left" w:pos="2160"/>
              </w:tabs>
              <w:jc w:val="right"/>
              <w:rPr>
                <w:rFonts w:cs="Arial"/>
              </w:rPr>
            </w:pPr>
            <w:r w:rsidRPr="00B148F9">
              <w:rPr>
                <w:rFonts w:cs="Arial"/>
              </w:rPr>
              <w:t>3,875,218</w:t>
            </w:r>
          </w:p>
        </w:tc>
        <w:tc>
          <w:tcPr>
            <w:tcW w:w="1701" w:type="dxa"/>
            <w:vAlign w:val="bottom"/>
          </w:tcPr>
          <w:p w14:paraId="6C025900" w14:textId="33F3E21B" w:rsidR="001A58F9" w:rsidRPr="00B148F9" w:rsidRDefault="00925737" w:rsidP="00DE3E70">
            <w:pPr>
              <w:tabs>
                <w:tab w:val="left" w:pos="426"/>
                <w:tab w:val="left" w:pos="2160"/>
              </w:tabs>
              <w:jc w:val="right"/>
              <w:rPr>
                <w:rFonts w:cs="Arial"/>
              </w:rPr>
            </w:pPr>
            <w:r w:rsidRPr="00B148F9">
              <w:rPr>
                <w:rFonts w:cs="Arial"/>
              </w:rPr>
              <w:t>-</w:t>
            </w:r>
          </w:p>
        </w:tc>
        <w:tc>
          <w:tcPr>
            <w:tcW w:w="1559" w:type="dxa"/>
            <w:vAlign w:val="bottom"/>
          </w:tcPr>
          <w:p w14:paraId="311D3369" w14:textId="2B78A6C4" w:rsidR="001A58F9" w:rsidRPr="00B148F9" w:rsidRDefault="00074388" w:rsidP="00780DC6">
            <w:pPr>
              <w:tabs>
                <w:tab w:val="left" w:pos="426"/>
                <w:tab w:val="left" w:pos="2160"/>
              </w:tabs>
              <w:jc w:val="right"/>
              <w:rPr>
                <w:rFonts w:cs="Arial"/>
              </w:rPr>
            </w:pPr>
            <w:r w:rsidRPr="00B148F9">
              <w:rPr>
                <w:rFonts w:cs="Arial"/>
              </w:rPr>
              <w:t>14</w:t>
            </w:r>
            <w:r w:rsidR="00D25B6E" w:rsidRPr="00B148F9">
              <w:rPr>
                <w:rFonts w:cs="Arial"/>
              </w:rPr>
              <w:t>3</w:t>
            </w:r>
            <w:r w:rsidRPr="00B148F9">
              <w:rPr>
                <w:rFonts w:cs="Arial"/>
              </w:rPr>
              <w:t>,</w:t>
            </w:r>
            <w:r w:rsidR="00D25B6E" w:rsidRPr="00B148F9">
              <w:rPr>
                <w:rFonts w:cs="Arial"/>
              </w:rPr>
              <w:t>401</w:t>
            </w:r>
            <w:r w:rsidRPr="00B148F9">
              <w:rPr>
                <w:rFonts w:cs="Arial"/>
              </w:rPr>
              <w:t>,</w:t>
            </w:r>
            <w:r w:rsidR="00D25B6E" w:rsidRPr="00B148F9">
              <w:rPr>
                <w:rFonts w:cs="Arial"/>
              </w:rPr>
              <w:t>113</w:t>
            </w:r>
          </w:p>
        </w:tc>
      </w:tr>
      <w:tr w:rsidR="00D25B6E" w:rsidRPr="00B148F9" w14:paraId="22E511D1" w14:textId="77777777" w:rsidTr="00EE53BF">
        <w:tc>
          <w:tcPr>
            <w:tcW w:w="256" w:type="dxa"/>
          </w:tcPr>
          <w:p w14:paraId="15AA8A20" w14:textId="77777777" w:rsidR="001A58F9" w:rsidRPr="00B148F9" w:rsidRDefault="001A58F9" w:rsidP="00496748">
            <w:pPr>
              <w:tabs>
                <w:tab w:val="left" w:pos="426"/>
                <w:tab w:val="left" w:pos="2160"/>
              </w:tabs>
              <w:rPr>
                <w:rFonts w:cs="Arial"/>
                <w:sz w:val="16"/>
              </w:rPr>
            </w:pPr>
          </w:p>
        </w:tc>
        <w:tc>
          <w:tcPr>
            <w:tcW w:w="3146" w:type="dxa"/>
          </w:tcPr>
          <w:p w14:paraId="4A81A885" w14:textId="4EA26D31" w:rsidR="001A58F9" w:rsidRPr="00B148F9" w:rsidRDefault="00C87417">
            <w:pPr>
              <w:tabs>
                <w:tab w:val="left" w:pos="426"/>
                <w:tab w:val="left" w:pos="2160"/>
              </w:tabs>
              <w:rPr>
                <w:rFonts w:cs="Arial"/>
                <w:sz w:val="16"/>
              </w:rPr>
            </w:pPr>
            <w:r w:rsidRPr="00B148F9">
              <w:rPr>
                <w:rFonts w:cs="Arial"/>
                <w:sz w:val="16"/>
              </w:rPr>
              <w:t>Convertible p</w:t>
            </w:r>
            <w:r w:rsidR="00074388" w:rsidRPr="00B148F9">
              <w:rPr>
                <w:rFonts w:cs="Arial"/>
                <w:sz w:val="16"/>
              </w:rPr>
              <w:t xml:space="preserve">referred </w:t>
            </w:r>
            <w:r w:rsidR="00A533EE" w:rsidRPr="00B148F9">
              <w:rPr>
                <w:rFonts w:cs="Arial"/>
                <w:sz w:val="16"/>
              </w:rPr>
              <w:t>s</w:t>
            </w:r>
            <w:r w:rsidR="001A58F9" w:rsidRPr="00B148F9">
              <w:rPr>
                <w:rFonts w:cs="Arial"/>
                <w:sz w:val="16"/>
              </w:rPr>
              <w:t>tocks</w:t>
            </w:r>
          </w:p>
        </w:tc>
        <w:tc>
          <w:tcPr>
            <w:tcW w:w="1560" w:type="dxa"/>
            <w:vAlign w:val="bottom"/>
          </w:tcPr>
          <w:p w14:paraId="6B2AC750" w14:textId="097D0F96" w:rsidR="001A58F9" w:rsidRPr="00B148F9" w:rsidRDefault="00074388" w:rsidP="00DE3E70">
            <w:pPr>
              <w:tabs>
                <w:tab w:val="left" w:pos="426"/>
                <w:tab w:val="left" w:pos="2160"/>
              </w:tabs>
              <w:jc w:val="right"/>
              <w:rPr>
                <w:rFonts w:cs="Arial"/>
              </w:rPr>
            </w:pPr>
            <w:r w:rsidRPr="00B148F9">
              <w:rPr>
                <w:rFonts w:cs="Arial"/>
              </w:rPr>
              <w:t>-</w:t>
            </w:r>
          </w:p>
        </w:tc>
        <w:tc>
          <w:tcPr>
            <w:tcW w:w="1701" w:type="dxa"/>
            <w:vAlign w:val="bottom"/>
          </w:tcPr>
          <w:p w14:paraId="632D2F76" w14:textId="384A6BEC" w:rsidR="001A58F9" w:rsidRPr="00B148F9" w:rsidRDefault="00074388" w:rsidP="00DE3E70">
            <w:pPr>
              <w:tabs>
                <w:tab w:val="left" w:pos="426"/>
                <w:tab w:val="left" w:pos="2160"/>
              </w:tabs>
              <w:jc w:val="right"/>
              <w:rPr>
                <w:rFonts w:cs="Arial"/>
              </w:rPr>
            </w:pPr>
            <w:r w:rsidRPr="00B148F9">
              <w:rPr>
                <w:rFonts w:cs="Arial"/>
              </w:rPr>
              <w:t>-</w:t>
            </w:r>
          </w:p>
        </w:tc>
        <w:tc>
          <w:tcPr>
            <w:tcW w:w="1701" w:type="dxa"/>
            <w:vAlign w:val="bottom"/>
          </w:tcPr>
          <w:p w14:paraId="5782B52E" w14:textId="6EBB095D" w:rsidR="001A58F9" w:rsidRPr="00B148F9" w:rsidRDefault="00074388" w:rsidP="00D050E5">
            <w:pPr>
              <w:tabs>
                <w:tab w:val="left" w:pos="426"/>
                <w:tab w:val="left" w:pos="2160"/>
              </w:tabs>
              <w:jc w:val="right"/>
              <w:rPr>
                <w:rFonts w:cs="Arial"/>
              </w:rPr>
            </w:pPr>
            <w:r w:rsidRPr="00B148F9">
              <w:rPr>
                <w:rFonts w:cs="Arial"/>
              </w:rPr>
              <w:t>2</w:t>
            </w:r>
            <w:r w:rsidR="00925737" w:rsidRPr="00B148F9">
              <w:rPr>
                <w:rFonts w:cs="Arial"/>
              </w:rPr>
              <w:t>6</w:t>
            </w:r>
            <w:r w:rsidRPr="00B148F9">
              <w:rPr>
                <w:rFonts w:cs="Arial"/>
              </w:rPr>
              <w:t>,064,55</w:t>
            </w:r>
            <w:r w:rsidR="00925737" w:rsidRPr="00B148F9">
              <w:rPr>
                <w:rFonts w:cs="Arial"/>
              </w:rPr>
              <w:t>1</w:t>
            </w:r>
          </w:p>
        </w:tc>
        <w:tc>
          <w:tcPr>
            <w:tcW w:w="1559" w:type="dxa"/>
            <w:vAlign w:val="bottom"/>
          </w:tcPr>
          <w:p w14:paraId="4C6D9474" w14:textId="31399C8E" w:rsidR="001A58F9" w:rsidRPr="00B148F9" w:rsidRDefault="00074388">
            <w:pPr>
              <w:tabs>
                <w:tab w:val="left" w:pos="426"/>
                <w:tab w:val="left" w:pos="2160"/>
              </w:tabs>
              <w:jc w:val="right"/>
              <w:rPr>
                <w:rFonts w:cs="Arial"/>
              </w:rPr>
            </w:pPr>
            <w:r w:rsidRPr="00B148F9">
              <w:rPr>
                <w:rFonts w:cs="Arial"/>
              </w:rPr>
              <w:t>2</w:t>
            </w:r>
            <w:r w:rsidR="00925737" w:rsidRPr="00B148F9">
              <w:rPr>
                <w:rFonts w:cs="Arial"/>
              </w:rPr>
              <w:t>6</w:t>
            </w:r>
            <w:r w:rsidRPr="00B148F9">
              <w:rPr>
                <w:rFonts w:cs="Arial"/>
              </w:rPr>
              <w:t>,064,55</w:t>
            </w:r>
            <w:r w:rsidR="00925737" w:rsidRPr="00B148F9">
              <w:rPr>
                <w:rFonts w:cs="Arial"/>
              </w:rPr>
              <w:t>1</w:t>
            </w:r>
          </w:p>
        </w:tc>
      </w:tr>
      <w:tr w:rsidR="00D25B6E" w:rsidRPr="00B148F9" w14:paraId="050A8912" w14:textId="77777777" w:rsidTr="00EE53BF">
        <w:tc>
          <w:tcPr>
            <w:tcW w:w="256" w:type="dxa"/>
          </w:tcPr>
          <w:p w14:paraId="2B4D1B00" w14:textId="77777777" w:rsidR="00D25B6E" w:rsidRPr="00B148F9" w:rsidRDefault="00D25B6E" w:rsidP="00496748">
            <w:pPr>
              <w:tabs>
                <w:tab w:val="left" w:pos="426"/>
                <w:tab w:val="left" w:pos="2160"/>
              </w:tabs>
              <w:rPr>
                <w:rFonts w:cs="Arial"/>
                <w:sz w:val="16"/>
              </w:rPr>
            </w:pPr>
          </w:p>
        </w:tc>
        <w:tc>
          <w:tcPr>
            <w:tcW w:w="3146" w:type="dxa"/>
          </w:tcPr>
          <w:p w14:paraId="48118BFE" w14:textId="750A87F4" w:rsidR="00D25B6E" w:rsidRPr="00B148F9" w:rsidRDefault="00D25B6E" w:rsidP="00D050E5">
            <w:pPr>
              <w:tabs>
                <w:tab w:val="left" w:pos="426"/>
                <w:tab w:val="left" w:pos="2160"/>
              </w:tabs>
              <w:rPr>
                <w:rFonts w:cs="Arial"/>
                <w:sz w:val="16"/>
              </w:rPr>
            </w:pPr>
            <w:r w:rsidRPr="00B148F9">
              <w:rPr>
                <w:rFonts w:cs="Arial"/>
                <w:sz w:val="16"/>
              </w:rPr>
              <w:t>American depository receipts</w:t>
            </w:r>
          </w:p>
        </w:tc>
        <w:tc>
          <w:tcPr>
            <w:tcW w:w="1560" w:type="dxa"/>
            <w:vAlign w:val="bottom"/>
          </w:tcPr>
          <w:p w14:paraId="64346391" w14:textId="73D27962" w:rsidR="00D25B6E" w:rsidRPr="00B148F9" w:rsidRDefault="00D25B6E" w:rsidP="00DE3E70">
            <w:pPr>
              <w:tabs>
                <w:tab w:val="left" w:pos="426"/>
                <w:tab w:val="left" w:pos="2160"/>
              </w:tabs>
              <w:jc w:val="right"/>
              <w:rPr>
                <w:rFonts w:cs="Arial"/>
              </w:rPr>
            </w:pPr>
            <w:r w:rsidRPr="00B148F9">
              <w:rPr>
                <w:rFonts w:cs="Arial"/>
              </w:rPr>
              <w:t>1,187,345</w:t>
            </w:r>
          </w:p>
        </w:tc>
        <w:tc>
          <w:tcPr>
            <w:tcW w:w="1701" w:type="dxa"/>
            <w:vAlign w:val="bottom"/>
          </w:tcPr>
          <w:p w14:paraId="48DC98C7" w14:textId="5B2D22F4" w:rsidR="00D25B6E" w:rsidRPr="00B148F9" w:rsidRDefault="00D25B6E" w:rsidP="00DE3E70">
            <w:pPr>
              <w:tabs>
                <w:tab w:val="left" w:pos="426"/>
                <w:tab w:val="left" w:pos="2160"/>
              </w:tabs>
              <w:jc w:val="right"/>
              <w:rPr>
                <w:rFonts w:cs="Arial"/>
              </w:rPr>
            </w:pPr>
            <w:r w:rsidRPr="00B148F9">
              <w:rPr>
                <w:rFonts w:cs="Arial"/>
              </w:rPr>
              <w:t>-</w:t>
            </w:r>
          </w:p>
        </w:tc>
        <w:tc>
          <w:tcPr>
            <w:tcW w:w="1701" w:type="dxa"/>
            <w:vAlign w:val="bottom"/>
          </w:tcPr>
          <w:p w14:paraId="51DDE1BC" w14:textId="51B9F957" w:rsidR="00D25B6E" w:rsidRPr="00B148F9" w:rsidRDefault="00D25B6E" w:rsidP="00D050E5">
            <w:pPr>
              <w:tabs>
                <w:tab w:val="left" w:pos="426"/>
                <w:tab w:val="left" w:pos="2160"/>
              </w:tabs>
              <w:jc w:val="right"/>
              <w:rPr>
                <w:rFonts w:cs="Arial"/>
              </w:rPr>
            </w:pPr>
            <w:r w:rsidRPr="00B148F9">
              <w:rPr>
                <w:rFonts w:cs="Arial"/>
              </w:rPr>
              <w:t>-</w:t>
            </w:r>
          </w:p>
        </w:tc>
        <w:tc>
          <w:tcPr>
            <w:tcW w:w="1559" w:type="dxa"/>
            <w:vAlign w:val="bottom"/>
          </w:tcPr>
          <w:p w14:paraId="4829C229" w14:textId="46F1DFA3" w:rsidR="00D25B6E" w:rsidRPr="00B148F9" w:rsidRDefault="00D25B6E">
            <w:pPr>
              <w:tabs>
                <w:tab w:val="left" w:pos="426"/>
                <w:tab w:val="left" w:pos="2160"/>
              </w:tabs>
              <w:jc w:val="right"/>
              <w:rPr>
                <w:rFonts w:cs="Arial"/>
              </w:rPr>
            </w:pPr>
            <w:r w:rsidRPr="00B148F9">
              <w:rPr>
                <w:rFonts w:cs="Arial"/>
              </w:rPr>
              <w:t>1,187,345</w:t>
            </w:r>
          </w:p>
        </w:tc>
      </w:tr>
      <w:tr w:rsidR="00D25B6E" w:rsidRPr="00B148F9" w14:paraId="0E38D4B9" w14:textId="77777777" w:rsidTr="00EE53BF">
        <w:tc>
          <w:tcPr>
            <w:tcW w:w="256" w:type="dxa"/>
          </w:tcPr>
          <w:p w14:paraId="5D279017" w14:textId="77777777" w:rsidR="001A58F9" w:rsidRPr="00B148F9" w:rsidRDefault="001A58F9" w:rsidP="00496748">
            <w:pPr>
              <w:tabs>
                <w:tab w:val="left" w:pos="426"/>
                <w:tab w:val="left" w:pos="2160"/>
              </w:tabs>
              <w:rPr>
                <w:rFonts w:cs="Arial"/>
                <w:sz w:val="16"/>
              </w:rPr>
            </w:pPr>
          </w:p>
        </w:tc>
        <w:tc>
          <w:tcPr>
            <w:tcW w:w="3146" w:type="dxa"/>
          </w:tcPr>
          <w:p w14:paraId="51CFBBE3" w14:textId="5383A35A" w:rsidR="001A58F9" w:rsidRPr="00B148F9" w:rsidRDefault="001A58F9" w:rsidP="00496748">
            <w:pPr>
              <w:tabs>
                <w:tab w:val="left" w:pos="426"/>
                <w:tab w:val="left" w:pos="2160"/>
              </w:tabs>
              <w:rPr>
                <w:rFonts w:cs="Arial"/>
                <w:b/>
                <w:sz w:val="16"/>
              </w:rPr>
            </w:pPr>
            <w:r w:rsidRPr="00B148F9">
              <w:rPr>
                <w:rFonts w:cs="Arial"/>
                <w:b/>
                <w:sz w:val="16"/>
              </w:rPr>
              <w:t>Total Investment</w:t>
            </w:r>
            <w:r w:rsidR="00A533EE" w:rsidRPr="00B148F9">
              <w:rPr>
                <w:rFonts w:cs="Arial"/>
                <w:b/>
                <w:sz w:val="16"/>
              </w:rPr>
              <w:t>s</w:t>
            </w:r>
            <w:r w:rsidRPr="00B148F9">
              <w:rPr>
                <w:rFonts w:cs="Arial"/>
                <w:b/>
                <w:sz w:val="16"/>
              </w:rPr>
              <w:t xml:space="preserve"> in securities</w:t>
            </w:r>
          </w:p>
        </w:tc>
        <w:tc>
          <w:tcPr>
            <w:tcW w:w="1560" w:type="dxa"/>
            <w:tcBorders>
              <w:top w:val="single" w:sz="4" w:space="0" w:color="auto"/>
              <w:bottom w:val="single" w:sz="4" w:space="0" w:color="auto"/>
            </w:tcBorders>
            <w:vAlign w:val="bottom"/>
          </w:tcPr>
          <w:p w14:paraId="2967E522" w14:textId="1A4905D2" w:rsidR="001A58F9" w:rsidRPr="00B148F9" w:rsidRDefault="00074388">
            <w:pPr>
              <w:tabs>
                <w:tab w:val="left" w:pos="426"/>
                <w:tab w:val="left" w:pos="2160"/>
              </w:tabs>
              <w:jc w:val="right"/>
              <w:rPr>
                <w:rFonts w:cs="Arial"/>
              </w:rPr>
            </w:pPr>
            <w:r w:rsidRPr="00B148F9">
              <w:rPr>
                <w:rFonts w:cs="Arial"/>
              </w:rPr>
              <w:t>140,713,24</w:t>
            </w:r>
            <w:r w:rsidR="0020280D" w:rsidRPr="00B148F9">
              <w:rPr>
                <w:rFonts w:cs="Arial"/>
              </w:rPr>
              <w:t>0</w:t>
            </w:r>
          </w:p>
        </w:tc>
        <w:tc>
          <w:tcPr>
            <w:tcW w:w="1701" w:type="dxa"/>
            <w:tcBorders>
              <w:top w:val="single" w:sz="4" w:space="0" w:color="auto"/>
              <w:bottom w:val="single" w:sz="4" w:space="0" w:color="auto"/>
            </w:tcBorders>
            <w:vAlign w:val="bottom"/>
          </w:tcPr>
          <w:p w14:paraId="11CE11E3" w14:textId="1A951A4C" w:rsidR="001A58F9" w:rsidRPr="00B148F9" w:rsidRDefault="00074388" w:rsidP="00DE3E70">
            <w:pPr>
              <w:tabs>
                <w:tab w:val="left" w:pos="426"/>
                <w:tab w:val="left" w:pos="2160"/>
              </w:tabs>
              <w:jc w:val="right"/>
              <w:rPr>
                <w:rFonts w:cs="Arial"/>
              </w:rPr>
            </w:pPr>
            <w:r w:rsidRPr="00B148F9">
              <w:rPr>
                <w:rFonts w:cs="Arial"/>
              </w:rPr>
              <w:t>3,875,218</w:t>
            </w:r>
          </w:p>
        </w:tc>
        <w:tc>
          <w:tcPr>
            <w:tcW w:w="1701" w:type="dxa"/>
            <w:tcBorders>
              <w:top w:val="single" w:sz="4" w:space="0" w:color="auto"/>
              <w:bottom w:val="single" w:sz="4" w:space="0" w:color="auto"/>
            </w:tcBorders>
            <w:vAlign w:val="bottom"/>
          </w:tcPr>
          <w:p w14:paraId="2990DE59" w14:textId="0470FC45" w:rsidR="001A58F9" w:rsidRPr="00B148F9" w:rsidRDefault="00074388" w:rsidP="00DE3E70">
            <w:pPr>
              <w:tabs>
                <w:tab w:val="left" w:pos="426"/>
                <w:tab w:val="left" w:pos="2160"/>
              </w:tabs>
              <w:jc w:val="right"/>
              <w:rPr>
                <w:rFonts w:cs="Arial"/>
              </w:rPr>
            </w:pPr>
            <w:r w:rsidRPr="00B148F9">
              <w:rPr>
                <w:rFonts w:cs="Arial"/>
              </w:rPr>
              <w:t>26,064,551</w:t>
            </w:r>
          </w:p>
        </w:tc>
        <w:tc>
          <w:tcPr>
            <w:tcW w:w="1559" w:type="dxa"/>
            <w:tcBorders>
              <w:top w:val="single" w:sz="4" w:space="0" w:color="auto"/>
              <w:bottom w:val="single" w:sz="4" w:space="0" w:color="auto"/>
            </w:tcBorders>
            <w:vAlign w:val="bottom"/>
          </w:tcPr>
          <w:p w14:paraId="35AECE9B" w14:textId="1B3760FE" w:rsidR="001A58F9" w:rsidRPr="00B148F9" w:rsidRDefault="00074388" w:rsidP="00DE3E70">
            <w:pPr>
              <w:tabs>
                <w:tab w:val="left" w:pos="426"/>
                <w:tab w:val="left" w:pos="2160"/>
              </w:tabs>
              <w:jc w:val="right"/>
              <w:rPr>
                <w:rFonts w:cs="Arial"/>
              </w:rPr>
            </w:pPr>
            <w:r w:rsidRPr="00B148F9">
              <w:rPr>
                <w:rFonts w:cs="Arial"/>
              </w:rPr>
              <w:t>170,653,0</w:t>
            </w:r>
            <w:r w:rsidR="00992885" w:rsidRPr="00B148F9">
              <w:rPr>
                <w:rFonts w:cs="Arial"/>
              </w:rPr>
              <w:t>09</w:t>
            </w:r>
          </w:p>
        </w:tc>
      </w:tr>
      <w:tr w:rsidR="00D25B6E" w:rsidRPr="00B148F9" w14:paraId="181B841D" w14:textId="77777777" w:rsidTr="00EE53BF">
        <w:tc>
          <w:tcPr>
            <w:tcW w:w="256" w:type="dxa"/>
          </w:tcPr>
          <w:p w14:paraId="3FFC54E4" w14:textId="77777777" w:rsidR="001A58F9" w:rsidRPr="00B148F9" w:rsidRDefault="001A58F9" w:rsidP="00496748">
            <w:pPr>
              <w:tabs>
                <w:tab w:val="left" w:pos="426"/>
                <w:tab w:val="left" w:pos="2160"/>
              </w:tabs>
              <w:rPr>
                <w:rFonts w:cs="Arial"/>
                <w:sz w:val="16"/>
              </w:rPr>
            </w:pPr>
          </w:p>
        </w:tc>
        <w:tc>
          <w:tcPr>
            <w:tcW w:w="3146" w:type="dxa"/>
          </w:tcPr>
          <w:p w14:paraId="4E517E7A" w14:textId="77777777" w:rsidR="001A58F9" w:rsidRPr="00B148F9" w:rsidRDefault="001A58F9" w:rsidP="00496748">
            <w:pPr>
              <w:tabs>
                <w:tab w:val="left" w:pos="426"/>
                <w:tab w:val="left" w:pos="2160"/>
              </w:tabs>
              <w:rPr>
                <w:rFonts w:cs="Arial"/>
                <w:sz w:val="16"/>
              </w:rPr>
            </w:pPr>
          </w:p>
        </w:tc>
        <w:tc>
          <w:tcPr>
            <w:tcW w:w="1560" w:type="dxa"/>
            <w:tcBorders>
              <w:top w:val="single" w:sz="4" w:space="0" w:color="auto"/>
            </w:tcBorders>
          </w:tcPr>
          <w:p w14:paraId="276DEB62" w14:textId="77777777" w:rsidR="001A58F9" w:rsidRPr="00B148F9" w:rsidRDefault="001A58F9" w:rsidP="00496748">
            <w:pPr>
              <w:tabs>
                <w:tab w:val="left" w:pos="426"/>
                <w:tab w:val="left" w:pos="2160"/>
              </w:tabs>
              <w:rPr>
                <w:rFonts w:cs="Arial"/>
              </w:rPr>
            </w:pPr>
          </w:p>
        </w:tc>
        <w:tc>
          <w:tcPr>
            <w:tcW w:w="1701" w:type="dxa"/>
            <w:tcBorders>
              <w:top w:val="single" w:sz="4" w:space="0" w:color="auto"/>
            </w:tcBorders>
          </w:tcPr>
          <w:p w14:paraId="3EEBD901" w14:textId="77777777" w:rsidR="001A58F9" w:rsidRPr="00B148F9" w:rsidRDefault="001A58F9" w:rsidP="00496748">
            <w:pPr>
              <w:tabs>
                <w:tab w:val="left" w:pos="426"/>
                <w:tab w:val="left" w:pos="2160"/>
              </w:tabs>
              <w:rPr>
                <w:rFonts w:cs="Arial"/>
              </w:rPr>
            </w:pPr>
          </w:p>
        </w:tc>
        <w:tc>
          <w:tcPr>
            <w:tcW w:w="1701" w:type="dxa"/>
            <w:tcBorders>
              <w:top w:val="single" w:sz="4" w:space="0" w:color="auto"/>
            </w:tcBorders>
          </w:tcPr>
          <w:p w14:paraId="78F0E35C" w14:textId="77777777" w:rsidR="001A58F9" w:rsidRPr="00B148F9" w:rsidRDefault="001A58F9" w:rsidP="00496748">
            <w:pPr>
              <w:tabs>
                <w:tab w:val="left" w:pos="426"/>
                <w:tab w:val="left" w:pos="2160"/>
              </w:tabs>
              <w:rPr>
                <w:rFonts w:cs="Arial"/>
              </w:rPr>
            </w:pPr>
          </w:p>
        </w:tc>
        <w:tc>
          <w:tcPr>
            <w:tcW w:w="1559" w:type="dxa"/>
            <w:tcBorders>
              <w:top w:val="single" w:sz="4" w:space="0" w:color="auto"/>
            </w:tcBorders>
          </w:tcPr>
          <w:p w14:paraId="4C4F451F" w14:textId="77777777" w:rsidR="001A58F9" w:rsidRPr="00B148F9" w:rsidRDefault="001A58F9" w:rsidP="00496748">
            <w:pPr>
              <w:tabs>
                <w:tab w:val="left" w:pos="426"/>
                <w:tab w:val="left" w:pos="2160"/>
              </w:tabs>
              <w:rPr>
                <w:rFonts w:cs="Arial"/>
              </w:rPr>
            </w:pPr>
          </w:p>
        </w:tc>
      </w:tr>
      <w:tr w:rsidR="00D25B6E" w:rsidRPr="00B148F9" w14:paraId="297FC936" w14:textId="77777777" w:rsidTr="00EE53BF">
        <w:tc>
          <w:tcPr>
            <w:tcW w:w="256" w:type="dxa"/>
          </w:tcPr>
          <w:p w14:paraId="72A81BCE" w14:textId="77777777" w:rsidR="001A58F9" w:rsidRPr="00B148F9" w:rsidRDefault="001A58F9" w:rsidP="00496748">
            <w:pPr>
              <w:tabs>
                <w:tab w:val="left" w:pos="426"/>
                <w:tab w:val="left" w:pos="2160"/>
              </w:tabs>
              <w:rPr>
                <w:rFonts w:cs="Arial"/>
                <w:sz w:val="16"/>
              </w:rPr>
            </w:pPr>
          </w:p>
        </w:tc>
        <w:tc>
          <w:tcPr>
            <w:tcW w:w="3146" w:type="dxa"/>
          </w:tcPr>
          <w:p w14:paraId="363FB4C8" w14:textId="3A62B491" w:rsidR="001A58F9" w:rsidRPr="00B148F9" w:rsidRDefault="001A58F9" w:rsidP="00496748">
            <w:pPr>
              <w:tabs>
                <w:tab w:val="left" w:pos="426"/>
                <w:tab w:val="left" w:pos="2160"/>
              </w:tabs>
              <w:rPr>
                <w:rFonts w:cs="Arial"/>
                <w:b/>
                <w:sz w:val="16"/>
              </w:rPr>
            </w:pPr>
            <w:r w:rsidRPr="00B148F9">
              <w:rPr>
                <w:rFonts w:cs="Arial"/>
                <w:b/>
                <w:sz w:val="16"/>
              </w:rPr>
              <w:t>Derivat</w:t>
            </w:r>
            <w:r w:rsidR="000513EA" w:rsidRPr="00B148F9">
              <w:rPr>
                <w:rFonts w:cs="Arial"/>
                <w:b/>
                <w:sz w:val="16"/>
              </w:rPr>
              <w:t>iv</w:t>
            </w:r>
            <w:r w:rsidRPr="00B148F9">
              <w:rPr>
                <w:rFonts w:cs="Arial"/>
                <w:b/>
                <w:sz w:val="16"/>
              </w:rPr>
              <w:t>e contracts</w:t>
            </w:r>
          </w:p>
        </w:tc>
        <w:tc>
          <w:tcPr>
            <w:tcW w:w="1560" w:type="dxa"/>
          </w:tcPr>
          <w:p w14:paraId="45073BBE" w14:textId="77777777" w:rsidR="001A58F9" w:rsidRPr="00B148F9" w:rsidRDefault="001A58F9" w:rsidP="00496748">
            <w:pPr>
              <w:tabs>
                <w:tab w:val="left" w:pos="426"/>
                <w:tab w:val="left" w:pos="2160"/>
              </w:tabs>
              <w:rPr>
                <w:rFonts w:cs="Arial"/>
              </w:rPr>
            </w:pPr>
          </w:p>
        </w:tc>
        <w:tc>
          <w:tcPr>
            <w:tcW w:w="1701" w:type="dxa"/>
          </w:tcPr>
          <w:p w14:paraId="418BAEC2" w14:textId="77777777" w:rsidR="001A58F9" w:rsidRPr="00B148F9" w:rsidRDefault="001A58F9" w:rsidP="00496748">
            <w:pPr>
              <w:tabs>
                <w:tab w:val="left" w:pos="426"/>
                <w:tab w:val="left" w:pos="2160"/>
              </w:tabs>
              <w:rPr>
                <w:rFonts w:cs="Arial"/>
              </w:rPr>
            </w:pPr>
          </w:p>
        </w:tc>
        <w:tc>
          <w:tcPr>
            <w:tcW w:w="1701" w:type="dxa"/>
          </w:tcPr>
          <w:p w14:paraId="26BC0DF0" w14:textId="77777777" w:rsidR="001A58F9" w:rsidRPr="00B148F9" w:rsidRDefault="001A58F9" w:rsidP="00496748">
            <w:pPr>
              <w:tabs>
                <w:tab w:val="left" w:pos="426"/>
                <w:tab w:val="left" w:pos="2160"/>
              </w:tabs>
              <w:rPr>
                <w:rFonts w:cs="Arial"/>
              </w:rPr>
            </w:pPr>
          </w:p>
        </w:tc>
        <w:tc>
          <w:tcPr>
            <w:tcW w:w="1559" w:type="dxa"/>
          </w:tcPr>
          <w:p w14:paraId="176F7247" w14:textId="77777777" w:rsidR="001A58F9" w:rsidRPr="00B148F9" w:rsidRDefault="001A58F9" w:rsidP="00496748">
            <w:pPr>
              <w:tabs>
                <w:tab w:val="left" w:pos="426"/>
                <w:tab w:val="left" w:pos="2160"/>
              </w:tabs>
              <w:rPr>
                <w:rFonts w:cs="Arial"/>
              </w:rPr>
            </w:pPr>
          </w:p>
        </w:tc>
      </w:tr>
      <w:tr w:rsidR="00D25B6E" w:rsidRPr="00B148F9" w14:paraId="408E14A9" w14:textId="77777777" w:rsidTr="00EE53BF">
        <w:tc>
          <w:tcPr>
            <w:tcW w:w="256" w:type="dxa"/>
          </w:tcPr>
          <w:p w14:paraId="5DA538EE" w14:textId="77777777" w:rsidR="00D25B6E" w:rsidRPr="00B148F9" w:rsidRDefault="00D25B6E" w:rsidP="00D25B6E">
            <w:pPr>
              <w:tabs>
                <w:tab w:val="left" w:pos="426"/>
                <w:tab w:val="left" w:pos="2160"/>
              </w:tabs>
              <w:rPr>
                <w:rFonts w:cs="Arial"/>
                <w:sz w:val="16"/>
              </w:rPr>
            </w:pPr>
          </w:p>
        </w:tc>
        <w:tc>
          <w:tcPr>
            <w:tcW w:w="3146" w:type="dxa"/>
          </w:tcPr>
          <w:p w14:paraId="2685EF09" w14:textId="1777DB4D" w:rsidR="00D25B6E" w:rsidRPr="00B148F9" w:rsidRDefault="00D25B6E" w:rsidP="00D25B6E">
            <w:pPr>
              <w:tabs>
                <w:tab w:val="left" w:pos="426"/>
                <w:tab w:val="left" w:pos="2160"/>
              </w:tabs>
              <w:rPr>
                <w:rFonts w:cs="Arial"/>
                <w:sz w:val="16"/>
              </w:rPr>
            </w:pPr>
            <w:r w:rsidRPr="00B148F9">
              <w:rPr>
                <w:rFonts w:cs="Arial"/>
                <w:sz w:val="16"/>
              </w:rPr>
              <w:t>Equity swaps</w:t>
            </w:r>
          </w:p>
        </w:tc>
        <w:tc>
          <w:tcPr>
            <w:tcW w:w="1560" w:type="dxa"/>
            <w:tcBorders>
              <w:bottom w:val="single" w:sz="4" w:space="0" w:color="auto"/>
            </w:tcBorders>
            <w:vAlign w:val="bottom"/>
          </w:tcPr>
          <w:p w14:paraId="7B2FE74F" w14:textId="4843CF49" w:rsidR="00D25B6E" w:rsidRPr="00B148F9" w:rsidRDefault="00D25B6E" w:rsidP="00D25B6E">
            <w:pPr>
              <w:tabs>
                <w:tab w:val="left" w:pos="426"/>
                <w:tab w:val="left" w:pos="2160"/>
              </w:tabs>
              <w:jc w:val="right"/>
              <w:rPr>
                <w:rFonts w:cs="Arial"/>
              </w:rPr>
            </w:pPr>
            <w:r w:rsidRPr="00B148F9">
              <w:rPr>
                <w:rFonts w:cs="Arial"/>
              </w:rPr>
              <w:t>-</w:t>
            </w:r>
          </w:p>
        </w:tc>
        <w:tc>
          <w:tcPr>
            <w:tcW w:w="1701" w:type="dxa"/>
            <w:tcBorders>
              <w:bottom w:val="single" w:sz="4" w:space="0" w:color="auto"/>
            </w:tcBorders>
            <w:vAlign w:val="bottom"/>
          </w:tcPr>
          <w:p w14:paraId="77C9C6FE" w14:textId="6C73FF3B" w:rsidR="00D25B6E" w:rsidRPr="00B148F9" w:rsidRDefault="00D25B6E" w:rsidP="00D25B6E">
            <w:pPr>
              <w:tabs>
                <w:tab w:val="left" w:pos="426"/>
                <w:tab w:val="left" w:pos="2160"/>
              </w:tabs>
              <w:jc w:val="right"/>
              <w:rPr>
                <w:rFonts w:cs="Arial"/>
              </w:rPr>
            </w:pPr>
            <w:r w:rsidRPr="00B148F9">
              <w:rPr>
                <w:rFonts w:cs="Arial"/>
              </w:rPr>
              <w:t>1,326,441</w:t>
            </w:r>
          </w:p>
        </w:tc>
        <w:tc>
          <w:tcPr>
            <w:tcW w:w="1701" w:type="dxa"/>
            <w:tcBorders>
              <w:bottom w:val="single" w:sz="4" w:space="0" w:color="auto"/>
            </w:tcBorders>
            <w:vAlign w:val="bottom"/>
          </w:tcPr>
          <w:p w14:paraId="12E403E0" w14:textId="3DABFDF2" w:rsidR="00D25B6E" w:rsidRPr="00B148F9" w:rsidRDefault="00D25B6E" w:rsidP="00D25B6E">
            <w:pPr>
              <w:tabs>
                <w:tab w:val="left" w:pos="426"/>
                <w:tab w:val="left" w:pos="2160"/>
              </w:tabs>
              <w:jc w:val="right"/>
              <w:rPr>
                <w:rFonts w:cs="Arial"/>
              </w:rPr>
            </w:pPr>
            <w:r w:rsidRPr="00B148F9">
              <w:rPr>
                <w:rFonts w:cs="Arial"/>
              </w:rPr>
              <w:t>-</w:t>
            </w:r>
          </w:p>
        </w:tc>
        <w:tc>
          <w:tcPr>
            <w:tcW w:w="1559" w:type="dxa"/>
            <w:tcBorders>
              <w:bottom w:val="single" w:sz="4" w:space="0" w:color="auto"/>
            </w:tcBorders>
            <w:vAlign w:val="bottom"/>
          </w:tcPr>
          <w:p w14:paraId="507556C1" w14:textId="3FB30E67" w:rsidR="00D25B6E" w:rsidRPr="00B148F9" w:rsidRDefault="00D25B6E" w:rsidP="00D25B6E">
            <w:pPr>
              <w:tabs>
                <w:tab w:val="left" w:pos="426"/>
                <w:tab w:val="left" w:pos="2160"/>
              </w:tabs>
              <w:jc w:val="right"/>
              <w:rPr>
                <w:rFonts w:cs="Arial"/>
              </w:rPr>
            </w:pPr>
            <w:r w:rsidRPr="00B148F9">
              <w:rPr>
                <w:rFonts w:cs="Arial"/>
              </w:rPr>
              <w:t>1,326,441</w:t>
            </w:r>
          </w:p>
        </w:tc>
      </w:tr>
      <w:tr w:rsidR="00D25B6E" w:rsidRPr="00B148F9" w14:paraId="69766E45" w14:textId="77777777" w:rsidTr="00EE53BF">
        <w:tc>
          <w:tcPr>
            <w:tcW w:w="256" w:type="dxa"/>
          </w:tcPr>
          <w:p w14:paraId="25BB7C7A" w14:textId="77777777" w:rsidR="00D25B6E" w:rsidRPr="00B148F9" w:rsidRDefault="00D25B6E" w:rsidP="00D25B6E">
            <w:pPr>
              <w:tabs>
                <w:tab w:val="left" w:pos="426"/>
                <w:tab w:val="left" w:pos="2160"/>
              </w:tabs>
              <w:rPr>
                <w:rFonts w:cs="Arial"/>
                <w:sz w:val="16"/>
              </w:rPr>
            </w:pPr>
          </w:p>
        </w:tc>
        <w:tc>
          <w:tcPr>
            <w:tcW w:w="3146" w:type="dxa"/>
          </w:tcPr>
          <w:p w14:paraId="24A30912" w14:textId="5B5F61DE" w:rsidR="00D25B6E" w:rsidRPr="00B148F9" w:rsidRDefault="00D25B6E" w:rsidP="00D25B6E">
            <w:pPr>
              <w:tabs>
                <w:tab w:val="left" w:pos="426"/>
                <w:tab w:val="left" w:pos="2160"/>
              </w:tabs>
              <w:rPr>
                <w:rFonts w:cs="Arial"/>
                <w:sz w:val="16"/>
              </w:rPr>
            </w:pPr>
            <w:r w:rsidRPr="00B148F9">
              <w:rPr>
                <w:rFonts w:cs="Arial"/>
                <w:b/>
                <w:sz w:val="16"/>
              </w:rPr>
              <w:t>Total derivat</w:t>
            </w:r>
            <w:r w:rsidR="000513EA" w:rsidRPr="00B148F9">
              <w:rPr>
                <w:rFonts w:cs="Arial"/>
                <w:b/>
                <w:sz w:val="16"/>
              </w:rPr>
              <w:t>iv</w:t>
            </w:r>
            <w:r w:rsidRPr="00B148F9">
              <w:rPr>
                <w:rFonts w:cs="Arial"/>
                <w:b/>
                <w:sz w:val="16"/>
              </w:rPr>
              <w:t>e contracts</w:t>
            </w:r>
          </w:p>
        </w:tc>
        <w:tc>
          <w:tcPr>
            <w:tcW w:w="1560" w:type="dxa"/>
            <w:tcBorders>
              <w:top w:val="single" w:sz="4" w:space="0" w:color="auto"/>
              <w:bottom w:val="single" w:sz="4" w:space="0" w:color="auto"/>
            </w:tcBorders>
            <w:vAlign w:val="bottom"/>
          </w:tcPr>
          <w:p w14:paraId="1D9FCC96" w14:textId="391360DC" w:rsidR="00D25B6E" w:rsidRPr="00B148F9" w:rsidRDefault="00D25B6E" w:rsidP="00D25B6E">
            <w:pPr>
              <w:tabs>
                <w:tab w:val="left" w:pos="426"/>
                <w:tab w:val="left" w:pos="2160"/>
              </w:tabs>
              <w:jc w:val="right"/>
              <w:rPr>
                <w:rFonts w:cs="Arial"/>
              </w:rPr>
            </w:pPr>
            <w:r w:rsidRPr="00B148F9">
              <w:rPr>
                <w:rFonts w:cs="Arial"/>
              </w:rPr>
              <w:t>-</w:t>
            </w:r>
          </w:p>
        </w:tc>
        <w:tc>
          <w:tcPr>
            <w:tcW w:w="1701" w:type="dxa"/>
            <w:tcBorders>
              <w:top w:val="single" w:sz="4" w:space="0" w:color="auto"/>
              <w:bottom w:val="single" w:sz="4" w:space="0" w:color="auto"/>
            </w:tcBorders>
            <w:vAlign w:val="bottom"/>
          </w:tcPr>
          <w:p w14:paraId="16785031" w14:textId="3777BD73" w:rsidR="00D25B6E" w:rsidRPr="00B148F9" w:rsidRDefault="00D25B6E" w:rsidP="00D25B6E">
            <w:pPr>
              <w:tabs>
                <w:tab w:val="left" w:pos="426"/>
                <w:tab w:val="left" w:pos="2160"/>
              </w:tabs>
              <w:jc w:val="right"/>
              <w:rPr>
                <w:rFonts w:cs="Arial"/>
              </w:rPr>
            </w:pPr>
            <w:r w:rsidRPr="00B148F9">
              <w:rPr>
                <w:rFonts w:cs="Arial"/>
              </w:rPr>
              <w:t>1,326,441</w:t>
            </w:r>
          </w:p>
        </w:tc>
        <w:tc>
          <w:tcPr>
            <w:tcW w:w="1701" w:type="dxa"/>
            <w:tcBorders>
              <w:top w:val="single" w:sz="4" w:space="0" w:color="auto"/>
              <w:bottom w:val="single" w:sz="4" w:space="0" w:color="auto"/>
            </w:tcBorders>
            <w:vAlign w:val="bottom"/>
          </w:tcPr>
          <w:p w14:paraId="20A91609" w14:textId="0B5DB13A" w:rsidR="00D25B6E" w:rsidRPr="00B148F9" w:rsidRDefault="00D25B6E" w:rsidP="00D25B6E">
            <w:pPr>
              <w:tabs>
                <w:tab w:val="left" w:pos="426"/>
                <w:tab w:val="left" w:pos="2160"/>
              </w:tabs>
              <w:jc w:val="right"/>
              <w:rPr>
                <w:rFonts w:cs="Arial"/>
              </w:rPr>
            </w:pPr>
            <w:r w:rsidRPr="00B148F9">
              <w:rPr>
                <w:rFonts w:cs="Arial"/>
              </w:rPr>
              <w:t>-</w:t>
            </w:r>
          </w:p>
        </w:tc>
        <w:tc>
          <w:tcPr>
            <w:tcW w:w="1559" w:type="dxa"/>
            <w:tcBorders>
              <w:top w:val="single" w:sz="4" w:space="0" w:color="auto"/>
              <w:bottom w:val="single" w:sz="4" w:space="0" w:color="auto"/>
            </w:tcBorders>
            <w:vAlign w:val="bottom"/>
          </w:tcPr>
          <w:p w14:paraId="11BF0D85" w14:textId="43A4DE90" w:rsidR="00D25B6E" w:rsidRPr="00B148F9" w:rsidRDefault="00D25B6E" w:rsidP="00D25B6E">
            <w:pPr>
              <w:tabs>
                <w:tab w:val="left" w:pos="426"/>
                <w:tab w:val="left" w:pos="2160"/>
              </w:tabs>
              <w:jc w:val="right"/>
              <w:rPr>
                <w:rFonts w:cs="Arial"/>
              </w:rPr>
            </w:pPr>
            <w:r w:rsidRPr="00B148F9">
              <w:rPr>
                <w:rFonts w:cs="Arial"/>
              </w:rPr>
              <w:t>1,326,441</w:t>
            </w:r>
          </w:p>
        </w:tc>
      </w:tr>
      <w:tr w:rsidR="00D25B6E" w:rsidRPr="00B148F9" w14:paraId="31B6BC6F" w14:textId="77777777" w:rsidTr="00EE53BF">
        <w:tc>
          <w:tcPr>
            <w:tcW w:w="256" w:type="dxa"/>
          </w:tcPr>
          <w:p w14:paraId="7F714DCA" w14:textId="77777777" w:rsidR="00D25B6E" w:rsidRPr="00B148F9" w:rsidRDefault="00D25B6E" w:rsidP="00D25B6E">
            <w:pPr>
              <w:tabs>
                <w:tab w:val="left" w:pos="426"/>
                <w:tab w:val="left" w:pos="2160"/>
              </w:tabs>
              <w:rPr>
                <w:rFonts w:cs="Arial"/>
                <w:sz w:val="16"/>
              </w:rPr>
            </w:pPr>
          </w:p>
        </w:tc>
        <w:tc>
          <w:tcPr>
            <w:tcW w:w="3146" w:type="dxa"/>
          </w:tcPr>
          <w:p w14:paraId="38C240D5" w14:textId="77777777" w:rsidR="00D25B6E" w:rsidRPr="00B148F9" w:rsidRDefault="00D25B6E" w:rsidP="00D25B6E">
            <w:pPr>
              <w:tabs>
                <w:tab w:val="left" w:pos="426"/>
                <w:tab w:val="left" w:pos="2160"/>
              </w:tabs>
              <w:rPr>
                <w:rFonts w:cs="Arial"/>
                <w:sz w:val="16"/>
              </w:rPr>
            </w:pPr>
          </w:p>
        </w:tc>
        <w:tc>
          <w:tcPr>
            <w:tcW w:w="1560" w:type="dxa"/>
            <w:tcBorders>
              <w:top w:val="single" w:sz="4" w:space="0" w:color="auto"/>
              <w:bottom w:val="single" w:sz="18" w:space="0" w:color="auto"/>
            </w:tcBorders>
            <w:vAlign w:val="bottom"/>
          </w:tcPr>
          <w:p w14:paraId="0F3E0E5D" w14:textId="15E5EC89" w:rsidR="00D25B6E" w:rsidRPr="00B148F9" w:rsidRDefault="00D25B6E" w:rsidP="00780DC6">
            <w:pPr>
              <w:tabs>
                <w:tab w:val="left" w:pos="426"/>
                <w:tab w:val="left" w:pos="2160"/>
              </w:tabs>
              <w:jc w:val="right"/>
              <w:rPr>
                <w:rFonts w:cs="Arial"/>
              </w:rPr>
            </w:pPr>
            <w:r w:rsidRPr="00B148F9">
              <w:rPr>
                <w:rFonts w:cs="Arial"/>
              </w:rPr>
              <w:t>140,713,240</w:t>
            </w:r>
          </w:p>
        </w:tc>
        <w:tc>
          <w:tcPr>
            <w:tcW w:w="1701" w:type="dxa"/>
            <w:tcBorders>
              <w:top w:val="single" w:sz="4" w:space="0" w:color="auto"/>
              <w:bottom w:val="single" w:sz="18" w:space="0" w:color="auto"/>
            </w:tcBorders>
            <w:vAlign w:val="bottom"/>
          </w:tcPr>
          <w:p w14:paraId="5AB9B73D" w14:textId="30B00F26" w:rsidR="00D25B6E" w:rsidRPr="00B148F9" w:rsidRDefault="00D25B6E" w:rsidP="00D25B6E">
            <w:pPr>
              <w:tabs>
                <w:tab w:val="left" w:pos="426"/>
                <w:tab w:val="left" w:pos="2160"/>
              </w:tabs>
              <w:jc w:val="right"/>
              <w:rPr>
                <w:rFonts w:cs="Arial"/>
              </w:rPr>
            </w:pPr>
            <w:r w:rsidRPr="00B148F9">
              <w:rPr>
                <w:rFonts w:cs="Arial"/>
              </w:rPr>
              <w:t>5,201,659</w:t>
            </w:r>
          </w:p>
        </w:tc>
        <w:tc>
          <w:tcPr>
            <w:tcW w:w="1701" w:type="dxa"/>
            <w:tcBorders>
              <w:top w:val="single" w:sz="4" w:space="0" w:color="auto"/>
              <w:bottom w:val="single" w:sz="18" w:space="0" w:color="auto"/>
            </w:tcBorders>
            <w:vAlign w:val="bottom"/>
          </w:tcPr>
          <w:p w14:paraId="21B77481" w14:textId="664D0C02" w:rsidR="00D25B6E" w:rsidRPr="00B148F9" w:rsidRDefault="00D25B6E" w:rsidP="00D25B6E">
            <w:pPr>
              <w:tabs>
                <w:tab w:val="left" w:pos="426"/>
                <w:tab w:val="left" w:pos="2160"/>
              </w:tabs>
              <w:jc w:val="right"/>
              <w:rPr>
                <w:rFonts w:cs="Arial"/>
              </w:rPr>
            </w:pPr>
            <w:r w:rsidRPr="00B148F9">
              <w:rPr>
                <w:rFonts w:cs="Arial"/>
              </w:rPr>
              <w:t>26,064,551</w:t>
            </w:r>
          </w:p>
        </w:tc>
        <w:tc>
          <w:tcPr>
            <w:tcW w:w="1559" w:type="dxa"/>
            <w:tcBorders>
              <w:top w:val="single" w:sz="4" w:space="0" w:color="auto"/>
              <w:bottom w:val="single" w:sz="18" w:space="0" w:color="auto"/>
            </w:tcBorders>
            <w:vAlign w:val="bottom"/>
          </w:tcPr>
          <w:p w14:paraId="15FD4E6F" w14:textId="1E5A0BA5" w:rsidR="00D25B6E" w:rsidRPr="00B148F9" w:rsidRDefault="00D25B6E" w:rsidP="00D25B6E">
            <w:pPr>
              <w:tabs>
                <w:tab w:val="left" w:pos="426"/>
                <w:tab w:val="left" w:pos="2160"/>
              </w:tabs>
              <w:jc w:val="right"/>
              <w:rPr>
                <w:rFonts w:cs="Arial"/>
              </w:rPr>
            </w:pPr>
            <w:r w:rsidRPr="00B148F9">
              <w:rPr>
                <w:rFonts w:cs="Arial"/>
              </w:rPr>
              <w:t>171,979,450</w:t>
            </w:r>
          </w:p>
        </w:tc>
      </w:tr>
      <w:tr w:rsidR="00D25B6E" w:rsidRPr="00B148F9" w14:paraId="20087D27" w14:textId="77777777" w:rsidTr="00EE53BF">
        <w:tc>
          <w:tcPr>
            <w:tcW w:w="256" w:type="dxa"/>
          </w:tcPr>
          <w:p w14:paraId="4A67CC6F" w14:textId="77777777" w:rsidR="00D25B6E" w:rsidRPr="00B148F9" w:rsidRDefault="00D25B6E" w:rsidP="00D25B6E">
            <w:pPr>
              <w:tabs>
                <w:tab w:val="left" w:pos="426"/>
                <w:tab w:val="left" w:pos="2160"/>
              </w:tabs>
              <w:rPr>
                <w:rFonts w:cs="Arial"/>
                <w:sz w:val="16"/>
              </w:rPr>
            </w:pPr>
          </w:p>
        </w:tc>
        <w:tc>
          <w:tcPr>
            <w:tcW w:w="3146" w:type="dxa"/>
          </w:tcPr>
          <w:p w14:paraId="0B1A9D90" w14:textId="77777777" w:rsidR="00D25B6E" w:rsidRPr="00B148F9" w:rsidRDefault="00D25B6E" w:rsidP="00D25B6E">
            <w:pPr>
              <w:tabs>
                <w:tab w:val="left" w:pos="426"/>
                <w:tab w:val="left" w:pos="2160"/>
              </w:tabs>
              <w:rPr>
                <w:rFonts w:cs="Arial"/>
                <w:sz w:val="16"/>
              </w:rPr>
            </w:pPr>
          </w:p>
        </w:tc>
        <w:tc>
          <w:tcPr>
            <w:tcW w:w="1560" w:type="dxa"/>
            <w:tcBorders>
              <w:top w:val="single" w:sz="18" w:space="0" w:color="auto"/>
            </w:tcBorders>
          </w:tcPr>
          <w:p w14:paraId="171B4B9F" w14:textId="77777777" w:rsidR="00D25B6E" w:rsidRPr="00B148F9" w:rsidRDefault="00D25B6E" w:rsidP="00D25B6E">
            <w:pPr>
              <w:tabs>
                <w:tab w:val="left" w:pos="426"/>
                <w:tab w:val="left" w:pos="2160"/>
              </w:tabs>
              <w:rPr>
                <w:rFonts w:cs="Arial"/>
              </w:rPr>
            </w:pPr>
          </w:p>
        </w:tc>
        <w:tc>
          <w:tcPr>
            <w:tcW w:w="1701" w:type="dxa"/>
            <w:tcBorders>
              <w:top w:val="single" w:sz="18" w:space="0" w:color="auto"/>
            </w:tcBorders>
          </w:tcPr>
          <w:p w14:paraId="0D30CFFB" w14:textId="77777777" w:rsidR="00D25B6E" w:rsidRPr="00B148F9" w:rsidRDefault="00D25B6E" w:rsidP="00D25B6E">
            <w:pPr>
              <w:tabs>
                <w:tab w:val="left" w:pos="426"/>
                <w:tab w:val="left" w:pos="2160"/>
              </w:tabs>
              <w:rPr>
                <w:rFonts w:cs="Arial"/>
              </w:rPr>
            </w:pPr>
          </w:p>
        </w:tc>
        <w:tc>
          <w:tcPr>
            <w:tcW w:w="1701" w:type="dxa"/>
            <w:tcBorders>
              <w:top w:val="single" w:sz="18" w:space="0" w:color="auto"/>
            </w:tcBorders>
          </w:tcPr>
          <w:p w14:paraId="24A79306" w14:textId="77777777" w:rsidR="00D25B6E" w:rsidRPr="00B148F9" w:rsidRDefault="00D25B6E" w:rsidP="00D25B6E">
            <w:pPr>
              <w:tabs>
                <w:tab w:val="left" w:pos="426"/>
                <w:tab w:val="left" w:pos="2160"/>
              </w:tabs>
              <w:rPr>
                <w:rFonts w:cs="Arial"/>
              </w:rPr>
            </w:pPr>
          </w:p>
        </w:tc>
        <w:tc>
          <w:tcPr>
            <w:tcW w:w="1559" w:type="dxa"/>
            <w:tcBorders>
              <w:top w:val="single" w:sz="18" w:space="0" w:color="auto"/>
            </w:tcBorders>
          </w:tcPr>
          <w:p w14:paraId="4BC0018E" w14:textId="77777777" w:rsidR="00D25B6E" w:rsidRPr="00B148F9" w:rsidRDefault="00D25B6E" w:rsidP="00D25B6E">
            <w:pPr>
              <w:tabs>
                <w:tab w:val="left" w:pos="426"/>
                <w:tab w:val="left" w:pos="2160"/>
              </w:tabs>
              <w:rPr>
                <w:rFonts w:cs="Arial"/>
              </w:rPr>
            </w:pPr>
          </w:p>
        </w:tc>
      </w:tr>
      <w:tr w:rsidR="00D25B6E" w:rsidRPr="00B148F9" w14:paraId="41BD626B" w14:textId="77777777" w:rsidTr="00EE53BF">
        <w:tc>
          <w:tcPr>
            <w:tcW w:w="3402" w:type="dxa"/>
            <w:gridSpan w:val="2"/>
          </w:tcPr>
          <w:p w14:paraId="637C4150" w14:textId="53B42D96" w:rsidR="00D25B6E" w:rsidRPr="00B148F9" w:rsidRDefault="00D25B6E" w:rsidP="00D25B6E">
            <w:pPr>
              <w:tabs>
                <w:tab w:val="left" w:pos="426"/>
                <w:tab w:val="left" w:pos="2160"/>
              </w:tabs>
              <w:rPr>
                <w:rFonts w:cs="Arial"/>
                <w:sz w:val="16"/>
              </w:rPr>
            </w:pPr>
            <w:r w:rsidRPr="00B148F9">
              <w:rPr>
                <w:rFonts w:cs="Arial"/>
                <w:b/>
                <w:sz w:val="16"/>
              </w:rPr>
              <w:t>Liabilities</w:t>
            </w:r>
            <w:r w:rsidRPr="00B148F9">
              <w:rPr>
                <w:rFonts w:cs="Arial"/>
                <w:sz w:val="16"/>
              </w:rPr>
              <w:t xml:space="preserve"> (at fair value)</w:t>
            </w:r>
          </w:p>
        </w:tc>
        <w:tc>
          <w:tcPr>
            <w:tcW w:w="1560" w:type="dxa"/>
          </w:tcPr>
          <w:p w14:paraId="30E28849" w14:textId="77777777" w:rsidR="00D25B6E" w:rsidRPr="00B148F9" w:rsidRDefault="00D25B6E" w:rsidP="00D25B6E">
            <w:pPr>
              <w:tabs>
                <w:tab w:val="left" w:pos="426"/>
                <w:tab w:val="left" w:pos="2160"/>
              </w:tabs>
              <w:rPr>
                <w:rFonts w:cs="Arial"/>
              </w:rPr>
            </w:pPr>
          </w:p>
        </w:tc>
        <w:tc>
          <w:tcPr>
            <w:tcW w:w="1701" w:type="dxa"/>
          </w:tcPr>
          <w:p w14:paraId="7D931EE0" w14:textId="77777777" w:rsidR="00D25B6E" w:rsidRPr="00B148F9" w:rsidRDefault="00D25B6E" w:rsidP="00D25B6E">
            <w:pPr>
              <w:tabs>
                <w:tab w:val="left" w:pos="426"/>
                <w:tab w:val="left" w:pos="2160"/>
              </w:tabs>
              <w:rPr>
                <w:rFonts w:cs="Arial"/>
              </w:rPr>
            </w:pPr>
          </w:p>
        </w:tc>
        <w:tc>
          <w:tcPr>
            <w:tcW w:w="1701" w:type="dxa"/>
          </w:tcPr>
          <w:p w14:paraId="101466B9" w14:textId="77777777" w:rsidR="00D25B6E" w:rsidRPr="00B148F9" w:rsidRDefault="00D25B6E" w:rsidP="00D25B6E">
            <w:pPr>
              <w:tabs>
                <w:tab w:val="left" w:pos="426"/>
                <w:tab w:val="left" w:pos="2160"/>
              </w:tabs>
              <w:rPr>
                <w:rFonts w:cs="Arial"/>
              </w:rPr>
            </w:pPr>
          </w:p>
        </w:tc>
        <w:tc>
          <w:tcPr>
            <w:tcW w:w="1559" w:type="dxa"/>
          </w:tcPr>
          <w:p w14:paraId="79B577AF" w14:textId="77777777" w:rsidR="00D25B6E" w:rsidRPr="00B148F9" w:rsidRDefault="00D25B6E" w:rsidP="00D25B6E">
            <w:pPr>
              <w:tabs>
                <w:tab w:val="left" w:pos="426"/>
                <w:tab w:val="left" w:pos="2160"/>
              </w:tabs>
              <w:rPr>
                <w:rFonts w:cs="Arial"/>
              </w:rPr>
            </w:pPr>
          </w:p>
        </w:tc>
      </w:tr>
      <w:tr w:rsidR="00D25B6E" w:rsidRPr="00B148F9" w14:paraId="182D2CE2" w14:textId="77777777" w:rsidTr="00EE53BF">
        <w:tc>
          <w:tcPr>
            <w:tcW w:w="256" w:type="dxa"/>
          </w:tcPr>
          <w:p w14:paraId="197587CD" w14:textId="77777777" w:rsidR="00D25B6E" w:rsidRPr="00B148F9" w:rsidRDefault="00D25B6E" w:rsidP="00D25B6E">
            <w:pPr>
              <w:tabs>
                <w:tab w:val="left" w:pos="426"/>
                <w:tab w:val="left" w:pos="2160"/>
              </w:tabs>
              <w:rPr>
                <w:rFonts w:cs="Arial"/>
                <w:sz w:val="16"/>
              </w:rPr>
            </w:pPr>
          </w:p>
        </w:tc>
        <w:tc>
          <w:tcPr>
            <w:tcW w:w="3146" w:type="dxa"/>
          </w:tcPr>
          <w:p w14:paraId="4CE790A6" w14:textId="77777777" w:rsidR="00D25B6E" w:rsidRPr="00B148F9" w:rsidRDefault="00D25B6E" w:rsidP="00D25B6E">
            <w:pPr>
              <w:tabs>
                <w:tab w:val="left" w:pos="426"/>
                <w:tab w:val="left" w:pos="2160"/>
              </w:tabs>
              <w:rPr>
                <w:rFonts w:cs="Arial"/>
                <w:sz w:val="16"/>
              </w:rPr>
            </w:pPr>
          </w:p>
        </w:tc>
        <w:tc>
          <w:tcPr>
            <w:tcW w:w="1560" w:type="dxa"/>
          </w:tcPr>
          <w:p w14:paraId="6AA50D97" w14:textId="77777777" w:rsidR="00D25B6E" w:rsidRPr="00B148F9" w:rsidRDefault="00D25B6E" w:rsidP="00D25B6E">
            <w:pPr>
              <w:tabs>
                <w:tab w:val="left" w:pos="426"/>
                <w:tab w:val="left" w:pos="2160"/>
              </w:tabs>
              <w:rPr>
                <w:rFonts w:cs="Arial"/>
              </w:rPr>
            </w:pPr>
          </w:p>
        </w:tc>
        <w:tc>
          <w:tcPr>
            <w:tcW w:w="1701" w:type="dxa"/>
          </w:tcPr>
          <w:p w14:paraId="5907392A" w14:textId="77777777" w:rsidR="00D25B6E" w:rsidRPr="00B148F9" w:rsidRDefault="00D25B6E" w:rsidP="00D25B6E">
            <w:pPr>
              <w:tabs>
                <w:tab w:val="left" w:pos="426"/>
                <w:tab w:val="left" w:pos="2160"/>
              </w:tabs>
              <w:rPr>
                <w:rFonts w:cs="Arial"/>
              </w:rPr>
            </w:pPr>
          </w:p>
        </w:tc>
        <w:tc>
          <w:tcPr>
            <w:tcW w:w="1701" w:type="dxa"/>
          </w:tcPr>
          <w:p w14:paraId="0528DBE6" w14:textId="77777777" w:rsidR="00D25B6E" w:rsidRPr="00B148F9" w:rsidRDefault="00D25B6E" w:rsidP="00D25B6E">
            <w:pPr>
              <w:tabs>
                <w:tab w:val="left" w:pos="426"/>
                <w:tab w:val="left" w:pos="2160"/>
              </w:tabs>
              <w:rPr>
                <w:rFonts w:cs="Arial"/>
              </w:rPr>
            </w:pPr>
          </w:p>
        </w:tc>
        <w:tc>
          <w:tcPr>
            <w:tcW w:w="1559" w:type="dxa"/>
          </w:tcPr>
          <w:p w14:paraId="0B88BFA7" w14:textId="77777777" w:rsidR="00D25B6E" w:rsidRPr="00B148F9" w:rsidRDefault="00D25B6E" w:rsidP="00D25B6E">
            <w:pPr>
              <w:tabs>
                <w:tab w:val="left" w:pos="426"/>
                <w:tab w:val="left" w:pos="2160"/>
              </w:tabs>
              <w:rPr>
                <w:rFonts w:cs="Arial"/>
              </w:rPr>
            </w:pPr>
          </w:p>
        </w:tc>
      </w:tr>
      <w:tr w:rsidR="00D25B6E" w:rsidRPr="00B148F9" w14:paraId="53FDD65E" w14:textId="77777777" w:rsidTr="00EE53BF">
        <w:tc>
          <w:tcPr>
            <w:tcW w:w="256" w:type="dxa"/>
          </w:tcPr>
          <w:p w14:paraId="181F8AF5" w14:textId="77777777" w:rsidR="00D25B6E" w:rsidRPr="00B148F9" w:rsidRDefault="00D25B6E" w:rsidP="00D25B6E">
            <w:pPr>
              <w:tabs>
                <w:tab w:val="left" w:pos="426"/>
                <w:tab w:val="left" w:pos="2160"/>
              </w:tabs>
              <w:rPr>
                <w:rFonts w:cs="Arial"/>
                <w:sz w:val="16"/>
              </w:rPr>
            </w:pPr>
          </w:p>
        </w:tc>
        <w:tc>
          <w:tcPr>
            <w:tcW w:w="3146" w:type="dxa"/>
          </w:tcPr>
          <w:p w14:paraId="0D229CF8" w14:textId="20250F90" w:rsidR="00D25B6E" w:rsidRPr="00B148F9" w:rsidRDefault="00D25B6E" w:rsidP="00D25B6E">
            <w:pPr>
              <w:tabs>
                <w:tab w:val="left" w:pos="426"/>
                <w:tab w:val="left" w:pos="2160"/>
              </w:tabs>
              <w:rPr>
                <w:rFonts w:cs="Arial"/>
                <w:sz w:val="16"/>
              </w:rPr>
            </w:pPr>
            <w:r w:rsidRPr="00B148F9">
              <w:rPr>
                <w:rFonts w:cs="Arial"/>
                <w:b/>
                <w:sz w:val="16"/>
              </w:rPr>
              <w:t>Securities sold short</w:t>
            </w:r>
          </w:p>
        </w:tc>
        <w:tc>
          <w:tcPr>
            <w:tcW w:w="1560" w:type="dxa"/>
          </w:tcPr>
          <w:p w14:paraId="03EC7FE8" w14:textId="77777777" w:rsidR="00D25B6E" w:rsidRPr="00B148F9" w:rsidRDefault="00D25B6E" w:rsidP="00D25B6E">
            <w:pPr>
              <w:tabs>
                <w:tab w:val="left" w:pos="426"/>
                <w:tab w:val="left" w:pos="2160"/>
              </w:tabs>
              <w:rPr>
                <w:rFonts w:cs="Arial"/>
              </w:rPr>
            </w:pPr>
          </w:p>
        </w:tc>
        <w:tc>
          <w:tcPr>
            <w:tcW w:w="1701" w:type="dxa"/>
          </w:tcPr>
          <w:p w14:paraId="22F3A865" w14:textId="77777777" w:rsidR="00D25B6E" w:rsidRPr="00B148F9" w:rsidRDefault="00D25B6E" w:rsidP="00D25B6E">
            <w:pPr>
              <w:tabs>
                <w:tab w:val="left" w:pos="426"/>
                <w:tab w:val="left" w:pos="2160"/>
              </w:tabs>
              <w:rPr>
                <w:rFonts w:cs="Arial"/>
              </w:rPr>
            </w:pPr>
          </w:p>
        </w:tc>
        <w:tc>
          <w:tcPr>
            <w:tcW w:w="1701" w:type="dxa"/>
          </w:tcPr>
          <w:p w14:paraId="788FFE9C" w14:textId="77777777" w:rsidR="00D25B6E" w:rsidRPr="00B148F9" w:rsidRDefault="00D25B6E" w:rsidP="00D25B6E">
            <w:pPr>
              <w:tabs>
                <w:tab w:val="left" w:pos="426"/>
                <w:tab w:val="left" w:pos="2160"/>
              </w:tabs>
              <w:rPr>
                <w:rFonts w:cs="Arial"/>
              </w:rPr>
            </w:pPr>
          </w:p>
        </w:tc>
        <w:tc>
          <w:tcPr>
            <w:tcW w:w="1559" w:type="dxa"/>
          </w:tcPr>
          <w:p w14:paraId="4727914B" w14:textId="77777777" w:rsidR="00D25B6E" w:rsidRPr="00B148F9" w:rsidRDefault="00D25B6E" w:rsidP="00D25B6E">
            <w:pPr>
              <w:tabs>
                <w:tab w:val="left" w:pos="426"/>
                <w:tab w:val="left" w:pos="2160"/>
              </w:tabs>
              <w:rPr>
                <w:rFonts w:cs="Arial"/>
              </w:rPr>
            </w:pPr>
          </w:p>
        </w:tc>
      </w:tr>
      <w:tr w:rsidR="00D25B6E" w:rsidRPr="00B148F9" w14:paraId="2972E204" w14:textId="77777777" w:rsidTr="00EE53BF">
        <w:tc>
          <w:tcPr>
            <w:tcW w:w="256" w:type="dxa"/>
          </w:tcPr>
          <w:p w14:paraId="0DD68542" w14:textId="77777777" w:rsidR="00D25B6E" w:rsidRPr="00B148F9" w:rsidRDefault="00D25B6E" w:rsidP="00D25B6E">
            <w:pPr>
              <w:tabs>
                <w:tab w:val="left" w:pos="426"/>
                <w:tab w:val="left" w:pos="2160"/>
              </w:tabs>
              <w:rPr>
                <w:rFonts w:cs="Arial"/>
                <w:sz w:val="16"/>
              </w:rPr>
            </w:pPr>
          </w:p>
        </w:tc>
        <w:tc>
          <w:tcPr>
            <w:tcW w:w="3146" w:type="dxa"/>
          </w:tcPr>
          <w:p w14:paraId="79C2DAAA" w14:textId="7F7D6F56" w:rsidR="00D25B6E" w:rsidRPr="00B148F9" w:rsidRDefault="00D25B6E" w:rsidP="00D25B6E">
            <w:pPr>
              <w:tabs>
                <w:tab w:val="left" w:pos="426"/>
                <w:tab w:val="left" w:pos="2160"/>
              </w:tabs>
              <w:rPr>
                <w:rFonts w:cs="Arial"/>
                <w:sz w:val="16"/>
              </w:rPr>
            </w:pPr>
            <w:r w:rsidRPr="00B148F9">
              <w:rPr>
                <w:rFonts w:cs="Arial"/>
                <w:sz w:val="16"/>
              </w:rPr>
              <w:t>Common stocks</w:t>
            </w:r>
          </w:p>
        </w:tc>
        <w:tc>
          <w:tcPr>
            <w:tcW w:w="1560" w:type="dxa"/>
            <w:vAlign w:val="bottom"/>
          </w:tcPr>
          <w:p w14:paraId="434B939C" w14:textId="421CA0B5" w:rsidR="00D25B6E" w:rsidRPr="00B148F9" w:rsidRDefault="00D25B6E" w:rsidP="00D25B6E">
            <w:pPr>
              <w:tabs>
                <w:tab w:val="left" w:pos="426"/>
                <w:tab w:val="left" w:pos="2160"/>
              </w:tabs>
              <w:jc w:val="right"/>
              <w:rPr>
                <w:rFonts w:cs="Arial"/>
              </w:rPr>
            </w:pPr>
            <w:r w:rsidRPr="00B148F9">
              <w:rPr>
                <w:rFonts w:cs="Arial"/>
              </w:rPr>
              <w:t>202,933</w:t>
            </w:r>
          </w:p>
        </w:tc>
        <w:tc>
          <w:tcPr>
            <w:tcW w:w="1701" w:type="dxa"/>
            <w:vAlign w:val="bottom"/>
          </w:tcPr>
          <w:p w14:paraId="456A9838" w14:textId="1B3C5B6A" w:rsidR="00D25B6E" w:rsidRPr="00B148F9" w:rsidRDefault="00D25B6E" w:rsidP="00D25B6E">
            <w:pPr>
              <w:tabs>
                <w:tab w:val="left" w:pos="426"/>
                <w:tab w:val="left" w:pos="2160"/>
              </w:tabs>
              <w:jc w:val="right"/>
              <w:rPr>
                <w:rFonts w:cs="Arial"/>
              </w:rPr>
            </w:pPr>
            <w:r w:rsidRPr="00B148F9">
              <w:rPr>
                <w:rFonts w:cs="Arial"/>
              </w:rPr>
              <w:t>-</w:t>
            </w:r>
          </w:p>
        </w:tc>
        <w:tc>
          <w:tcPr>
            <w:tcW w:w="1701" w:type="dxa"/>
            <w:vAlign w:val="bottom"/>
          </w:tcPr>
          <w:p w14:paraId="255E804D" w14:textId="6F8DAB41" w:rsidR="00D25B6E" w:rsidRPr="00B148F9" w:rsidRDefault="00D25B6E" w:rsidP="00D25B6E">
            <w:pPr>
              <w:tabs>
                <w:tab w:val="left" w:pos="426"/>
                <w:tab w:val="left" w:pos="2160"/>
              </w:tabs>
              <w:jc w:val="right"/>
              <w:rPr>
                <w:rFonts w:cs="Arial"/>
              </w:rPr>
            </w:pPr>
            <w:r w:rsidRPr="00B148F9">
              <w:rPr>
                <w:rFonts w:cs="Arial"/>
              </w:rPr>
              <w:t>-</w:t>
            </w:r>
          </w:p>
        </w:tc>
        <w:tc>
          <w:tcPr>
            <w:tcW w:w="1559" w:type="dxa"/>
            <w:vAlign w:val="bottom"/>
          </w:tcPr>
          <w:p w14:paraId="356CC94A" w14:textId="140126C5" w:rsidR="00D25B6E" w:rsidRPr="00B148F9" w:rsidRDefault="00D25B6E" w:rsidP="00D25B6E">
            <w:pPr>
              <w:tabs>
                <w:tab w:val="left" w:pos="426"/>
                <w:tab w:val="left" w:pos="2160"/>
              </w:tabs>
              <w:jc w:val="right"/>
              <w:rPr>
                <w:rFonts w:cs="Arial"/>
              </w:rPr>
            </w:pPr>
            <w:r w:rsidRPr="00B148F9">
              <w:rPr>
                <w:rFonts w:cs="Arial"/>
              </w:rPr>
              <w:t>202,933</w:t>
            </w:r>
          </w:p>
        </w:tc>
      </w:tr>
      <w:tr w:rsidR="00D25B6E" w:rsidRPr="00B148F9" w14:paraId="23410C2F" w14:textId="77777777" w:rsidTr="00EE53BF">
        <w:tc>
          <w:tcPr>
            <w:tcW w:w="256" w:type="dxa"/>
          </w:tcPr>
          <w:p w14:paraId="4C104B9F" w14:textId="77777777" w:rsidR="00D25B6E" w:rsidRPr="00B148F9" w:rsidRDefault="00D25B6E" w:rsidP="00D25B6E">
            <w:pPr>
              <w:tabs>
                <w:tab w:val="left" w:pos="426"/>
                <w:tab w:val="left" w:pos="2160"/>
              </w:tabs>
              <w:rPr>
                <w:rFonts w:cs="Arial"/>
                <w:sz w:val="16"/>
              </w:rPr>
            </w:pPr>
          </w:p>
        </w:tc>
        <w:tc>
          <w:tcPr>
            <w:tcW w:w="3146" w:type="dxa"/>
          </w:tcPr>
          <w:p w14:paraId="2831E5B6" w14:textId="0A253181" w:rsidR="00D25B6E" w:rsidRPr="00B148F9" w:rsidRDefault="00D25B6E" w:rsidP="00D25B6E">
            <w:pPr>
              <w:tabs>
                <w:tab w:val="left" w:pos="426"/>
                <w:tab w:val="left" w:pos="2160"/>
              </w:tabs>
              <w:rPr>
                <w:rFonts w:cs="Arial"/>
                <w:sz w:val="16"/>
              </w:rPr>
            </w:pPr>
            <w:r w:rsidRPr="00B148F9">
              <w:rPr>
                <w:rFonts w:cs="Arial"/>
                <w:b/>
                <w:sz w:val="16"/>
              </w:rPr>
              <w:t>Total securities sold short</w:t>
            </w:r>
          </w:p>
        </w:tc>
        <w:tc>
          <w:tcPr>
            <w:tcW w:w="1560" w:type="dxa"/>
            <w:tcBorders>
              <w:top w:val="single" w:sz="12" w:space="0" w:color="auto"/>
              <w:bottom w:val="single" w:sz="12" w:space="0" w:color="auto"/>
            </w:tcBorders>
            <w:vAlign w:val="bottom"/>
          </w:tcPr>
          <w:p w14:paraId="1D462D84" w14:textId="5AEEC361" w:rsidR="00D25B6E" w:rsidRPr="00B148F9" w:rsidRDefault="00D25B6E" w:rsidP="00D25B6E">
            <w:pPr>
              <w:tabs>
                <w:tab w:val="left" w:pos="426"/>
                <w:tab w:val="left" w:pos="2160"/>
              </w:tabs>
              <w:jc w:val="right"/>
              <w:rPr>
                <w:rFonts w:cs="Arial"/>
              </w:rPr>
            </w:pPr>
            <w:r w:rsidRPr="00B148F9">
              <w:rPr>
                <w:rFonts w:cs="Arial"/>
              </w:rPr>
              <w:t>202,933</w:t>
            </w:r>
          </w:p>
        </w:tc>
        <w:tc>
          <w:tcPr>
            <w:tcW w:w="1701" w:type="dxa"/>
            <w:tcBorders>
              <w:top w:val="single" w:sz="12" w:space="0" w:color="auto"/>
              <w:bottom w:val="single" w:sz="12" w:space="0" w:color="auto"/>
            </w:tcBorders>
            <w:vAlign w:val="bottom"/>
          </w:tcPr>
          <w:p w14:paraId="284CF5D9" w14:textId="645CE59B" w:rsidR="00D25B6E" w:rsidRPr="00B148F9" w:rsidRDefault="00D25B6E" w:rsidP="00D25B6E">
            <w:pPr>
              <w:tabs>
                <w:tab w:val="left" w:pos="426"/>
                <w:tab w:val="left" w:pos="2160"/>
              </w:tabs>
              <w:jc w:val="right"/>
              <w:rPr>
                <w:rFonts w:cs="Arial"/>
              </w:rPr>
            </w:pPr>
            <w:r w:rsidRPr="00B148F9">
              <w:rPr>
                <w:rFonts w:cs="Arial"/>
              </w:rPr>
              <w:t>-</w:t>
            </w:r>
          </w:p>
        </w:tc>
        <w:tc>
          <w:tcPr>
            <w:tcW w:w="1701" w:type="dxa"/>
            <w:tcBorders>
              <w:top w:val="single" w:sz="12" w:space="0" w:color="auto"/>
              <w:bottom w:val="single" w:sz="12" w:space="0" w:color="auto"/>
            </w:tcBorders>
            <w:vAlign w:val="bottom"/>
          </w:tcPr>
          <w:p w14:paraId="2B8057F4" w14:textId="6DFBA754" w:rsidR="00D25B6E" w:rsidRPr="00B148F9" w:rsidRDefault="00D25B6E" w:rsidP="00D25B6E">
            <w:pPr>
              <w:tabs>
                <w:tab w:val="left" w:pos="426"/>
                <w:tab w:val="left" w:pos="2160"/>
              </w:tabs>
              <w:jc w:val="right"/>
              <w:rPr>
                <w:rFonts w:cs="Arial"/>
              </w:rPr>
            </w:pPr>
            <w:r w:rsidRPr="00B148F9">
              <w:rPr>
                <w:rFonts w:cs="Arial"/>
              </w:rPr>
              <w:t>-</w:t>
            </w:r>
          </w:p>
        </w:tc>
        <w:tc>
          <w:tcPr>
            <w:tcW w:w="1559" w:type="dxa"/>
            <w:tcBorders>
              <w:top w:val="single" w:sz="12" w:space="0" w:color="auto"/>
              <w:bottom w:val="single" w:sz="12" w:space="0" w:color="auto"/>
            </w:tcBorders>
            <w:vAlign w:val="bottom"/>
          </w:tcPr>
          <w:p w14:paraId="75BB0879" w14:textId="3DA6ECD2" w:rsidR="00D25B6E" w:rsidRPr="00B148F9" w:rsidRDefault="00D25B6E" w:rsidP="00D25B6E">
            <w:pPr>
              <w:tabs>
                <w:tab w:val="left" w:pos="426"/>
                <w:tab w:val="left" w:pos="2160"/>
              </w:tabs>
              <w:jc w:val="right"/>
              <w:rPr>
                <w:rFonts w:cs="Arial"/>
              </w:rPr>
            </w:pPr>
            <w:r w:rsidRPr="00B148F9">
              <w:rPr>
                <w:rFonts w:cs="Arial"/>
              </w:rPr>
              <w:t>202,933</w:t>
            </w:r>
          </w:p>
        </w:tc>
      </w:tr>
      <w:tr w:rsidR="00D25B6E" w:rsidRPr="00B148F9" w14:paraId="56BC46DF" w14:textId="77777777" w:rsidTr="00EE53BF">
        <w:tc>
          <w:tcPr>
            <w:tcW w:w="256" w:type="dxa"/>
          </w:tcPr>
          <w:p w14:paraId="117D353A" w14:textId="77777777" w:rsidR="00D25B6E" w:rsidRPr="00B148F9" w:rsidRDefault="00D25B6E" w:rsidP="00D25B6E">
            <w:pPr>
              <w:tabs>
                <w:tab w:val="left" w:pos="426"/>
                <w:tab w:val="left" w:pos="2160"/>
              </w:tabs>
              <w:rPr>
                <w:rFonts w:cs="Arial"/>
                <w:sz w:val="16"/>
              </w:rPr>
            </w:pPr>
          </w:p>
        </w:tc>
        <w:tc>
          <w:tcPr>
            <w:tcW w:w="3146" w:type="dxa"/>
          </w:tcPr>
          <w:p w14:paraId="0B6FB6DC" w14:textId="77777777" w:rsidR="00D25B6E" w:rsidRPr="00B148F9" w:rsidRDefault="00D25B6E" w:rsidP="00D25B6E">
            <w:pPr>
              <w:tabs>
                <w:tab w:val="left" w:pos="426"/>
                <w:tab w:val="left" w:pos="2160"/>
              </w:tabs>
              <w:rPr>
                <w:rFonts w:cs="Arial"/>
                <w:sz w:val="16"/>
              </w:rPr>
            </w:pPr>
          </w:p>
        </w:tc>
        <w:tc>
          <w:tcPr>
            <w:tcW w:w="1560" w:type="dxa"/>
            <w:tcBorders>
              <w:top w:val="single" w:sz="12" w:space="0" w:color="auto"/>
            </w:tcBorders>
            <w:vAlign w:val="bottom"/>
          </w:tcPr>
          <w:p w14:paraId="57C6BFA8" w14:textId="77777777" w:rsidR="00D25B6E" w:rsidRPr="00B148F9" w:rsidRDefault="00D25B6E" w:rsidP="00D25B6E">
            <w:pPr>
              <w:tabs>
                <w:tab w:val="left" w:pos="426"/>
                <w:tab w:val="left" w:pos="2160"/>
              </w:tabs>
              <w:jc w:val="right"/>
              <w:rPr>
                <w:rFonts w:cs="Arial"/>
              </w:rPr>
            </w:pPr>
          </w:p>
        </w:tc>
        <w:tc>
          <w:tcPr>
            <w:tcW w:w="1701" w:type="dxa"/>
            <w:tcBorders>
              <w:top w:val="single" w:sz="12" w:space="0" w:color="auto"/>
            </w:tcBorders>
            <w:vAlign w:val="bottom"/>
          </w:tcPr>
          <w:p w14:paraId="7EB37089" w14:textId="77777777" w:rsidR="00D25B6E" w:rsidRPr="00B148F9" w:rsidRDefault="00D25B6E" w:rsidP="00D25B6E">
            <w:pPr>
              <w:tabs>
                <w:tab w:val="left" w:pos="426"/>
                <w:tab w:val="left" w:pos="2160"/>
              </w:tabs>
              <w:jc w:val="right"/>
              <w:rPr>
                <w:rFonts w:cs="Arial"/>
              </w:rPr>
            </w:pPr>
          </w:p>
        </w:tc>
        <w:tc>
          <w:tcPr>
            <w:tcW w:w="1701" w:type="dxa"/>
            <w:tcBorders>
              <w:top w:val="single" w:sz="12" w:space="0" w:color="auto"/>
            </w:tcBorders>
            <w:vAlign w:val="bottom"/>
          </w:tcPr>
          <w:p w14:paraId="44F1362C" w14:textId="77777777" w:rsidR="00D25B6E" w:rsidRPr="00B148F9" w:rsidRDefault="00D25B6E" w:rsidP="00D25B6E">
            <w:pPr>
              <w:tabs>
                <w:tab w:val="left" w:pos="426"/>
                <w:tab w:val="left" w:pos="2160"/>
              </w:tabs>
              <w:jc w:val="right"/>
              <w:rPr>
                <w:rFonts w:cs="Arial"/>
              </w:rPr>
            </w:pPr>
          </w:p>
        </w:tc>
        <w:tc>
          <w:tcPr>
            <w:tcW w:w="1559" w:type="dxa"/>
            <w:tcBorders>
              <w:top w:val="single" w:sz="12" w:space="0" w:color="auto"/>
            </w:tcBorders>
            <w:vAlign w:val="bottom"/>
          </w:tcPr>
          <w:p w14:paraId="74B8204E" w14:textId="77777777" w:rsidR="00D25B6E" w:rsidRPr="00B148F9" w:rsidRDefault="00D25B6E" w:rsidP="00D25B6E">
            <w:pPr>
              <w:tabs>
                <w:tab w:val="left" w:pos="426"/>
                <w:tab w:val="left" w:pos="2160"/>
              </w:tabs>
              <w:jc w:val="right"/>
              <w:rPr>
                <w:rFonts w:cs="Arial"/>
              </w:rPr>
            </w:pPr>
          </w:p>
        </w:tc>
      </w:tr>
      <w:tr w:rsidR="00D25B6E" w:rsidRPr="00B148F9" w14:paraId="4CEEAF0E" w14:textId="77777777" w:rsidTr="00EE53BF">
        <w:tc>
          <w:tcPr>
            <w:tcW w:w="256" w:type="dxa"/>
          </w:tcPr>
          <w:p w14:paraId="1EC4220F" w14:textId="77777777" w:rsidR="00D25B6E" w:rsidRPr="00B148F9" w:rsidRDefault="00D25B6E" w:rsidP="00D25B6E">
            <w:pPr>
              <w:tabs>
                <w:tab w:val="left" w:pos="426"/>
                <w:tab w:val="left" w:pos="2160"/>
              </w:tabs>
              <w:jc w:val="right"/>
              <w:rPr>
                <w:rFonts w:cs="Arial"/>
                <w:sz w:val="16"/>
              </w:rPr>
            </w:pPr>
          </w:p>
        </w:tc>
        <w:tc>
          <w:tcPr>
            <w:tcW w:w="3146" w:type="dxa"/>
          </w:tcPr>
          <w:p w14:paraId="655B5ED5" w14:textId="77777777" w:rsidR="00D25B6E" w:rsidRPr="00B148F9" w:rsidRDefault="00D25B6E" w:rsidP="00D25B6E">
            <w:pPr>
              <w:tabs>
                <w:tab w:val="left" w:pos="426"/>
                <w:tab w:val="left" w:pos="2160"/>
              </w:tabs>
              <w:rPr>
                <w:rFonts w:cs="Arial"/>
                <w:sz w:val="16"/>
              </w:rPr>
            </w:pPr>
          </w:p>
        </w:tc>
        <w:tc>
          <w:tcPr>
            <w:tcW w:w="1560" w:type="dxa"/>
            <w:tcBorders>
              <w:top w:val="single" w:sz="12" w:space="0" w:color="auto"/>
              <w:bottom w:val="single" w:sz="18" w:space="0" w:color="auto"/>
            </w:tcBorders>
            <w:vAlign w:val="bottom"/>
          </w:tcPr>
          <w:p w14:paraId="7D51F2DB" w14:textId="4D88FD5E" w:rsidR="00D25B6E" w:rsidRPr="00B148F9" w:rsidRDefault="00D25B6E" w:rsidP="00D25B6E">
            <w:pPr>
              <w:tabs>
                <w:tab w:val="left" w:pos="426"/>
                <w:tab w:val="left" w:pos="2160"/>
              </w:tabs>
              <w:jc w:val="right"/>
              <w:rPr>
                <w:rFonts w:cs="Arial"/>
              </w:rPr>
            </w:pPr>
            <w:r w:rsidRPr="00B148F9">
              <w:rPr>
                <w:rFonts w:cs="Arial"/>
              </w:rPr>
              <w:t>202,933</w:t>
            </w:r>
          </w:p>
        </w:tc>
        <w:tc>
          <w:tcPr>
            <w:tcW w:w="1701" w:type="dxa"/>
            <w:tcBorders>
              <w:top w:val="single" w:sz="12" w:space="0" w:color="auto"/>
              <w:bottom w:val="single" w:sz="18" w:space="0" w:color="auto"/>
            </w:tcBorders>
            <w:vAlign w:val="bottom"/>
          </w:tcPr>
          <w:p w14:paraId="4BDEC7D3" w14:textId="0027DD76" w:rsidR="00D25B6E" w:rsidRPr="00B148F9" w:rsidRDefault="00D25B6E" w:rsidP="00D25B6E">
            <w:pPr>
              <w:tabs>
                <w:tab w:val="left" w:pos="426"/>
                <w:tab w:val="left" w:pos="2160"/>
              </w:tabs>
              <w:jc w:val="right"/>
              <w:rPr>
                <w:rFonts w:cs="Arial"/>
              </w:rPr>
            </w:pPr>
            <w:r w:rsidRPr="00B148F9">
              <w:rPr>
                <w:rFonts w:cs="Arial"/>
              </w:rPr>
              <w:t>-</w:t>
            </w:r>
          </w:p>
        </w:tc>
        <w:tc>
          <w:tcPr>
            <w:tcW w:w="1701" w:type="dxa"/>
            <w:tcBorders>
              <w:top w:val="single" w:sz="12" w:space="0" w:color="auto"/>
              <w:bottom w:val="single" w:sz="18" w:space="0" w:color="auto"/>
            </w:tcBorders>
            <w:vAlign w:val="bottom"/>
          </w:tcPr>
          <w:p w14:paraId="3CA4C4B1" w14:textId="0A2EBA6F" w:rsidR="00D25B6E" w:rsidRPr="00B148F9" w:rsidRDefault="00D25B6E" w:rsidP="00D25B6E">
            <w:pPr>
              <w:tabs>
                <w:tab w:val="left" w:pos="426"/>
                <w:tab w:val="left" w:pos="2160"/>
              </w:tabs>
              <w:jc w:val="right"/>
              <w:rPr>
                <w:rFonts w:cs="Arial"/>
              </w:rPr>
            </w:pPr>
            <w:r w:rsidRPr="00B148F9">
              <w:rPr>
                <w:rFonts w:cs="Arial"/>
              </w:rPr>
              <w:t>-</w:t>
            </w:r>
          </w:p>
        </w:tc>
        <w:tc>
          <w:tcPr>
            <w:tcW w:w="1559" w:type="dxa"/>
            <w:tcBorders>
              <w:top w:val="single" w:sz="12" w:space="0" w:color="auto"/>
              <w:bottom w:val="single" w:sz="18" w:space="0" w:color="auto"/>
            </w:tcBorders>
            <w:vAlign w:val="bottom"/>
          </w:tcPr>
          <w:p w14:paraId="181A8861" w14:textId="78344946" w:rsidR="00D25B6E" w:rsidRPr="00B148F9" w:rsidRDefault="00D25B6E" w:rsidP="00D25B6E">
            <w:pPr>
              <w:tabs>
                <w:tab w:val="left" w:pos="426"/>
                <w:tab w:val="left" w:pos="2160"/>
              </w:tabs>
              <w:jc w:val="right"/>
              <w:rPr>
                <w:rFonts w:cs="Arial"/>
              </w:rPr>
            </w:pPr>
            <w:r w:rsidRPr="00B148F9">
              <w:rPr>
                <w:rFonts w:cs="Arial"/>
              </w:rPr>
              <w:t>202,933</w:t>
            </w:r>
          </w:p>
        </w:tc>
      </w:tr>
    </w:tbl>
    <w:p w14:paraId="0ECD56DD" w14:textId="270798B3" w:rsidR="001A58F9" w:rsidRPr="00B148F9" w:rsidRDefault="001A58F9" w:rsidP="00913AEB">
      <w:pPr>
        <w:tabs>
          <w:tab w:val="left" w:pos="426"/>
          <w:tab w:val="left" w:pos="2160"/>
        </w:tabs>
        <w:rPr>
          <w:rFonts w:cs="Arial"/>
        </w:rPr>
      </w:pPr>
    </w:p>
    <w:p w14:paraId="542EF126" w14:textId="0E8C6D97" w:rsidR="00B37BAF" w:rsidRPr="00B148F9" w:rsidRDefault="00B37BAF" w:rsidP="00B37BAF">
      <w:pPr>
        <w:tabs>
          <w:tab w:val="left" w:pos="426"/>
          <w:tab w:val="left" w:pos="2160"/>
        </w:tabs>
        <w:rPr>
          <w:rFonts w:cs="Arial"/>
        </w:rPr>
      </w:pPr>
      <w:r w:rsidRPr="00B148F9">
        <w:rPr>
          <w:rFonts w:cs="Arial"/>
        </w:rPr>
        <w:t>The following table presents information about the Company’s assets and liabilities measured at fair value as of 31 December 2018:</w:t>
      </w:r>
    </w:p>
    <w:p w14:paraId="6979DD12" w14:textId="77777777" w:rsidR="00434863" w:rsidRPr="00B148F9" w:rsidRDefault="00434863" w:rsidP="00913AEB">
      <w:pPr>
        <w:tabs>
          <w:tab w:val="left" w:pos="426"/>
          <w:tab w:val="left" w:pos="2160"/>
        </w:tabs>
        <w:rPr>
          <w:rFonts w:cs="Arial"/>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2927"/>
        <w:gridCol w:w="1559"/>
        <w:gridCol w:w="1701"/>
        <w:gridCol w:w="1701"/>
        <w:gridCol w:w="1559"/>
      </w:tblGrid>
      <w:tr w:rsidR="00434863" w:rsidRPr="00B148F9" w14:paraId="60D037E0" w14:textId="77777777" w:rsidTr="00434863">
        <w:tc>
          <w:tcPr>
            <w:tcW w:w="442" w:type="dxa"/>
          </w:tcPr>
          <w:p w14:paraId="6693E5F9" w14:textId="77777777" w:rsidR="00434863" w:rsidRPr="00B148F9" w:rsidRDefault="00434863" w:rsidP="00434863">
            <w:pPr>
              <w:tabs>
                <w:tab w:val="left" w:pos="426"/>
                <w:tab w:val="left" w:pos="2160"/>
              </w:tabs>
              <w:rPr>
                <w:rFonts w:cs="Arial"/>
              </w:rPr>
            </w:pPr>
          </w:p>
        </w:tc>
        <w:tc>
          <w:tcPr>
            <w:tcW w:w="2927" w:type="dxa"/>
          </w:tcPr>
          <w:p w14:paraId="52EA7884" w14:textId="77777777" w:rsidR="00434863" w:rsidRPr="00B148F9" w:rsidRDefault="00434863" w:rsidP="00434863">
            <w:pPr>
              <w:tabs>
                <w:tab w:val="left" w:pos="426"/>
                <w:tab w:val="left" w:pos="2160"/>
              </w:tabs>
              <w:rPr>
                <w:rFonts w:cs="Arial"/>
              </w:rPr>
            </w:pPr>
          </w:p>
        </w:tc>
        <w:tc>
          <w:tcPr>
            <w:tcW w:w="1559" w:type="dxa"/>
          </w:tcPr>
          <w:p w14:paraId="081E51D9" w14:textId="77777777" w:rsidR="00434863" w:rsidRPr="00B148F9" w:rsidRDefault="00434863" w:rsidP="00434863">
            <w:pPr>
              <w:tabs>
                <w:tab w:val="left" w:pos="426"/>
                <w:tab w:val="left" w:pos="2160"/>
              </w:tabs>
              <w:jc w:val="center"/>
              <w:rPr>
                <w:rFonts w:cs="Arial"/>
                <w:b/>
              </w:rPr>
            </w:pPr>
            <w:r w:rsidRPr="00B148F9">
              <w:rPr>
                <w:rFonts w:cs="Arial"/>
                <w:b/>
              </w:rPr>
              <w:t>Level 1</w:t>
            </w:r>
          </w:p>
        </w:tc>
        <w:tc>
          <w:tcPr>
            <w:tcW w:w="1701" w:type="dxa"/>
          </w:tcPr>
          <w:p w14:paraId="0E36A8E8" w14:textId="77777777" w:rsidR="00434863" w:rsidRPr="00B148F9" w:rsidRDefault="00434863" w:rsidP="00434863">
            <w:pPr>
              <w:tabs>
                <w:tab w:val="left" w:pos="426"/>
                <w:tab w:val="left" w:pos="2160"/>
              </w:tabs>
              <w:jc w:val="center"/>
              <w:rPr>
                <w:rFonts w:cs="Arial"/>
                <w:b/>
              </w:rPr>
            </w:pPr>
            <w:r w:rsidRPr="00B148F9">
              <w:rPr>
                <w:rFonts w:cs="Arial"/>
                <w:b/>
              </w:rPr>
              <w:t>Level 2</w:t>
            </w:r>
          </w:p>
        </w:tc>
        <w:tc>
          <w:tcPr>
            <w:tcW w:w="1701" w:type="dxa"/>
          </w:tcPr>
          <w:p w14:paraId="61FA9329" w14:textId="77777777" w:rsidR="00434863" w:rsidRPr="00B148F9" w:rsidRDefault="00434863" w:rsidP="00434863">
            <w:pPr>
              <w:tabs>
                <w:tab w:val="left" w:pos="426"/>
                <w:tab w:val="left" w:pos="2160"/>
              </w:tabs>
              <w:jc w:val="center"/>
              <w:rPr>
                <w:rFonts w:cs="Arial"/>
                <w:b/>
              </w:rPr>
            </w:pPr>
            <w:r w:rsidRPr="00B148F9">
              <w:rPr>
                <w:rFonts w:cs="Arial"/>
                <w:b/>
              </w:rPr>
              <w:t>Level 3</w:t>
            </w:r>
          </w:p>
        </w:tc>
        <w:tc>
          <w:tcPr>
            <w:tcW w:w="1559" w:type="dxa"/>
          </w:tcPr>
          <w:p w14:paraId="64EC85A7" w14:textId="77777777" w:rsidR="00434863" w:rsidRPr="00B148F9" w:rsidRDefault="00434863" w:rsidP="00434863">
            <w:pPr>
              <w:tabs>
                <w:tab w:val="left" w:pos="426"/>
                <w:tab w:val="left" w:pos="2160"/>
              </w:tabs>
              <w:jc w:val="center"/>
              <w:rPr>
                <w:rFonts w:cs="Arial"/>
                <w:b/>
              </w:rPr>
            </w:pPr>
            <w:r w:rsidRPr="00B148F9">
              <w:rPr>
                <w:rFonts w:cs="Arial"/>
                <w:b/>
              </w:rPr>
              <w:t>Total</w:t>
            </w:r>
          </w:p>
        </w:tc>
      </w:tr>
      <w:tr w:rsidR="00434863" w:rsidRPr="00B148F9" w14:paraId="76CF4B11" w14:textId="77777777" w:rsidTr="00434863">
        <w:tc>
          <w:tcPr>
            <w:tcW w:w="3369" w:type="dxa"/>
            <w:gridSpan w:val="2"/>
          </w:tcPr>
          <w:p w14:paraId="2EFC6EE8" w14:textId="77777777" w:rsidR="00434863" w:rsidRPr="00B148F9" w:rsidRDefault="00434863" w:rsidP="00434863">
            <w:pPr>
              <w:tabs>
                <w:tab w:val="left" w:pos="426"/>
                <w:tab w:val="left" w:pos="2160"/>
              </w:tabs>
              <w:rPr>
                <w:rFonts w:cs="Arial"/>
                <w:b/>
                <w:sz w:val="16"/>
              </w:rPr>
            </w:pPr>
          </w:p>
        </w:tc>
        <w:tc>
          <w:tcPr>
            <w:tcW w:w="1559" w:type="dxa"/>
            <w:tcBorders>
              <w:top w:val="single" w:sz="4" w:space="0" w:color="auto"/>
            </w:tcBorders>
          </w:tcPr>
          <w:p w14:paraId="25378EA7" w14:textId="77777777" w:rsidR="00434863" w:rsidRPr="00B148F9" w:rsidRDefault="00434863" w:rsidP="00434863">
            <w:pPr>
              <w:tabs>
                <w:tab w:val="left" w:pos="426"/>
                <w:tab w:val="left" w:pos="2160"/>
              </w:tabs>
              <w:jc w:val="center"/>
              <w:rPr>
                <w:rFonts w:cs="Arial"/>
              </w:rPr>
            </w:pPr>
            <w:r w:rsidRPr="00B148F9">
              <w:rPr>
                <w:rFonts w:cs="Arial"/>
              </w:rPr>
              <w:t>US$</w:t>
            </w:r>
          </w:p>
        </w:tc>
        <w:tc>
          <w:tcPr>
            <w:tcW w:w="1701" w:type="dxa"/>
            <w:tcBorders>
              <w:top w:val="single" w:sz="4" w:space="0" w:color="auto"/>
            </w:tcBorders>
          </w:tcPr>
          <w:p w14:paraId="5F68645F" w14:textId="77777777" w:rsidR="00434863" w:rsidRPr="00B148F9" w:rsidRDefault="00434863" w:rsidP="00434863">
            <w:pPr>
              <w:tabs>
                <w:tab w:val="left" w:pos="426"/>
                <w:tab w:val="left" w:pos="2160"/>
              </w:tabs>
              <w:jc w:val="center"/>
              <w:rPr>
                <w:rFonts w:cs="Arial"/>
              </w:rPr>
            </w:pPr>
            <w:r w:rsidRPr="00B148F9">
              <w:rPr>
                <w:rFonts w:cs="Arial"/>
              </w:rPr>
              <w:t>US$</w:t>
            </w:r>
          </w:p>
        </w:tc>
        <w:tc>
          <w:tcPr>
            <w:tcW w:w="1701" w:type="dxa"/>
            <w:tcBorders>
              <w:top w:val="single" w:sz="4" w:space="0" w:color="auto"/>
            </w:tcBorders>
          </w:tcPr>
          <w:p w14:paraId="42DF8A32" w14:textId="77777777" w:rsidR="00434863" w:rsidRPr="00B148F9" w:rsidRDefault="00434863" w:rsidP="00434863">
            <w:pPr>
              <w:tabs>
                <w:tab w:val="left" w:pos="426"/>
                <w:tab w:val="left" w:pos="2160"/>
              </w:tabs>
              <w:jc w:val="center"/>
              <w:rPr>
                <w:rFonts w:cs="Arial"/>
              </w:rPr>
            </w:pPr>
            <w:r w:rsidRPr="00B148F9">
              <w:rPr>
                <w:rFonts w:cs="Arial"/>
              </w:rPr>
              <w:t>US$</w:t>
            </w:r>
          </w:p>
        </w:tc>
        <w:tc>
          <w:tcPr>
            <w:tcW w:w="1559" w:type="dxa"/>
            <w:tcBorders>
              <w:top w:val="single" w:sz="4" w:space="0" w:color="auto"/>
            </w:tcBorders>
          </w:tcPr>
          <w:p w14:paraId="14C57968" w14:textId="77777777" w:rsidR="00434863" w:rsidRPr="00B148F9" w:rsidRDefault="00434863" w:rsidP="00434863">
            <w:pPr>
              <w:tabs>
                <w:tab w:val="left" w:pos="426"/>
                <w:tab w:val="left" w:pos="2160"/>
              </w:tabs>
              <w:jc w:val="center"/>
              <w:rPr>
                <w:rFonts w:cs="Arial"/>
              </w:rPr>
            </w:pPr>
            <w:r w:rsidRPr="00B148F9">
              <w:rPr>
                <w:rFonts w:cs="Arial"/>
              </w:rPr>
              <w:t>US$</w:t>
            </w:r>
          </w:p>
        </w:tc>
      </w:tr>
      <w:tr w:rsidR="00434863" w:rsidRPr="00B148F9" w14:paraId="566CEE9F" w14:textId="77777777" w:rsidTr="00434863">
        <w:tc>
          <w:tcPr>
            <w:tcW w:w="3369" w:type="dxa"/>
            <w:gridSpan w:val="2"/>
          </w:tcPr>
          <w:p w14:paraId="097FC58A" w14:textId="77777777" w:rsidR="00434863" w:rsidRPr="00B148F9" w:rsidRDefault="00434863" w:rsidP="00434863">
            <w:pPr>
              <w:tabs>
                <w:tab w:val="left" w:pos="426"/>
                <w:tab w:val="left" w:pos="2160"/>
              </w:tabs>
              <w:rPr>
                <w:rFonts w:cs="Arial"/>
                <w:sz w:val="16"/>
              </w:rPr>
            </w:pPr>
            <w:r w:rsidRPr="00B148F9">
              <w:rPr>
                <w:rFonts w:cs="Arial"/>
                <w:b/>
                <w:sz w:val="16"/>
              </w:rPr>
              <w:t>Assets</w:t>
            </w:r>
            <w:r w:rsidRPr="00B148F9">
              <w:rPr>
                <w:rFonts w:cs="Arial"/>
                <w:sz w:val="16"/>
              </w:rPr>
              <w:t xml:space="preserve"> (at fair value)</w:t>
            </w:r>
          </w:p>
        </w:tc>
        <w:tc>
          <w:tcPr>
            <w:tcW w:w="1559" w:type="dxa"/>
          </w:tcPr>
          <w:p w14:paraId="05C9E414" w14:textId="77777777" w:rsidR="00434863" w:rsidRPr="00B148F9" w:rsidRDefault="00434863" w:rsidP="00434863">
            <w:pPr>
              <w:tabs>
                <w:tab w:val="left" w:pos="426"/>
                <w:tab w:val="left" w:pos="2160"/>
              </w:tabs>
              <w:rPr>
                <w:rFonts w:cs="Arial"/>
              </w:rPr>
            </w:pPr>
          </w:p>
        </w:tc>
        <w:tc>
          <w:tcPr>
            <w:tcW w:w="1701" w:type="dxa"/>
          </w:tcPr>
          <w:p w14:paraId="2D3F756F" w14:textId="77777777" w:rsidR="00434863" w:rsidRPr="00B148F9" w:rsidRDefault="00434863" w:rsidP="00434863">
            <w:pPr>
              <w:tabs>
                <w:tab w:val="left" w:pos="426"/>
                <w:tab w:val="left" w:pos="2160"/>
              </w:tabs>
              <w:rPr>
                <w:rFonts w:cs="Arial"/>
              </w:rPr>
            </w:pPr>
          </w:p>
        </w:tc>
        <w:tc>
          <w:tcPr>
            <w:tcW w:w="1701" w:type="dxa"/>
          </w:tcPr>
          <w:p w14:paraId="7688F691" w14:textId="77777777" w:rsidR="00434863" w:rsidRPr="00B148F9" w:rsidRDefault="00434863" w:rsidP="00434863">
            <w:pPr>
              <w:tabs>
                <w:tab w:val="left" w:pos="426"/>
                <w:tab w:val="left" w:pos="2160"/>
              </w:tabs>
              <w:rPr>
                <w:rFonts w:cs="Arial"/>
              </w:rPr>
            </w:pPr>
          </w:p>
        </w:tc>
        <w:tc>
          <w:tcPr>
            <w:tcW w:w="1559" w:type="dxa"/>
          </w:tcPr>
          <w:p w14:paraId="7F68114F" w14:textId="77777777" w:rsidR="00434863" w:rsidRPr="00B148F9" w:rsidRDefault="00434863" w:rsidP="00434863">
            <w:pPr>
              <w:tabs>
                <w:tab w:val="left" w:pos="426"/>
                <w:tab w:val="left" w:pos="2160"/>
              </w:tabs>
              <w:rPr>
                <w:rFonts w:cs="Arial"/>
              </w:rPr>
            </w:pPr>
          </w:p>
        </w:tc>
      </w:tr>
      <w:tr w:rsidR="00434863" w:rsidRPr="00B148F9" w14:paraId="40B92AB8" w14:textId="77777777" w:rsidTr="00434863">
        <w:tc>
          <w:tcPr>
            <w:tcW w:w="442" w:type="dxa"/>
          </w:tcPr>
          <w:p w14:paraId="2C0B2B65" w14:textId="77777777" w:rsidR="00434863" w:rsidRPr="00B148F9" w:rsidRDefault="00434863" w:rsidP="00434863">
            <w:pPr>
              <w:tabs>
                <w:tab w:val="left" w:pos="426"/>
                <w:tab w:val="left" w:pos="2160"/>
              </w:tabs>
              <w:rPr>
                <w:rFonts w:cs="Arial"/>
                <w:sz w:val="16"/>
              </w:rPr>
            </w:pPr>
          </w:p>
        </w:tc>
        <w:tc>
          <w:tcPr>
            <w:tcW w:w="2927" w:type="dxa"/>
          </w:tcPr>
          <w:p w14:paraId="438C8F2B" w14:textId="77777777" w:rsidR="00434863" w:rsidRPr="00B148F9" w:rsidRDefault="00434863" w:rsidP="00434863">
            <w:pPr>
              <w:tabs>
                <w:tab w:val="left" w:pos="426"/>
                <w:tab w:val="left" w:pos="2160"/>
              </w:tabs>
              <w:rPr>
                <w:rFonts w:cs="Arial"/>
                <w:sz w:val="16"/>
              </w:rPr>
            </w:pPr>
          </w:p>
        </w:tc>
        <w:tc>
          <w:tcPr>
            <w:tcW w:w="1559" w:type="dxa"/>
          </w:tcPr>
          <w:p w14:paraId="025D376C" w14:textId="77777777" w:rsidR="00434863" w:rsidRPr="00B148F9" w:rsidRDefault="00434863" w:rsidP="00434863">
            <w:pPr>
              <w:tabs>
                <w:tab w:val="left" w:pos="426"/>
                <w:tab w:val="left" w:pos="2160"/>
              </w:tabs>
              <w:rPr>
                <w:rFonts w:cs="Arial"/>
              </w:rPr>
            </w:pPr>
          </w:p>
        </w:tc>
        <w:tc>
          <w:tcPr>
            <w:tcW w:w="1701" w:type="dxa"/>
          </w:tcPr>
          <w:p w14:paraId="4D23D2B2" w14:textId="77777777" w:rsidR="00434863" w:rsidRPr="00B148F9" w:rsidRDefault="00434863" w:rsidP="00434863">
            <w:pPr>
              <w:tabs>
                <w:tab w:val="left" w:pos="426"/>
                <w:tab w:val="left" w:pos="2160"/>
              </w:tabs>
              <w:rPr>
                <w:rFonts w:cs="Arial"/>
              </w:rPr>
            </w:pPr>
          </w:p>
        </w:tc>
        <w:tc>
          <w:tcPr>
            <w:tcW w:w="1701" w:type="dxa"/>
          </w:tcPr>
          <w:p w14:paraId="7256D3CD" w14:textId="77777777" w:rsidR="00434863" w:rsidRPr="00B148F9" w:rsidRDefault="00434863" w:rsidP="00434863">
            <w:pPr>
              <w:tabs>
                <w:tab w:val="left" w:pos="426"/>
                <w:tab w:val="left" w:pos="2160"/>
              </w:tabs>
              <w:rPr>
                <w:rFonts w:cs="Arial"/>
              </w:rPr>
            </w:pPr>
          </w:p>
        </w:tc>
        <w:tc>
          <w:tcPr>
            <w:tcW w:w="1559" w:type="dxa"/>
          </w:tcPr>
          <w:p w14:paraId="080847DA" w14:textId="77777777" w:rsidR="00434863" w:rsidRPr="00B148F9" w:rsidRDefault="00434863" w:rsidP="00434863">
            <w:pPr>
              <w:tabs>
                <w:tab w:val="left" w:pos="426"/>
                <w:tab w:val="left" w:pos="2160"/>
              </w:tabs>
              <w:rPr>
                <w:rFonts w:cs="Arial"/>
              </w:rPr>
            </w:pPr>
          </w:p>
        </w:tc>
      </w:tr>
      <w:tr w:rsidR="00434863" w:rsidRPr="00B148F9" w14:paraId="49D82170" w14:textId="77777777" w:rsidTr="00434863">
        <w:tc>
          <w:tcPr>
            <w:tcW w:w="442" w:type="dxa"/>
          </w:tcPr>
          <w:p w14:paraId="1AA8BB59" w14:textId="77777777" w:rsidR="00434863" w:rsidRPr="00B148F9" w:rsidRDefault="00434863" w:rsidP="00434863">
            <w:pPr>
              <w:tabs>
                <w:tab w:val="left" w:pos="426"/>
                <w:tab w:val="left" w:pos="2160"/>
              </w:tabs>
              <w:rPr>
                <w:rFonts w:cs="Arial"/>
                <w:sz w:val="16"/>
              </w:rPr>
            </w:pPr>
          </w:p>
        </w:tc>
        <w:tc>
          <w:tcPr>
            <w:tcW w:w="2927" w:type="dxa"/>
          </w:tcPr>
          <w:p w14:paraId="56280B64" w14:textId="77777777" w:rsidR="00434863" w:rsidRPr="00B148F9" w:rsidRDefault="00434863" w:rsidP="00434863">
            <w:pPr>
              <w:tabs>
                <w:tab w:val="left" w:pos="426"/>
                <w:tab w:val="left" w:pos="2160"/>
              </w:tabs>
              <w:rPr>
                <w:rFonts w:cs="Arial"/>
                <w:b/>
                <w:sz w:val="16"/>
              </w:rPr>
            </w:pPr>
            <w:r w:rsidRPr="00B148F9">
              <w:rPr>
                <w:rFonts w:cs="Arial"/>
                <w:b/>
                <w:sz w:val="16"/>
              </w:rPr>
              <w:t>Investments in securities</w:t>
            </w:r>
          </w:p>
        </w:tc>
        <w:tc>
          <w:tcPr>
            <w:tcW w:w="1559" w:type="dxa"/>
          </w:tcPr>
          <w:p w14:paraId="5949CECC" w14:textId="77777777" w:rsidR="00434863" w:rsidRPr="00B148F9" w:rsidRDefault="00434863" w:rsidP="00434863">
            <w:pPr>
              <w:tabs>
                <w:tab w:val="left" w:pos="426"/>
                <w:tab w:val="left" w:pos="2160"/>
              </w:tabs>
              <w:rPr>
                <w:rFonts w:cs="Arial"/>
              </w:rPr>
            </w:pPr>
          </w:p>
        </w:tc>
        <w:tc>
          <w:tcPr>
            <w:tcW w:w="1701" w:type="dxa"/>
          </w:tcPr>
          <w:p w14:paraId="7F8F4F48" w14:textId="77777777" w:rsidR="00434863" w:rsidRPr="00B148F9" w:rsidRDefault="00434863" w:rsidP="00434863">
            <w:pPr>
              <w:tabs>
                <w:tab w:val="left" w:pos="426"/>
                <w:tab w:val="left" w:pos="2160"/>
              </w:tabs>
              <w:rPr>
                <w:rFonts w:cs="Arial"/>
              </w:rPr>
            </w:pPr>
          </w:p>
        </w:tc>
        <w:tc>
          <w:tcPr>
            <w:tcW w:w="1701" w:type="dxa"/>
          </w:tcPr>
          <w:p w14:paraId="37E181EE" w14:textId="77777777" w:rsidR="00434863" w:rsidRPr="00B148F9" w:rsidRDefault="00434863" w:rsidP="00434863">
            <w:pPr>
              <w:tabs>
                <w:tab w:val="left" w:pos="426"/>
                <w:tab w:val="left" w:pos="2160"/>
              </w:tabs>
              <w:rPr>
                <w:rFonts w:cs="Arial"/>
              </w:rPr>
            </w:pPr>
          </w:p>
        </w:tc>
        <w:tc>
          <w:tcPr>
            <w:tcW w:w="1559" w:type="dxa"/>
          </w:tcPr>
          <w:p w14:paraId="61425C34" w14:textId="77777777" w:rsidR="00434863" w:rsidRPr="00B148F9" w:rsidRDefault="00434863" w:rsidP="00434863">
            <w:pPr>
              <w:tabs>
                <w:tab w:val="left" w:pos="426"/>
                <w:tab w:val="left" w:pos="2160"/>
              </w:tabs>
              <w:rPr>
                <w:rFonts w:cs="Arial"/>
              </w:rPr>
            </w:pPr>
          </w:p>
        </w:tc>
      </w:tr>
      <w:tr w:rsidR="00434863" w:rsidRPr="00B148F9" w14:paraId="4C6D5BE5" w14:textId="77777777" w:rsidTr="00434863">
        <w:tc>
          <w:tcPr>
            <w:tcW w:w="442" w:type="dxa"/>
          </w:tcPr>
          <w:p w14:paraId="0387AAC5" w14:textId="77777777" w:rsidR="00434863" w:rsidRPr="00B148F9" w:rsidRDefault="00434863" w:rsidP="00434863">
            <w:pPr>
              <w:tabs>
                <w:tab w:val="left" w:pos="426"/>
                <w:tab w:val="left" w:pos="2160"/>
              </w:tabs>
              <w:rPr>
                <w:rFonts w:cs="Arial"/>
                <w:sz w:val="16"/>
              </w:rPr>
            </w:pPr>
          </w:p>
        </w:tc>
        <w:tc>
          <w:tcPr>
            <w:tcW w:w="2927" w:type="dxa"/>
          </w:tcPr>
          <w:p w14:paraId="06AEFC52" w14:textId="77777777" w:rsidR="00434863" w:rsidRPr="00B148F9" w:rsidRDefault="00434863" w:rsidP="00434863">
            <w:pPr>
              <w:tabs>
                <w:tab w:val="left" w:pos="426"/>
                <w:tab w:val="left" w:pos="2160"/>
              </w:tabs>
              <w:rPr>
                <w:rFonts w:cs="Arial"/>
                <w:sz w:val="16"/>
              </w:rPr>
            </w:pPr>
            <w:r w:rsidRPr="00B148F9">
              <w:rPr>
                <w:rFonts w:cs="Arial"/>
                <w:sz w:val="16"/>
              </w:rPr>
              <w:t>Common stocks</w:t>
            </w:r>
          </w:p>
        </w:tc>
        <w:tc>
          <w:tcPr>
            <w:tcW w:w="1559" w:type="dxa"/>
            <w:vAlign w:val="bottom"/>
          </w:tcPr>
          <w:p w14:paraId="02128479" w14:textId="04A68B99" w:rsidR="00434863" w:rsidRPr="00B148F9" w:rsidRDefault="00434863" w:rsidP="00434863">
            <w:pPr>
              <w:tabs>
                <w:tab w:val="left" w:pos="426"/>
                <w:tab w:val="left" w:pos="2160"/>
              </w:tabs>
              <w:jc w:val="right"/>
              <w:rPr>
                <w:rFonts w:cs="Arial"/>
              </w:rPr>
            </w:pPr>
            <w:r w:rsidRPr="00B148F9">
              <w:rPr>
                <w:rFonts w:cs="Arial"/>
              </w:rPr>
              <w:t>65,721,557</w:t>
            </w:r>
          </w:p>
        </w:tc>
        <w:tc>
          <w:tcPr>
            <w:tcW w:w="1701" w:type="dxa"/>
            <w:vAlign w:val="bottom"/>
          </w:tcPr>
          <w:p w14:paraId="1B70CFA8" w14:textId="77FED1F1" w:rsidR="00434863" w:rsidRPr="00B148F9" w:rsidRDefault="00434863" w:rsidP="00434863">
            <w:pPr>
              <w:tabs>
                <w:tab w:val="left" w:pos="426"/>
                <w:tab w:val="left" w:pos="2160"/>
              </w:tabs>
              <w:jc w:val="right"/>
              <w:rPr>
                <w:rFonts w:cs="Arial"/>
              </w:rPr>
            </w:pPr>
            <w:r w:rsidRPr="00B148F9">
              <w:rPr>
                <w:rFonts w:cs="Arial"/>
              </w:rPr>
              <w:t>-</w:t>
            </w:r>
          </w:p>
        </w:tc>
        <w:tc>
          <w:tcPr>
            <w:tcW w:w="1701" w:type="dxa"/>
            <w:vAlign w:val="bottom"/>
          </w:tcPr>
          <w:p w14:paraId="51DB0E43" w14:textId="4969B13F" w:rsidR="00434863" w:rsidRPr="00B148F9" w:rsidRDefault="00434863" w:rsidP="00434863">
            <w:pPr>
              <w:tabs>
                <w:tab w:val="left" w:pos="426"/>
                <w:tab w:val="left" w:pos="2160"/>
              </w:tabs>
              <w:jc w:val="right"/>
              <w:rPr>
                <w:rFonts w:cs="Arial"/>
              </w:rPr>
            </w:pPr>
            <w:r w:rsidRPr="00B148F9">
              <w:rPr>
                <w:rFonts w:cs="Arial"/>
              </w:rPr>
              <w:t>-</w:t>
            </w:r>
          </w:p>
        </w:tc>
        <w:tc>
          <w:tcPr>
            <w:tcW w:w="1559" w:type="dxa"/>
            <w:vAlign w:val="bottom"/>
          </w:tcPr>
          <w:p w14:paraId="5BBF13F4" w14:textId="5552C45C" w:rsidR="00434863" w:rsidRPr="00B148F9" w:rsidRDefault="00434863" w:rsidP="00434863">
            <w:pPr>
              <w:tabs>
                <w:tab w:val="left" w:pos="426"/>
                <w:tab w:val="left" w:pos="2160"/>
              </w:tabs>
              <w:jc w:val="right"/>
              <w:rPr>
                <w:rFonts w:cs="Arial"/>
              </w:rPr>
            </w:pPr>
            <w:r w:rsidRPr="00B148F9">
              <w:rPr>
                <w:rFonts w:cs="Arial"/>
              </w:rPr>
              <w:t>65,721,557</w:t>
            </w:r>
          </w:p>
        </w:tc>
      </w:tr>
      <w:tr w:rsidR="00434863" w:rsidRPr="00B148F9" w14:paraId="7A5D22E9" w14:textId="77777777" w:rsidTr="00434863">
        <w:tc>
          <w:tcPr>
            <w:tcW w:w="442" w:type="dxa"/>
          </w:tcPr>
          <w:p w14:paraId="35573116" w14:textId="77777777" w:rsidR="00434863" w:rsidRPr="00B148F9" w:rsidRDefault="00434863" w:rsidP="00434863">
            <w:pPr>
              <w:tabs>
                <w:tab w:val="left" w:pos="426"/>
                <w:tab w:val="left" w:pos="2160"/>
              </w:tabs>
              <w:rPr>
                <w:rFonts w:cs="Arial"/>
                <w:sz w:val="16"/>
              </w:rPr>
            </w:pPr>
          </w:p>
        </w:tc>
        <w:tc>
          <w:tcPr>
            <w:tcW w:w="2927" w:type="dxa"/>
          </w:tcPr>
          <w:p w14:paraId="6D02DA8D" w14:textId="77777777" w:rsidR="00434863" w:rsidRPr="00B148F9" w:rsidRDefault="00434863" w:rsidP="00434863">
            <w:pPr>
              <w:tabs>
                <w:tab w:val="left" w:pos="426"/>
                <w:tab w:val="left" w:pos="2160"/>
              </w:tabs>
              <w:rPr>
                <w:rFonts w:cs="Arial"/>
                <w:b/>
                <w:sz w:val="16"/>
              </w:rPr>
            </w:pPr>
            <w:r w:rsidRPr="00B148F9">
              <w:rPr>
                <w:rFonts w:cs="Arial"/>
                <w:b/>
                <w:sz w:val="16"/>
              </w:rPr>
              <w:t>Total Investments in securities</w:t>
            </w:r>
          </w:p>
        </w:tc>
        <w:tc>
          <w:tcPr>
            <w:tcW w:w="1559" w:type="dxa"/>
            <w:tcBorders>
              <w:top w:val="single" w:sz="4" w:space="0" w:color="auto"/>
              <w:bottom w:val="single" w:sz="4" w:space="0" w:color="auto"/>
            </w:tcBorders>
            <w:vAlign w:val="bottom"/>
          </w:tcPr>
          <w:p w14:paraId="218750F4" w14:textId="0860A757" w:rsidR="00434863" w:rsidRPr="00B148F9" w:rsidRDefault="00434863" w:rsidP="00434863">
            <w:pPr>
              <w:tabs>
                <w:tab w:val="left" w:pos="426"/>
                <w:tab w:val="left" w:pos="2160"/>
              </w:tabs>
              <w:jc w:val="right"/>
              <w:rPr>
                <w:rFonts w:cs="Arial"/>
              </w:rPr>
            </w:pPr>
            <w:r w:rsidRPr="00B148F9">
              <w:rPr>
                <w:rFonts w:cs="Arial"/>
              </w:rPr>
              <w:t>65,721,557</w:t>
            </w:r>
          </w:p>
        </w:tc>
        <w:tc>
          <w:tcPr>
            <w:tcW w:w="1701" w:type="dxa"/>
            <w:tcBorders>
              <w:top w:val="single" w:sz="4" w:space="0" w:color="auto"/>
              <w:bottom w:val="single" w:sz="4" w:space="0" w:color="auto"/>
            </w:tcBorders>
            <w:vAlign w:val="bottom"/>
          </w:tcPr>
          <w:p w14:paraId="5F3972AF" w14:textId="17B55F92" w:rsidR="00434863" w:rsidRPr="00B148F9" w:rsidRDefault="00434863" w:rsidP="00434863">
            <w:pPr>
              <w:tabs>
                <w:tab w:val="left" w:pos="426"/>
                <w:tab w:val="left" w:pos="2160"/>
              </w:tabs>
              <w:jc w:val="right"/>
              <w:rPr>
                <w:rFonts w:cs="Arial"/>
              </w:rPr>
            </w:pPr>
            <w:r w:rsidRPr="00B148F9">
              <w:rPr>
                <w:rFonts w:cs="Arial"/>
              </w:rPr>
              <w:t>-</w:t>
            </w:r>
          </w:p>
        </w:tc>
        <w:tc>
          <w:tcPr>
            <w:tcW w:w="1701" w:type="dxa"/>
            <w:tcBorders>
              <w:top w:val="single" w:sz="4" w:space="0" w:color="auto"/>
              <w:bottom w:val="single" w:sz="4" w:space="0" w:color="auto"/>
            </w:tcBorders>
            <w:vAlign w:val="bottom"/>
          </w:tcPr>
          <w:p w14:paraId="39F19FCE" w14:textId="2854AB3F" w:rsidR="00434863" w:rsidRPr="00B148F9" w:rsidRDefault="00434863" w:rsidP="00434863">
            <w:pPr>
              <w:tabs>
                <w:tab w:val="left" w:pos="426"/>
                <w:tab w:val="left" w:pos="2160"/>
              </w:tabs>
              <w:jc w:val="right"/>
              <w:rPr>
                <w:rFonts w:cs="Arial"/>
              </w:rPr>
            </w:pPr>
            <w:r w:rsidRPr="00B148F9">
              <w:rPr>
                <w:rFonts w:cs="Arial"/>
              </w:rPr>
              <w:t>-</w:t>
            </w:r>
          </w:p>
        </w:tc>
        <w:tc>
          <w:tcPr>
            <w:tcW w:w="1559" w:type="dxa"/>
            <w:tcBorders>
              <w:top w:val="single" w:sz="4" w:space="0" w:color="auto"/>
              <w:bottom w:val="single" w:sz="4" w:space="0" w:color="auto"/>
            </w:tcBorders>
            <w:vAlign w:val="bottom"/>
          </w:tcPr>
          <w:p w14:paraId="058C81D3" w14:textId="6B364A34" w:rsidR="00434863" w:rsidRPr="00B148F9" w:rsidRDefault="00434863" w:rsidP="00434863">
            <w:pPr>
              <w:tabs>
                <w:tab w:val="left" w:pos="426"/>
                <w:tab w:val="left" w:pos="2160"/>
              </w:tabs>
              <w:jc w:val="right"/>
              <w:rPr>
                <w:rFonts w:cs="Arial"/>
              </w:rPr>
            </w:pPr>
            <w:r w:rsidRPr="00B148F9">
              <w:rPr>
                <w:rFonts w:cs="Arial"/>
              </w:rPr>
              <w:t>65,721,557</w:t>
            </w:r>
          </w:p>
        </w:tc>
      </w:tr>
      <w:tr w:rsidR="00434863" w:rsidRPr="00B148F9" w14:paraId="7C0B628D" w14:textId="77777777" w:rsidTr="00434863">
        <w:tc>
          <w:tcPr>
            <w:tcW w:w="442" w:type="dxa"/>
          </w:tcPr>
          <w:p w14:paraId="62114BBD" w14:textId="77777777" w:rsidR="00434863" w:rsidRPr="00B148F9" w:rsidRDefault="00434863" w:rsidP="00434863">
            <w:pPr>
              <w:tabs>
                <w:tab w:val="left" w:pos="426"/>
                <w:tab w:val="left" w:pos="2160"/>
              </w:tabs>
              <w:rPr>
                <w:rFonts w:cs="Arial"/>
                <w:sz w:val="16"/>
              </w:rPr>
            </w:pPr>
          </w:p>
        </w:tc>
        <w:tc>
          <w:tcPr>
            <w:tcW w:w="2927" w:type="dxa"/>
          </w:tcPr>
          <w:p w14:paraId="4C937EAE" w14:textId="77777777" w:rsidR="00434863" w:rsidRPr="00B148F9" w:rsidRDefault="00434863" w:rsidP="00434863">
            <w:pPr>
              <w:tabs>
                <w:tab w:val="left" w:pos="426"/>
                <w:tab w:val="left" w:pos="2160"/>
              </w:tabs>
              <w:rPr>
                <w:rFonts w:cs="Arial"/>
                <w:sz w:val="16"/>
              </w:rPr>
            </w:pPr>
          </w:p>
        </w:tc>
        <w:tc>
          <w:tcPr>
            <w:tcW w:w="1559" w:type="dxa"/>
            <w:tcBorders>
              <w:top w:val="single" w:sz="4" w:space="0" w:color="auto"/>
            </w:tcBorders>
          </w:tcPr>
          <w:p w14:paraId="516FBE10" w14:textId="77777777" w:rsidR="00434863" w:rsidRPr="00B148F9" w:rsidRDefault="00434863" w:rsidP="00434863">
            <w:pPr>
              <w:tabs>
                <w:tab w:val="left" w:pos="426"/>
                <w:tab w:val="left" w:pos="2160"/>
              </w:tabs>
              <w:rPr>
                <w:rFonts w:cs="Arial"/>
              </w:rPr>
            </w:pPr>
          </w:p>
        </w:tc>
        <w:tc>
          <w:tcPr>
            <w:tcW w:w="1701" w:type="dxa"/>
            <w:tcBorders>
              <w:top w:val="single" w:sz="4" w:space="0" w:color="auto"/>
            </w:tcBorders>
          </w:tcPr>
          <w:p w14:paraId="46DB5862" w14:textId="77777777" w:rsidR="00434863" w:rsidRPr="00B148F9" w:rsidRDefault="00434863" w:rsidP="00434863">
            <w:pPr>
              <w:tabs>
                <w:tab w:val="left" w:pos="426"/>
                <w:tab w:val="left" w:pos="2160"/>
              </w:tabs>
              <w:rPr>
                <w:rFonts w:cs="Arial"/>
              </w:rPr>
            </w:pPr>
          </w:p>
        </w:tc>
        <w:tc>
          <w:tcPr>
            <w:tcW w:w="1701" w:type="dxa"/>
            <w:tcBorders>
              <w:top w:val="single" w:sz="4" w:space="0" w:color="auto"/>
            </w:tcBorders>
          </w:tcPr>
          <w:p w14:paraId="67DA8902" w14:textId="77777777" w:rsidR="00434863" w:rsidRPr="00B148F9" w:rsidRDefault="00434863" w:rsidP="00434863">
            <w:pPr>
              <w:tabs>
                <w:tab w:val="left" w:pos="426"/>
                <w:tab w:val="left" w:pos="2160"/>
              </w:tabs>
              <w:rPr>
                <w:rFonts w:cs="Arial"/>
              </w:rPr>
            </w:pPr>
          </w:p>
        </w:tc>
        <w:tc>
          <w:tcPr>
            <w:tcW w:w="1559" w:type="dxa"/>
            <w:tcBorders>
              <w:top w:val="single" w:sz="4" w:space="0" w:color="auto"/>
            </w:tcBorders>
          </w:tcPr>
          <w:p w14:paraId="45C6F0A9" w14:textId="77777777" w:rsidR="00434863" w:rsidRPr="00B148F9" w:rsidRDefault="00434863" w:rsidP="00434863">
            <w:pPr>
              <w:tabs>
                <w:tab w:val="left" w:pos="426"/>
                <w:tab w:val="left" w:pos="2160"/>
              </w:tabs>
              <w:rPr>
                <w:rFonts w:cs="Arial"/>
              </w:rPr>
            </w:pPr>
          </w:p>
        </w:tc>
      </w:tr>
    </w:tbl>
    <w:p w14:paraId="14CC5275" w14:textId="77777777" w:rsidR="00434863" w:rsidRPr="00B148F9" w:rsidRDefault="00434863" w:rsidP="00F31292">
      <w:pPr>
        <w:rPr>
          <w:rFonts w:cs="Arial"/>
        </w:rPr>
      </w:pPr>
    </w:p>
    <w:p w14:paraId="3D912D13" w14:textId="21C85727" w:rsidR="00F31292" w:rsidRPr="00B148F9" w:rsidRDefault="00F31292" w:rsidP="00F31292">
      <w:pPr>
        <w:rPr>
          <w:rFonts w:cs="Arial"/>
        </w:rPr>
      </w:pPr>
      <w:r w:rsidRPr="00B148F9">
        <w:rPr>
          <w:rFonts w:cs="Arial"/>
        </w:rPr>
        <w:t xml:space="preserve">Transfers between Levels 2 and 3 generally relate to whether significant relevant observable inputs are available for the fair value measurements in their entirety. See Note 1 for additional information related to the fair value hierarchy and valuation techniques and inputs. For the year ended </w:t>
      </w:r>
      <w:r w:rsidR="00BE3B5C" w:rsidRPr="00B148F9">
        <w:rPr>
          <w:rFonts w:cs="Arial"/>
        </w:rPr>
        <w:t xml:space="preserve">31 </w:t>
      </w:r>
      <w:r w:rsidRPr="00B148F9">
        <w:rPr>
          <w:rFonts w:cs="Arial"/>
        </w:rPr>
        <w:t>Decembe</w:t>
      </w:r>
      <w:r w:rsidR="000965FB" w:rsidRPr="00B148F9">
        <w:rPr>
          <w:rFonts w:cs="Arial"/>
        </w:rPr>
        <w:t>r 2019</w:t>
      </w:r>
      <w:r w:rsidRPr="00B148F9">
        <w:rPr>
          <w:rFonts w:cs="Arial"/>
        </w:rPr>
        <w:t xml:space="preserve">, the </w:t>
      </w:r>
      <w:r w:rsidR="00196B8B" w:rsidRPr="00B148F9">
        <w:rPr>
          <w:rFonts w:cs="Arial"/>
        </w:rPr>
        <w:t>Company</w:t>
      </w:r>
      <w:r w:rsidRPr="00B148F9">
        <w:rPr>
          <w:rFonts w:cs="Arial"/>
        </w:rPr>
        <w:t xml:space="preserve"> had transfers into Level 2 </w:t>
      </w:r>
      <w:r w:rsidR="00610D0A" w:rsidRPr="00B148F9">
        <w:rPr>
          <w:rFonts w:cs="Arial"/>
        </w:rPr>
        <w:t>of US$3.9 million</w:t>
      </w:r>
      <w:r w:rsidRPr="00B148F9">
        <w:rPr>
          <w:rFonts w:cs="Arial"/>
        </w:rPr>
        <w:t xml:space="preserve"> </w:t>
      </w:r>
      <w:r w:rsidR="00610D0A" w:rsidRPr="00B148F9">
        <w:rPr>
          <w:rFonts w:cs="Arial"/>
        </w:rPr>
        <w:t xml:space="preserve">from </w:t>
      </w:r>
      <w:r w:rsidRPr="00B148F9">
        <w:rPr>
          <w:rFonts w:cs="Arial"/>
        </w:rPr>
        <w:t xml:space="preserve">Level 3 due to conversion into </w:t>
      </w:r>
      <w:r w:rsidR="00A533EE" w:rsidRPr="00B148F9">
        <w:rPr>
          <w:rFonts w:cs="Arial"/>
        </w:rPr>
        <w:t xml:space="preserve">publicly traded </w:t>
      </w:r>
      <w:r w:rsidRPr="00B148F9">
        <w:rPr>
          <w:rFonts w:cs="Arial"/>
        </w:rPr>
        <w:t>common stocks</w:t>
      </w:r>
      <w:r w:rsidR="004E0E44" w:rsidRPr="00B148F9">
        <w:rPr>
          <w:rFonts w:cs="Arial"/>
        </w:rPr>
        <w:t xml:space="preserve"> subject to an unexpired </w:t>
      </w:r>
      <w:r w:rsidR="001A3061" w:rsidRPr="00B148F9">
        <w:rPr>
          <w:rFonts w:cs="Arial"/>
        </w:rPr>
        <w:t>6 month</w:t>
      </w:r>
      <w:r w:rsidR="004E0E44" w:rsidRPr="00B148F9">
        <w:rPr>
          <w:rFonts w:cs="Arial"/>
        </w:rPr>
        <w:t xml:space="preserve"> lock-up as at 31 December</w:t>
      </w:r>
      <w:r w:rsidRPr="00B148F9">
        <w:rPr>
          <w:rFonts w:cs="Arial"/>
        </w:rPr>
        <w:t>.</w:t>
      </w:r>
      <w:r w:rsidR="00AB5431" w:rsidRPr="00B148F9">
        <w:rPr>
          <w:rFonts w:cs="Arial"/>
        </w:rPr>
        <w:t xml:space="preserve"> There were no transfers between Levels 1 and 2.</w:t>
      </w:r>
    </w:p>
    <w:p w14:paraId="49DEBB6C" w14:textId="6CE52F77" w:rsidR="00141315" w:rsidRPr="00B148F9" w:rsidRDefault="00141315" w:rsidP="00F31292">
      <w:pPr>
        <w:rPr>
          <w:rFonts w:cs="Arial"/>
        </w:rPr>
      </w:pPr>
    </w:p>
    <w:p w14:paraId="4CD779E7" w14:textId="77777777" w:rsidR="0037352B" w:rsidRPr="00B148F9" w:rsidRDefault="0037352B" w:rsidP="0037352B">
      <w:pPr>
        <w:rPr>
          <w:rFonts w:cs="Arial"/>
        </w:rPr>
      </w:pPr>
      <w:r w:rsidRPr="00B148F9">
        <w:rPr>
          <w:rFonts w:cs="Arial"/>
        </w:rPr>
        <w:t>The following table summarises the valuation techniques and significant unobservable inputs used for the Company’s investments that are categorised within Level 3 of the fair value hierarchy as of 31 December 2019:</w:t>
      </w:r>
    </w:p>
    <w:p w14:paraId="016C6C50" w14:textId="77777777" w:rsidR="0037352B" w:rsidRPr="00B148F9" w:rsidRDefault="0037352B" w:rsidP="0037352B">
      <w:pPr>
        <w:rPr>
          <w:rFonts w:cs="Arial"/>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2110"/>
        <w:gridCol w:w="2126"/>
        <w:gridCol w:w="2268"/>
        <w:gridCol w:w="1559"/>
        <w:gridCol w:w="1384"/>
      </w:tblGrid>
      <w:tr w:rsidR="0037352B" w:rsidRPr="00B148F9" w14:paraId="142A811C" w14:textId="77777777" w:rsidTr="0037352B">
        <w:tc>
          <w:tcPr>
            <w:tcW w:w="442" w:type="dxa"/>
          </w:tcPr>
          <w:p w14:paraId="3783E0ED" w14:textId="77777777" w:rsidR="0037352B" w:rsidRPr="00B148F9" w:rsidRDefault="0037352B" w:rsidP="0037352B">
            <w:pPr>
              <w:tabs>
                <w:tab w:val="left" w:pos="426"/>
                <w:tab w:val="left" w:pos="2160"/>
              </w:tabs>
              <w:rPr>
                <w:rFonts w:cs="Arial"/>
              </w:rPr>
            </w:pPr>
          </w:p>
        </w:tc>
        <w:tc>
          <w:tcPr>
            <w:tcW w:w="2110" w:type="dxa"/>
          </w:tcPr>
          <w:p w14:paraId="5958AFDA" w14:textId="77777777" w:rsidR="0037352B" w:rsidRPr="00B148F9" w:rsidRDefault="0037352B" w:rsidP="0037352B">
            <w:pPr>
              <w:tabs>
                <w:tab w:val="left" w:pos="426"/>
                <w:tab w:val="left" w:pos="2160"/>
              </w:tabs>
              <w:rPr>
                <w:rFonts w:cs="Arial"/>
              </w:rPr>
            </w:pPr>
          </w:p>
        </w:tc>
        <w:tc>
          <w:tcPr>
            <w:tcW w:w="2126" w:type="dxa"/>
          </w:tcPr>
          <w:p w14:paraId="3A5F15A3" w14:textId="77777777" w:rsidR="0037352B" w:rsidRPr="00B148F9" w:rsidRDefault="0037352B" w:rsidP="0037352B">
            <w:pPr>
              <w:tabs>
                <w:tab w:val="left" w:pos="426"/>
                <w:tab w:val="left" w:pos="2160"/>
              </w:tabs>
              <w:jc w:val="center"/>
              <w:rPr>
                <w:rFonts w:cs="Arial"/>
                <w:b/>
              </w:rPr>
            </w:pPr>
            <w:r w:rsidRPr="00B148F9">
              <w:rPr>
                <w:rFonts w:cs="Arial"/>
                <w:b/>
              </w:rPr>
              <w:t>Fair value at 31 December 2019</w:t>
            </w:r>
          </w:p>
        </w:tc>
        <w:tc>
          <w:tcPr>
            <w:tcW w:w="2268" w:type="dxa"/>
          </w:tcPr>
          <w:p w14:paraId="6CCDE714" w14:textId="77777777" w:rsidR="0037352B" w:rsidRPr="00B148F9" w:rsidRDefault="0037352B" w:rsidP="0037352B">
            <w:pPr>
              <w:tabs>
                <w:tab w:val="left" w:pos="426"/>
                <w:tab w:val="left" w:pos="2160"/>
              </w:tabs>
              <w:jc w:val="center"/>
              <w:rPr>
                <w:rFonts w:cs="Arial"/>
                <w:b/>
              </w:rPr>
            </w:pPr>
            <w:r w:rsidRPr="00B148F9">
              <w:rPr>
                <w:rFonts w:cs="Arial"/>
                <w:b/>
              </w:rPr>
              <w:t>Valuation Techniques</w:t>
            </w:r>
          </w:p>
        </w:tc>
        <w:tc>
          <w:tcPr>
            <w:tcW w:w="1559" w:type="dxa"/>
          </w:tcPr>
          <w:p w14:paraId="3226D471" w14:textId="77777777" w:rsidR="0037352B" w:rsidRPr="00B148F9" w:rsidRDefault="0037352B" w:rsidP="0037352B">
            <w:pPr>
              <w:tabs>
                <w:tab w:val="left" w:pos="426"/>
                <w:tab w:val="left" w:pos="2160"/>
              </w:tabs>
              <w:jc w:val="center"/>
              <w:rPr>
                <w:rFonts w:cs="Arial"/>
                <w:b/>
              </w:rPr>
            </w:pPr>
            <w:r w:rsidRPr="00B148F9">
              <w:rPr>
                <w:rFonts w:cs="Arial"/>
                <w:b/>
              </w:rPr>
              <w:t>Unobservable Inputs</w:t>
            </w:r>
          </w:p>
        </w:tc>
        <w:tc>
          <w:tcPr>
            <w:tcW w:w="1384" w:type="dxa"/>
          </w:tcPr>
          <w:p w14:paraId="16B0B55D" w14:textId="77777777" w:rsidR="0037352B" w:rsidRPr="00B148F9" w:rsidRDefault="0037352B" w:rsidP="0037352B">
            <w:pPr>
              <w:tabs>
                <w:tab w:val="left" w:pos="426"/>
                <w:tab w:val="left" w:pos="2160"/>
              </w:tabs>
              <w:jc w:val="center"/>
              <w:rPr>
                <w:rFonts w:cs="Arial"/>
                <w:b/>
              </w:rPr>
            </w:pPr>
            <w:r w:rsidRPr="00B148F9">
              <w:rPr>
                <w:rFonts w:cs="Arial"/>
                <w:b/>
              </w:rPr>
              <w:t>Range of Inputs</w:t>
            </w:r>
          </w:p>
        </w:tc>
      </w:tr>
      <w:tr w:rsidR="0037352B" w:rsidRPr="00B148F9" w14:paraId="18B7A826" w14:textId="77777777" w:rsidTr="0037352B">
        <w:tc>
          <w:tcPr>
            <w:tcW w:w="2552" w:type="dxa"/>
            <w:gridSpan w:val="2"/>
          </w:tcPr>
          <w:p w14:paraId="3DA7DE39" w14:textId="77777777" w:rsidR="0037352B" w:rsidRPr="00B148F9" w:rsidRDefault="0037352B" w:rsidP="0037352B">
            <w:pPr>
              <w:tabs>
                <w:tab w:val="left" w:pos="426"/>
                <w:tab w:val="left" w:pos="2160"/>
              </w:tabs>
              <w:rPr>
                <w:rFonts w:cs="Arial"/>
                <w:b/>
                <w:sz w:val="16"/>
              </w:rPr>
            </w:pPr>
          </w:p>
        </w:tc>
        <w:tc>
          <w:tcPr>
            <w:tcW w:w="2126" w:type="dxa"/>
          </w:tcPr>
          <w:p w14:paraId="6C04FC62" w14:textId="77777777" w:rsidR="0037352B" w:rsidRPr="00B148F9" w:rsidRDefault="0037352B" w:rsidP="0037352B">
            <w:pPr>
              <w:tabs>
                <w:tab w:val="left" w:pos="426"/>
                <w:tab w:val="left" w:pos="2160"/>
              </w:tabs>
              <w:jc w:val="center"/>
              <w:rPr>
                <w:rFonts w:cs="Arial"/>
              </w:rPr>
            </w:pPr>
            <w:r w:rsidRPr="00B148F9">
              <w:rPr>
                <w:rFonts w:cs="Arial"/>
                <w:b/>
                <w:bCs/>
                <w:lang w:eastAsia="en-GB"/>
              </w:rPr>
              <w:t>Expressed in United States Dollars</w:t>
            </w:r>
          </w:p>
        </w:tc>
        <w:tc>
          <w:tcPr>
            <w:tcW w:w="2268" w:type="dxa"/>
          </w:tcPr>
          <w:p w14:paraId="165326FA" w14:textId="77777777" w:rsidR="0037352B" w:rsidRPr="00B148F9" w:rsidRDefault="0037352B" w:rsidP="0037352B">
            <w:pPr>
              <w:tabs>
                <w:tab w:val="left" w:pos="426"/>
                <w:tab w:val="left" w:pos="2160"/>
              </w:tabs>
              <w:jc w:val="center"/>
              <w:rPr>
                <w:rFonts w:cs="Arial"/>
              </w:rPr>
            </w:pPr>
          </w:p>
        </w:tc>
        <w:tc>
          <w:tcPr>
            <w:tcW w:w="1559" w:type="dxa"/>
          </w:tcPr>
          <w:p w14:paraId="0F0B038A" w14:textId="77777777" w:rsidR="0037352B" w:rsidRPr="00B148F9" w:rsidRDefault="0037352B" w:rsidP="0037352B">
            <w:pPr>
              <w:tabs>
                <w:tab w:val="left" w:pos="426"/>
                <w:tab w:val="left" w:pos="2160"/>
              </w:tabs>
              <w:jc w:val="center"/>
              <w:rPr>
                <w:rFonts w:cs="Arial"/>
              </w:rPr>
            </w:pPr>
          </w:p>
        </w:tc>
        <w:tc>
          <w:tcPr>
            <w:tcW w:w="1384" w:type="dxa"/>
          </w:tcPr>
          <w:p w14:paraId="349379E2" w14:textId="77777777" w:rsidR="0037352B" w:rsidRPr="00B148F9" w:rsidRDefault="0037352B" w:rsidP="0037352B">
            <w:pPr>
              <w:tabs>
                <w:tab w:val="left" w:pos="426"/>
                <w:tab w:val="left" w:pos="2160"/>
              </w:tabs>
              <w:jc w:val="center"/>
              <w:rPr>
                <w:rFonts w:cs="Arial"/>
              </w:rPr>
            </w:pPr>
          </w:p>
        </w:tc>
      </w:tr>
      <w:tr w:rsidR="0037352B" w:rsidRPr="00B148F9" w14:paraId="724BB1E5" w14:textId="77777777" w:rsidTr="0037352B">
        <w:tc>
          <w:tcPr>
            <w:tcW w:w="2552" w:type="dxa"/>
            <w:gridSpan w:val="2"/>
          </w:tcPr>
          <w:p w14:paraId="58BA7380" w14:textId="77777777" w:rsidR="0037352B" w:rsidRPr="00B148F9" w:rsidRDefault="0037352B" w:rsidP="0037352B">
            <w:pPr>
              <w:tabs>
                <w:tab w:val="left" w:pos="426"/>
                <w:tab w:val="left" w:pos="2160"/>
              </w:tabs>
              <w:rPr>
                <w:rFonts w:cs="Arial"/>
                <w:b/>
                <w:sz w:val="16"/>
              </w:rPr>
            </w:pPr>
          </w:p>
        </w:tc>
        <w:tc>
          <w:tcPr>
            <w:tcW w:w="2126" w:type="dxa"/>
          </w:tcPr>
          <w:p w14:paraId="03EDCA19" w14:textId="77777777" w:rsidR="0037352B" w:rsidRPr="00B148F9" w:rsidRDefault="0037352B" w:rsidP="0037352B">
            <w:pPr>
              <w:tabs>
                <w:tab w:val="left" w:pos="426"/>
                <w:tab w:val="left" w:pos="2160"/>
              </w:tabs>
              <w:jc w:val="center"/>
              <w:rPr>
                <w:rFonts w:cs="Arial"/>
              </w:rPr>
            </w:pPr>
            <w:r w:rsidRPr="00B148F9">
              <w:rPr>
                <w:rFonts w:cs="Arial"/>
              </w:rPr>
              <w:t>US$</w:t>
            </w:r>
          </w:p>
        </w:tc>
        <w:tc>
          <w:tcPr>
            <w:tcW w:w="2268" w:type="dxa"/>
          </w:tcPr>
          <w:p w14:paraId="546ED754" w14:textId="77777777" w:rsidR="0037352B" w:rsidRPr="00B148F9" w:rsidRDefault="0037352B" w:rsidP="0037352B">
            <w:pPr>
              <w:tabs>
                <w:tab w:val="left" w:pos="426"/>
                <w:tab w:val="left" w:pos="2160"/>
              </w:tabs>
              <w:jc w:val="center"/>
              <w:rPr>
                <w:rFonts w:cs="Arial"/>
              </w:rPr>
            </w:pPr>
          </w:p>
        </w:tc>
        <w:tc>
          <w:tcPr>
            <w:tcW w:w="1559" w:type="dxa"/>
          </w:tcPr>
          <w:p w14:paraId="3B479ED6" w14:textId="77777777" w:rsidR="0037352B" w:rsidRPr="00B148F9" w:rsidRDefault="0037352B" w:rsidP="0037352B">
            <w:pPr>
              <w:tabs>
                <w:tab w:val="left" w:pos="426"/>
                <w:tab w:val="left" w:pos="2160"/>
              </w:tabs>
              <w:jc w:val="center"/>
              <w:rPr>
                <w:rFonts w:cs="Arial"/>
              </w:rPr>
            </w:pPr>
          </w:p>
        </w:tc>
        <w:tc>
          <w:tcPr>
            <w:tcW w:w="1384" w:type="dxa"/>
          </w:tcPr>
          <w:p w14:paraId="45A5521B" w14:textId="77777777" w:rsidR="0037352B" w:rsidRPr="00B148F9" w:rsidRDefault="0037352B" w:rsidP="0037352B">
            <w:pPr>
              <w:tabs>
                <w:tab w:val="left" w:pos="426"/>
                <w:tab w:val="left" w:pos="2160"/>
              </w:tabs>
              <w:jc w:val="center"/>
              <w:rPr>
                <w:rFonts w:cs="Arial"/>
              </w:rPr>
            </w:pPr>
          </w:p>
        </w:tc>
      </w:tr>
      <w:tr w:rsidR="0037352B" w:rsidRPr="00B148F9" w14:paraId="499A9418" w14:textId="77777777" w:rsidTr="0037352B">
        <w:tc>
          <w:tcPr>
            <w:tcW w:w="2552" w:type="dxa"/>
            <w:gridSpan w:val="2"/>
          </w:tcPr>
          <w:p w14:paraId="5CF48118" w14:textId="77777777" w:rsidR="0037352B" w:rsidRPr="00B148F9" w:rsidRDefault="0037352B" w:rsidP="0037352B">
            <w:pPr>
              <w:tabs>
                <w:tab w:val="left" w:pos="426"/>
                <w:tab w:val="left" w:pos="2160"/>
              </w:tabs>
              <w:rPr>
                <w:rFonts w:cs="Arial"/>
                <w:sz w:val="16"/>
              </w:rPr>
            </w:pPr>
            <w:r w:rsidRPr="00B148F9">
              <w:rPr>
                <w:rFonts w:cs="Arial"/>
                <w:b/>
                <w:sz w:val="16"/>
              </w:rPr>
              <w:t>Assets</w:t>
            </w:r>
            <w:r w:rsidRPr="00B148F9">
              <w:rPr>
                <w:rFonts w:cs="Arial"/>
                <w:sz w:val="16"/>
              </w:rPr>
              <w:t xml:space="preserve"> (at fair value)</w:t>
            </w:r>
          </w:p>
        </w:tc>
        <w:tc>
          <w:tcPr>
            <w:tcW w:w="2126" w:type="dxa"/>
          </w:tcPr>
          <w:p w14:paraId="2B096CEE" w14:textId="77777777" w:rsidR="0037352B" w:rsidRPr="00B148F9" w:rsidRDefault="0037352B" w:rsidP="0037352B">
            <w:pPr>
              <w:tabs>
                <w:tab w:val="left" w:pos="426"/>
                <w:tab w:val="left" w:pos="2160"/>
              </w:tabs>
              <w:rPr>
                <w:rFonts w:cs="Arial"/>
              </w:rPr>
            </w:pPr>
          </w:p>
        </w:tc>
        <w:tc>
          <w:tcPr>
            <w:tcW w:w="2268" w:type="dxa"/>
          </w:tcPr>
          <w:p w14:paraId="23A4BFED" w14:textId="77777777" w:rsidR="0037352B" w:rsidRPr="00B148F9" w:rsidRDefault="0037352B" w:rsidP="0037352B">
            <w:pPr>
              <w:tabs>
                <w:tab w:val="left" w:pos="426"/>
                <w:tab w:val="left" w:pos="2160"/>
              </w:tabs>
              <w:rPr>
                <w:rFonts w:cs="Arial"/>
              </w:rPr>
            </w:pPr>
          </w:p>
        </w:tc>
        <w:tc>
          <w:tcPr>
            <w:tcW w:w="1559" w:type="dxa"/>
          </w:tcPr>
          <w:p w14:paraId="0263BC4C" w14:textId="77777777" w:rsidR="0037352B" w:rsidRPr="00B148F9" w:rsidRDefault="0037352B" w:rsidP="0037352B">
            <w:pPr>
              <w:tabs>
                <w:tab w:val="left" w:pos="426"/>
                <w:tab w:val="left" w:pos="2160"/>
              </w:tabs>
              <w:rPr>
                <w:rFonts w:cs="Arial"/>
              </w:rPr>
            </w:pPr>
          </w:p>
        </w:tc>
        <w:tc>
          <w:tcPr>
            <w:tcW w:w="1384" w:type="dxa"/>
          </w:tcPr>
          <w:p w14:paraId="473B50E1" w14:textId="77777777" w:rsidR="0037352B" w:rsidRPr="00B148F9" w:rsidRDefault="0037352B" w:rsidP="0037352B">
            <w:pPr>
              <w:tabs>
                <w:tab w:val="left" w:pos="426"/>
                <w:tab w:val="left" w:pos="2160"/>
              </w:tabs>
              <w:rPr>
                <w:rFonts w:cs="Arial"/>
              </w:rPr>
            </w:pPr>
          </w:p>
        </w:tc>
      </w:tr>
      <w:tr w:rsidR="0037352B" w:rsidRPr="00B148F9" w14:paraId="6C58F3CE" w14:textId="77777777" w:rsidTr="0037352B">
        <w:tc>
          <w:tcPr>
            <w:tcW w:w="442" w:type="dxa"/>
          </w:tcPr>
          <w:p w14:paraId="4A302AB8" w14:textId="77777777" w:rsidR="0037352B" w:rsidRPr="00B148F9" w:rsidRDefault="0037352B" w:rsidP="0037352B">
            <w:pPr>
              <w:tabs>
                <w:tab w:val="left" w:pos="426"/>
                <w:tab w:val="left" w:pos="2160"/>
              </w:tabs>
              <w:rPr>
                <w:rFonts w:cs="Arial"/>
                <w:sz w:val="16"/>
              </w:rPr>
            </w:pPr>
          </w:p>
        </w:tc>
        <w:tc>
          <w:tcPr>
            <w:tcW w:w="2110" w:type="dxa"/>
          </w:tcPr>
          <w:p w14:paraId="34E3B20E" w14:textId="77777777" w:rsidR="0037352B" w:rsidRPr="00B148F9" w:rsidRDefault="0037352B" w:rsidP="0037352B">
            <w:pPr>
              <w:tabs>
                <w:tab w:val="left" w:pos="426"/>
                <w:tab w:val="left" w:pos="2160"/>
              </w:tabs>
              <w:rPr>
                <w:rFonts w:cs="Arial"/>
                <w:sz w:val="16"/>
              </w:rPr>
            </w:pPr>
          </w:p>
        </w:tc>
        <w:tc>
          <w:tcPr>
            <w:tcW w:w="2126" w:type="dxa"/>
          </w:tcPr>
          <w:p w14:paraId="1E329B6E" w14:textId="77777777" w:rsidR="0037352B" w:rsidRPr="00B148F9" w:rsidRDefault="0037352B" w:rsidP="0037352B">
            <w:pPr>
              <w:tabs>
                <w:tab w:val="left" w:pos="426"/>
                <w:tab w:val="left" w:pos="2160"/>
              </w:tabs>
              <w:rPr>
                <w:rFonts w:cs="Arial"/>
              </w:rPr>
            </w:pPr>
          </w:p>
        </w:tc>
        <w:tc>
          <w:tcPr>
            <w:tcW w:w="2268" w:type="dxa"/>
          </w:tcPr>
          <w:p w14:paraId="1681845C" w14:textId="77777777" w:rsidR="0037352B" w:rsidRPr="00B148F9" w:rsidRDefault="0037352B" w:rsidP="0037352B">
            <w:pPr>
              <w:tabs>
                <w:tab w:val="left" w:pos="426"/>
                <w:tab w:val="left" w:pos="2160"/>
              </w:tabs>
              <w:rPr>
                <w:rFonts w:cs="Arial"/>
              </w:rPr>
            </w:pPr>
          </w:p>
        </w:tc>
        <w:tc>
          <w:tcPr>
            <w:tcW w:w="1559" w:type="dxa"/>
          </w:tcPr>
          <w:p w14:paraId="01BF7626" w14:textId="77777777" w:rsidR="0037352B" w:rsidRPr="00B148F9" w:rsidRDefault="0037352B" w:rsidP="0037352B">
            <w:pPr>
              <w:tabs>
                <w:tab w:val="left" w:pos="426"/>
                <w:tab w:val="left" w:pos="2160"/>
              </w:tabs>
              <w:rPr>
                <w:rFonts w:cs="Arial"/>
              </w:rPr>
            </w:pPr>
          </w:p>
        </w:tc>
        <w:tc>
          <w:tcPr>
            <w:tcW w:w="1384" w:type="dxa"/>
          </w:tcPr>
          <w:p w14:paraId="2924302D" w14:textId="77777777" w:rsidR="0037352B" w:rsidRPr="00B148F9" w:rsidRDefault="0037352B" w:rsidP="0037352B">
            <w:pPr>
              <w:tabs>
                <w:tab w:val="left" w:pos="426"/>
                <w:tab w:val="left" w:pos="2160"/>
              </w:tabs>
              <w:rPr>
                <w:rFonts w:cs="Arial"/>
              </w:rPr>
            </w:pPr>
          </w:p>
        </w:tc>
      </w:tr>
      <w:tr w:rsidR="0037352B" w:rsidRPr="00B148F9" w14:paraId="2065A096" w14:textId="77777777" w:rsidTr="0037352B">
        <w:tc>
          <w:tcPr>
            <w:tcW w:w="442" w:type="dxa"/>
          </w:tcPr>
          <w:p w14:paraId="2B8E254A" w14:textId="77777777" w:rsidR="0037352B" w:rsidRPr="00B148F9" w:rsidRDefault="0037352B" w:rsidP="0037352B">
            <w:pPr>
              <w:tabs>
                <w:tab w:val="left" w:pos="426"/>
                <w:tab w:val="left" w:pos="2160"/>
              </w:tabs>
              <w:rPr>
                <w:rFonts w:cs="Arial"/>
                <w:sz w:val="16"/>
              </w:rPr>
            </w:pPr>
          </w:p>
        </w:tc>
        <w:tc>
          <w:tcPr>
            <w:tcW w:w="2110" w:type="dxa"/>
          </w:tcPr>
          <w:p w14:paraId="073960AD" w14:textId="77777777" w:rsidR="0037352B" w:rsidRPr="00B148F9" w:rsidRDefault="0037352B" w:rsidP="0037352B">
            <w:pPr>
              <w:tabs>
                <w:tab w:val="left" w:pos="426"/>
                <w:tab w:val="left" w:pos="2160"/>
              </w:tabs>
              <w:rPr>
                <w:rFonts w:cs="Arial"/>
                <w:b/>
                <w:sz w:val="16"/>
              </w:rPr>
            </w:pPr>
            <w:r w:rsidRPr="00B148F9">
              <w:rPr>
                <w:rFonts w:cs="Arial"/>
                <w:b/>
                <w:sz w:val="16"/>
              </w:rPr>
              <w:t>Investments in securities</w:t>
            </w:r>
          </w:p>
        </w:tc>
        <w:tc>
          <w:tcPr>
            <w:tcW w:w="2126" w:type="dxa"/>
          </w:tcPr>
          <w:p w14:paraId="3F3E89B1" w14:textId="77777777" w:rsidR="0037352B" w:rsidRPr="00B148F9" w:rsidRDefault="0037352B" w:rsidP="0037352B">
            <w:pPr>
              <w:tabs>
                <w:tab w:val="left" w:pos="426"/>
                <w:tab w:val="left" w:pos="2160"/>
              </w:tabs>
              <w:rPr>
                <w:rFonts w:cs="Arial"/>
              </w:rPr>
            </w:pPr>
          </w:p>
        </w:tc>
        <w:tc>
          <w:tcPr>
            <w:tcW w:w="2268" w:type="dxa"/>
          </w:tcPr>
          <w:p w14:paraId="5D3511A8" w14:textId="77777777" w:rsidR="0037352B" w:rsidRPr="00B148F9" w:rsidRDefault="0037352B" w:rsidP="0037352B">
            <w:pPr>
              <w:tabs>
                <w:tab w:val="left" w:pos="426"/>
                <w:tab w:val="left" w:pos="2160"/>
              </w:tabs>
              <w:rPr>
                <w:rFonts w:cs="Arial"/>
              </w:rPr>
            </w:pPr>
          </w:p>
        </w:tc>
        <w:tc>
          <w:tcPr>
            <w:tcW w:w="1559" w:type="dxa"/>
          </w:tcPr>
          <w:p w14:paraId="57F34960" w14:textId="77777777" w:rsidR="0037352B" w:rsidRPr="00B148F9" w:rsidRDefault="0037352B" w:rsidP="0037352B">
            <w:pPr>
              <w:tabs>
                <w:tab w:val="left" w:pos="426"/>
                <w:tab w:val="left" w:pos="2160"/>
              </w:tabs>
              <w:rPr>
                <w:rFonts w:cs="Arial"/>
              </w:rPr>
            </w:pPr>
          </w:p>
        </w:tc>
        <w:tc>
          <w:tcPr>
            <w:tcW w:w="1384" w:type="dxa"/>
          </w:tcPr>
          <w:p w14:paraId="2B52BE92" w14:textId="77777777" w:rsidR="0037352B" w:rsidRPr="00B148F9" w:rsidRDefault="0037352B" w:rsidP="0037352B">
            <w:pPr>
              <w:tabs>
                <w:tab w:val="left" w:pos="426"/>
                <w:tab w:val="left" w:pos="2160"/>
              </w:tabs>
              <w:rPr>
                <w:rFonts w:cs="Arial"/>
              </w:rPr>
            </w:pPr>
          </w:p>
        </w:tc>
      </w:tr>
      <w:tr w:rsidR="0037352B" w:rsidRPr="00B148F9" w14:paraId="1FB5BE76" w14:textId="77777777" w:rsidTr="0037352B">
        <w:tc>
          <w:tcPr>
            <w:tcW w:w="442" w:type="dxa"/>
          </w:tcPr>
          <w:p w14:paraId="75CE6126" w14:textId="77777777" w:rsidR="0037352B" w:rsidRPr="00B148F9" w:rsidRDefault="0037352B" w:rsidP="0037352B">
            <w:pPr>
              <w:tabs>
                <w:tab w:val="left" w:pos="426"/>
                <w:tab w:val="left" w:pos="2160"/>
              </w:tabs>
              <w:rPr>
                <w:rFonts w:cs="Arial"/>
                <w:sz w:val="16"/>
              </w:rPr>
            </w:pPr>
          </w:p>
        </w:tc>
        <w:tc>
          <w:tcPr>
            <w:tcW w:w="2110" w:type="dxa"/>
          </w:tcPr>
          <w:p w14:paraId="0971D3A9" w14:textId="16462377" w:rsidR="0037352B" w:rsidRPr="00B148F9" w:rsidRDefault="00C87417">
            <w:pPr>
              <w:tabs>
                <w:tab w:val="left" w:pos="426"/>
                <w:tab w:val="left" w:pos="2160"/>
              </w:tabs>
              <w:jc w:val="left"/>
              <w:rPr>
                <w:rFonts w:cs="Arial"/>
                <w:sz w:val="16"/>
              </w:rPr>
            </w:pPr>
            <w:r w:rsidRPr="00B148F9">
              <w:rPr>
                <w:rFonts w:cs="Arial"/>
                <w:sz w:val="16"/>
              </w:rPr>
              <w:t>Convertible p</w:t>
            </w:r>
            <w:r w:rsidR="0037352B" w:rsidRPr="00B148F9">
              <w:rPr>
                <w:rFonts w:cs="Arial"/>
                <w:sz w:val="16"/>
              </w:rPr>
              <w:t>referred stocks</w:t>
            </w:r>
          </w:p>
        </w:tc>
        <w:tc>
          <w:tcPr>
            <w:tcW w:w="2126" w:type="dxa"/>
          </w:tcPr>
          <w:p w14:paraId="6ED1C0C0" w14:textId="77777777" w:rsidR="0037352B" w:rsidRPr="00B148F9" w:rsidRDefault="0037352B" w:rsidP="0037352B">
            <w:pPr>
              <w:tabs>
                <w:tab w:val="left" w:pos="426"/>
                <w:tab w:val="left" w:pos="2160"/>
              </w:tabs>
              <w:jc w:val="center"/>
              <w:rPr>
                <w:rFonts w:cs="Arial"/>
              </w:rPr>
            </w:pPr>
            <w:r w:rsidRPr="00B148F9">
              <w:rPr>
                <w:rFonts w:cs="Arial"/>
              </w:rPr>
              <w:t>26,064,551</w:t>
            </w:r>
          </w:p>
        </w:tc>
        <w:tc>
          <w:tcPr>
            <w:tcW w:w="2268" w:type="dxa"/>
          </w:tcPr>
          <w:p w14:paraId="7FDC7517" w14:textId="1ECB49F8" w:rsidR="0037352B" w:rsidRPr="00B148F9" w:rsidRDefault="0037352B">
            <w:pPr>
              <w:tabs>
                <w:tab w:val="left" w:pos="426"/>
                <w:tab w:val="left" w:pos="2160"/>
              </w:tabs>
              <w:jc w:val="center"/>
              <w:rPr>
                <w:rFonts w:cs="Arial"/>
              </w:rPr>
            </w:pPr>
            <w:r w:rsidRPr="00B148F9">
              <w:rPr>
                <w:rFonts w:cs="Arial"/>
              </w:rPr>
              <w:t xml:space="preserve">Recent transactions, </w:t>
            </w:r>
            <w:r w:rsidR="00EF227F" w:rsidRPr="00B148F9">
              <w:rPr>
                <w:rFonts w:cs="Arial"/>
              </w:rPr>
              <w:t>income approach -</w:t>
            </w:r>
            <w:r w:rsidRPr="00B148F9">
              <w:rPr>
                <w:rFonts w:cs="Arial"/>
              </w:rPr>
              <w:t xml:space="preserve">discounted </w:t>
            </w:r>
            <w:r w:rsidR="00EF227F" w:rsidRPr="00B148F9">
              <w:rPr>
                <w:rFonts w:cs="Arial"/>
              </w:rPr>
              <w:t>cash flows</w:t>
            </w:r>
          </w:p>
        </w:tc>
        <w:tc>
          <w:tcPr>
            <w:tcW w:w="1559" w:type="dxa"/>
          </w:tcPr>
          <w:p w14:paraId="1E819205" w14:textId="77777777" w:rsidR="00EF227F" w:rsidRPr="00B148F9" w:rsidRDefault="00EF227F" w:rsidP="0037352B">
            <w:pPr>
              <w:tabs>
                <w:tab w:val="left" w:pos="426"/>
                <w:tab w:val="left" w:pos="2160"/>
              </w:tabs>
              <w:jc w:val="center"/>
              <w:rPr>
                <w:rFonts w:cs="Arial"/>
              </w:rPr>
            </w:pPr>
            <w:r w:rsidRPr="00B148F9">
              <w:rPr>
                <w:rFonts w:cs="Arial"/>
              </w:rPr>
              <w:t xml:space="preserve">Purchase price </w:t>
            </w:r>
          </w:p>
          <w:p w14:paraId="6A42C9F3" w14:textId="77777777" w:rsidR="00EF227F" w:rsidRPr="00B148F9" w:rsidRDefault="00EF227F" w:rsidP="0037352B">
            <w:pPr>
              <w:tabs>
                <w:tab w:val="left" w:pos="426"/>
                <w:tab w:val="left" w:pos="2160"/>
              </w:tabs>
              <w:jc w:val="center"/>
              <w:rPr>
                <w:rFonts w:cs="Arial"/>
              </w:rPr>
            </w:pPr>
          </w:p>
          <w:p w14:paraId="4784F08F" w14:textId="77E184CF" w:rsidR="0037352B" w:rsidRPr="00B148F9" w:rsidRDefault="00EF227F" w:rsidP="0037352B">
            <w:pPr>
              <w:tabs>
                <w:tab w:val="left" w:pos="426"/>
                <w:tab w:val="left" w:pos="2160"/>
              </w:tabs>
              <w:jc w:val="center"/>
              <w:rPr>
                <w:rFonts w:cs="Arial"/>
              </w:rPr>
            </w:pPr>
            <w:r w:rsidRPr="00B148F9">
              <w:rPr>
                <w:rFonts w:cs="Arial"/>
              </w:rPr>
              <w:t>WACC</w:t>
            </w:r>
          </w:p>
          <w:p w14:paraId="520D8BDE" w14:textId="77777777" w:rsidR="0037352B" w:rsidRPr="00B148F9" w:rsidRDefault="0037352B" w:rsidP="0037352B">
            <w:pPr>
              <w:tabs>
                <w:tab w:val="left" w:pos="426"/>
                <w:tab w:val="left" w:pos="2160"/>
              </w:tabs>
              <w:jc w:val="center"/>
              <w:rPr>
                <w:rFonts w:cs="Arial"/>
              </w:rPr>
            </w:pPr>
          </w:p>
          <w:p w14:paraId="6CBBAF65" w14:textId="21B0F19C" w:rsidR="0037352B" w:rsidRPr="00B148F9" w:rsidRDefault="00EF227F" w:rsidP="0037352B">
            <w:pPr>
              <w:tabs>
                <w:tab w:val="left" w:pos="426"/>
                <w:tab w:val="left" w:pos="2160"/>
              </w:tabs>
              <w:jc w:val="center"/>
              <w:rPr>
                <w:rFonts w:cs="Arial"/>
              </w:rPr>
            </w:pPr>
            <w:r w:rsidRPr="00B148F9">
              <w:rPr>
                <w:rFonts w:cs="Arial"/>
              </w:rPr>
              <w:t xml:space="preserve">Exit revenue multiple </w:t>
            </w:r>
          </w:p>
        </w:tc>
        <w:tc>
          <w:tcPr>
            <w:tcW w:w="1384" w:type="dxa"/>
          </w:tcPr>
          <w:p w14:paraId="4135B3AC" w14:textId="1FE9D23E" w:rsidR="00EF227F" w:rsidRPr="00B148F9" w:rsidRDefault="00EF227F" w:rsidP="0037352B">
            <w:pPr>
              <w:tabs>
                <w:tab w:val="left" w:pos="426"/>
                <w:tab w:val="left" w:pos="2160"/>
              </w:tabs>
              <w:jc w:val="center"/>
              <w:rPr>
                <w:rFonts w:cs="Arial"/>
              </w:rPr>
            </w:pPr>
            <w:r w:rsidRPr="00B148F9">
              <w:rPr>
                <w:rFonts w:cs="Arial"/>
              </w:rPr>
              <w:t>1x</w:t>
            </w:r>
          </w:p>
          <w:p w14:paraId="2D2C22B4" w14:textId="77777777" w:rsidR="00EF227F" w:rsidRPr="00B148F9" w:rsidRDefault="00EF227F" w:rsidP="0037352B">
            <w:pPr>
              <w:tabs>
                <w:tab w:val="left" w:pos="426"/>
                <w:tab w:val="left" w:pos="2160"/>
              </w:tabs>
              <w:jc w:val="center"/>
              <w:rPr>
                <w:rFonts w:cs="Arial"/>
              </w:rPr>
            </w:pPr>
          </w:p>
          <w:p w14:paraId="49C71762" w14:textId="77777777" w:rsidR="00EF227F" w:rsidRPr="00B148F9" w:rsidRDefault="00EF227F" w:rsidP="0037352B">
            <w:pPr>
              <w:tabs>
                <w:tab w:val="left" w:pos="426"/>
                <w:tab w:val="left" w:pos="2160"/>
              </w:tabs>
              <w:jc w:val="center"/>
              <w:rPr>
                <w:rFonts w:cs="Arial"/>
              </w:rPr>
            </w:pPr>
          </w:p>
          <w:p w14:paraId="7744972C" w14:textId="3C2A44FD" w:rsidR="0037352B" w:rsidRPr="00B148F9" w:rsidRDefault="00FE6D72" w:rsidP="0037352B">
            <w:pPr>
              <w:tabs>
                <w:tab w:val="left" w:pos="426"/>
                <w:tab w:val="left" w:pos="2160"/>
              </w:tabs>
              <w:jc w:val="center"/>
              <w:rPr>
                <w:rFonts w:cs="Arial"/>
              </w:rPr>
            </w:pPr>
            <w:r w:rsidRPr="00B148F9">
              <w:rPr>
                <w:rFonts w:cs="Arial"/>
              </w:rPr>
              <w:t>24</w:t>
            </w:r>
            <w:r w:rsidR="0037352B" w:rsidRPr="00B148F9">
              <w:rPr>
                <w:rFonts w:cs="Arial"/>
              </w:rPr>
              <w:t>%-</w:t>
            </w:r>
            <w:r w:rsidRPr="00B148F9">
              <w:rPr>
                <w:rFonts w:cs="Arial"/>
              </w:rPr>
              <w:t>32</w:t>
            </w:r>
            <w:r w:rsidR="0037352B" w:rsidRPr="00B148F9">
              <w:rPr>
                <w:rFonts w:cs="Arial"/>
              </w:rPr>
              <w:t>%</w:t>
            </w:r>
          </w:p>
          <w:p w14:paraId="1D6858F7" w14:textId="77777777" w:rsidR="0037352B" w:rsidRPr="00B148F9" w:rsidRDefault="0037352B" w:rsidP="0037352B">
            <w:pPr>
              <w:tabs>
                <w:tab w:val="left" w:pos="426"/>
                <w:tab w:val="left" w:pos="2160"/>
              </w:tabs>
              <w:jc w:val="center"/>
              <w:rPr>
                <w:rFonts w:cs="Arial"/>
              </w:rPr>
            </w:pPr>
          </w:p>
          <w:p w14:paraId="4729B773" w14:textId="77777777" w:rsidR="0037352B" w:rsidRPr="00B148F9" w:rsidRDefault="0037352B" w:rsidP="0037352B">
            <w:pPr>
              <w:tabs>
                <w:tab w:val="left" w:pos="426"/>
                <w:tab w:val="left" w:pos="2160"/>
              </w:tabs>
              <w:jc w:val="center"/>
              <w:rPr>
                <w:rFonts w:cs="Arial"/>
              </w:rPr>
            </w:pPr>
          </w:p>
          <w:p w14:paraId="266F87B4" w14:textId="3CA5676A" w:rsidR="0037352B" w:rsidRPr="00B148F9" w:rsidRDefault="0037352B" w:rsidP="0037352B">
            <w:pPr>
              <w:tabs>
                <w:tab w:val="left" w:pos="426"/>
                <w:tab w:val="left" w:pos="2160"/>
              </w:tabs>
              <w:jc w:val="center"/>
              <w:rPr>
                <w:rFonts w:cs="Arial"/>
              </w:rPr>
            </w:pPr>
            <w:r w:rsidRPr="00B148F9">
              <w:rPr>
                <w:rFonts w:cs="Arial"/>
              </w:rPr>
              <w:t>4</w:t>
            </w:r>
            <w:r w:rsidR="00FE6D72" w:rsidRPr="00B148F9">
              <w:rPr>
                <w:rFonts w:cs="Arial"/>
              </w:rPr>
              <w:t>x</w:t>
            </w:r>
          </w:p>
        </w:tc>
      </w:tr>
      <w:tr w:rsidR="0037352B" w:rsidRPr="00B148F9" w14:paraId="556BAE25" w14:textId="77777777" w:rsidTr="0037352B">
        <w:tc>
          <w:tcPr>
            <w:tcW w:w="442" w:type="dxa"/>
          </w:tcPr>
          <w:p w14:paraId="1A5885F1" w14:textId="77777777" w:rsidR="0037352B" w:rsidRPr="00B148F9" w:rsidRDefault="0037352B" w:rsidP="0037352B">
            <w:pPr>
              <w:tabs>
                <w:tab w:val="left" w:pos="426"/>
                <w:tab w:val="left" w:pos="2160"/>
              </w:tabs>
              <w:rPr>
                <w:rFonts w:cs="Arial"/>
                <w:sz w:val="16"/>
              </w:rPr>
            </w:pPr>
          </w:p>
        </w:tc>
        <w:tc>
          <w:tcPr>
            <w:tcW w:w="2110" w:type="dxa"/>
          </w:tcPr>
          <w:p w14:paraId="5117368E" w14:textId="77777777" w:rsidR="0037352B" w:rsidRPr="00B148F9" w:rsidRDefault="0037352B" w:rsidP="0037352B">
            <w:pPr>
              <w:tabs>
                <w:tab w:val="left" w:pos="426"/>
                <w:tab w:val="left" w:pos="2160"/>
              </w:tabs>
              <w:rPr>
                <w:rFonts w:cs="Arial"/>
                <w:sz w:val="16"/>
              </w:rPr>
            </w:pPr>
          </w:p>
        </w:tc>
        <w:tc>
          <w:tcPr>
            <w:tcW w:w="2126" w:type="dxa"/>
          </w:tcPr>
          <w:p w14:paraId="0294D4C9" w14:textId="77777777" w:rsidR="0037352B" w:rsidRPr="00B148F9" w:rsidRDefault="0037352B" w:rsidP="0037352B">
            <w:pPr>
              <w:tabs>
                <w:tab w:val="left" w:pos="426"/>
                <w:tab w:val="left" w:pos="2160"/>
              </w:tabs>
              <w:rPr>
                <w:rFonts w:cs="Arial"/>
              </w:rPr>
            </w:pPr>
          </w:p>
        </w:tc>
        <w:tc>
          <w:tcPr>
            <w:tcW w:w="2268" w:type="dxa"/>
          </w:tcPr>
          <w:p w14:paraId="22B3C56A" w14:textId="77777777" w:rsidR="0037352B" w:rsidRPr="00B148F9" w:rsidRDefault="0037352B" w:rsidP="0037352B">
            <w:pPr>
              <w:tabs>
                <w:tab w:val="left" w:pos="426"/>
                <w:tab w:val="left" w:pos="2160"/>
              </w:tabs>
              <w:rPr>
                <w:rFonts w:cs="Arial"/>
              </w:rPr>
            </w:pPr>
          </w:p>
        </w:tc>
        <w:tc>
          <w:tcPr>
            <w:tcW w:w="1559" w:type="dxa"/>
          </w:tcPr>
          <w:p w14:paraId="65A9354C" w14:textId="77777777" w:rsidR="0037352B" w:rsidRPr="00B148F9" w:rsidRDefault="0037352B" w:rsidP="0037352B">
            <w:pPr>
              <w:tabs>
                <w:tab w:val="left" w:pos="426"/>
                <w:tab w:val="left" w:pos="2160"/>
              </w:tabs>
              <w:rPr>
                <w:rFonts w:cs="Arial"/>
              </w:rPr>
            </w:pPr>
          </w:p>
        </w:tc>
        <w:tc>
          <w:tcPr>
            <w:tcW w:w="1384" w:type="dxa"/>
          </w:tcPr>
          <w:p w14:paraId="276E8186" w14:textId="77777777" w:rsidR="0037352B" w:rsidRPr="00B148F9" w:rsidRDefault="0037352B" w:rsidP="0037352B">
            <w:pPr>
              <w:tabs>
                <w:tab w:val="left" w:pos="426"/>
                <w:tab w:val="left" w:pos="2160"/>
              </w:tabs>
              <w:rPr>
                <w:rFonts w:cs="Arial"/>
              </w:rPr>
            </w:pPr>
          </w:p>
        </w:tc>
      </w:tr>
    </w:tbl>
    <w:p w14:paraId="48A1BEAE" w14:textId="77777777" w:rsidR="00817824" w:rsidRPr="00B148F9" w:rsidRDefault="00817824" w:rsidP="00F31292">
      <w:pPr>
        <w:rPr>
          <w:rFonts w:cs="Arial"/>
        </w:rPr>
      </w:pPr>
    </w:p>
    <w:p w14:paraId="10EAD871" w14:textId="458A16DB" w:rsidR="00F31292" w:rsidRPr="00B148F9" w:rsidRDefault="00F31292" w:rsidP="00F31292">
      <w:pPr>
        <w:rPr>
          <w:rFonts w:cs="Arial"/>
        </w:rPr>
      </w:pPr>
      <w:r w:rsidRPr="00B148F9">
        <w:rPr>
          <w:rFonts w:cs="Arial"/>
        </w:rPr>
        <w:t xml:space="preserve">The following table presents additional information about Level 3 assets and liabilities measured at fair value. Both observable and unobservable inputs may be used to determine the fair value of positions that the </w:t>
      </w:r>
      <w:r w:rsidR="00196B8B" w:rsidRPr="00B148F9">
        <w:rPr>
          <w:rFonts w:cs="Arial"/>
        </w:rPr>
        <w:t>Company</w:t>
      </w:r>
      <w:r w:rsidRPr="00B148F9">
        <w:rPr>
          <w:rFonts w:cs="Arial"/>
        </w:rPr>
        <w:t xml:space="preserve"> has classified within the Level 3 category. As a result, the un</w:t>
      </w:r>
      <w:r w:rsidR="003535FE" w:rsidRPr="00B148F9">
        <w:rPr>
          <w:rFonts w:cs="Arial"/>
        </w:rPr>
        <w:t>realised</w:t>
      </w:r>
      <w:r w:rsidRPr="00B148F9">
        <w:rPr>
          <w:rFonts w:cs="Arial"/>
        </w:rPr>
        <w:t xml:space="preserve"> gains and losses for assets and liabilities within the Level 3 category may </w:t>
      </w:r>
      <w:r w:rsidRPr="00B148F9">
        <w:rPr>
          <w:rFonts w:cs="Arial"/>
        </w:rPr>
        <w:lastRenderedPageBreak/>
        <w:t>include changes in fair value that were attributable to both observable and unobservable inputs.</w:t>
      </w:r>
    </w:p>
    <w:p w14:paraId="7651FC38" w14:textId="77777777" w:rsidR="00F31292" w:rsidRPr="00B148F9" w:rsidRDefault="00F31292" w:rsidP="00F31292">
      <w:pPr>
        <w:rPr>
          <w:rFonts w:cs="Arial"/>
        </w:rPr>
      </w:pPr>
    </w:p>
    <w:p w14:paraId="2A8139BE" w14:textId="3676CE78" w:rsidR="00D97A7B" w:rsidRPr="00B148F9" w:rsidRDefault="00F31292" w:rsidP="00F31292">
      <w:pPr>
        <w:rPr>
          <w:rFonts w:cs="Arial"/>
        </w:rPr>
      </w:pPr>
      <w:r w:rsidRPr="00B148F9">
        <w:rPr>
          <w:rFonts w:cs="Arial"/>
        </w:rPr>
        <w:t xml:space="preserve">Changes in Level 3 assets and liabilities measured at fair value for the year ended </w:t>
      </w:r>
      <w:r w:rsidR="00BE3B5C" w:rsidRPr="00B148F9">
        <w:rPr>
          <w:rFonts w:cs="Arial"/>
        </w:rPr>
        <w:t xml:space="preserve">31 </w:t>
      </w:r>
      <w:r w:rsidRPr="00B148F9">
        <w:rPr>
          <w:rFonts w:cs="Arial"/>
        </w:rPr>
        <w:t>December 2019 were as follows:</w:t>
      </w:r>
    </w:p>
    <w:p w14:paraId="6672EE6A" w14:textId="77777777" w:rsidR="00D97A7B" w:rsidRPr="00B148F9" w:rsidRDefault="00D97A7B" w:rsidP="00326CD3">
      <w:pPr>
        <w:rPr>
          <w:rFonts w:cs="Arial"/>
        </w:rPr>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
        <w:gridCol w:w="1681"/>
        <w:gridCol w:w="1189"/>
        <w:gridCol w:w="1189"/>
        <w:gridCol w:w="1504"/>
        <w:gridCol w:w="1331"/>
        <w:gridCol w:w="937"/>
        <w:gridCol w:w="1417"/>
        <w:gridCol w:w="1418"/>
      </w:tblGrid>
      <w:tr w:rsidR="00FE6D72" w:rsidRPr="00B148F9" w14:paraId="4DDEB571" w14:textId="6A85ABE0" w:rsidTr="00C60076">
        <w:trPr>
          <w:jc w:val="center"/>
        </w:trPr>
        <w:tc>
          <w:tcPr>
            <w:tcW w:w="391" w:type="dxa"/>
          </w:tcPr>
          <w:p w14:paraId="3753D9CE" w14:textId="77777777" w:rsidR="00FE6D72" w:rsidRPr="00B148F9" w:rsidRDefault="00FE6D72" w:rsidP="0042784F">
            <w:pPr>
              <w:tabs>
                <w:tab w:val="left" w:pos="426"/>
                <w:tab w:val="left" w:pos="2160"/>
              </w:tabs>
              <w:rPr>
                <w:rFonts w:cs="Arial"/>
              </w:rPr>
            </w:pPr>
          </w:p>
        </w:tc>
        <w:tc>
          <w:tcPr>
            <w:tcW w:w="1681" w:type="dxa"/>
          </w:tcPr>
          <w:p w14:paraId="26D797DE" w14:textId="77777777" w:rsidR="00FE6D72" w:rsidRPr="00B148F9" w:rsidRDefault="00FE6D72" w:rsidP="0042784F">
            <w:pPr>
              <w:tabs>
                <w:tab w:val="left" w:pos="426"/>
                <w:tab w:val="left" w:pos="2160"/>
              </w:tabs>
              <w:rPr>
                <w:rFonts w:cs="Arial"/>
              </w:rPr>
            </w:pPr>
          </w:p>
        </w:tc>
        <w:tc>
          <w:tcPr>
            <w:tcW w:w="1189" w:type="dxa"/>
          </w:tcPr>
          <w:p w14:paraId="742D7D02" w14:textId="6E94FE3C" w:rsidR="00FE6D72" w:rsidRPr="00B148F9" w:rsidRDefault="00FE6D72" w:rsidP="0042784F">
            <w:pPr>
              <w:tabs>
                <w:tab w:val="left" w:pos="426"/>
                <w:tab w:val="left" w:pos="2160"/>
              </w:tabs>
              <w:jc w:val="center"/>
              <w:rPr>
                <w:rFonts w:cs="Arial"/>
                <w:b/>
              </w:rPr>
            </w:pPr>
            <w:r w:rsidRPr="00B148F9">
              <w:rPr>
                <w:rFonts w:cs="Arial"/>
                <w:b/>
              </w:rPr>
              <w:t>Balance Beginning 1 January 2019</w:t>
            </w:r>
          </w:p>
        </w:tc>
        <w:tc>
          <w:tcPr>
            <w:tcW w:w="1189" w:type="dxa"/>
          </w:tcPr>
          <w:p w14:paraId="20D79A86" w14:textId="03C9EA48" w:rsidR="00FE6D72" w:rsidRPr="00B148F9" w:rsidRDefault="00FE6D72" w:rsidP="0042784F">
            <w:pPr>
              <w:tabs>
                <w:tab w:val="left" w:pos="426"/>
                <w:tab w:val="left" w:pos="2160"/>
              </w:tabs>
              <w:jc w:val="center"/>
              <w:rPr>
                <w:rFonts w:cs="Arial"/>
                <w:b/>
              </w:rPr>
            </w:pPr>
            <w:r w:rsidRPr="00B148F9">
              <w:rPr>
                <w:rFonts w:cs="Arial"/>
                <w:b/>
              </w:rPr>
              <w:t>Realised Gains (Losses)</w:t>
            </w:r>
          </w:p>
        </w:tc>
        <w:tc>
          <w:tcPr>
            <w:tcW w:w="1504" w:type="dxa"/>
          </w:tcPr>
          <w:p w14:paraId="0A4FC207" w14:textId="57005C8B" w:rsidR="00FE6D72" w:rsidRPr="00B148F9" w:rsidRDefault="00FE6D72" w:rsidP="0042784F">
            <w:pPr>
              <w:tabs>
                <w:tab w:val="left" w:pos="426"/>
                <w:tab w:val="left" w:pos="2160"/>
              </w:tabs>
              <w:jc w:val="center"/>
              <w:rPr>
                <w:rFonts w:cs="Arial"/>
                <w:b/>
              </w:rPr>
            </w:pPr>
            <w:r w:rsidRPr="00B148F9">
              <w:rPr>
                <w:rFonts w:cs="Arial"/>
                <w:b/>
              </w:rPr>
              <w:t>Unrealised Gains (Losses)</w:t>
            </w:r>
          </w:p>
        </w:tc>
        <w:tc>
          <w:tcPr>
            <w:tcW w:w="1331" w:type="dxa"/>
          </w:tcPr>
          <w:p w14:paraId="30D334A0" w14:textId="7B065FBF" w:rsidR="00FE6D72" w:rsidRPr="00B148F9" w:rsidRDefault="00FE6D72" w:rsidP="0042784F">
            <w:pPr>
              <w:tabs>
                <w:tab w:val="left" w:pos="426"/>
                <w:tab w:val="left" w:pos="2160"/>
              </w:tabs>
              <w:jc w:val="center"/>
              <w:rPr>
                <w:rFonts w:cs="Arial"/>
                <w:b/>
              </w:rPr>
            </w:pPr>
            <w:r w:rsidRPr="00B148F9">
              <w:rPr>
                <w:rFonts w:cs="Arial"/>
                <w:b/>
              </w:rPr>
              <w:t>Purchases</w:t>
            </w:r>
          </w:p>
        </w:tc>
        <w:tc>
          <w:tcPr>
            <w:tcW w:w="937" w:type="dxa"/>
          </w:tcPr>
          <w:p w14:paraId="2326C3D7" w14:textId="5F12DAF8" w:rsidR="00FE6D72" w:rsidRPr="00B148F9" w:rsidRDefault="00FE6D72" w:rsidP="0042784F">
            <w:pPr>
              <w:tabs>
                <w:tab w:val="left" w:pos="426"/>
                <w:tab w:val="left" w:pos="2160"/>
              </w:tabs>
              <w:jc w:val="center"/>
              <w:rPr>
                <w:rFonts w:cs="Arial"/>
                <w:b/>
              </w:rPr>
            </w:pPr>
            <w:r w:rsidRPr="00B148F9">
              <w:rPr>
                <w:rFonts w:cs="Arial"/>
                <w:b/>
              </w:rPr>
              <w:t>Sales</w:t>
            </w:r>
          </w:p>
        </w:tc>
        <w:tc>
          <w:tcPr>
            <w:tcW w:w="1417" w:type="dxa"/>
          </w:tcPr>
          <w:p w14:paraId="67301C97" w14:textId="7E9EC99B" w:rsidR="00FE6D72" w:rsidRPr="00B148F9" w:rsidRDefault="00FE6D72">
            <w:pPr>
              <w:tabs>
                <w:tab w:val="left" w:pos="426"/>
                <w:tab w:val="left" w:pos="2160"/>
              </w:tabs>
              <w:jc w:val="center"/>
              <w:rPr>
                <w:rFonts w:cs="Arial"/>
                <w:b/>
              </w:rPr>
            </w:pPr>
            <w:r w:rsidRPr="00B148F9">
              <w:rPr>
                <w:rFonts w:cs="Arial"/>
                <w:b/>
              </w:rPr>
              <w:t>Transfers into (from) Level 3</w:t>
            </w:r>
          </w:p>
        </w:tc>
        <w:tc>
          <w:tcPr>
            <w:tcW w:w="1418" w:type="dxa"/>
          </w:tcPr>
          <w:p w14:paraId="251F929C" w14:textId="307D2E9E" w:rsidR="00FE6D72" w:rsidRPr="00B148F9" w:rsidRDefault="00FE6D72">
            <w:pPr>
              <w:tabs>
                <w:tab w:val="left" w:pos="426"/>
                <w:tab w:val="left" w:pos="2160"/>
              </w:tabs>
              <w:jc w:val="center"/>
              <w:rPr>
                <w:rFonts w:cs="Arial"/>
                <w:b/>
              </w:rPr>
            </w:pPr>
            <w:r w:rsidRPr="00B148F9">
              <w:rPr>
                <w:rFonts w:cs="Arial"/>
                <w:b/>
              </w:rPr>
              <w:t>Ending Balance 31 December 2019</w:t>
            </w:r>
          </w:p>
        </w:tc>
      </w:tr>
      <w:tr w:rsidR="00FE6D72" w:rsidRPr="00B148F9" w14:paraId="5790F165" w14:textId="4748232B" w:rsidTr="00C60076">
        <w:trPr>
          <w:jc w:val="center"/>
        </w:trPr>
        <w:tc>
          <w:tcPr>
            <w:tcW w:w="2072" w:type="dxa"/>
            <w:gridSpan w:val="2"/>
          </w:tcPr>
          <w:p w14:paraId="73E38325" w14:textId="77777777" w:rsidR="00FE6D72" w:rsidRPr="00B148F9" w:rsidRDefault="00FE6D72" w:rsidP="008B3F71">
            <w:pPr>
              <w:tabs>
                <w:tab w:val="left" w:pos="426"/>
                <w:tab w:val="left" w:pos="2160"/>
              </w:tabs>
              <w:rPr>
                <w:rFonts w:cs="Arial"/>
                <w:b/>
                <w:sz w:val="16"/>
              </w:rPr>
            </w:pPr>
          </w:p>
        </w:tc>
        <w:tc>
          <w:tcPr>
            <w:tcW w:w="1189" w:type="dxa"/>
          </w:tcPr>
          <w:p w14:paraId="7505E2F8" w14:textId="0DBDD89F" w:rsidR="00FE6D72" w:rsidRPr="00B148F9" w:rsidRDefault="00FE6D72" w:rsidP="00C41915">
            <w:pPr>
              <w:tabs>
                <w:tab w:val="left" w:pos="426"/>
                <w:tab w:val="left" w:pos="2160"/>
              </w:tabs>
              <w:jc w:val="center"/>
              <w:rPr>
                <w:rFonts w:cs="Arial"/>
              </w:rPr>
            </w:pPr>
            <w:r w:rsidRPr="00B148F9">
              <w:rPr>
                <w:rFonts w:cs="Arial"/>
              </w:rPr>
              <w:t>US$</w:t>
            </w:r>
          </w:p>
        </w:tc>
        <w:tc>
          <w:tcPr>
            <w:tcW w:w="1189" w:type="dxa"/>
          </w:tcPr>
          <w:p w14:paraId="7C7003AB" w14:textId="1021A00E" w:rsidR="00FE6D72" w:rsidRPr="00B148F9" w:rsidRDefault="00FE6D72" w:rsidP="00C41915">
            <w:pPr>
              <w:tabs>
                <w:tab w:val="left" w:pos="426"/>
                <w:tab w:val="left" w:pos="2160"/>
              </w:tabs>
              <w:jc w:val="center"/>
              <w:rPr>
                <w:rFonts w:cs="Arial"/>
              </w:rPr>
            </w:pPr>
            <w:r w:rsidRPr="00B148F9">
              <w:rPr>
                <w:rFonts w:cs="Arial"/>
              </w:rPr>
              <w:t>US$</w:t>
            </w:r>
          </w:p>
        </w:tc>
        <w:tc>
          <w:tcPr>
            <w:tcW w:w="1504" w:type="dxa"/>
          </w:tcPr>
          <w:p w14:paraId="7049B719" w14:textId="20DF2045" w:rsidR="00FE6D72" w:rsidRPr="00B148F9" w:rsidRDefault="00FE6D72" w:rsidP="00C41915">
            <w:pPr>
              <w:tabs>
                <w:tab w:val="left" w:pos="426"/>
                <w:tab w:val="left" w:pos="2160"/>
              </w:tabs>
              <w:jc w:val="center"/>
              <w:rPr>
                <w:rFonts w:cs="Arial"/>
              </w:rPr>
            </w:pPr>
            <w:r w:rsidRPr="00B148F9">
              <w:rPr>
                <w:rFonts w:cs="Arial"/>
              </w:rPr>
              <w:t>US$</w:t>
            </w:r>
          </w:p>
        </w:tc>
        <w:tc>
          <w:tcPr>
            <w:tcW w:w="1331" w:type="dxa"/>
          </w:tcPr>
          <w:p w14:paraId="57021D36" w14:textId="2AE5C4FE" w:rsidR="00FE6D72" w:rsidRPr="00B148F9" w:rsidRDefault="00FE6D72" w:rsidP="00C41915">
            <w:pPr>
              <w:tabs>
                <w:tab w:val="left" w:pos="426"/>
                <w:tab w:val="left" w:pos="2160"/>
              </w:tabs>
              <w:jc w:val="center"/>
              <w:rPr>
                <w:rFonts w:cs="Arial"/>
              </w:rPr>
            </w:pPr>
            <w:r w:rsidRPr="00B148F9">
              <w:rPr>
                <w:rFonts w:cs="Arial"/>
              </w:rPr>
              <w:t>US$</w:t>
            </w:r>
          </w:p>
        </w:tc>
        <w:tc>
          <w:tcPr>
            <w:tcW w:w="937" w:type="dxa"/>
          </w:tcPr>
          <w:p w14:paraId="60A3EABA" w14:textId="4BC31A84" w:rsidR="00FE6D72" w:rsidRPr="00B148F9" w:rsidRDefault="00FE6D72" w:rsidP="00C41915">
            <w:pPr>
              <w:tabs>
                <w:tab w:val="left" w:pos="426"/>
                <w:tab w:val="left" w:pos="2160"/>
              </w:tabs>
              <w:jc w:val="center"/>
              <w:rPr>
                <w:rFonts w:cs="Arial"/>
              </w:rPr>
            </w:pPr>
            <w:r w:rsidRPr="00B148F9">
              <w:rPr>
                <w:rFonts w:cs="Arial"/>
              </w:rPr>
              <w:t>US$</w:t>
            </w:r>
          </w:p>
        </w:tc>
        <w:tc>
          <w:tcPr>
            <w:tcW w:w="1417" w:type="dxa"/>
          </w:tcPr>
          <w:p w14:paraId="2A1CDAE1" w14:textId="0F0CEE6B" w:rsidR="00FE6D72" w:rsidRPr="00B148F9" w:rsidRDefault="00FE6D72" w:rsidP="00C41915">
            <w:pPr>
              <w:tabs>
                <w:tab w:val="left" w:pos="426"/>
                <w:tab w:val="left" w:pos="2160"/>
              </w:tabs>
              <w:jc w:val="center"/>
              <w:rPr>
                <w:rFonts w:cs="Arial"/>
              </w:rPr>
            </w:pPr>
            <w:r w:rsidRPr="00B148F9">
              <w:rPr>
                <w:rFonts w:cs="Arial"/>
              </w:rPr>
              <w:t>US$</w:t>
            </w:r>
          </w:p>
        </w:tc>
        <w:tc>
          <w:tcPr>
            <w:tcW w:w="1418" w:type="dxa"/>
          </w:tcPr>
          <w:p w14:paraId="357A00D0" w14:textId="52D11945" w:rsidR="00FE6D72" w:rsidRPr="00B148F9" w:rsidRDefault="00FE6D72" w:rsidP="00C41915">
            <w:pPr>
              <w:tabs>
                <w:tab w:val="left" w:pos="426"/>
                <w:tab w:val="left" w:pos="2160"/>
              </w:tabs>
              <w:jc w:val="center"/>
              <w:rPr>
                <w:rFonts w:cs="Arial"/>
              </w:rPr>
            </w:pPr>
            <w:r w:rsidRPr="00B148F9">
              <w:rPr>
                <w:rFonts w:cs="Arial"/>
              </w:rPr>
              <w:t>US$</w:t>
            </w:r>
          </w:p>
        </w:tc>
      </w:tr>
      <w:tr w:rsidR="00FE6D72" w:rsidRPr="00B148F9" w14:paraId="18478CC1" w14:textId="247DFD63" w:rsidTr="00C60076">
        <w:trPr>
          <w:jc w:val="center"/>
        </w:trPr>
        <w:tc>
          <w:tcPr>
            <w:tcW w:w="2072" w:type="dxa"/>
            <w:gridSpan w:val="2"/>
          </w:tcPr>
          <w:p w14:paraId="6E8981CF" w14:textId="77777777" w:rsidR="00FE6D72" w:rsidRPr="00B148F9" w:rsidRDefault="00FE6D72" w:rsidP="0042784F">
            <w:pPr>
              <w:tabs>
                <w:tab w:val="left" w:pos="426"/>
                <w:tab w:val="left" w:pos="2160"/>
              </w:tabs>
              <w:rPr>
                <w:rFonts w:cs="Arial"/>
                <w:sz w:val="16"/>
              </w:rPr>
            </w:pPr>
            <w:r w:rsidRPr="00B148F9">
              <w:rPr>
                <w:rFonts w:cs="Arial"/>
                <w:b/>
                <w:sz w:val="16"/>
              </w:rPr>
              <w:t>Assets</w:t>
            </w:r>
            <w:r w:rsidRPr="00B148F9">
              <w:rPr>
                <w:rFonts w:cs="Arial"/>
                <w:sz w:val="16"/>
              </w:rPr>
              <w:t xml:space="preserve"> (at fair value)</w:t>
            </w:r>
          </w:p>
        </w:tc>
        <w:tc>
          <w:tcPr>
            <w:tcW w:w="1189" w:type="dxa"/>
          </w:tcPr>
          <w:p w14:paraId="435CA815" w14:textId="77777777" w:rsidR="00FE6D72" w:rsidRPr="00B148F9" w:rsidRDefault="00FE6D72" w:rsidP="0042784F">
            <w:pPr>
              <w:tabs>
                <w:tab w:val="left" w:pos="426"/>
                <w:tab w:val="left" w:pos="2160"/>
              </w:tabs>
              <w:rPr>
                <w:rFonts w:cs="Arial"/>
              </w:rPr>
            </w:pPr>
          </w:p>
        </w:tc>
        <w:tc>
          <w:tcPr>
            <w:tcW w:w="1189" w:type="dxa"/>
          </w:tcPr>
          <w:p w14:paraId="125D977D" w14:textId="7DE13289" w:rsidR="00FE6D72" w:rsidRPr="00B148F9" w:rsidRDefault="00FE6D72" w:rsidP="0042784F">
            <w:pPr>
              <w:tabs>
                <w:tab w:val="left" w:pos="426"/>
                <w:tab w:val="left" w:pos="2160"/>
              </w:tabs>
              <w:rPr>
                <w:rFonts w:cs="Arial"/>
              </w:rPr>
            </w:pPr>
          </w:p>
        </w:tc>
        <w:tc>
          <w:tcPr>
            <w:tcW w:w="1504" w:type="dxa"/>
          </w:tcPr>
          <w:p w14:paraId="2B89423F" w14:textId="77777777" w:rsidR="00FE6D72" w:rsidRPr="00B148F9" w:rsidRDefault="00FE6D72" w:rsidP="0042784F">
            <w:pPr>
              <w:tabs>
                <w:tab w:val="left" w:pos="426"/>
                <w:tab w:val="left" w:pos="2160"/>
              </w:tabs>
              <w:rPr>
                <w:rFonts w:cs="Arial"/>
              </w:rPr>
            </w:pPr>
          </w:p>
        </w:tc>
        <w:tc>
          <w:tcPr>
            <w:tcW w:w="1331" w:type="dxa"/>
          </w:tcPr>
          <w:p w14:paraId="4BBF2854" w14:textId="77777777" w:rsidR="00FE6D72" w:rsidRPr="00B148F9" w:rsidRDefault="00FE6D72" w:rsidP="0042784F">
            <w:pPr>
              <w:tabs>
                <w:tab w:val="left" w:pos="426"/>
                <w:tab w:val="left" w:pos="2160"/>
              </w:tabs>
              <w:rPr>
                <w:rFonts w:cs="Arial"/>
              </w:rPr>
            </w:pPr>
          </w:p>
        </w:tc>
        <w:tc>
          <w:tcPr>
            <w:tcW w:w="937" w:type="dxa"/>
          </w:tcPr>
          <w:p w14:paraId="107E55FF" w14:textId="07278673" w:rsidR="00FE6D72" w:rsidRPr="00B148F9" w:rsidRDefault="00FE6D72" w:rsidP="0042784F">
            <w:pPr>
              <w:tabs>
                <w:tab w:val="left" w:pos="426"/>
                <w:tab w:val="left" w:pos="2160"/>
              </w:tabs>
              <w:rPr>
                <w:rFonts w:cs="Arial"/>
              </w:rPr>
            </w:pPr>
          </w:p>
        </w:tc>
        <w:tc>
          <w:tcPr>
            <w:tcW w:w="1417" w:type="dxa"/>
          </w:tcPr>
          <w:p w14:paraId="6538D873" w14:textId="77777777" w:rsidR="00FE6D72" w:rsidRPr="00B148F9" w:rsidRDefault="00FE6D72" w:rsidP="0042784F">
            <w:pPr>
              <w:tabs>
                <w:tab w:val="left" w:pos="426"/>
                <w:tab w:val="left" w:pos="2160"/>
              </w:tabs>
              <w:rPr>
                <w:rFonts w:cs="Arial"/>
              </w:rPr>
            </w:pPr>
          </w:p>
        </w:tc>
        <w:tc>
          <w:tcPr>
            <w:tcW w:w="1418" w:type="dxa"/>
          </w:tcPr>
          <w:p w14:paraId="106E7FEE" w14:textId="77777777" w:rsidR="00FE6D72" w:rsidRPr="00B148F9" w:rsidRDefault="00FE6D72" w:rsidP="0042784F">
            <w:pPr>
              <w:tabs>
                <w:tab w:val="left" w:pos="426"/>
                <w:tab w:val="left" w:pos="2160"/>
              </w:tabs>
              <w:rPr>
                <w:rFonts w:cs="Arial"/>
              </w:rPr>
            </w:pPr>
          </w:p>
        </w:tc>
      </w:tr>
      <w:tr w:rsidR="00FE6D72" w:rsidRPr="00B148F9" w14:paraId="37E0981E" w14:textId="7A2E9371" w:rsidTr="00C60076">
        <w:trPr>
          <w:jc w:val="center"/>
        </w:trPr>
        <w:tc>
          <w:tcPr>
            <w:tcW w:w="391" w:type="dxa"/>
          </w:tcPr>
          <w:p w14:paraId="67DDB49D" w14:textId="77777777" w:rsidR="00FE6D72" w:rsidRPr="00B148F9" w:rsidRDefault="00FE6D72" w:rsidP="0042784F">
            <w:pPr>
              <w:tabs>
                <w:tab w:val="left" w:pos="426"/>
                <w:tab w:val="left" w:pos="2160"/>
              </w:tabs>
              <w:rPr>
                <w:rFonts w:cs="Arial"/>
                <w:sz w:val="16"/>
              </w:rPr>
            </w:pPr>
          </w:p>
        </w:tc>
        <w:tc>
          <w:tcPr>
            <w:tcW w:w="1681" w:type="dxa"/>
          </w:tcPr>
          <w:p w14:paraId="3F66CC4B" w14:textId="77777777" w:rsidR="00FE6D72" w:rsidRPr="00B148F9" w:rsidRDefault="00FE6D72" w:rsidP="0042784F">
            <w:pPr>
              <w:tabs>
                <w:tab w:val="left" w:pos="426"/>
                <w:tab w:val="left" w:pos="2160"/>
              </w:tabs>
              <w:rPr>
                <w:rFonts w:cs="Arial"/>
                <w:sz w:val="16"/>
              </w:rPr>
            </w:pPr>
          </w:p>
        </w:tc>
        <w:tc>
          <w:tcPr>
            <w:tcW w:w="1189" w:type="dxa"/>
          </w:tcPr>
          <w:p w14:paraId="727C64AE" w14:textId="77777777" w:rsidR="00FE6D72" w:rsidRPr="00B148F9" w:rsidRDefault="00FE6D72" w:rsidP="0042784F">
            <w:pPr>
              <w:tabs>
                <w:tab w:val="left" w:pos="426"/>
                <w:tab w:val="left" w:pos="2160"/>
              </w:tabs>
              <w:rPr>
                <w:rFonts w:cs="Arial"/>
              </w:rPr>
            </w:pPr>
          </w:p>
        </w:tc>
        <w:tc>
          <w:tcPr>
            <w:tcW w:w="1189" w:type="dxa"/>
          </w:tcPr>
          <w:p w14:paraId="2B46105A" w14:textId="54A90046" w:rsidR="00FE6D72" w:rsidRPr="00B148F9" w:rsidRDefault="00FE6D72" w:rsidP="0042784F">
            <w:pPr>
              <w:tabs>
                <w:tab w:val="left" w:pos="426"/>
                <w:tab w:val="left" w:pos="2160"/>
              </w:tabs>
              <w:rPr>
                <w:rFonts w:cs="Arial"/>
              </w:rPr>
            </w:pPr>
          </w:p>
        </w:tc>
        <w:tc>
          <w:tcPr>
            <w:tcW w:w="1504" w:type="dxa"/>
          </w:tcPr>
          <w:p w14:paraId="39EE2689" w14:textId="77777777" w:rsidR="00FE6D72" w:rsidRPr="00B148F9" w:rsidRDefault="00FE6D72" w:rsidP="0042784F">
            <w:pPr>
              <w:tabs>
                <w:tab w:val="left" w:pos="426"/>
                <w:tab w:val="left" w:pos="2160"/>
              </w:tabs>
              <w:rPr>
                <w:rFonts w:cs="Arial"/>
              </w:rPr>
            </w:pPr>
          </w:p>
        </w:tc>
        <w:tc>
          <w:tcPr>
            <w:tcW w:w="1331" w:type="dxa"/>
          </w:tcPr>
          <w:p w14:paraId="00492772" w14:textId="77777777" w:rsidR="00FE6D72" w:rsidRPr="00B148F9" w:rsidRDefault="00FE6D72" w:rsidP="0042784F">
            <w:pPr>
              <w:tabs>
                <w:tab w:val="left" w:pos="426"/>
                <w:tab w:val="left" w:pos="2160"/>
              </w:tabs>
              <w:rPr>
                <w:rFonts w:cs="Arial"/>
              </w:rPr>
            </w:pPr>
          </w:p>
        </w:tc>
        <w:tc>
          <w:tcPr>
            <w:tcW w:w="937" w:type="dxa"/>
          </w:tcPr>
          <w:p w14:paraId="653973EC" w14:textId="7F7AF641" w:rsidR="00FE6D72" w:rsidRPr="00B148F9" w:rsidRDefault="00FE6D72" w:rsidP="0042784F">
            <w:pPr>
              <w:tabs>
                <w:tab w:val="left" w:pos="426"/>
                <w:tab w:val="left" w:pos="2160"/>
              </w:tabs>
              <w:rPr>
                <w:rFonts w:cs="Arial"/>
              </w:rPr>
            </w:pPr>
          </w:p>
        </w:tc>
        <w:tc>
          <w:tcPr>
            <w:tcW w:w="1417" w:type="dxa"/>
          </w:tcPr>
          <w:p w14:paraId="06AB482B" w14:textId="77777777" w:rsidR="00FE6D72" w:rsidRPr="00B148F9" w:rsidRDefault="00FE6D72" w:rsidP="0042784F">
            <w:pPr>
              <w:tabs>
                <w:tab w:val="left" w:pos="426"/>
                <w:tab w:val="left" w:pos="2160"/>
              </w:tabs>
              <w:rPr>
                <w:rFonts w:cs="Arial"/>
              </w:rPr>
            </w:pPr>
          </w:p>
        </w:tc>
        <w:tc>
          <w:tcPr>
            <w:tcW w:w="1418" w:type="dxa"/>
          </w:tcPr>
          <w:p w14:paraId="67DB48EA" w14:textId="77777777" w:rsidR="00FE6D72" w:rsidRPr="00B148F9" w:rsidRDefault="00FE6D72" w:rsidP="0042784F">
            <w:pPr>
              <w:tabs>
                <w:tab w:val="left" w:pos="426"/>
                <w:tab w:val="left" w:pos="2160"/>
              </w:tabs>
              <w:rPr>
                <w:rFonts w:cs="Arial"/>
              </w:rPr>
            </w:pPr>
          </w:p>
        </w:tc>
      </w:tr>
      <w:tr w:rsidR="00FE6D72" w:rsidRPr="00B148F9" w14:paraId="58978A41" w14:textId="62892461" w:rsidTr="00C60076">
        <w:trPr>
          <w:jc w:val="center"/>
        </w:trPr>
        <w:tc>
          <w:tcPr>
            <w:tcW w:w="391" w:type="dxa"/>
          </w:tcPr>
          <w:p w14:paraId="3E38916A" w14:textId="77777777" w:rsidR="00FE6D72" w:rsidRPr="00B148F9" w:rsidRDefault="00FE6D72" w:rsidP="0042784F">
            <w:pPr>
              <w:tabs>
                <w:tab w:val="left" w:pos="426"/>
                <w:tab w:val="left" w:pos="2160"/>
              </w:tabs>
              <w:rPr>
                <w:rFonts w:cs="Arial"/>
                <w:sz w:val="16"/>
              </w:rPr>
            </w:pPr>
          </w:p>
        </w:tc>
        <w:tc>
          <w:tcPr>
            <w:tcW w:w="1681" w:type="dxa"/>
          </w:tcPr>
          <w:p w14:paraId="1B2F532C" w14:textId="77777777" w:rsidR="00FE6D72" w:rsidRPr="00B148F9" w:rsidRDefault="00FE6D72" w:rsidP="00B746FC">
            <w:pPr>
              <w:tabs>
                <w:tab w:val="left" w:pos="426"/>
                <w:tab w:val="left" w:pos="2160"/>
              </w:tabs>
              <w:jc w:val="left"/>
              <w:rPr>
                <w:rFonts w:cs="Arial"/>
                <w:b/>
                <w:sz w:val="16"/>
              </w:rPr>
            </w:pPr>
            <w:r w:rsidRPr="00B148F9">
              <w:rPr>
                <w:rFonts w:cs="Arial"/>
                <w:b/>
                <w:sz w:val="16"/>
              </w:rPr>
              <w:t>Investment in securities</w:t>
            </w:r>
          </w:p>
        </w:tc>
        <w:tc>
          <w:tcPr>
            <w:tcW w:w="1189" w:type="dxa"/>
          </w:tcPr>
          <w:p w14:paraId="169A0D8E" w14:textId="77777777" w:rsidR="00FE6D72" w:rsidRPr="00B148F9" w:rsidRDefault="00FE6D72" w:rsidP="0042784F">
            <w:pPr>
              <w:tabs>
                <w:tab w:val="left" w:pos="426"/>
                <w:tab w:val="left" w:pos="2160"/>
              </w:tabs>
              <w:rPr>
                <w:rFonts w:cs="Arial"/>
              </w:rPr>
            </w:pPr>
          </w:p>
        </w:tc>
        <w:tc>
          <w:tcPr>
            <w:tcW w:w="1189" w:type="dxa"/>
          </w:tcPr>
          <w:p w14:paraId="34DA0447" w14:textId="292F4C97" w:rsidR="00FE6D72" w:rsidRPr="00B148F9" w:rsidRDefault="00FE6D72" w:rsidP="0042784F">
            <w:pPr>
              <w:tabs>
                <w:tab w:val="left" w:pos="426"/>
                <w:tab w:val="left" w:pos="2160"/>
              </w:tabs>
              <w:rPr>
                <w:rFonts w:cs="Arial"/>
              </w:rPr>
            </w:pPr>
          </w:p>
        </w:tc>
        <w:tc>
          <w:tcPr>
            <w:tcW w:w="1504" w:type="dxa"/>
          </w:tcPr>
          <w:p w14:paraId="2AE2F1EA" w14:textId="77777777" w:rsidR="00FE6D72" w:rsidRPr="00B148F9" w:rsidRDefault="00FE6D72" w:rsidP="0042784F">
            <w:pPr>
              <w:tabs>
                <w:tab w:val="left" w:pos="426"/>
                <w:tab w:val="left" w:pos="2160"/>
              </w:tabs>
              <w:rPr>
                <w:rFonts w:cs="Arial"/>
              </w:rPr>
            </w:pPr>
          </w:p>
        </w:tc>
        <w:tc>
          <w:tcPr>
            <w:tcW w:w="1331" w:type="dxa"/>
          </w:tcPr>
          <w:p w14:paraId="5F676D0E" w14:textId="77777777" w:rsidR="00FE6D72" w:rsidRPr="00B148F9" w:rsidRDefault="00FE6D72" w:rsidP="0042784F">
            <w:pPr>
              <w:tabs>
                <w:tab w:val="left" w:pos="426"/>
                <w:tab w:val="left" w:pos="2160"/>
              </w:tabs>
              <w:rPr>
                <w:rFonts w:cs="Arial"/>
              </w:rPr>
            </w:pPr>
          </w:p>
        </w:tc>
        <w:tc>
          <w:tcPr>
            <w:tcW w:w="937" w:type="dxa"/>
          </w:tcPr>
          <w:p w14:paraId="03D1891F" w14:textId="117AF372" w:rsidR="00FE6D72" w:rsidRPr="00B148F9" w:rsidRDefault="00FE6D72" w:rsidP="0042784F">
            <w:pPr>
              <w:tabs>
                <w:tab w:val="left" w:pos="426"/>
                <w:tab w:val="left" w:pos="2160"/>
              </w:tabs>
              <w:rPr>
                <w:rFonts w:cs="Arial"/>
              </w:rPr>
            </w:pPr>
          </w:p>
        </w:tc>
        <w:tc>
          <w:tcPr>
            <w:tcW w:w="1417" w:type="dxa"/>
          </w:tcPr>
          <w:p w14:paraId="2FDBF8A1" w14:textId="77777777" w:rsidR="00FE6D72" w:rsidRPr="00B148F9" w:rsidRDefault="00FE6D72" w:rsidP="0042784F">
            <w:pPr>
              <w:tabs>
                <w:tab w:val="left" w:pos="426"/>
                <w:tab w:val="left" w:pos="2160"/>
              </w:tabs>
              <w:rPr>
                <w:rFonts w:cs="Arial"/>
              </w:rPr>
            </w:pPr>
          </w:p>
        </w:tc>
        <w:tc>
          <w:tcPr>
            <w:tcW w:w="1418" w:type="dxa"/>
          </w:tcPr>
          <w:p w14:paraId="4245823E" w14:textId="77777777" w:rsidR="00FE6D72" w:rsidRPr="00B148F9" w:rsidRDefault="00FE6D72" w:rsidP="0042784F">
            <w:pPr>
              <w:tabs>
                <w:tab w:val="left" w:pos="426"/>
                <w:tab w:val="left" w:pos="2160"/>
              </w:tabs>
              <w:rPr>
                <w:rFonts w:cs="Arial"/>
              </w:rPr>
            </w:pPr>
          </w:p>
        </w:tc>
      </w:tr>
      <w:tr w:rsidR="00FE6D72" w:rsidRPr="00B148F9" w14:paraId="21F0532F" w14:textId="7FA258AA" w:rsidTr="00C60076">
        <w:trPr>
          <w:jc w:val="center"/>
        </w:trPr>
        <w:tc>
          <w:tcPr>
            <w:tcW w:w="391" w:type="dxa"/>
          </w:tcPr>
          <w:p w14:paraId="5FAD13AF" w14:textId="77777777" w:rsidR="00FE6D72" w:rsidRPr="00B148F9" w:rsidRDefault="00FE6D72" w:rsidP="0042784F">
            <w:pPr>
              <w:tabs>
                <w:tab w:val="left" w:pos="426"/>
                <w:tab w:val="left" w:pos="2160"/>
              </w:tabs>
              <w:rPr>
                <w:rFonts w:cs="Arial"/>
                <w:sz w:val="16"/>
              </w:rPr>
            </w:pPr>
          </w:p>
        </w:tc>
        <w:tc>
          <w:tcPr>
            <w:tcW w:w="1681" w:type="dxa"/>
          </w:tcPr>
          <w:p w14:paraId="0DD912D8" w14:textId="1BCB3884" w:rsidR="00FE6D72" w:rsidRPr="00B148F9" w:rsidRDefault="00FE6D72">
            <w:pPr>
              <w:tabs>
                <w:tab w:val="left" w:pos="426"/>
                <w:tab w:val="left" w:pos="2160"/>
              </w:tabs>
              <w:rPr>
                <w:rFonts w:cs="Arial"/>
                <w:sz w:val="16"/>
              </w:rPr>
            </w:pPr>
            <w:r w:rsidRPr="00B148F9">
              <w:rPr>
                <w:rFonts w:cs="Arial"/>
                <w:sz w:val="16"/>
              </w:rPr>
              <w:t>Convertible preferred stocks</w:t>
            </w:r>
          </w:p>
        </w:tc>
        <w:tc>
          <w:tcPr>
            <w:tcW w:w="1189" w:type="dxa"/>
            <w:tcBorders>
              <w:bottom w:val="single" w:sz="4" w:space="0" w:color="auto"/>
            </w:tcBorders>
          </w:tcPr>
          <w:p w14:paraId="32D151F9" w14:textId="1836ABA9" w:rsidR="00FE6D72" w:rsidRPr="00B148F9" w:rsidRDefault="00FE6D72">
            <w:pPr>
              <w:tabs>
                <w:tab w:val="left" w:pos="426"/>
                <w:tab w:val="left" w:pos="2160"/>
              </w:tabs>
              <w:jc w:val="right"/>
              <w:rPr>
                <w:rFonts w:cs="Arial"/>
              </w:rPr>
            </w:pPr>
            <w:r w:rsidRPr="00B148F9">
              <w:rPr>
                <w:rFonts w:cs="Arial"/>
              </w:rPr>
              <w:t>-</w:t>
            </w:r>
          </w:p>
        </w:tc>
        <w:tc>
          <w:tcPr>
            <w:tcW w:w="1189" w:type="dxa"/>
            <w:vAlign w:val="bottom"/>
          </w:tcPr>
          <w:p w14:paraId="3AD24475" w14:textId="2F06CC1D" w:rsidR="00FE6D72" w:rsidRPr="00B148F9" w:rsidRDefault="00FE6D72">
            <w:pPr>
              <w:tabs>
                <w:tab w:val="left" w:pos="426"/>
                <w:tab w:val="left" w:pos="2160"/>
              </w:tabs>
              <w:jc w:val="right"/>
              <w:rPr>
                <w:rFonts w:cs="Arial"/>
              </w:rPr>
            </w:pPr>
            <w:r w:rsidRPr="00B148F9">
              <w:rPr>
                <w:rFonts w:cs="Arial"/>
              </w:rPr>
              <w:t>-</w:t>
            </w:r>
          </w:p>
        </w:tc>
        <w:tc>
          <w:tcPr>
            <w:tcW w:w="1504" w:type="dxa"/>
            <w:vAlign w:val="bottom"/>
          </w:tcPr>
          <w:p w14:paraId="2F9911C6" w14:textId="008360F5" w:rsidR="00FE6D72" w:rsidRPr="00B148F9" w:rsidRDefault="00FE6D72">
            <w:pPr>
              <w:tabs>
                <w:tab w:val="left" w:pos="426"/>
                <w:tab w:val="left" w:pos="2160"/>
              </w:tabs>
              <w:jc w:val="right"/>
              <w:rPr>
                <w:rFonts w:cs="Arial"/>
              </w:rPr>
            </w:pPr>
            <w:r w:rsidRPr="00B148F9">
              <w:rPr>
                <w:rFonts w:cs="Arial"/>
              </w:rPr>
              <w:t>564,551</w:t>
            </w:r>
          </w:p>
        </w:tc>
        <w:tc>
          <w:tcPr>
            <w:tcW w:w="1331" w:type="dxa"/>
            <w:vAlign w:val="bottom"/>
          </w:tcPr>
          <w:p w14:paraId="1E4BA788" w14:textId="6D157D7B" w:rsidR="00FE6D72" w:rsidRPr="00B148F9" w:rsidRDefault="00FE6D72" w:rsidP="00D050E5">
            <w:pPr>
              <w:tabs>
                <w:tab w:val="left" w:pos="426"/>
                <w:tab w:val="left" w:pos="2160"/>
              </w:tabs>
              <w:jc w:val="right"/>
              <w:rPr>
                <w:rFonts w:cs="Arial"/>
              </w:rPr>
            </w:pPr>
            <w:r w:rsidRPr="00B148F9">
              <w:rPr>
                <w:rFonts w:cs="Arial"/>
              </w:rPr>
              <w:t>27,999,999</w:t>
            </w:r>
          </w:p>
        </w:tc>
        <w:tc>
          <w:tcPr>
            <w:tcW w:w="937" w:type="dxa"/>
            <w:vAlign w:val="bottom"/>
          </w:tcPr>
          <w:p w14:paraId="5766D4A3" w14:textId="274623F0" w:rsidR="00FE6D72" w:rsidRPr="00B148F9" w:rsidRDefault="00FE6D72">
            <w:pPr>
              <w:tabs>
                <w:tab w:val="left" w:pos="426"/>
                <w:tab w:val="left" w:pos="2160"/>
              </w:tabs>
              <w:jc w:val="right"/>
              <w:rPr>
                <w:rFonts w:cs="Arial"/>
              </w:rPr>
            </w:pPr>
            <w:r w:rsidRPr="00B148F9">
              <w:rPr>
                <w:rFonts w:cs="Arial"/>
              </w:rPr>
              <w:t>-</w:t>
            </w:r>
          </w:p>
        </w:tc>
        <w:tc>
          <w:tcPr>
            <w:tcW w:w="1417" w:type="dxa"/>
            <w:vAlign w:val="bottom"/>
          </w:tcPr>
          <w:p w14:paraId="43E7F330" w14:textId="72E1022D" w:rsidR="00FE6D72" w:rsidRPr="00B148F9" w:rsidRDefault="00FE6D72" w:rsidP="00EA6D11">
            <w:pPr>
              <w:tabs>
                <w:tab w:val="left" w:pos="426"/>
                <w:tab w:val="left" w:pos="2160"/>
              </w:tabs>
              <w:jc w:val="right"/>
              <w:rPr>
                <w:rFonts w:cs="Arial"/>
              </w:rPr>
            </w:pPr>
            <w:r w:rsidRPr="00B148F9">
              <w:rPr>
                <w:rFonts w:cs="Arial"/>
              </w:rPr>
              <w:t>(2,499,999)</w:t>
            </w:r>
          </w:p>
        </w:tc>
        <w:tc>
          <w:tcPr>
            <w:tcW w:w="1418" w:type="dxa"/>
            <w:vAlign w:val="bottom"/>
          </w:tcPr>
          <w:p w14:paraId="1230714A" w14:textId="4B0735F8" w:rsidR="00FE6D72" w:rsidRPr="00B148F9" w:rsidRDefault="00FE6D72">
            <w:pPr>
              <w:tabs>
                <w:tab w:val="left" w:pos="426"/>
                <w:tab w:val="left" w:pos="2160"/>
              </w:tabs>
              <w:jc w:val="right"/>
              <w:rPr>
                <w:rFonts w:cs="Arial"/>
              </w:rPr>
            </w:pPr>
            <w:r w:rsidRPr="00B148F9">
              <w:rPr>
                <w:rFonts w:cs="Arial"/>
              </w:rPr>
              <w:t>26,064,551</w:t>
            </w:r>
          </w:p>
        </w:tc>
      </w:tr>
      <w:tr w:rsidR="00FE6D72" w:rsidRPr="00B148F9" w14:paraId="539493E2" w14:textId="6776DD5A" w:rsidTr="00C60076">
        <w:trPr>
          <w:jc w:val="center"/>
        </w:trPr>
        <w:tc>
          <w:tcPr>
            <w:tcW w:w="391" w:type="dxa"/>
          </w:tcPr>
          <w:p w14:paraId="7B27144C" w14:textId="77777777" w:rsidR="00FE6D72" w:rsidRPr="00B148F9" w:rsidRDefault="00FE6D72" w:rsidP="0042784F">
            <w:pPr>
              <w:tabs>
                <w:tab w:val="left" w:pos="426"/>
                <w:tab w:val="left" w:pos="2160"/>
              </w:tabs>
              <w:rPr>
                <w:rFonts w:cs="Arial"/>
                <w:sz w:val="16"/>
              </w:rPr>
            </w:pPr>
          </w:p>
        </w:tc>
        <w:tc>
          <w:tcPr>
            <w:tcW w:w="1681" w:type="dxa"/>
          </w:tcPr>
          <w:p w14:paraId="2542A1BF" w14:textId="77777777" w:rsidR="00FE6D72" w:rsidRPr="00B148F9" w:rsidRDefault="00FE6D72" w:rsidP="0042784F">
            <w:pPr>
              <w:tabs>
                <w:tab w:val="left" w:pos="426"/>
                <w:tab w:val="left" w:pos="2160"/>
              </w:tabs>
              <w:rPr>
                <w:rFonts w:cs="Arial"/>
                <w:b/>
                <w:sz w:val="16"/>
              </w:rPr>
            </w:pPr>
            <w:r w:rsidRPr="00B148F9">
              <w:rPr>
                <w:rFonts w:cs="Arial"/>
                <w:b/>
                <w:sz w:val="16"/>
              </w:rPr>
              <w:t>Total Investment in securities</w:t>
            </w:r>
          </w:p>
        </w:tc>
        <w:tc>
          <w:tcPr>
            <w:tcW w:w="1189" w:type="dxa"/>
            <w:tcBorders>
              <w:top w:val="single" w:sz="4" w:space="0" w:color="auto"/>
              <w:bottom w:val="single" w:sz="4" w:space="0" w:color="auto"/>
            </w:tcBorders>
            <w:vAlign w:val="bottom"/>
          </w:tcPr>
          <w:p w14:paraId="49DBD100" w14:textId="4A0642B2" w:rsidR="00FE6D72" w:rsidRPr="00B148F9" w:rsidRDefault="00FE6D72">
            <w:pPr>
              <w:tabs>
                <w:tab w:val="left" w:pos="426"/>
                <w:tab w:val="left" w:pos="2160"/>
              </w:tabs>
              <w:jc w:val="right"/>
              <w:rPr>
                <w:rFonts w:cs="Arial"/>
                <w:b/>
              </w:rPr>
            </w:pPr>
            <w:r w:rsidRPr="00B148F9">
              <w:rPr>
                <w:rFonts w:cs="Arial"/>
                <w:b/>
              </w:rPr>
              <w:t>-</w:t>
            </w:r>
          </w:p>
        </w:tc>
        <w:tc>
          <w:tcPr>
            <w:tcW w:w="1189" w:type="dxa"/>
            <w:tcBorders>
              <w:top w:val="single" w:sz="4" w:space="0" w:color="auto"/>
              <w:bottom w:val="single" w:sz="4" w:space="0" w:color="auto"/>
            </w:tcBorders>
            <w:vAlign w:val="bottom"/>
          </w:tcPr>
          <w:p w14:paraId="24481261" w14:textId="23428457" w:rsidR="00FE6D72" w:rsidRPr="00B148F9" w:rsidRDefault="00FE6D72">
            <w:pPr>
              <w:tabs>
                <w:tab w:val="left" w:pos="426"/>
                <w:tab w:val="left" w:pos="2160"/>
              </w:tabs>
              <w:jc w:val="right"/>
              <w:rPr>
                <w:rFonts w:cs="Arial"/>
                <w:b/>
              </w:rPr>
            </w:pPr>
            <w:r w:rsidRPr="00B148F9">
              <w:rPr>
                <w:rFonts w:cs="Arial"/>
                <w:b/>
              </w:rPr>
              <w:t>-</w:t>
            </w:r>
          </w:p>
        </w:tc>
        <w:tc>
          <w:tcPr>
            <w:tcW w:w="1504" w:type="dxa"/>
            <w:tcBorders>
              <w:top w:val="single" w:sz="4" w:space="0" w:color="auto"/>
              <w:bottom w:val="single" w:sz="4" w:space="0" w:color="auto"/>
            </w:tcBorders>
            <w:vAlign w:val="bottom"/>
          </w:tcPr>
          <w:p w14:paraId="7BF5E91A" w14:textId="4B2B44EF" w:rsidR="00FE6D72" w:rsidRPr="00B148F9" w:rsidRDefault="00FE6D72">
            <w:pPr>
              <w:tabs>
                <w:tab w:val="left" w:pos="426"/>
                <w:tab w:val="left" w:pos="2160"/>
              </w:tabs>
              <w:jc w:val="right"/>
              <w:rPr>
                <w:rFonts w:cs="Arial"/>
                <w:b/>
              </w:rPr>
            </w:pPr>
            <w:r w:rsidRPr="00B148F9">
              <w:rPr>
                <w:rFonts w:cs="Arial"/>
                <w:b/>
              </w:rPr>
              <w:t>564,551</w:t>
            </w:r>
          </w:p>
        </w:tc>
        <w:tc>
          <w:tcPr>
            <w:tcW w:w="1331" w:type="dxa"/>
            <w:tcBorders>
              <w:top w:val="single" w:sz="4" w:space="0" w:color="auto"/>
              <w:bottom w:val="single" w:sz="4" w:space="0" w:color="auto"/>
            </w:tcBorders>
            <w:vAlign w:val="bottom"/>
          </w:tcPr>
          <w:p w14:paraId="23FC90CB" w14:textId="64B4610B" w:rsidR="00FE6D72" w:rsidRPr="00B148F9" w:rsidRDefault="00FE6D72">
            <w:pPr>
              <w:tabs>
                <w:tab w:val="left" w:pos="426"/>
                <w:tab w:val="left" w:pos="2160"/>
              </w:tabs>
              <w:jc w:val="right"/>
              <w:rPr>
                <w:rFonts w:cs="Arial"/>
                <w:b/>
              </w:rPr>
            </w:pPr>
            <w:r w:rsidRPr="00B148F9">
              <w:rPr>
                <w:rFonts w:cs="Arial"/>
                <w:b/>
              </w:rPr>
              <w:t>27,999,999</w:t>
            </w:r>
          </w:p>
        </w:tc>
        <w:tc>
          <w:tcPr>
            <w:tcW w:w="937" w:type="dxa"/>
            <w:tcBorders>
              <w:top w:val="single" w:sz="4" w:space="0" w:color="auto"/>
              <w:bottom w:val="single" w:sz="4" w:space="0" w:color="auto"/>
            </w:tcBorders>
            <w:vAlign w:val="bottom"/>
          </w:tcPr>
          <w:p w14:paraId="2CFD1DC9" w14:textId="2CFA131A" w:rsidR="00FE6D72" w:rsidRPr="00B148F9" w:rsidRDefault="00FE6D72">
            <w:pPr>
              <w:tabs>
                <w:tab w:val="left" w:pos="426"/>
                <w:tab w:val="left" w:pos="2160"/>
              </w:tabs>
              <w:jc w:val="right"/>
              <w:rPr>
                <w:rFonts w:cs="Arial"/>
                <w:b/>
              </w:rPr>
            </w:pPr>
            <w:r w:rsidRPr="00B148F9">
              <w:rPr>
                <w:rFonts w:cs="Arial"/>
                <w:b/>
              </w:rPr>
              <w:t>-</w:t>
            </w:r>
          </w:p>
        </w:tc>
        <w:tc>
          <w:tcPr>
            <w:tcW w:w="1417" w:type="dxa"/>
            <w:tcBorders>
              <w:top w:val="single" w:sz="4" w:space="0" w:color="auto"/>
              <w:bottom w:val="single" w:sz="4" w:space="0" w:color="auto"/>
            </w:tcBorders>
            <w:vAlign w:val="bottom"/>
          </w:tcPr>
          <w:p w14:paraId="458F3619" w14:textId="24726061" w:rsidR="00FE6D72" w:rsidRPr="00B148F9" w:rsidRDefault="00FE6D72" w:rsidP="00EA6D11">
            <w:pPr>
              <w:tabs>
                <w:tab w:val="left" w:pos="426"/>
                <w:tab w:val="left" w:pos="2160"/>
              </w:tabs>
              <w:jc w:val="right"/>
              <w:rPr>
                <w:rFonts w:cs="Arial"/>
                <w:b/>
              </w:rPr>
            </w:pPr>
            <w:r w:rsidRPr="00B148F9">
              <w:rPr>
                <w:rFonts w:cs="Arial"/>
                <w:b/>
              </w:rPr>
              <w:t>(2,499,999)</w:t>
            </w:r>
          </w:p>
        </w:tc>
        <w:tc>
          <w:tcPr>
            <w:tcW w:w="1418" w:type="dxa"/>
            <w:tcBorders>
              <w:top w:val="single" w:sz="4" w:space="0" w:color="auto"/>
              <w:bottom w:val="single" w:sz="4" w:space="0" w:color="auto"/>
            </w:tcBorders>
            <w:vAlign w:val="bottom"/>
          </w:tcPr>
          <w:p w14:paraId="5616ABBF" w14:textId="5767ABA5" w:rsidR="00FE6D72" w:rsidRPr="00B148F9" w:rsidRDefault="00FE6D72" w:rsidP="00780DC6">
            <w:pPr>
              <w:tabs>
                <w:tab w:val="left" w:pos="426"/>
                <w:tab w:val="left" w:pos="2160"/>
              </w:tabs>
              <w:jc w:val="right"/>
              <w:rPr>
                <w:rFonts w:cs="Arial"/>
                <w:b/>
              </w:rPr>
            </w:pPr>
            <w:r w:rsidRPr="00B148F9">
              <w:rPr>
                <w:rFonts w:cs="Arial"/>
                <w:b/>
              </w:rPr>
              <w:t>26,064,551</w:t>
            </w:r>
          </w:p>
        </w:tc>
      </w:tr>
      <w:tr w:rsidR="00FE6D72" w:rsidRPr="00B148F9" w14:paraId="1872A248" w14:textId="3EC7A75D" w:rsidTr="00C60076">
        <w:trPr>
          <w:jc w:val="center"/>
        </w:trPr>
        <w:tc>
          <w:tcPr>
            <w:tcW w:w="391" w:type="dxa"/>
          </w:tcPr>
          <w:p w14:paraId="05FA24DD" w14:textId="77777777" w:rsidR="00FE6D72" w:rsidRPr="00B148F9" w:rsidRDefault="00FE6D72" w:rsidP="0042784F">
            <w:pPr>
              <w:tabs>
                <w:tab w:val="left" w:pos="426"/>
                <w:tab w:val="left" w:pos="2160"/>
              </w:tabs>
              <w:rPr>
                <w:rFonts w:cs="Arial"/>
                <w:sz w:val="16"/>
              </w:rPr>
            </w:pPr>
          </w:p>
        </w:tc>
        <w:tc>
          <w:tcPr>
            <w:tcW w:w="1681" w:type="dxa"/>
          </w:tcPr>
          <w:p w14:paraId="6864EB01" w14:textId="77777777" w:rsidR="00FE6D72" w:rsidRPr="00B148F9" w:rsidRDefault="00FE6D72" w:rsidP="0042784F">
            <w:pPr>
              <w:tabs>
                <w:tab w:val="left" w:pos="426"/>
                <w:tab w:val="left" w:pos="2160"/>
              </w:tabs>
              <w:rPr>
                <w:rFonts w:cs="Arial"/>
                <w:sz w:val="16"/>
              </w:rPr>
            </w:pPr>
          </w:p>
        </w:tc>
        <w:tc>
          <w:tcPr>
            <w:tcW w:w="1189" w:type="dxa"/>
            <w:tcBorders>
              <w:top w:val="single" w:sz="4" w:space="0" w:color="auto"/>
            </w:tcBorders>
          </w:tcPr>
          <w:p w14:paraId="0DE64CCA" w14:textId="77777777" w:rsidR="00FE6D72" w:rsidRPr="00B148F9" w:rsidRDefault="00FE6D72" w:rsidP="00DE3E70">
            <w:pPr>
              <w:tabs>
                <w:tab w:val="left" w:pos="426"/>
                <w:tab w:val="left" w:pos="2160"/>
              </w:tabs>
              <w:jc w:val="right"/>
              <w:rPr>
                <w:rFonts w:cs="Arial"/>
              </w:rPr>
            </w:pPr>
          </w:p>
        </w:tc>
        <w:tc>
          <w:tcPr>
            <w:tcW w:w="1189" w:type="dxa"/>
            <w:tcBorders>
              <w:top w:val="single" w:sz="4" w:space="0" w:color="auto"/>
            </w:tcBorders>
            <w:vAlign w:val="bottom"/>
          </w:tcPr>
          <w:p w14:paraId="0BE4C21E" w14:textId="10EDCD36" w:rsidR="00FE6D72" w:rsidRPr="00B148F9" w:rsidRDefault="00FE6D72" w:rsidP="00DE3E70">
            <w:pPr>
              <w:tabs>
                <w:tab w:val="left" w:pos="426"/>
                <w:tab w:val="left" w:pos="2160"/>
              </w:tabs>
              <w:jc w:val="right"/>
              <w:rPr>
                <w:rFonts w:cs="Arial"/>
              </w:rPr>
            </w:pPr>
          </w:p>
        </w:tc>
        <w:tc>
          <w:tcPr>
            <w:tcW w:w="1504" w:type="dxa"/>
            <w:tcBorders>
              <w:top w:val="single" w:sz="4" w:space="0" w:color="auto"/>
            </w:tcBorders>
            <w:vAlign w:val="bottom"/>
          </w:tcPr>
          <w:p w14:paraId="61F7BB5C" w14:textId="77777777" w:rsidR="00FE6D72" w:rsidRPr="00B148F9" w:rsidRDefault="00FE6D72" w:rsidP="00DE3E70">
            <w:pPr>
              <w:tabs>
                <w:tab w:val="left" w:pos="426"/>
                <w:tab w:val="left" w:pos="2160"/>
              </w:tabs>
              <w:jc w:val="right"/>
              <w:rPr>
                <w:rFonts w:cs="Arial"/>
              </w:rPr>
            </w:pPr>
          </w:p>
        </w:tc>
        <w:tc>
          <w:tcPr>
            <w:tcW w:w="1331" w:type="dxa"/>
            <w:tcBorders>
              <w:top w:val="single" w:sz="4" w:space="0" w:color="auto"/>
            </w:tcBorders>
            <w:vAlign w:val="bottom"/>
          </w:tcPr>
          <w:p w14:paraId="77DB96AE" w14:textId="77777777" w:rsidR="00FE6D72" w:rsidRPr="00B148F9" w:rsidRDefault="00FE6D72" w:rsidP="00DE3E70">
            <w:pPr>
              <w:tabs>
                <w:tab w:val="left" w:pos="426"/>
                <w:tab w:val="left" w:pos="2160"/>
              </w:tabs>
              <w:jc w:val="right"/>
              <w:rPr>
                <w:rFonts w:cs="Arial"/>
              </w:rPr>
            </w:pPr>
          </w:p>
        </w:tc>
        <w:tc>
          <w:tcPr>
            <w:tcW w:w="937" w:type="dxa"/>
            <w:tcBorders>
              <w:top w:val="single" w:sz="4" w:space="0" w:color="auto"/>
            </w:tcBorders>
            <w:vAlign w:val="bottom"/>
          </w:tcPr>
          <w:p w14:paraId="2D6BDE54" w14:textId="2B4B8973" w:rsidR="00FE6D72" w:rsidRPr="00B148F9" w:rsidRDefault="00FE6D72" w:rsidP="00DE3E70">
            <w:pPr>
              <w:tabs>
                <w:tab w:val="left" w:pos="426"/>
                <w:tab w:val="left" w:pos="2160"/>
              </w:tabs>
              <w:jc w:val="right"/>
              <w:rPr>
                <w:rFonts w:cs="Arial"/>
              </w:rPr>
            </w:pPr>
          </w:p>
        </w:tc>
        <w:tc>
          <w:tcPr>
            <w:tcW w:w="1417" w:type="dxa"/>
            <w:tcBorders>
              <w:top w:val="single" w:sz="4" w:space="0" w:color="auto"/>
            </w:tcBorders>
          </w:tcPr>
          <w:p w14:paraId="07DD7B82" w14:textId="77777777" w:rsidR="00FE6D72" w:rsidRPr="00B148F9" w:rsidRDefault="00FE6D72" w:rsidP="00DE3E70">
            <w:pPr>
              <w:tabs>
                <w:tab w:val="left" w:pos="426"/>
                <w:tab w:val="left" w:pos="2160"/>
              </w:tabs>
              <w:jc w:val="right"/>
              <w:rPr>
                <w:rFonts w:cs="Arial"/>
              </w:rPr>
            </w:pPr>
          </w:p>
        </w:tc>
        <w:tc>
          <w:tcPr>
            <w:tcW w:w="1418" w:type="dxa"/>
            <w:tcBorders>
              <w:top w:val="single" w:sz="4" w:space="0" w:color="auto"/>
            </w:tcBorders>
          </w:tcPr>
          <w:p w14:paraId="0C6C609F" w14:textId="77777777" w:rsidR="00FE6D72" w:rsidRPr="00B148F9" w:rsidRDefault="00FE6D72" w:rsidP="00DE3E70">
            <w:pPr>
              <w:tabs>
                <w:tab w:val="left" w:pos="426"/>
                <w:tab w:val="left" w:pos="2160"/>
              </w:tabs>
              <w:jc w:val="right"/>
              <w:rPr>
                <w:rFonts w:cs="Arial"/>
              </w:rPr>
            </w:pPr>
          </w:p>
        </w:tc>
      </w:tr>
    </w:tbl>
    <w:p w14:paraId="6CE364D5" w14:textId="77777777" w:rsidR="008B3F71" w:rsidRPr="00B148F9" w:rsidRDefault="008B3F71" w:rsidP="004A344A">
      <w:pPr>
        <w:tabs>
          <w:tab w:val="left" w:pos="426"/>
          <w:tab w:val="left" w:pos="2160"/>
        </w:tabs>
        <w:rPr>
          <w:rFonts w:cs="Arial"/>
        </w:rPr>
      </w:pPr>
    </w:p>
    <w:p w14:paraId="3AC15A04" w14:textId="312F3593" w:rsidR="00C52024" w:rsidRPr="00B148F9" w:rsidRDefault="00C52024" w:rsidP="00C52024">
      <w:pPr>
        <w:rPr>
          <w:rFonts w:cs="Arial"/>
        </w:rPr>
      </w:pPr>
      <w:r w:rsidRPr="00B148F9">
        <w:rPr>
          <w:rFonts w:cs="Arial"/>
        </w:rPr>
        <w:t>Changes in Level 3 assets and liabilities measured at fair value for the year ended 31 December 2018 were as follows:</w:t>
      </w:r>
    </w:p>
    <w:p w14:paraId="1800BF10" w14:textId="77777777" w:rsidR="00C52024" w:rsidRPr="00B148F9" w:rsidRDefault="00C52024" w:rsidP="008B3F71">
      <w:pPr>
        <w:tabs>
          <w:tab w:val="left" w:pos="426"/>
          <w:tab w:val="left" w:pos="2160"/>
        </w:tabs>
        <w:rPr>
          <w:rFonts w:cs="Arial"/>
        </w:rPr>
      </w:pP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
        <w:gridCol w:w="1681"/>
        <w:gridCol w:w="1330"/>
        <w:gridCol w:w="1330"/>
        <w:gridCol w:w="1364"/>
        <w:gridCol w:w="1275"/>
        <w:gridCol w:w="1134"/>
        <w:gridCol w:w="1418"/>
        <w:gridCol w:w="1417"/>
      </w:tblGrid>
      <w:tr w:rsidR="00FE6D72" w:rsidRPr="00B148F9" w14:paraId="39C0EB48" w14:textId="2A658483" w:rsidTr="00C60076">
        <w:trPr>
          <w:jc w:val="center"/>
        </w:trPr>
        <w:tc>
          <w:tcPr>
            <w:tcW w:w="391" w:type="dxa"/>
          </w:tcPr>
          <w:p w14:paraId="15C39BEB" w14:textId="77777777" w:rsidR="00FE6D72" w:rsidRPr="00B148F9" w:rsidRDefault="00FE6D72" w:rsidP="00C52024">
            <w:pPr>
              <w:tabs>
                <w:tab w:val="left" w:pos="426"/>
                <w:tab w:val="left" w:pos="2160"/>
              </w:tabs>
              <w:rPr>
                <w:rFonts w:cs="Arial"/>
              </w:rPr>
            </w:pPr>
          </w:p>
        </w:tc>
        <w:tc>
          <w:tcPr>
            <w:tcW w:w="1681" w:type="dxa"/>
          </w:tcPr>
          <w:p w14:paraId="0C414025" w14:textId="77777777" w:rsidR="00FE6D72" w:rsidRPr="00B148F9" w:rsidRDefault="00FE6D72" w:rsidP="00C52024">
            <w:pPr>
              <w:tabs>
                <w:tab w:val="left" w:pos="426"/>
                <w:tab w:val="left" w:pos="2160"/>
              </w:tabs>
              <w:rPr>
                <w:rFonts w:cs="Arial"/>
              </w:rPr>
            </w:pPr>
          </w:p>
        </w:tc>
        <w:tc>
          <w:tcPr>
            <w:tcW w:w="1330" w:type="dxa"/>
          </w:tcPr>
          <w:p w14:paraId="23A64BBF" w14:textId="28E702D0" w:rsidR="00FE6D72" w:rsidRPr="00B148F9" w:rsidRDefault="00E702C2" w:rsidP="00C52024">
            <w:pPr>
              <w:tabs>
                <w:tab w:val="left" w:pos="426"/>
                <w:tab w:val="left" w:pos="2160"/>
              </w:tabs>
              <w:jc w:val="center"/>
              <w:rPr>
                <w:rFonts w:cs="Arial"/>
                <w:b/>
              </w:rPr>
            </w:pPr>
            <w:r w:rsidRPr="00B148F9">
              <w:rPr>
                <w:rFonts w:cs="Arial"/>
                <w:b/>
              </w:rPr>
              <w:t>Beginning Balance 1 January 2018</w:t>
            </w:r>
          </w:p>
        </w:tc>
        <w:tc>
          <w:tcPr>
            <w:tcW w:w="1330" w:type="dxa"/>
          </w:tcPr>
          <w:p w14:paraId="3E4680A4" w14:textId="5E815BA9" w:rsidR="00FE6D72" w:rsidRPr="00B148F9" w:rsidRDefault="00FE6D72" w:rsidP="00C52024">
            <w:pPr>
              <w:tabs>
                <w:tab w:val="left" w:pos="426"/>
                <w:tab w:val="left" w:pos="2160"/>
              </w:tabs>
              <w:jc w:val="center"/>
              <w:rPr>
                <w:rFonts w:cs="Arial"/>
                <w:b/>
              </w:rPr>
            </w:pPr>
            <w:r w:rsidRPr="00B148F9">
              <w:rPr>
                <w:rFonts w:cs="Arial"/>
                <w:b/>
              </w:rPr>
              <w:t>Realised Gains (Losses)</w:t>
            </w:r>
          </w:p>
        </w:tc>
        <w:tc>
          <w:tcPr>
            <w:tcW w:w="1364" w:type="dxa"/>
          </w:tcPr>
          <w:p w14:paraId="31C1EC12" w14:textId="77777777" w:rsidR="00FE6D72" w:rsidRPr="00B148F9" w:rsidRDefault="00FE6D72" w:rsidP="00C52024">
            <w:pPr>
              <w:tabs>
                <w:tab w:val="left" w:pos="426"/>
                <w:tab w:val="left" w:pos="2160"/>
              </w:tabs>
              <w:jc w:val="center"/>
              <w:rPr>
                <w:rFonts w:cs="Arial"/>
                <w:b/>
              </w:rPr>
            </w:pPr>
            <w:r w:rsidRPr="00B148F9">
              <w:rPr>
                <w:rFonts w:cs="Arial"/>
                <w:b/>
              </w:rPr>
              <w:t>Unrealised Gains (Losses)</w:t>
            </w:r>
          </w:p>
        </w:tc>
        <w:tc>
          <w:tcPr>
            <w:tcW w:w="1275" w:type="dxa"/>
          </w:tcPr>
          <w:p w14:paraId="778A35DE" w14:textId="77777777" w:rsidR="00FE6D72" w:rsidRPr="00B148F9" w:rsidRDefault="00FE6D72" w:rsidP="00C52024">
            <w:pPr>
              <w:tabs>
                <w:tab w:val="left" w:pos="426"/>
                <w:tab w:val="left" w:pos="2160"/>
              </w:tabs>
              <w:jc w:val="center"/>
              <w:rPr>
                <w:rFonts w:cs="Arial"/>
                <w:b/>
              </w:rPr>
            </w:pPr>
            <w:r w:rsidRPr="00B148F9">
              <w:rPr>
                <w:rFonts w:cs="Arial"/>
                <w:b/>
              </w:rPr>
              <w:t>Purchases</w:t>
            </w:r>
          </w:p>
        </w:tc>
        <w:tc>
          <w:tcPr>
            <w:tcW w:w="1134" w:type="dxa"/>
          </w:tcPr>
          <w:p w14:paraId="0C4182DB" w14:textId="77777777" w:rsidR="00FE6D72" w:rsidRPr="00B148F9" w:rsidRDefault="00FE6D72" w:rsidP="00C52024">
            <w:pPr>
              <w:tabs>
                <w:tab w:val="left" w:pos="426"/>
                <w:tab w:val="left" w:pos="2160"/>
              </w:tabs>
              <w:jc w:val="center"/>
              <w:rPr>
                <w:rFonts w:cs="Arial"/>
                <w:b/>
              </w:rPr>
            </w:pPr>
            <w:r w:rsidRPr="00B148F9">
              <w:rPr>
                <w:rFonts w:cs="Arial"/>
                <w:b/>
              </w:rPr>
              <w:t>Sales</w:t>
            </w:r>
          </w:p>
        </w:tc>
        <w:tc>
          <w:tcPr>
            <w:tcW w:w="1418" w:type="dxa"/>
          </w:tcPr>
          <w:p w14:paraId="4845D31D" w14:textId="6A41F5AB" w:rsidR="00FE6D72" w:rsidRPr="00B148F9" w:rsidRDefault="00FE6D72" w:rsidP="00C52024">
            <w:pPr>
              <w:tabs>
                <w:tab w:val="left" w:pos="426"/>
                <w:tab w:val="left" w:pos="2160"/>
              </w:tabs>
              <w:jc w:val="center"/>
              <w:rPr>
                <w:rFonts w:cs="Arial"/>
                <w:b/>
              </w:rPr>
            </w:pPr>
            <w:r w:rsidRPr="00B148F9">
              <w:rPr>
                <w:rFonts w:cs="Arial"/>
                <w:b/>
              </w:rPr>
              <w:t>Transfers into (from) Level 3</w:t>
            </w:r>
            <w:r w:rsidR="00E702C2" w:rsidRPr="00B148F9">
              <w:rPr>
                <w:rFonts w:cs="Arial"/>
                <w:b/>
              </w:rPr>
              <w:t>*</w:t>
            </w:r>
          </w:p>
        </w:tc>
        <w:tc>
          <w:tcPr>
            <w:tcW w:w="1417" w:type="dxa"/>
          </w:tcPr>
          <w:p w14:paraId="139957C1" w14:textId="4D722675" w:rsidR="00FE6D72" w:rsidRPr="00B148F9" w:rsidRDefault="00E702C2" w:rsidP="00C52024">
            <w:pPr>
              <w:tabs>
                <w:tab w:val="left" w:pos="426"/>
                <w:tab w:val="left" w:pos="2160"/>
              </w:tabs>
              <w:jc w:val="center"/>
              <w:rPr>
                <w:rFonts w:cs="Arial"/>
                <w:b/>
              </w:rPr>
            </w:pPr>
            <w:r w:rsidRPr="00B148F9">
              <w:rPr>
                <w:rFonts w:cs="Arial"/>
                <w:b/>
              </w:rPr>
              <w:t>Ending Balance 31 December 2018</w:t>
            </w:r>
          </w:p>
        </w:tc>
      </w:tr>
      <w:tr w:rsidR="00FE6D72" w:rsidRPr="00B148F9" w14:paraId="3D7912E7" w14:textId="7CC8497F" w:rsidTr="00C60076">
        <w:trPr>
          <w:jc w:val="center"/>
        </w:trPr>
        <w:tc>
          <w:tcPr>
            <w:tcW w:w="2072" w:type="dxa"/>
            <w:gridSpan w:val="2"/>
          </w:tcPr>
          <w:p w14:paraId="390F0AA4" w14:textId="77777777" w:rsidR="00FE6D72" w:rsidRPr="00B148F9" w:rsidRDefault="00FE6D72" w:rsidP="00C52024">
            <w:pPr>
              <w:tabs>
                <w:tab w:val="left" w:pos="426"/>
                <w:tab w:val="left" w:pos="2160"/>
              </w:tabs>
              <w:rPr>
                <w:rFonts w:cs="Arial"/>
                <w:b/>
                <w:sz w:val="16"/>
              </w:rPr>
            </w:pPr>
          </w:p>
        </w:tc>
        <w:tc>
          <w:tcPr>
            <w:tcW w:w="1330" w:type="dxa"/>
          </w:tcPr>
          <w:p w14:paraId="5585C359" w14:textId="77777777" w:rsidR="00FE6D72" w:rsidRPr="00B148F9" w:rsidRDefault="00FE6D72" w:rsidP="00C52024">
            <w:pPr>
              <w:tabs>
                <w:tab w:val="left" w:pos="426"/>
                <w:tab w:val="left" w:pos="2160"/>
              </w:tabs>
              <w:jc w:val="center"/>
              <w:rPr>
                <w:rFonts w:cs="Arial"/>
              </w:rPr>
            </w:pPr>
          </w:p>
        </w:tc>
        <w:tc>
          <w:tcPr>
            <w:tcW w:w="1330" w:type="dxa"/>
          </w:tcPr>
          <w:p w14:paraId="1117F51F" w14:textId="3DB4A0B3" w:rsidR="00FE6D72" w:rsidRPr="00B148F9" w:rsidRDefault="00FE6D72" w:rsidP="00C52024">
            <w:pPr>
              <w:tabs>
                <w:tab w:val="left" w:pos="426"/>
                <w:tab w:val="left" w:pos="2160"/>
              </w:tabs>
              <w:jc w:val="center"/>
              <w:rPr>
                <w:rFonts w:cs="Arial"/>
              </w:rPr>
            </w:pPr>
            <w:r w:rsidRPr="00B148F9">
              <w:rPr>
                <w:rFonts w:cs="Arial"/>
              </w:rPr>
              <w:t>US$</w:t>
            </w:r>
          </w:p>
        </w:tc>
        <w:tc>
          <w:tcPr>
            <w:tcW w:w="1364" w:type="dxa"/>
          </w:tcPr>
          <w:p w14:paraId="5F235AEF" w14:textId="77777777" w:rsidR="00FE6D72" w:rsidRPr="00B148F9" w:rsidRDefault="00FE6D72" w:rsidP="00C52024">
            <w:pPr>
              <w:tabs>
                <w:tab w:val="left" w:pos="426"/>
                <w:tab w:val="left" w:pos="2160"/>
              </w:tabs>
              <w:jc w:val="center"/>
              <w:rPr>
                <w:rFonts w:cs="Arial"/>
              </w:rPr>
            </w:pPr>
            <w:r w:rsidRPr="00B148F9">
              <w:rPr>
                <w:rFonts w:cs="Arial"/>
              </w:rPr>
              <w:t>US$</w:t>
            </w:r>
          </w:p>
        </w:tc>
        <w:tc>
          <w:tcPr>
            <w:tcW w:w="1275" w:type="dxa"/>
          </w:tcPr>
          <w:p w14:paraId="6A647743" w14:textId="77777777" w:rsidR="00FE6D72" w:rsidRPr="00B148F9" w:rsidRDefault="00FE6D72" w:rsidP="00C52024">
            <w:pPr>
              <w:tabs>
                <w:tab w:val="left" w:pos="426"/>
                <w:tab w:val="left" w:pos="2160"/>
              </w:tabs>
              <w:jc w:val="center"/>
              <w:rPr>
                <w:rFonts w:cs="Arial"/>
              </w:rPr>
            </w:pPr>
            <w:r w:rsidRPr="00B148F9">
              <w:rPr>
                <w:rFonts w:cs="Arial"/>
              </w:rPr>
              <w:t>US$</w:t>
            </w:r>
          </w:p>
        </w:tc>
        <w:tc>
          <w:tcPr>
            <w:tcW w:w="1134" w:type="dxa"/>
          </w:tcPr>
          <w:p w14:paraId="2B402985" w14:textId="77777777" w:rsidR="00FE6D72" w:rsidRPr="00B148F9" w:rsidRDefault="00FE6D72" w:rsidP="00C52024">
            <w:pPr>
              <w:tabs>
                <w:tab w:val="left" w:pos="426"/>
                <w:tab w:val="left" w:pos="2160"/>
              </w:tabs>
              <w:jc w:val="center"/>
              <w:rPr>
                <w:rFonts w:cs="Arial"/>
              </w:rPr>
            </w:pPr>
            <w:r w:rsidRPr="00B148F9">
              <w:rPr>
                <w:rFonts w:cs="Arial"/>
              </w:rPr>
              <w:t>US$</w:t>
            </w:r>
          </w:p>
        </w:tc>
        <w:tc>
          <w:tcPr>
            <w:tcW w:w="1418" w:type="dxa"/>
          </w:tcPr>
          <w:p w14:paraId="5785A789" w14:textId="77777777" w:rsidR="00FE6D72" w:rsidRPr="00B148F9" w:rsidRDefault="00FE6D72" w:rsidP="00C52024">
            <w:pPr>
              <w:tabs>
                <w:tab w:val="left" w:pos="426"/>
                <w:tab w:val="left" w:pos="2160"/>
              </w:tabs>
              <w:jc w:val="center"/>
              <w:rPr>
                <w:rFonts w:cs="Arial"/>
              </w:rPr>
            </w:pPr>
            <w:r w:rsidRPr="00B148F9">
              <w:rPr>
                <w:rFonts w:cs="Arial"/>
              </w:rPr>
              <w:t>US$</w:t>
            </w:r>
          </w:p>
        </w:tc>
        <w:tc>
          <w:tcPr>
            <w:tcW w:w="1417" w:type="dxa"/>
          </w:tcPr>
          <w:p w14:paraId="2AB88ACB" w14:textId="2BAE30F1" w:rsidR="00FE6D72" w:rsidRPr="00B148F9" w:rsidRDefault="00FE6D72" w:rsidP="00C52024">
            <w:pPr>
              <w:tabs>
                <w:tab w:val="left" w:pos="426"/>
                <w:tab w:val="left" w:pos="2160"/>
              </w:tabs>
              <w:jc w:val="center"/>
              <w:rPr>
                <w:rFonts w:cs="Arial"/>
              </w:rPr>
            </w:pPr>
            <w:r w:rsidRPr="00B148F9">
              <w:rPr>
                <w:rFonts w:cs="Arial"/>
              </w:rPr>
              <w:t>US$</w:t>
            </w:r>
          </w:p>
        </w:tc>
      </w:tr>
      <w:tr w:rsidR="00FE6D72" w:rsidRPr="00B148F9" w14:paraId="2AE717BF" w14:textId="04B158C1" w:rsidTr="00C60076">
        <w:trPr>
          <w:jc w:val="center"/>
        </w:trPr>
        <w:tc>
          <w:tcPr>
            <w:tcW w:w="2072" w:type="dxa"/>
            <w:gridSpan w:val="2"/>
          </w:tcPr>
          <w:p w14:paraId="68D7037A" w14:textId="77777777" w:rsidR="00FE6D72" w:rsidRPr="00B148F9" w:rsidRDefault="00FE6D72" w:rsidP="00C52024">
            <w:pPr>
              <w:tabs>
                <w:tab w:val="left" w:pos="426"/>
                <w:tab w:val="left" w:pos="2160"/>
              </w:tabs>
              <w:rPr>
                <w:rFonts w:cs="Arial"/>
                <w:sz w:val="16"/>
              </w:rPr>
            </w:pPr>
            <w:r w:rsidRPr="00B148F9">
              <w:rPr>
                <w:rFonts w:cs="Arial"/>
                <w:b/>
                <w:sz w:val="16"/>
              </w:rPr>
              <w:t>Assets</w:t>
            </w:r>
            <w:r w:rsidRPr="00B148F9">
              <w:rPr>
                <w:rFonts w:cs="Arial"/>
                <w:sz w:val="16"/>
              </w:rPr>
              <w:t xml:space="preserve"> (at fair value)</w:t>
            </w:r>
          </w:p>
        </w:tc>
        <w:tc>
          <w:tcPr>
            <w:tcW w:w="1330" w:type="dxa"/>
          </w:tcPr>
          <w:p w14:paraId="3ED5C511" w14:textId="77777777" w:rsidR="00FE6D72" w:rsidRPr="00B148F9" w:rsidRDefault="00FE6D72" w:rsidP="00C52024">
            <w:pPr>
              <w:tabs>
                <w:tab w:val="left" w:pos="426"/>
                <w:tab w:val="left" w:pos="2160"/>
              </w:tabs>
              <w:rPr>
                <w:rFonts w:cs="Arial"/>
              </w:rPr>
            </w:pPr>
          </w:p>
        </w:tc>
        <w:tc>
          <w:tcPr>
            <w:tcW w:w="1330" w:type="dxa"/>
          </w:tcPr>
          <w:p w14:paraId="1BAD5E2D" w14:textId="07A422C0" w:rsidR="00FE6D72" w:rsidRPr="00B148F9" w:rsidRDefault="00FE6D72" w:rsidP="00C52024">
            <w:pPr>
              <w:tabs>
                <w:tab w:val="left" w:pos="426"/>
                <w:tab w:val="left" w:pos="2160"/>
              </w:tabs>
              <w:rPr>
                <w:rFonts w:cs="Arial"/>
              </w:rPr>
            </w:pPr>
          </w:p>
        </w:tc>
        <w:tc>
          <w:tcPr>
            <w:tcW w:w="1364" w:type="dxa"/>
          </w:tcPr>
          <w:p w14:paraId="6502ABAD" w14:textId="77777777" w:rsidR="00FE6D72" w:rsidRPr="00B148F9" w:rsidRDefault="00FE6D72" w:rsidP="00C52024">
            <w:pPr>
              <w:tabs>
                <w:tab w:val="left" w:pos="426"/>
                <w:tab w:val="left" w:pos="2160"/>
              </w:tabs>
              <w:rPr>
                <w:rFonts w:cs="Arial"/>
              </w:rPr>
            </w:pPr>
          </w:p>
        </w:tc>
        <w:tc>
          <w:tcPr>
            <w:tcW w:w="1275" w:type="dxa"/>
          </w:tcPr>
          <w:p w14:paraId="3281090E" w14:textId="77777777" w:rsidR="00FE6D72" w:rsidRPr="00B148F9" w:rsidRDefault="00FE6D72" w:rsidP="00C52024">
            <w:pPr>
              <w:tabs>
                <w:tab w:val="left" w:pos="426"/>
                <w:tab w:val="left" w:pos="2160"/>
              </w:tabs>
              <w:rPr>
                <w:rFonts w:cs="Arial"/>
              </w:rPr>
            </w:pPr>
          </w:p>
        </w:tc>
        <w:tc>
          <w:tcPr>
            <w:tcW w:w="1134" w:type="dxa"/>
          </w:tcPr>
          <w:p w14:paraId="1B452592" w14:textId="77777777" w:rsidR="00FE6D72" w:rsidRPr="00B148F9" w:rsidRDefault="00FE6D72" w:rsidP="00C52024">
            <w:pPr>
              <w:tabs>
                <w:tab w:val="left" w:pos="426"/>
                <w:tab w:val="left" w:pos="2160"/>
              </w:tabs>
              <w:rPr>
                <w:rFonts w:cs="Arial"/>
              </w:rPr>
            </w:pPr>
          </w:p>
        </w:tc>
        <w:tc>
          <w:tcPr>
            <w:tcW w:w="1418" w:type="dxa"/>
          </w:tcPr>
          <w:p w14:paraId="46BF1074" w14:textId="77777777" w:rsidR="00FE6D72" w:rsidRPr="00B148F9" w:rsidRDefault="00FE6D72" w:rsidP="00C52024">
            <w:pPr>
              <w:tabs>
                <w:tab w:val="left" w:pos="426"/>
                <w:tab w:val="left" w:pos="2160"/>
              </w:tabs>
              <w:rPr>
                <w:rFonts w:cs="Arial"/>
              </w:rPr>
            </w:pPr>
          </w:p>
        </w:tc>
        <w:tc>
          <w:tcPr>
            <w:tcW w:w="1417" w:type="dxa"/>
          </w:tcPr>
          <w:p w14:paraId="22A690C6" w14:textId="77777777" w:rsidR="00FE6D72" w:rsidRPr="00B148F9" w:rsidRDefault="00FE6D72" w:rsidP="00C52024">
            <w:pPr>
              <w:tabs>
                <w:tab w:val="left" w:pos="426"/>
                <w:tab w:val="left" w:pos="2160"/>
              </w:tabs>
              <w:rPr>
                <w:rFonts w:cs="Arial"/>
              </w:rPr>
            </w:pPr>
          </w:p>
        </w:tc>
      </w:tr>
      <w:tr w:rsidR="00FE6D72" w:rsidRPr="00B148F9" w14:paraId="6C7D8959" w14:textId="6B0CB94B" w:rsidTr="00C60076">
        <w:trPr>
          <w:jc w:val="center"/>
        </w:trPr>
        <w:tc>
          <w:tcPr>
            <w:tcW w:w="391" w:type="dxa"/>
          </w:tcPr>
          <w:p w14:paraId="7E86B98C" w14:textId="77777777" w:rsidR="00FE6D72" w:rsidRPr="00B148F9" w:rsidRDefault="00FE6D72" w:rsidP="00C52024">
            <w:pPr>
              <w:tabs>
                <w:tab w:val="left" w:pos="426"/>
                <w:tab w:val="left" w:pos="2160"/>
              </w:tabs>
              <w:rPr>
                <w:rFonts w:cs="Arial"/>
                <w:sz w:val="16"/>
              </w:rPr>
            </w:pPr>
          </w:p>
        </w:tc>
        <w:tc>
          <w:tcPr>
            <w:tcW w:w="1681" w:type="dxa"/>
          </w:tcPr>
          <w:p w14:paraId="118934C9" w14:textId="77777777" w:rsidR="00FE6D72" w:rsidRPr="00B148F9" w:rsidRDefault="00FE6D72" w:rsidP="00C52024">
            <w:pPr>
              <w:tabs>
                <w:tab w:val="left" w:pos="426"/>
                <w:tab w:val="left" w:pos="2160"/>
              </w:tabs>
              <w:rPr>
                <w:rFonts w:cs="Arial"/>
                <w:sz w:val="16"/>
              </w:rPr>
            </w:pPr>
          </w:p>
        </w:tc>
        <w:tc>
          <w:tcPr>
            <w:tcW w:w="1330" w:type="dxa"/>
          </w:tcPr>
          <w:p w14:paraId="58F30A14" w14:textId="77777777" w:rsidR="00FE6D72" w:rsidRPr="00B148F9" w:rsidRDefault="00FE6D72" w:rsidP="00C52024">
            <w:pPr>
              <w:tabs>
                <w:tab w:val="left" w:pos="426"/>
                <w:tab w:val="left" w:pos="2160"/>
              </w:tabs>
              <w:rPr>
                <w:rFonts w:cs="Arial"/>
              </w:rPr>
            </w:pPr>
          </w:p>
        </w:tc>
        <w:tc>
          <w:tcPr>
            <w:tcW w:w="1330" w:type="dxa"/>
          </w:tcPr>
          <w:p w14:paraId="57BABF7C" w14:textId="29F5E230" w:rsidR="00FE6D72" w:rsidRPr="00B148F9" w:rsidRDefault="00FE6D72" w:rsidP="00C52024">
            <w:pPr>
              <w:tabs>
                <w:tab w:val="left" w:pos="426"/>
                <w:tab w:val="left" w:pos="2160"/>
              </w:tabs>
              <w:rPr>
                <w:rFonts w:cs="Arial"/>
              </w:rPr>
            </w:pPr>
          </w:p>
        </w:tc>
        <w:tc>
          <w:tcPr>
            <w:tcW w:w="1364" w:type="dxa"/>
          </w:tcPr>
          <w:p w14:paraId="3250E84A" w14:textId="77777777" w:rsidR="00FE6D72" w:rsidRPr="00B148F9" w:rsidRDefault="00FE6D72" w:rsidP="00C52024">
            <w:pPr>
              <w:tabs>
                <w:tab w:val="left" w:pos="426"/>
                <w:tab w:val="left" w:pos="2160"/>
              </w:tabs>
              <w:rPr>
                <w:rFonts w:cs="Arial"/>
              </w:rPr>
            </w:pPr>
          </w:p>
        </w:tc>
        <w:tc>
          <w:tcPr>
            <w:tcW w:w="1275" w:type="dxa"/>
          </w:tcPr>
          <w:p w14:paraId="64EC3C77" w14:textId="77777777" w:rsidR="00FE6D72" w:rsidRPr="00B148F9" w:rsidRDefault="00FE6D72" w:rsidP="00C52024">
            <w:pPr>
              <w:tabs>
                <w:tab w:val="left" w:pos="426"/>
                <w:tab w:val="left" w:pos="2160"/>
              </w:tabs>
              <w:rPr>
                <w:rFonts w:cs="Arial"/>
              </w:rPr>
            </w:pPr>
          </w:p>
        </w:tc>
        <w:tc>
          <w:tcPr>
            <w:tcW w:w="1134" w:type="dxa"/>
          </w:tcPr>
          <w:p w14:paraId="55D89C69" w14:textId="77777777" w:rsidR="00FE6D72" w:rsidRPr="00B148F9" w:rsidRDefault="00FE6D72" w:rsidP="00C52024">
            <w:pPr>
              <w:tabs>
                <w:tab w:val="left" w:pos="426"/>
                <w:tab w:val="left" w:pos="2160"/>
              </w:tabs>
              <w:rPr>
                <w:rFonts w:cs="Arial"/>
              </w:rPr>
            </w:pPr>
          </w:p>
        </w:tc>
        <w:tc>
          <w:tcPr>
            <w:tcW w:w="1418" w:type="dxa"/>
          </w:tcPr>
          <w:p w14:paraId="71F559A8" w14:textId="77777777" w:rsidR="00FE6D72" w:rsidRPr="00B148F9" w:rsidRDefault="00FE6D72" w:rsidP="00C52024">
            <w:pPr>
              <w:tabs>
                <w:tab w:val="left" w:pos="426"/>
                <w:tab w:val="left" w:pos="2160"/>
              </w:tabs>
              <w:rPr>
                <w:rFonts w:cs="Arial"/>
              </w:rPr>
            </w:pPr>
          </w:p>
        </w:tc>
        <w:tc>
          <w:tcPr>
            <w:tcW w:w="1417" w:type="dxa"/>
          </w:tcPr>
          <w:p w14:paraId="622D6961" w14:textId="77777777" w:rsidR="00FE6D72" w:rsidRPr="00B148F9" w:rsidRDefault="00FE6D72" w:rsidP="00C52024">
            <w:pPr>
              <w:tabs>
                <w:tab w:val="left" w:pos="426"/>
                <w:tab w:val="left" w:pos="2160"/>
              </w:tabs>
              <w:rPr>
                <w:rFonts w:cs="Arial"/>
              </w:rPr>
            </w:pPr>
          </w:p>
        </w:tc>
      </w:tr>
      <w:tr w:rsidR="00FE6D72" w:rsidRPr="00B148F9" w14:paraId="42A75BB1" w14:textId="0330A740" w:rsidTr="00C60076">
        <w:trPr>
          <w:jc w:val="center"/>
        </w:trPr>
        <w:tc>
          <w:tcPr>
            <w:tcW w:w="391" w:type="dxa"/>
          </w:tcPr>
          <w:p w14:paraId="270B1D56" w14:textId="77777777" w:rsidR="00FE6D72" w:rsidRPr="00B148F9" w:rsidRDefault="00FE6D72" w:rsidP="00C52024">
            <w:pPr>
              <w:tabs>
                <w:tab w:val="left" w:pos="426"/>
                <w:tab w:val="left" w:pos="2160"/>
              </w:tabs>
              <w:rPr>
                <w:rFonts w:cs="Arial"/>
                <w:sz w:val="16"/>
              </w:rPr>
            </w:pPr>
          </w:p>
        </w:tc>
        <w:tc>
          <w:tcPr>
            <w:tcW w:w="1681" w:type="dxa"/>
          </w:tcPr>
          <w:p w14:paraId="70712569" w14:textId="77777777" w:rsidR="00FE6D72" w:rsidRPr="00B148F9" w:rsidRDefault="00FE6D72" w:rsidP="00C52024">
            <w:pPr>
              <w:tabs>
                <w:tab w:val="left" w:pos="426"/>
                <w:tab w:val="left" w:pos="2160"/>
              </w:tabs>
              <w:jc w:val="left"/>
              <w:rPr>
                <w:rFonts w:cs="Arial"/>
                <w:b/>
                <w:sz w:val="16"/>
              </w:rPr>
            </w:pPr>
            <w:r w:rsidRPr="00B148F9">
              <w:rPr>
                <w:rFonts w:cs="Arial"/>
                <w:b/>
                <w:sz w:val="16"/>
              </w:rPr>
              <w:t>Investment in securities</w:t>
            </w:r>
          </w:p>
        </w:tc>
        <w:tc>
          <w:tcPr>
            <w:tcW w:w="1330" w:type="dxa"/>
          </w:tcPr>
          <w:p w14:paraId="04631650" w14:textId="77777777" w:rsidR="00FE6D72" w:rsidRPr="00B148F9" w:rsidRDefault="00FE6D72" w:rsidP="00C52024">
            <w:pPr>
              <w:tabs>
                <w:tab w:val="left" w:pos="426"/>
                <w:tab w:val="left" w:pos="2160"/>
              </w:tabs>
              <w:rPr>
                <w:rFonts w:cs="Arial"/>
              </w:rPr>
            </w:pPr>
          </w:p>
        </w:tc>
        <w:tc>
          <w:tcPr>
            <w:tcW w:w="1330" w:type="dxa"/>
          </w:tcPr>
          <w:p w14:paraId="3FB51DB0" w14:textId="7ED67568" w:rsidR="00FE6D72" w:rsidRPr="00B148F9" w:rsidRDefault="00FE6D72" w:rsidP="00C52024">
            <w:pPr>
              <w:tabs>
                <w:tab w:val="left" w:pos="426"/>
                <w:tab w:val="left" w:pos="2160"/>
              </w:tabs>
              <w:rPr>
                <w:rFonts w:cs="Arial"/>
              </w:rPr>
            </w:pPr>
          </w:p>
        </w:tc>
        <w:tc>
          <w:tcPr>
            <w:tcW w:w="1364" w:type="dxa"/>
          </w:tcPr>
          <w:p w14:paraId="2240BC2F" w14:textId="77777777" w:rsidR="00FE6D72" w:rsidRPr="00B148F9" w:rsidRDefault="00FE6D72" w:rsidP="00C52024">
            <w:pPr>
              <w:tabs>
                <w:tab w:val="left" w:pos="426"/>
                <w:tab w:val="left" w:pos="2160"/>
              </w:tabs>
              <w:rPr>
                <w:rFonts w:cs="Arial"/>
              </w:rPr>
            </w:pPr>
          </w:p>
        </w:tc>
        <w:tc>
          <w:tcPr>
            <w:tcW w:w="1275" w:type="dxa"/>
          </w:tcPr>
          <w:p w14:paraId="28802959" w14:textId="77777777" w:rsidR="00FE6D72" w:rsidRPr="00B148F9" w:rsidRDefault="00FE6D72" w:rsidP="00C52024">
            <w:pPr>
              <w:tabs>
                <w:tab w:val="left" w:pos="426"/>
                <w:tab w:val="left" w:pos="2160"/>
              </w:tabs>
              <w:rPr>
                <w:rFonts w:cs="Arial"/>
              </w:rPr>
            </w:pPr>
          </w:p>
        </w:tc>
        <w:tc>
          <w:tcPr>
            <w:tcW w:w="1134" w:type="dxa"/>
          </w:tcPr>
          <w:p w14:paraId="57BEFFBE" w14:textId="77777777" w:rsidR="00FE6D72" w:rsidRPr="00B148F9" w:rsidRDefault="00FE6D72" w:rsidP="00C52024">
            <w:pPr>
              <w:tabs>
                <w:tab w:val="left" w:pos="426"/>
                <w:tab w:val="left" w:pos="2160"/>
              </w:tabs>
              <w:rPr>
                <w:rFonts w:cs="Arial"/>
              </w:rPr>
            </w:pPr>
          </w:p>
        </w:tc>
        <w:tc>
          <w:tcPr>
            <w:tcW w:w="1418" w:type="dxa"/>
          </w:tcPr>
          <w:p w14:paraId="5565EFA4" w14:textId="77777777" w:rsidR="00FE6D72" w:rsidRPr="00B148F9" w:rsidRDefault="00FE6D72" w:rsidP="00C52024">
            <w:pPr>
              <w:tabs>
                <w:tab w:val="left" w:pos="426"/>
                <w:tab w:val="left" w:pos="2160"/>
              </w:tabs>
              <w:rPr>
                <w:rFonts w:cs="Arial"/>
              </w:rPr>
            </w:pPr>
          </w:p>
        </w:tc>
        <w:tc>
          <w:tcPr>
            <w:tcW w:w="1417" w:type="dxa"/>
          </w:tcPr>
          <w:p w14:paraId="7C8D0322" w14:textId="77777777" w:rsidR="00FE6D72" w:rsidRPr="00B148F9" w:rsidRDefault="00FE6D72" w:rsidP="00C52024">
            <w:pPr>
              <w:tabs>
                <w:tab w:val="left" w:pos="426"/>
                <w:tab w:val="left" w:pos="2160"/>
              </w:tabs>
              <w:rPr>
                <w:rFonts w:cs="Arial"/>
              </w:rPr>
            </w:pPr>
          </w:p>
        </w:tc>
      </w:tr>
      <w:tr w:rsidR="00FE6D72" w:rsidRPr="00B148F9" w14:paraId="75DE4E20" w14:textId="48BE3B18" w:rsidTr="00C60076">
        <w:trPr>
          <w:jc w:val="center"/>
        </w:trPr>
        <w:tc>
          <w:tcPr>
            <w:tcW w:w="391" w:type="dxa"/>
          </w:tcPr>
          <w:p w14:paraId="29756B78" w14:textId="77777777" w:rsidR="00FE6D72" w:rsidRPr="00B148F9" w:rsidRDefault="00FE6D72" w:rsidP="00FF3B93">
            <w:pPr>
              <w:tabs>
                <w:tab w:val="left" w:pos="426"/>
                <w:tab w:val="left" w:pos="2160"/>
              </w:tabs>
              <w:rPr>
                <w:rFonts w:cs="Arial"/>
                <w:sz w:val="16"/>
              </w:rPr>
            </w:pPr>
          </w:p>
        </w:tc>
        <w:tc>
          <w:tcPr>
            <w:tcW w:w="1681" w:type="dxa"/>
          </w:tcPr>
          <w:p w14:paraId="18A8B017" w14:textId="76FBC4A0" w:rsidR="00FE6D72" w:rsidRPr="00B148F9" w:rsidRDefault="00FE6D72">
            <w:pPr>
              <w:tabs>
                <w:tab w:val="left" w:pos="426"/>
                <w:tab w:val="left" w:pos="2160"/>
              </w:tabs>
              <w:rPr>
                <w:rFonts w:cs="Arial"/>
                <w:sz w:val="16"/>
              </w:rPr>
            </w:pPr>
            <w:r w:rsidRPr="00B148F9">
              <w:rPr>
                <w:rFonts w:cs="Arial"/>
                <w:sz w:val="16"/>
              </w:rPr>
              <w:t>Convertible preferred stocks</w:t>
            </w:r>
          </w:p>
        </w:tc>
        <w:tc>
          <w:tcPr>
            <w:tcW w:w="1330" w:type="dxa"/>
            <w:tcBorders>
              <w:bottom w:val="single" w:sz="4" w:space="0" w:color="auto"/>
            </w:tcBorders>
            <w:vAlign w:val="bottom"/>
          </w:tcPr>
          <w:p w14:paraId="2129AB76" w14:textId="1A031D3D" w:rsidR="00FE6D72" w:rsidRPr="00B148F9" w:rsidRDefault="00FE6D72">
            <w:pPr>
              <w:tabs>
                <w:tab w:val="left" w:pos="426"/>
                <w:tab w:val="left" w:pos="2160"/>
              </w:tabs>
              <w:jc w:val="right"/>
              <w:rPr>
                <w:rFonts w:cs="Arial"/>
              </w:rPr>
            </w:pPr>
            <w:r w:rsidRPr="00B148F9">
              <w:rPr>
                <w:rFonts w:cs="Arial"/>
              </w:rPr>
              <w:t>37,728,745</w:t>
            </w:r>
          </w:p>
        </w:tc>
        <w:tc>
          <w:tcPr>
            <w:tcW w:w="1330" w:type="dxa"/>
            <w:vAlign w:val="bottom"/>
          </w:tcPr>
          <w:p w14:paraId="1A781F80" w14:textId="685BB488" w:rsidR="00FE6D72" w:rsidRPr="00B148F9" w:rsidRDefault="00FE6D72" w:rsidP="00FF3B93">
            <w:pPr>
              <w:tabs>
                <w:tab w:val="left" w:pos="426"/>
                <w:tab w:val="left" w:pos="2160"/>
              </w:tabs>
              <w:jc w:val="right"/>
              <w:rPr>
                <w:rFonts w:cs="Arial"/>
              </w:rPr>
            </w:pPr>
            <w:r w:rsidRPr="00B148F9">
              <w:rPr>
                <w:rFonts w:cs="Arial"/>
              </w:rPr>
              <w:t>-</w:t>
            </w:r>
          </w:p>
        </w:tc>
        <w:tc>
          <w:tcPr>
            <w:tcW w:w="1364" w:type="dxa"/>
            <w:vAlign w:val="bottom"/>
          </w:tcPr>
          <w:p w14:paraId="0D5D2D5F" w14:textId="5C8DC44E" w:rsidR="00FE6D72" w:rsidRPr="00B148F9" w:rsidRDefault="00FE6D72" w:rsidP="00FF3B93">
            <w:pPr>
              <w:tabs>
                <w:tab w:val="left" w:pos="426"/>
                <w:tab w:val="left" w:pos="2160"/>
              </w:tabs>
              <w:jc w:val="right"/>
              <w:rPr>
                <w:rFonts w:cs="Arial"/>
              </w:rPr>
            </w:pPr>
            <w:r w:rsidRPr="00B148F9">
              <w:rPr>
                <w:rFonts w:cs="Arial"/>
              </w:rPr>
              <w:t>-</w:t>
            </w:r>
          </w:p>
        </w:tc>
        <w:tc>
          <w:tcPr>
            <w:tcW w:w="1275" w:type="dxa"/>
            <w:vAlign w:val="bottom"/>
          </w:tcPr>
          <w:p w14:paraId="4AA24E02" w14:textId="1A272E6B" w:rsidR="00FE6D72" w:rsidRPr="00B148F9" w:rsidRDefault="00FE6D72" w:rsidP="00FF3B93">
            <w:pPr>
              <w:tabs>
                <w:tab w:val="left" w:pos="426"/>
                <w:tab w:val="left" w:pos="2160"/>
              </w:tabs>
              <w:jc w:val="right"/>
              <w:rPr>
                <w:rFonts w:cs="Arial"/>
              </w:rPr>
            </w:pPr>
            <w:r w:rsidRPr="00B148F9">
              <w:rPr>
                <w:rFonts w:cs="Arial"/>
              </w:rPr>
              <w:t>-</w:t>
            </w:r>
          </w:p>
        </w:tc>
        <w:tc>
          <w:tcPr>
            <w:tcW w:w="1134" w:type="dxa"/>
            <w:vAlign w:val="bottom"/>
          </w:tcPr>
          <w:p w14:paraId="4F977AEB" w14:textId="77777777" w:rsidR="00FE6D72" w:rsidRPr="00B148F9" w:rsidRDefault="00FE6D72" w:rsidP="00FF3B93">
            <w:pPr>
              <w:tabs>
                <w:tab w:val="left" w:pos="426"/>
                <w:tab w:val="left" w:pos="2160"/>
              </w:tabs>
              <w:jc w:val="right"/>
              <w:rPr>
                <w:rFonts w:cs="Arial"/>
              </w:rPr>
            </w:pPr>
            <w:r w:rsidRPr="00B148F9">
              <w:rPr>
                <w:rFonts w:cs="Arial"/>
              </w:rPr>
              <w:t>-</w:t>
            </w:r>
          </w:p>
        </w:tc>
        <w:tc>
          <w:tcPr>
            <w:tcW w:w="1418" w:type="dxa"/>
            <w:vAlign w:val="bottom"/>
          </w:tcPr>
          <w:p w14:paraId="01535B32" w14:textId="529178AF" w:rsidR="00FE6D72" w:rsidRPr="00B148F9" w:rsidRDefault="00FE6D72">
            <w:pPr>
              <w:tabs>
                <w:tab w:val="left" w:pos="426"/>
                <w:tab w:val="left" w:pos="2160"/>
              </w:tabs>
              <w:jc w:val="right"/>
              <w:rPr>
                <w:rFonts w:cs="Arial"/>
              </w:rPr>
            </w:pPr>
            <w:r w:rsidRPr="00B148F9">
              <w:rPr>
                <w:rFonts w:cs="Arial"/>
              </w:rPr>
              <w:t>(37,728,745)</w:t>
            </w:r>
          </w:p>
        </w:tc>
        <w:tc>
          <w:tcPr>
            <w:tcW w:w="1417" w:type="dxa"/>
            <w:vAlign w:val="bottom"/>
          </w:tcPr>
          <w:p w14:paraId="44EDEF58" w14:textId="2F3A4626" w:rsidR="00FE6D72" w:rsidRPr="00B148F9" w:rsidRDefault="008621A1">
            <w:pPr>
              <w:tabs>
                <w:tab w:val="left" w:pos="426"/>
                <w:tab w:val="left" w:pos="2160"/>
              </w:tabs>
              <w:jc w:val="right"/>
              <w:rPr>
                <w:rFonts w:cs="Arial"/>
              </w:rPr>
            </w:pPr>
            <w:r w:rsidRPr="00B148F9">
              <w:rPr>
                <w:rFonts w:cs="Arial"/>
              </w:rPr>
              <w:t>-</w:t>
            </w:r>
          </w:p>
        </w:tc>
      </w:tr>
      <w:tr w:rsidR="00FE6D72" w:rsidRPr="00B148F9" w14:paraId="6534113C" w14:textId="7703E4D2" w:rsidTr="00C60076">
        <w:trPr>
          <w:jc w:val="center"/>
        </w:trPr>
        <w:tc>
          <w:tcPr>
            <w:tcW w:w="391" w:type="dxa"/>
          </w:tcPr>
          <w:p w14:paraId="6C680DF8" w14:textId="77777777" w:rsidR="00FE6D72" w:rsidRPr="00B148F9" w:rsidRDefault="00FE6D72" w:rsidP="00FF3B93">
            <w:pPr>
              <w:tabs>
                <w:tab w:val="left" w:pos="426"/>
                <w:tab w:val="left" w:pos="2160"/>
              </w:tabs>
              <w:rPr>
                <w:rFonts w:cs="Arial"/>
                <w:sz w:val="16"/>
              </w:rPr>
            </w:pPr>
          </w:p>
        </w:tc>
        <w:tc>
          <w:tcPr>
            <w:tcW w:w="1681" w:type="dxa"/>
          </w:tcPr>
          <w:p w14:paraId="6EECE17F" w14:textId="77777777" w:rsidR="00FE6D72" w:rsidRPr="00B148F9" w:rsidRDefault="00FE6D72" w:rsidP="00FF3B93">
            <w:pPr>
              <w:tabs>
                <w:tab w:val="left" w:pos="426"/>
                <w:tab w:val="left" w:pos="2160"/>
              </w:tabs>
              <w:rPr>
                <w:rFonts w:cs="Arial"/>
                <w:b/>
                <w:sz w:val="16"/>
              </w:rPr>
            </w:pPr>
            <w:r w:rsidRPr="00B148F9">
              <w:rPr>
                <w:rFonts w:cs="Arial"/>
                <w:b/>
                <w:sz w:val="16"/>
              </w:rPr>
              <w:t>Total Investment in securities</w:t>
            </w:r>
          </w:p>
        </w:tc>
        <w:tc>
          <w:tcPr>
            <w:tcW w:w="1330" w:type="dxa"/>
            <w:tcBorders>
              <w:top w:val="single" w:sz="4" w:space="0" w:color="auto"/>
              <w:bottom w:val="single" w:sz="4" w:space="0" w:color="auto"/>
            </w:tcBorders>
            <w:vAlign w:val="bottom"/>
          </w:tcPr>
          <w:p w14:paraId="5BEA8484" w14:textId="2402E2FF" w:rsidR="00FE6D72" w:rsidRPr="00B148F9" w:rsidRDefault="00FE6D72">
            <w:pPr>
              <w:tabs>
                <w:tab w:val="left" w:pos="426"/>
                <w:tab w:val="left" w:pos="2160"/>
              </w:tabs>
              <w:jc w:val="right"/>
              <w:rPr>
                <w:rFonts w:cs="Arial"/>
                <w:b/>
              </w:rPr>
            </w:pPr>
            <w:r w:rsidRPr="00B148F9">
              <w:rPr>
                <w:rFonts w:cs="Arial"/>
                <w:b/>
              </w:rPr>
              <w:t>37,728,745</w:t>
            </w:r>
          </w:p>
        </w:tc>
        <w:tc>
          <w:tcPr>
            <w:tcW w:w="1330" w:type="dxa"/>
            <w:tcBorders>
              <w:top w:val="single" w:sz="4" w:space="0" w:color="auto"/>
              <w:bottom w:val="single" w:sz="4" w:space="0" w:color="auto"/>
            </w:tcBorders>
            <w:vAlign w:val="bottom"/>
          </w:tcPr>
          <w:p w14:paraId="1093AF77" w14:textId="56A3907A" w:rsidR="00FE6D72" w:rsidRPr="00B148F9" w:rsidRDefault="00FE6D72" w:rsidP="00FF3B93">
            <w:pPr>
              <w:tabs>
                <w:tab w:val="left" w:pos="426"/>
                <w:tab w:val="left" w:pos="2160"/>
              </w:tabs>
              <w:jc w:val="right"/>
              <w:rPr>
                <w:rFonts w:cs="Arial"/>
                <w:b/>
              </w:rPr>
            </w:pPr>
            <w:r w:rsidRPr="00B148F9">
              <w:rPr>
                <w:rFonts w:cs="Arial"/>
                <w:b/>
              </w:rPr>
              <w:t>-</w:t>
            </w:r>
          </w:p>
        </w:tc>
        <w:tc>
          <w:tcPr>
            <w:tcW w:w="1364" w:type="dxa"/>
            <w:tcBorders>
              <w:top w:val="single" w:sz="4" w:space="0" w:color="auto"/>
              <w:bottom w:val="single" w:sz="4" w:space="0" w:color="auto"/>
            </w:tcBorders>
            <w:vAlign w:val="bottom"/>
          </w:tcPr>
          <w:p w14:paraId="0CBF121E" w14:textId="4AF7B6B1" w:rsidR="00FE6D72" w:rsidRPr="00B148F9" w:rsidRDefault="00FE6D72" w:rsidP="00FF3B93">
            <w:pPr>
              <w:tabs>
                <w:tab w:val="left" w:pos="426"/>
                <w:tab w:val="left" w:pos="2160"/>
              </w:tabs>
              <w:jc w:val="right"/>
              <w:rPr>
                <w:rFonts w:cs="Arial"/>
                <w:b/>
              </w:rPr>
            </w:pPr>
            <w:r w:rsidRPr="00B148F9">
              <w:rPr>
                <w:rFonts w:cs="Arial"/>
                <w:b/>
              </w:rPr>
              <w:t>-</w:t>
            </w:r>
          </w:p>
        </w:tc>
        <w:tc>
          <w:tcPr>
            <w:tcW w:w="1275" w:type="dxa"/>
            <w:tcBorders>
              <w:top w:val="single" w:sz="4" w:space="0" w:color="auto"/>
              <w:bottom w:val="single" w:sz="4" w:space="0" w:color="auto"/>
            </w:tcBorders>
            <w:vAlign w:val="bottom"/>
          </w:tcPr>
          <w:p w14:paraId="1926D0FB" w14:textId="7C7F930C" w:rsidR="00FE6D72" w:rsidRPr="00B148F9" w:rsidRDefault="00FE6D72" w:rsidP="00FF3B93">
            <w:pPr>
              <w:tabs>
                <w:tab w:val="left" w:pos="426"/>
                <w:tab w:val="left" w:pos="2160"/>
              </w:tabs>
              <w:jc w:val="right"/>
              <w:rPr>
                <w:rFonts w:cs="Arial"/>
                <w:b/>
              </w:rPr>
            </w:pPr>
            <w:r w:rsidRPr="00B148F9">
              <w:rPr>
                <w:rFonts w:cs="Arial"/>
                <w:b/>
              </w:rPr>
              <w:t>-</w:t>
            </w:r>
          </w:p>
        </w:tc>
        <w:tc>
          <w:tcPr>
            <w:tcW w:w="1134" w:type="dxa"/>
            <w:tcBorders>
              <w:top w:val="single" w:sz="4" w:space="0" w:color="auto"/>
              <w:bottom w:val="single" w:sz="4" w:space="0" w:color="auto"/>
            </w:tcBorders>
            <w:vAlign w:val="bottom"/>
          </w:tcPr>
          <w:p w14:paraId="012BFCFD" w14:textId="77777777" w:rsidR="00FE6D72" w:rsidRPr="00B148F9" w:rsidRDefault="00FE6D72" w:rsidP="00FF3B93">
            <w:pPr>
              <w:tabs>
                <w:tab w:val="left" w:pos="426"/>
                <w:tab w:val="left" w:pos="2160"/>
              </w:tabs>
              <w:jc w:val="right"/>
              <w:rPr>
                <w:rFonts w:cs="Arial"/>
                <w:b/>
              </w:rPr>
            </w:pPr>
            <w:r w:rsidRPr="00B148F9">
              <w:rPr>
                <w:rFonts w:cs="Arial"/>
                <w:b/>
              </w:rPr>
              <w:t>-</w:t>
            </w:r>
          </w:p>
        </w:tc>
        <w:tc>
          <w:tcPr>
            <w:tcW w:w="1418" w:type="dxa"/>
            <w:tcBorders>
              <w:top w:val="single" w:sz="4" w:space="0" w:color="auto"/>
              <w:bottom w:val="single" w:sz="4" w:space="0" w:color="auto"/>
            </w:tcBorders>
            <w:vAlign w:val="bottom"/>
          </w:tcPr>
          <w:p w14:paraId="0F95142F" w14:textId="2836F8FE" w:rsidR="00FE6D72" w:rsidRPr="00B148F9" w:rsidRDefault="00FE6D72" w:rsidP="00FF3B93">
            <w:pPr>
              <w:tabs>
                <w:tab w:val="left" w:pos="426"/>
                <w:tab w:val="left" w:pos="2160"/>
              </w:tabs>
              <w:jc w:val="right"/>
              <w:rPr>
                <w:rFonts w:cs="Arial"/>
                <w:b/>
              </w:rPr>
            </w:pPr>
            <w:r w:rsidRPr="00B148F9">
              <w:rPr>
                <w:rFonts w:cs="Arial"/>
                <w:b/>
              </w:rPr>
              <w:t>(37,728,745)</w:t>
            </w:r>
          </w:p>
        </w:tc>
        <w:tc>
          <w:tcPr>
            <w:tcW w:w="1417" w:type="dxa"/>
            <w:tcBorders>
              <w:top w:val="single" w:sz="4" w:space="0" w:color="auto"/>
              <w:bottom w:val="single" w:sz="4" w:space="0" w:color="auto"/>
            </w:tcBorders>
            <w:vAlign w:val="bottom"/>
          </w:tcPr>
          <w:p w14:paraId="6B6E5508" w14:textId="69A1EC01" w:rsidR="00FE6D72" w:rsidRPr="00B148F9" w:rsidRDefault="008621A1" w:rsidP="00FF3B93">
            <w:pPr>
              <w:tabs>
                <w:tab w:val="left" w:pos="426"/>
                <w:tab w:val="left" w:pos="2160"/>
              </w:tabs>
              <w:jc w:val="right"/>
              <w:rPr>
                <w:rFonts w:cs="Arial"/>
                <w:b/>
              </w:rPr>
            </w:pPr>
            <w:r w:rsidRPr="00B148F9">
              <w:rPr>
                <w:rFonts w:cs="Arial"/>
                <w:b/>
              </w:rPr>
              <w:t>-</w:t>
            </w:r>
          </w:p>
        </w:tc>
      </w:tr>
      <w:tr w:rsidR="00FE6D72" w:rsidRPr="00B148F9" w14:paraId="17681719" w14:textId="02C100C8" w:rsidTr="00C60076">
        <w:trPr>
          <w:jc w:val="center"/>
        </w:trPr>
        <w:tc>
          <w:tcPr>
            <w:tcW w:w="391" w:type="dxa"/>
          </w:tcPr>
          <w:p w14:paraId="19861F0D" w14:textId="77777777" w:rsidR="00FE6D72" w:rsidRPr="00B148F9" w:rsidRDefault="00FE6D72" w:rsidP="00FF3B93">
            <w:pPr>
              <w:tabs>
                <w:tab w:val="left" w:pos="426"/>
                <w:tab w:val="left" w:pos="2160"/>
              </w:tabs>
              <w:rPr>
                <w:rFonts w:cs="Arial"/>
                <w:sz w:val="16"/>
              </w:rPr>
            </w:pPr>
          </w:p>
        </w:tc>
        <w:tc>
          <w:tcPr>
            <w:tcW w:w="1681" w:type="dxa"/>
          </w:tcPr>
          <w:p w14:paraId="4961F543" w14:textId="77777777" w:rsidR="00FE6D72" w:rsidRPr="00B148F9" w:rsidRDefault="00FE6D72" w:rsidP="00FF3B93">
            <w:pPr>
              <w:tabs>
                <w:tab w:val="left" w:pos="426"/>
                <w:tab w:val="left" w:pos="2160"/>
              </w:tabs>
              <w:rPr>
                <w:rFonts w:cs="Arial"/>
                <w:sz w:val="16"/>
              </w:rPr>
            </w:pPr>
          </w:p>
        </w:tc>
        <w:tc>
          <w:tcPr>
            <w:tcW w:w="1330" w:type="dxa"/>
            <w:tcBorders>
              <w:top w:val="single" w:sz="4" w:space="0" w:color="auto"/>
            </w:tcBorders>
          </w:tcPr>
          <w:p w14:paraId="1A2ACB48" w14:textId="77777777" w:rsidR="00FE6D72" w:rsidRPr="00B148F9" w:rsidRDefault="00FE6D72" w:rsidP="00FF3B93">
            <w:pPr>
              <w:tabs>
                <w:tab w:val="left" w:pos="426"/>
                <w:tab w:val="left" w:pos="2160"/>
              </w:tabs>
              <w:jc w:val="right"/>
              <w:rPr>
                <w:rFonts w:cs="Arial"/>
              </w:rPr>
            </w:pPr>
          </w:p>
        </w:tc>
        <w:tc>
          <w:tcPr>
            <w:tcW w:w="1330" w:type="dxa"/>
            <w:tcBorders>
              <w:top w:val="single" w:sz="4" w:space="0" w:color="auto"/>
            </w:tcBorders>
            <w:vAlign w:val="bottom"/>
          </w:tcPr>
          <w:p w14:paraId="4E0AE661" w14:textId="4EEAA0E2" w:rsidR="00FE6D72" w:rsidRPr="00B148F9" w:rsidRDefault="00FE6D72" w:rsidP="00FF3B93">
            <w:pPr>
              <w:tabs>
                <w:tab w:val="left" w:pos="426"/>
                <w:tab w:val="left" w:pos="2160"/>
              </w:tabs>
              <w:jc w:val="right"/>
              <w:rPr>
                <w:rFonts w:cs="Arial"/>
              </w:rPr>
            </w:pPr>
          </w:p>
        </w:tc>
        <w:tc>
          <w:tcPr>
            <w:tcW w:w="1364" w:type="dxa"/>
            <w:tcBorders>
              <w:top w:val="single" w:sz="4" w:space="0" w:color="auto"/>
            </w:tcBorders>
            <w:vAlign w:val="bottom"/>
          </w:tcPr>
          <w:p w14:paraId="1334E551" w14:textId="77777777" w:rsidR="00FE6D72" w:rsidRPr="00B148F9" w:rsidRDefault="00FE6D72" w:rsidP="00FF3B93">
            <w:pPr>
              <w:tabs>
                <w:tab w:val="left" w:pos="426"/>
                <w:tab w:val="left" w:pos="2160"/>
              </w:tabs>
              <w:jc w:val="right"/>
              <w:rPr>
                <w:rFonts w:cs="Arial"/>
              </w:rPr>
            </w:pPr>
          </w:p>
        </w:tc>
        <w:tc>
          <w:tcPr>
            <w:tcW w:w="1275" w:type="dxa"/>
            <w:tcBorders>
              <w:top w:val="single" w:sz="4" w:space="0" w:color="auto"/>
            </w:tcBorders>
            <w:vAlign w:val="bottom"/>
          </w:tcPr>
          <w:p w14:paraId="6F4E123D" w14:textId="77777777" w:rsidR="00FE6D72" w:rsidRPr="00B148F9" w:rsidRDefault="00FE6D72" w:rsidP="00FF3B93">
            <w:pPr>
              <w:tabs>
                <w:tab w:val="left" w:pos="426"/>
                <w:tab w:val="left" w:pos="2160"/>
              </w:tabs>
              <w:jc w:val="right"/>
              <w:rPr>
                <w:rFonts w:cs="Arial"/>
              </w:rPr>
            </w:pPr>
          </w:p>
        </w:tc>
        <w:tc>
          <w:tcPr>
            <w:tcW w:w="1134" w:type="dxa"/>
            <w:tcBorders>
              <w:top w:val="single" w:sz="4" w:space="0" w:color="auto"/>
            </w:tcBorders>
            <w:vAlign w:val="bottom"/>
          </w:tcPr>
          <w:p w14:paraId="211EA8BF" w14:textId="77777777" w:rsidR="00FE6D72" w:rsidRPr="00B148F9" w:rsidRDefault="00FE6D72" w:rsidP="00FF3B93">
            <w:pPr>
              <w:tabs>
                <w:tab w:val="left" w:pos="426"/>
                <w:tab w:val="left" w:pos="2160"/>
              </w:tabs>
              <w:jc w:val="right"/>
              <w:rPr>
                <w:rFonts w:cs="Arial"/>
              </w:rPr>
            </w:pPr>
          </w:p>
        </w:tc>
        <w:tc>
          <w:tcPr>
            <w:tcW w:w="1418" w:type="dxa"/>
            <w:tcBorders>
              <w:top w:val="single" w:sz="4" w:space="0" w:color="auto"/>
            </w:tcBorders>
          </w:tcPr>
          <w:p w14:paraId="303C6128" w14:textId="77777777" w:rsidR="00FE6D72" w:rsidRPr="00B148F9" w:rsidRDefault="00FE6D72" w:rsidP="00FF3B93">
            <w:pPr>
              <w:tabs>
                <w:tab w:val="left" w:pos="426"/>
                <w:tab w:val="left" w:pos="2160"/>
              </w:tabs>
              <w:jc w:val="right"/>
              <w:rPr>
                <w:rFonts w:cs="Arial"/>
              </w:rPr>
            </w:pPr>
          </w:p>
        </w:tc>
        <w:tc>
          <w:tcPr>
            <w:tcW w:w="1417" w:type="dxa"/>
            <w:tcBorders>
              <w:top w:val="single" w:sz="4" w:space="0" w:color="auto"/>
            </w:tcBorders>
          </w:tcPr>
          <w:p w14:paraId="4147A949" w14:textId="77777777" w:rsidR="00FE6D72" w:rsidRPr="00B148F9" w:rsidRDefault="00FE6D72" w:rsidP="00FF3B93">
            <w:pPr>
              <w:tabs>
                <w:tab w:val="left" w:pos="426"/>
                <w:tab w:val="left" w:pos="2160"/>
              </w:tabs>
              <w:jc w:val="right"/>
              <w:rPr>
                <w:rFonts w:cs="Arial"/>
              </w:rPr>
            </w:pPr>
          </w:p>
        </w:tc>
      </w:tr>
    </w:tbl>
    <w:p w14:paraId="0A7AA9A4" w14:textId="667673D6" w:rsidR="00C71DE3" w:rsidRPr="00C60076" w:rsidRDefault="00E702C2" w:rsidP="008B3F71">
      <w:pPr>
        <w:tabs>
          <w:tab w:val="left" w:pos="426"/>
          <w:tab w:val="left" w:pos="2160"/>
        </w:tabs>
        <w:rPr>
          <w:rFonts w:cs="Arial"/>
          <w:sz w:val="16"/>
        </w:rPr>
      </w:pPr>
      <w:r w:rsidRPr="00C60076">
        <w:rPr>
          <w:rFonts w:cs="Arial"/>
          <w:sz w:val="16"/>
        </w:rPr>
        <w:t>*Conversions of preferred stock into common stock.</w:t>
      </w:r>
    </w:p>
    <w:p w14:paraId="6946C157" w14:textId="77777777" w:rsidR="00E702C2" w:rsidRPr="00251CF4" w:rsidRDefault="00E702C2" w:rsidP="008B3F71">
      <w:pPr>
        <w:tabs>
          <w:tab w:val="left" w:pos="426"/>
          <w:tab w:val="left" w:pos="2160"/>
        </w:tabs>
        <w:rPr>
          <w:rFonts w:cs="Arial"/>
        </w:rPr>
      </w:pPr>
    </w:p>
    <w:p w14:paraId="327E945A" w14:textId="7D3967BF" w:rsidR="008B3F71" w:rsidRPr="00B148F9" w:rsidRDefault="008B3F71" w:rsidP="008B3F71">
      <w:pPr>
        <w:tabs>
          <w:tab w:val="left" w:pos="426"/>
          <w:tab w:val="left" w:pos="2160"/>
        </w:tabs>
        <w:rPr>
          <w:rFonts w:cs="Arial"/>
          <w:sz w:val="16"/>
          <w:szCs w:val="16"/>
        </w:rPr>
      </w:pPr>
      <w:r w:rsidRPr="00B148F9">
        <w:rPr>
          <w:rFonts w:cs="Arial"/>
        </w:rPr>
        <w:t>(</w:t>
      </w:r>
      <w:r w:rsidRPr="00B148F9">
        <w:rPr>
          <w:rFonts w:cs="Arial"/>
          <w:sz w:val="16"/>
          <w:szCs w:val="16"/>
        </w:rPr>
        <w:t>a) Reali</w:t>
      </w:r>
      <w:r w:rsidR="003535FE" w:rsidRPr="00B148F9">
        <w:rPr>
          <w:rFonts w:cs="Arial"/>
          <w:sz w:val="16"/>
          <w:szCs w:val="16"/>
        </w:rPr>
        <w:t>s</w:t>
      </w:r>
      <w:r w:rsidRPr="00B148F9">
        <w:rPr>
          <w:rFonts w:cs="Arial"/>
          <w:sz w:val="16"/>
          <w:szCs w:val="16"/>
        </w:rPr>
        <w:t>ed and unreali</w:t>
      </w:r>
      <w:r w:rsidR="003535FE" w:rsidRPr="00B148F9">
        <w:rPr>
          <w:rFonts w:cs="Arial"/>
          <w:sz w:val="16"/>
          <w:szCs w:val="16"/>
        </w:rPr>
        <w:t>s</w:t>
      </w:r>
      <w:r w:rsidR="005F3744" w:rsidRPr="00B148F9">
        <w:rPr>
          <w:rFonts w:cs="Arial"/>
          <w:sz w:val="16"/>
          <w:szCs w:val="16"/>
        </w:rPr>
        <w:t>e</w:t>
      </w:r>
      <w:r w:rsidRPr="00B148F9">
        <w:rPr>
          <w:rFonts w:cs="Arial"/>
          <w:sz w:val="16"/>
          <w:szCs w:val="16"/>
        </w:rPr>
        <w:t xml:space="preserve">d gains and losses are included in net </w:t>
      </w:r>
      <w:r w:rsidR="003535FE" w:rsidRPr="00B148F9">
        <w:rPr>
          <w:rFonts w:cs="Arial"/>
          <w:sz w:val="16"/>
          <w:szCs w:val="16"/>
        </w:rPr>
        <w:t>realised</w:t>
      </w:r>
      <w:r w:rsidRPr="00B148F9">
        <w:rPr>
          <w:rFonts w:cs="Arial"/>
          <w:sz w:val="16"/>
          <w:szCs w:val="16"/>
        </w:rPr>
        <w:t xml:space="preserve"> and change in un</w:t>
      </w:r>
      <w:r w:rsidR="003535FE" w:rsidRPr="00B148F9">
        <w:rPr>
          <w:rFonts w:cs="Arial"/>
          <w:sz w:val="16"/>
          <w:szCs w:val="16"/>
        </w:rPr>
        <w:t>realised</w:t>
      </w:r>
      <w:r w:rsidRPr="00B148F9">
        <w:rPr>
          <w:rFonts w:cs="Arial"/>
          <w:sz w:val="16"/>
          <w:szCs w:val="16"/>
        </w:rPr>
        <w:t xml:space="preserve"> gain on investments, derivatives and foreign currency</w:t>
      </w:r>
      <w:r w:rsidR="006C5486" w:rsidRPr="00B148F9">
        <w:rPr>
          <w:rFonts w:cs="Arial"/>
          <w:sz w:val="16"/>
          <w:szCs w:val="16"/>
        </w:rPr>
        <w:t xml:space="preserve"> </w:t>
      </w:r>
      <w:r w:rsidRPr="00B148F9">
        <w:rPr>
          <w:rFonts w:cs="Arial"/>
          <w:sz w:val="16"/>
          <w:szCs w:val="16"/>
        </w:rPr>
        <w:t>transactions in the statement of operations.</w:t>
      </w:r>
    </w:p>
    <w:p w14:paraId="29908201" w14:textId="3C68A971" w:rsidR="00817824" w:rsidRPr="00B148F9" w:rsidRDefault="00817824" w:rsidP="004A344A">
      <w:pPr>
        <w:tabs>
          <w:tab w:val="left" w:pos="426"/>
          <w:tab w:val="left" w:pos="2160"/>
        </w:tabs>
        <w:rPr>
          <w:rFonts w:cs="Arial"/>
        </w:rPr>
      </w:pPr>
    </w:p>
    <w:p w14:paraId="163920C8" w14:textId="54351C0A" w:rsidR="00C52024" w:rsidRPr="00B148F9" w:rsidRDefault="00C52024" w:rsidP="00C52024">
      <w:pPr>
        <w:tabs>
          <w:tab w:val="left" w:pos="426"/>
          <w:tab w:val="left" w:pos="2160"/>
        </w:tabs>
        <w:rPr>
          <w:rFonts w:cs="Arial"/>
        </w:rPr>
      </w:pPr>
      <w:r w:rsidRPr="00B148F9">
        <w:rPr>
          <w:rFonts w:cs="Arial"/>
        </w:rPr>
        <w:t xml:space="preserve">Total realised gains and losses </w:t>
      </w:r>
      <w:r w:rsidR="00B148F9">
        <w:rPr>
          <w:rFonts w:cs="Arial"/>
        </w:rPr>
        <w:t xml:space="preserve">and unrealised gains and losses </w:t>
      </w:r>
      <w:r w:rsidRPr="00251CF4">
        <w:rPr>
          <w:rFonts w:cs="Arial"/>
        </w:rPr>
        <w:t xml:space="preserve">in the Company’s investment in securities, derivative contracts and securities sold short are made up of the following </w:t>
      </w:r>
      <w:r w:rsidRPr="00B148F9">
        <w:rPr>
          <w:rFonts w:cs="Arial"/>
        </w:rPr>
        <w:t>gain and loss elements:</w:t>
      </w:r>
    </w:p>
    <w:p w14:paraId="2F728682" w14:textId="35CDF480" w:rsidR="00C52024" w:rsidRPr="00B148F9" w:rsidRDefault="00C52024" w:rsidP="00C52024">
      <w:pPr>
        <w:tabs>
          <w:tab w:val="left" w:pos="426"/>
          <w:tab w:val="left" w:pos="2160"/>
        </w:tabs>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1243"/>
        <w:gridCol w:w="1676"/>
        <w:gridCol w:w="1678"/>
      </w:tblGrid>
      <w:tr w:rsidR="00C52024" w:rsidRPr="00B148F9" w14:paraId="7CADA080" w14:textId="77777777" w:rsidTr="00B746FC">
        <w:tc>
          <w:tcPr>
            <w:tcW w:w="3119" w:type="dxa"/>
          </w:tcPr>
          <w:p w14:paraId="641F0E9B" w14:textId="77777777" w:rsidR="00C52024" w:rsidRPr="00B148F9" w:rsidRDefault="00C52024" w:rsidP="00C52024">
            <w:pPr>
              <w:ind w:right="-18"/>
              <w:rPr>
                <w:rFonts w:cs="Arial"/>
                <w:b/>
                <w:bCs/>
              </w:rPr>
            </w:pPr>
          </w:p>
        </w:tc>
        <w:tc>
          <w:tcPr>
            <w:tcW w:w="567" w:type="dxa"/>
          </w:tcPr>
          <w:p w14:paraId="16802FFF" w14:textId="77777777" w:rsidR="00C52024" w:rsidRPr="00B148F9" w:rsidRDefault="00C52024" w:rsidP="00C52024">
            <w:pPr>
              <w:ind w:right="-18"/>
              <w:rPr>
                <w:rFonts w:cs="Arial"/>
                <w:bCs/>
              </w:rPr>
            </w:pPr>
          </w:p>
        </w:tc>
        <w:tc>
          <w:tcPr>
            <w:tcW w:w="1243" w:type="dxa"/>
          </w:tcPr>
          <w:p w14:paraId="4EBDFB63" w14:textId="77777777" w:rsidR="00C52024" w:rsidRPr="00B148F9" w:rsidRDefault="00C52024" w:rsidP="00C52024">
            <w:pPr>
              <w:ind w:right="-18"/>
              <w:rPr>
                <w:rFonts w:cs="Arial"/>
                <w:bCs/>
              </w:rPr>
            </w:pPr>
          </w:p>
        </w:tc>
        <w:tc>
          <w:tcPr>
            <w:tcW w:w="1676" w:type="dxa"/>
          </w:tcPr>
          <w:p w14:paraId="6961F62E" w14:textId="178BD832" w:rsidR="00C52024" w:rsidRPr="00B148F9" w:rsidRDefault="00C52024" w:rsidP="00B746FC">
            <w:pPr>
              <w:tabs>
                <w:tab w:val="left" w:pos="1215"/>
              </w:tabs>
              <w:ind w:right="-18"/>
              <w:jc w:val="right"/>
              <w:rPr>
                <w:rFonts w:cs="Arial"/>
                <w:b/>
                <w:bCs/>
              </w:rPr>
            </w:pPr>
            <w:r w:rsidRPr="00B148F9">
              <w:rPr>
                <w:rFonts w:cs="Arial"/>
                <w:b/>
                <w:bCs/>
              </w:rPr>
              <w:t>2019</w:t>
            </w:r>
          </w:p>
        </w:tc>
        <w:tc>
          <w:tcPr>
            <w:tcW w:w="1678" w:type="dxa"/>
          </w:tcPr>
          <w:p w14:paraId="6E2E2E28" w14:textId="284B412C" w:rsidR="00C52024" w:rsidRPr="00B148F9" w:rsidRDefault="00C52024" w:rsidP="00B746FC">
            <w:pPr>
              <w:ind w:right="-18"/>
              <w:jc w:val="right"/>
              <w:rPr>
                <w:rFonts w:cs="Arial"/>
                <w:b/>
                <w:bCs/>
              </w:rPr>
            </w:pPr>
            <w:r w:rsidRPr="00B148F9">
              <w:rPr>
                <w:rFonts w:cs="Arial"/>
                <w:b/>
                <w:bCs/>
              </w:rPr>
              <w:t>2018</w:t>
            </w:r>
          </w:p>
        </w:tc>
      </w:tr>
      <w:tr w:rsidR="00C52024" w:rsidRPr="00B148F9" w14:paraId="3FDC5C8A" w14:textId="77777777" w:rsidTr="00B746FC">
        <w:tc>
          <w:tcPr>
            <w:tcW w:w="3119" w:type="dxa"/>
          </w:tcPr>
          <w:p w14:paraId="34AF1A16" w14:textId="19756EF2" w:rsidR="00C52024" w:rsidRPr="00B148F9" w:rsidRDefault="00C52024" w:rsidP="00C52024">
            <w:pPr>
              <w:ind w:right="-18"/>
              <w:rPr>
                <w:rFonts w:cs="Arial"/>
                <w:b/>
                <w:bCs/>
              </w:rPr>
            </w:pPr>
          </w:p>
        </w:tc>
        <w:tc>
          <w:tcPr>
            <w:tcW w:w="567" w:type="dxa"/>
          </w:tcPr>
          <w:p w14:paraId="3C889EBA" w14:textId="77777777" w:rsidR="00C52024" w:rsidRPr="00B148F9" w:rsidRDefault="00C52024" w:rsidP="00C52024">
            <w:pPr>
              <w:ind w:right="-18"/>
              <w:rPr>
                <w:rFonts w:cs="Arial"/>
                <w:bCs/>
              </w:rPr>
            </w:pPr>
          </w:p>
        </w:tc>
        <w:tc>
          <w:tcPr>
            <w:tcW w:w="1243" w:type="dxa"/>
          </w:tcPr>
          <w:p w14:paraId="603E0C27" w14:textId="77777777" w:rsidR="00C52024" w:rsidRPr="00B148F9" w:rsidRDefault="00C52024" w:rsidP="00C52024">
            <w:pPr>
              <w:ind w:right="-18"/>
              <w:rPr>
                <w:rFonts w:cs="Arial"/>
                <w:bCs/>
              </w:rPr>
            </w:pPr>
          </w:p>
        </w:tc>
        <w:tc>
          <w:tcPr>
            <w:tcW w:w="1676" w:type="dxa"/>
          </w:tcPr>
          <w:p w14:paraId="4765120E" w14:textId="717C4A57" w:rsidR="00C52024" w:rsidRPr="00B148F9" w:rsidRDefault="00C52024" w:rsidP="00B746FC">
            <w:pPr>
              <w:tabs>
                <w:tab w:val="left" w:pos="1215"/>
              </w:tabs>
              <w:ind w:right="-18"/>
              <w:jc w:val="right"/>
              <w:rPr>
                <w:rFonts w:cs="Arial"/>
                <w:bCs/>
              </w:rPr>
            </w:pPr>
            <w:r w:rsidRPr="00B148F9">
              <w:rPr>
                <w:rFonts w:cs="Arial"/>
                <w:bCs/>
              </w:rPr>
              <w:t>US$</w:t>
            </w:r>
          </w:p>
        </w:tc>
        <w:tc>
          <w:tcPr>
            <w:tcW w:w="1678" w:type="dxa"/>
          </w:tcPr>
          <w:p w14:paraId="0B726D6B" w14:textId="563E9E8B" w:rsidR="00C52024" w:rsidRPr="00B148F9" w:rsidRDefault="00C52024" w:rsidP="00B746FC">
            <w:pPr>
              <w:ind w:right="-18"/>
              <w:jc w:val="right"/>
              <w:rPr>
                <w:rFonts w:cs="Arial"/>
                <w:bCs/>
              </w:rPr>
            </w:pPr>
            <w:r w:rsidRPr="00B148F9">
              <w:rPr>
                <w:rFonts w:cs="Arial"/>
                <w:bCs/>
              </w:rPr>
              <w:t>US$</w:t>
            </w:r>
          </w:p>
        </w:tc>
      </w:tr>
      <w:tr w:rsidR="0021347D" w:rsidRPr="00B148F9" w14:paraId="4E7682FF" w14:textId="77777777" w:rsidTr="0021347D">
        <w:tc>
          <w:tcPr>
            <w:tcW w:w="3119" w:type="dxa"/>
          </w:tcPr>
          <w:p w14:paraId="4F5D3F7C" w14:textId="77777777" w:rsidR="0021347D" w:rsidRPr="00B148F9" w:rsidRDefault="0021347D" w:rsidP="00C52024">
            <w:pPr>
              <w:ind w:right="-18"/>
              <w:rPr>
                <w:rFonts w:cs="Arial"/>
                <w:bCs/>
              </w:rPr>
            </w:pPr>
          </w:p>
        </w:tc>
        <w:tc>
          <w:tcPr>
            <w:tcW w:w="567" w:type="dxa"/>
          </w:tcPr>
          <w:p w14:paraId="47596358" w14:textId="77777777" w:rsidR="0021347D" w:rsidRPr="00B148F9" w:rsidRDefault="0021347D" w:rsidP="00C52024">
            <w:pPr>
              <w:ind w:right="-18"/>
              <w:rPr>
                <w:rFonts w:cs="Arial"/>
                <w:bCs/>
              </w:rPr>
            </w:pPr>
          </w:p>
        </w:tc>
        <w:tc>
          <w:tcPr>
            <w:tcW w:w="1243" w:type="dxa"/>
          </w:tcPr>
          <w:p w14:paraId="4B450501" w14:textId="77777777" w:rsidR="0021347D" w:rsidRPr="00B148F9" w:rsidRDefault="0021347D" w:rsidP="00C52024">
            <w:pPr>
              <w:ind w:right="-18"/>
              <w:rPr>
                <w:rFonts w:cs="Arial"/>
                <w:bCs/>
              </w:rPr>
            </w:pPr>
          </w:p>
        </w:tc>
        <w:tc>
          <w:tcPr>
            <w:tcW w:w="1676" w:type="dxa"/>
            <w:vAlign w:val="bottom"/>
          </w:tcPr>
          <w:p w14:paraId="31DDCFA1" w14:textId="77777777" w:rsidR="0021347D" w:rsidRPr="00B148F9" w:rsidRDefault="0021347D" w:rsidP="00C52024">
            <w:pPr>
              <w:ind w:right="-18"/>
              <w:jc w:val="right"/>
              <w:rPr>
                <w:rFonts w:cs="Arial"/>
                <w:bCs/>
              </w:rPr>
            </w:pPr>
          </w:p>
        </w:tc>
        <w:tc>
          <w:tcPr>
            <w:tcW w:w="1678" w:type="dxa"/>
          </w:tcPr>
          <w:p w14:paraId="25732C48" w14:textId="77777777" w:rsidR="0021347D" w:rsidRPr="00B148F9" w:rsidRDefault="0021347D" w:rsidP="00C52024">
            <w:pPr>
              <w:ind w:right="-18"/>
              <w:jc w:val="right"/>
              <w:rPr>
                <w:rFonts w:cs="Arial"/>
                <w:bCs/>
              </w:rPr>
            </w:pPr>
          </w:p>
        </w:tc>
      </w:tr>
      <w:tr w:rsidR="00C52024" w:rsidRPr="00B148F9" w14:paraId="58B79CA2" w14:textId="77777777" w:rsidTr="00B746FC">
        <w:tc>
          <w:tcPr>
            <w:tcW w:w="3119" w:type="dxa"/>
          </w:tcPr>
          <w:p w14:paraId="03D6FC98" w14:textId="7FBAA6BC" w:rsidR="00C52024" w:rsidRPr="00B148F9" w:rsidRDefault="00C52024" w:rsidP="00C52024">
            <w:pPr>
              <w:ind w:right="-18"/>
              <w:rPr>
                <w:rFonts w:cs="Arial"/>
                <w:bCs/>
              </w:rPr>
            </w:pPr>
            <w:r w:rsidRPr="00B148F9">
              <w:rPr>
                <w:rFonts w:cs="Arial"/>
                <w:bCs/>
              </w:rPr>
              <w:t>Realised gains</w:t>
            </w:r>
          </w:p>
        </w:tc>
        <w:tc>
          <w:tcPr>
            <w:tcW w:w="567" w:type="dxa"/>
          </w:tcPr>
          <w:p w14:paraId="69A4FA41" w14:textId="77777777" w:rsidR="00C52024" w:rsidRPr="00B148F9" w:rsidRDefault="00C52024" w:rsidP="00C52024">
            <w:pPr>
              <w:ind w:right="-18"/>
              <w:rPr>
                <w:rFonts w:cs="Arial"/>
                <w:bCs/>
              </w:rPr>
            </w:pPr>
          </w:p>
        </w:tc>
        <w:tc>
          <w:tcPr>
            <w:tcW w:w="1243" w:type="dxa"/>
          </w:tcPr>
          <w:p w14:paraId="792181CD" w14:textId="77777777" w:rsidR="00C52024" w:rsidRPr="00B148F9" w:rsidRDefault="00C52024" w:rsidP="00C52024">
            <w:pPr>
              <w:ind w:right="-18"/>
              <w:rPr>
                <w:rFonts w:cs="Arial"/>
                <w:bCs/>
              </w:rPr>
            </w:pPr>
          </w:p>
        </w:tc>
        <w:tc>
          <w:tcPr>
            <w:tcW w:w="1676" w:type="dxa"/>
            <w:vAlign w:val="bottom"/>
          </w:tcPr>
          <w:p w14:paraId="157D8EC9" w14:textId="29857253" w:rsidR="00C52024" w:rsidRPr="00B148F9" w:rsidRDefault="00C52024" w:rsidP="00E64AA6">
            <w:pPr>
              <w:ind w:right="-18"/>
              <w:jc w:val="right"/>
              <w:rPr>
                <w:rFonts w:cs="Arial"/>
                <w:bCs/>
              </w:rPr>
            </w:pPr>
            <w:r w:rsidRPr="00B148F9">
              <w:rPr>
                <w:rFonts w:cs="Arial"/>
                <w:bCs/>
              </w:rPr>
              <w:t>14,9</w:t>
            </w:r>
            <w:r w:rsidR="00E64AA6" w:rsidRPr="00B148F9">
              <w:rPr>
                <w:rFonts w:cs="Arial"/>
                <w:bCs/>
              </w:rPr>
              <w:t>73</w:t>
            </w:r>
            <w:r w:rsidRPr="00B148F9">
              <w:rPr>
                <w:rFonts w:cs="Arial"/>
                <w:bCs/>
              </w:rPr>
              <w:t>,</w:t>
            </w:r>
            <w:r w:rsidR="00E64AA6" w:rsidRPr="00B148F9">
              <w:rPr>
                <w:rFonts w:cs="Arial"/>
                <w:bCs/>
              </w:rPr>
              <w:t>80</w:t>
            </w:r>
            <w:r w:rsidRPr="00B148F9">
              <w:rPr>
                <w:rFonts w:cs="Arial"/>
                <w:bCs/>
              </w:rPr>
              <w:t>1</w:t>
            </w:r>
          </w:p>
        </w:tc>
        <w:tc>
          <w:tcPr>
            <w:tcW w:w="1678" w:type="dxa"/>
          </w:tcPr>
          <w:p w14:paraId="0CDB6B7F" w14:textId="0E11A977" w:rsidR="00C52024" w:rsidRPr="00B148F9" w:rsidRDefault="00C52024" w:rsidP="00B746FC">
            <w:pPr>
              <w:ind w:right="-18"/>
              <w:jc w:val="right"/>
              <w:rPr>
                <w:rFonts w:cs="Arial"/>
                <w:bCs/>
              </w:rPr>
            </w:pPr>
            <w:r w:rsidRPr="00B148F9">
              <w:rPr>
                <w:rFonts w:cs="Arial"/>
                <w:bCs/>
              </w:rPr>
              <w:t>-</w:t>
            </w:r>
          </w:p>
        </w:tc>
      </w:tr>
      <w:tr w:rsidR="00C52024" w:rsidRPr="00B148F9" w14:paraId="32984036" w14:textId="77777777" w:rsidTr="00B746FC">
        <w:tc>
          <w:tcPr>
            <w:tcW w:w="3119" w:type="dxa"/>
          </w:tcPr>
          <w:p w14:paraId="6F05A1AB" w14:textId="30569BBE" w:rsidR="00C52024" w:rsidRPr="00B148F9" w:rsidRDefault="00C52024" w:rsidP="00C52024">
            <w:pPr>
              <w:ind w:right="-18"/>
              <w:rPr>
                <w:rFonts w:cs="Arial"/>
                <w:bCs/>
              </w:rPr>
            </w:pPr>
            <w:r w:rsidRPr="00B148F9">
              <w:rPr>
                <w:rFonts w:cs="Arial"/>
                <w:bCs/>
              </w:rPr>
              <w:t>Realised losses</w:t>
            </w:r>
          </w:p>
        </w:tc>
        <w:tc>
          <w:tcPr>
            <w:tcW w:w="567" w:type="dxa"/>
          </w:tcPr>
          <w:p w14:paraId="4617FD8E" w14:textId="77777777" w:rsidR="00C52024" w:rsidRPr="00B148F9" w:rsidRDefault="00C52024" w:rsidP="00C52024">
            <w:pPr>
              <w:ind w:right="-18"/>
              <w:rPr>
                <w:rFonts w:cs="Arial"/>
                <w:bCs/>
              </w:rPr>
            </w:pPr>
          </w:p>
        </w:tc>
        <w:tc>
          <w:tcPr>
            <w:tcW w:w="1243" w:type="dxa"/>
          </w:tcPr>
          <w:p w14:paraId="216701BC" w14:textId="77777777" w:rsidR="00C52024" w:rsidRPr="00B148F9" w:rsidRDefault="00C52024" w:rsidP="00C52024">
            <w:pPr>
              <w:ind w:right="-18"/>
              <w:rPr>
                <w:rFonts w:cs="Arial"/>
                <w:bCs/>
              </w:rPr>
            </w:pPr>
          </w:p>
        </w:tc>
        <w:tc>
          <w:tcPr>
            <w:tcW w:w="1676" w:type="dxa"/>
            <w:vAlign w:val="bottom"/>
          </w:tcPr>
          <w:p w14:paraId="07BA5846" w14:textId="729F6815" w:rsidR="00C52024" w:rsidRPr="00B148F9" w:rsidRDefault="00C52024" w:rsidP="00C52024">
            <w:pPr>
              <w:ind w:right="-18"/>
              <w:jc w:val="right"/>
              <w:rPr>
                <w:rFonts w:cs="Arial"/>
                <w:bCs/>
              </w:rPr>
            </w:pPr>
            <w:r w:rsidRPr="00B148F9">
              <w:rPr>
                <w:rFonts w:cs="Arial"/>
                <w:bCs/>
              </w:rPr>
              <w:t>(412,575)</w:t>
            </w:r>
          </w:p>
        </w:tc>
        <w:tc>
          <w:tcPr>
            <w:tcW w:w="1678" w:type="dxa"/>
          </w:tcPr>
          <w:p w14:paraId="12D93A24" w14:textId="09908E35" w:rsidR="00C52024" w:rsidRPr="00B148F9" w:rsidRDefault="00C52024" w:rsidP="00B746FC">
            <w:pPr>
              <w:ind w:right="-18"/>
              <w:jc w:val="right"/>
              <w:rPr>
                <w:rFonts w:cs="Arial"/>
                <w:bCs/>
              </w:rPr>
            </w:pPr>
            <w:r w:rsidRPr="00B148F9">
              <w:rPr>
                <w:rFonts w:cs="Arial"/>
                <w:bCs/>
              </w:rPr>
              <w:t>-</w:t>
            </w:r>
          </w:p>
        </w:tc>
      </w:tr>
      <w:tr w:rsidR="00C52024" w:rsidRPr="00B148F9" w14:paraId="6E21F5D2" w14:textId="77777777" w:rsidTr="00B746FC">
        <w:tc>
          <w:tcPr>
            <w:tcW w:w="3119" w:type="dxa"/>
          </w:tcPr>
          <w:p w14:paraId="1700E738" w14:textId="55BCABC3" w:rsidR="00C52024" w:rsidRPr="00B148F9" w:rsidRDefault="00C52024" w:rsidP="00C52024">
            <w:pPr>
              <w:ind w:right="-18"/>
              <w:rPr>
                <w:rFonts w:cs="Arial"/>
                <w:b/>
                <w:bCs/>
              </w:rPr>
            </w:pPr>
            <w:r w:rsidRPr="00B148F9">
              <w:rPr>
                <w:rFonts w:cs="Arial"/>
                <w:b/>
                <w:bCs/>
              </w:rPr>
              <w:t>Net realised gain on securities</w:t>
            </w:r>
          </w:p>
        </w:tc>
        <w:tc>
          <w:tcPr>
            <w:tcW w:w="567" w:type="dxa"/>
          </w:tcPr>
          <w:p w14:paraId="18B30632" w14:textId="77777777" w:rsidR="00C52024" w:rsidRPr="00B148F9" w:rsidRDefault="00C52024" w:rsidP="00C52024">
            <w:pPr>
              <w:ind w:right="-18"/>
              <w:rPr>
                <w:rFonts w:cs="Arial"/>
                <w:bCs/>
              </w:rPr>
            </w:pPr>
          </w:p>
        </w:tc>
        <w:tc>
          <w:tcPr>
            <w:tcW w:w="1243" w:type="dxa"/>
          </w:tcPr>
          <w:p w14:paraId="27015E25" w14:textId="77777777" w:rsidR="00C52024" w:rsidRPr="00B148F9" w:rsidRDefault="00C52024" w:rsidP="00C52024">
            <w:pPr>
              <w:ind w:right="-18"/>
              <w:rPr>
                <w:rFonts w:cs="Arial"/>
                <w:bCs/>
              </w:rPr>
            </w:pPr>
          </w:p>
        </w:tc>
        <w:tc>
          <w:tcPr>
            <w:tcW w:w="1676" w:type="dxa"/>
            <w:tcBorders>
              <w:top w:val="single" w:sz="12" w:space="0" w:color="auto"/>
              <w:bottom w:val="single" w:sz="18" w:space="0" w:color="auto"/>
            </w:tcBorders>
            <w:vAlign w:val="bottom"/>
          </w:tcPr>
          <w:p w14:paraId="7A856AD5" w14:textId="7EAA0F6C" w:rsidR="00C52024" w:rsidRPr="00B148F9" w:rsidRDefault="00C52024" w:rsidP="00E64AA6">
            <w:pPr>
              <w:ind w:right="-18"/>
              <w:jc w:val="right"/>
              <w:rPr>
                <w:rFonts w:cs="Arial"/>
                <w:bCs/>
              </w:rPr>
            </w:pPr>
            <w:r w:rsidRPr="00B148F9">
              <w:rPr>
                <w:rFonts w:cs="Arial"/>
                <w:bCs/>
              </w:rPr>
              <w:t>14,5</w:t>
            </w:r>
            <w:r w:rsidR="00E64AA6" w:rsidRPr="00B148F9">
              <w:rPr>
                <w:rFonts w:cs="Arial"/>
                <w:bCs/>
              </w:rPr>
              <w:t>61</w:t>
            </w:r>
            <w:r w:rsidRPr="00B148F9">
              <w:rPr>
                <w:rFonts w:cs="Arial"/>
                <w:bCs/>
              </w:rPr>
              <w:t>,</w:t>
            </w:r>
            <w:r w:rsidR="00E64AA6" w:rsidRPr="00B148F9">
              <w:rPr>
                <w:rFonts w:cs="Arial"/>
                <w:bCs/>
              </w:rPr>
              <w:t>22</w:t>
            </w:r>
            <w:r w:rsidRPr="00B148F9">
              <w:rPr>
                <w:rFonts w:cs="Arial"/>
                <w:bCs/>
              </w:rPr>
              <w:t>6</w:t>
            </w:r>
          </w:p>
        </w:tc>
        <w:tc>
          <w:tcPr>
            <w:tcW w:w="1678" w:type="dxa"/>
            <w:tcBorders>
              <w:top w:val="single" w:sz="12" w:space="0" w:color="auto"/>
              <w:bottom w:val="single" w:sz="12" w:space="0" w:color="auto"/>
            </w:tcBorders>
          </w:tcPr>
          <w:p w14:paraId="6B6072D3" w14:textId="6732C519" w:rsidR="00C52024" w:rsidRPr="00B148F9" w:rsidRDefault="00C52024" w:rsidP="00B746FC">
            <w:pPr>
              <w:ind w:right="-18"/>
              <w:jc w:val="right"/>
              <w:rPr>
                <w:rFonts w:cs="Arial"/>
                <w:bCs/>
              </w:rPr>
            </w:pPr>
            <w:r w:rsidRPr="00B148F9">
              <w:rPr>
                <w:rFonts w:cs="Arial"/>
                <w:bCs/>
              </w:rPr>
              <w:t>-</w:t>
            </w:r>
          </w:p>
        </w:tc>
      </w:tr>
    </w:tbl>
    <w:p w14:paraId="4DB8BDB8" w14:textId="77777777" w:rsidR="00B148F9" w:rsidRDefault="00B148F9" w:rsidP="004A344A">
      <w:pPr>
        <w:tabs>
          <w:tab w:val="left" w:pos="426"/>
          <w:tab w:val="left" w:pos="2160"/>
        </w:tabs>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1243"/>
        <w:gridCol w:w="1676"/>
        <w:gridCol w:w="1678"/>
      </w:tblGrid>
      <w:tr w:rsidR="00B148F9" w:rsidRPr="00585E47" w14:paraId="5BCB48C0" w14:textId="77777777" w:rsidTr="00B148F9">
        <w:tc>
          <w:tcPr>
            <w:tcW w:w="3119" w:type="dxa"/>
          </w:tcPr>
          <w:p w14:paraId="76209977" w14:textId="77777777" w:rsidR="00B148F9" w:rsidRPr="00585E47" w:rsidRDefault="00B148F9" w:rsidP="00B148F9">
            <w:pPr>
              <w:ind w:right="-18"/>
              <w:rPr>
                <w:rFonts w:cs="Arial"/>
                <w:b/>
                <w:bCs/>
              </w:rPr>
            </w:pPr>
          </w:p>
        </w:tc>
        <w:tc>
          <w:tcPr>
            <w:tcW w:w="567" w:type="dxa"/>
          </w:tcPr>
          <w:p w14:paraId="5BAC57D9" w14:textId="77777777" w:rsidR="00B148F9" w:rsidRPr="00585E47" w:rsidRDefault="00B148F9" w:rsidP="00B148F9">
            <w:pPr>
              <w:ind w:right="-18"/>
              <w:rPr>
                <w:rFonts w:cs="Arial"/>
                <w:bCs/>
              </w:rPr>
            </w:pPr>
          </w:p>
        </w:tc>
        <w:tc>
          <w:tcPr>
            <w:tcW w:w="1243" w:type="dxa"/>
          </w:tcPr>
          <w:p w14:paraId="7DB31624" w14:textId="77777777" w:rsidR="00B148F9" w:rsidRPr="00585E47" w:rsidRDefault="00B148F9" w:rsidP="00B148F9">
            <w:pPr>
              <w:ind w:right="-18"/>
              <w:rPr>
                <w:rFonts w:cs="Arial"/>
                <w:bCs/>
              </w:rPr>
            </w:pPr>
          </w:p>
        </w:tc>
        <w:tc>
          <w:tcPr>
            <w:tcW w:w="1676" w:type="dxa"/>
          </w:tcPr>
          <w:p w14:paraId="5A655C03" w14:textId="77777777" w:rsidR="00B148F9" w:rsidRPr="00585E47" w:rsidRDefault="00B148F9" w:rsidP="00B148F9">
            <w:pPr>
              <w:tabs>
                <w:tab w:val="left" w:pos="1215"/>
              </w:tabs>
              <w:ind w:right="-18"/>
              <w:jc w:val="right"/>
              <w:rPr>
                <w:rFonts w:cs="Arial"/>
                <w:b/>
                <w:bCs/>
              </w:rPr>
            </w:pPr>
            <w:r w:rsidRPr="00585E47">
              <w:rPr>
                <w:rFonts w:cs="Arial"/>
                <w:b/>
                <w:bCs/>
              </w:rPr>
              <w:t>2019</w:t>
            </w:r>
          </w:p>
        </w:tc>
        <w:tc>
          <w:tcPr>
            <w:tcW w:w="1678" w:type="dxa"/>
          </w:tcPr>
          <w:p w14:paraId="7D87BF85" w14:textId="77777777" w:rsidR="00B148F9" w:rsidRPr="00585E47" w:rsidRDefault="00B148F9" w:rsidP="00B148F9">
            <w:pPr>
              <w:ind w:right="-18"/>
              <w:jc w:val="right"/>
              <w:rPr>
                <w:rFonts w:cs="Arial"/>
                <w:b/>
                <w:bCs/>
              </w:rPr>
            </w:pPr>
            <w:r w:rsidRPr="00585E47">
              <w:rPr>
                <w:rFonts w:cs="Arial"/>
                <w:b/>
                <w:bCs/>
              </w:rPr>
              <w:t>2018</w:t>
            </w:r>
          </w:p>
        </w:tc>
      </w:tr>
      <w:tr w:rsidR="00B148F9" w:rsidRPr="00585E47" w14:paraId="7B53C1F9" w14:textId="77777777" w:rsidTr="00B148F9">
        <w:tc>
          <w:tcPr>
            <w:tcW w:w="3119" w:type="dxa"/>
          </w:tcPr>
          <w:p w14:paraId="20B2DC45" w14:textId="77777777" w:rsidR="00B148F9" w:rsidRPr="00585E47" w:rsidRDefault="00B148F9" w:rsidP="00B148F9">
            <w:pPr>
              <w:ind w:right="-18"/>
              <w:rPr>
                <w:rFonts w:cs="Arial"/>
                <w:b/>
                <w:bCs/>
              </w:rPr>
            </w:pPr>
          </w:p>
        </w:tc>
        <w:tc>
          <w:tcPr>
            <w:tcW w:w="567" w:type="dxa"/>
          </w:tcPr>
          <w:p w14:paraId="08B919D6" w14:textId="77777777" w:rsidR="00B148F9" w:rsidRPr="00585E47" w:rsidRDefault="00B148F9" w:rsidP="00B148F9">
            <w:pPr>
              <w:ind w:right="-18"/>
              <w:rPr>
                <w:rFonts w:cs="Arial"/>
                <w:bCs/>
              </w:rPr>
            </w:pPr>
          </w:p>
        </w:tc>
        <w:tc>
          <w:tcPr>
            <w:tcW w:w="1243" w:type="dxa"/>
          </w:tcPr>
          <w:p w14:paraId="4020E741" w14:textId="77777777" w:rsidR="00B148F9" w:rsidRPr="00585E47" w:rsidRDefault="00B148F9" w:rsidP="00B148F9">
            <w:pPr>
              <w:ind w:right="-18"/>
              <w:rPr>
                <w:rFonts w:cs="Arial"/>
                <w:bCs/>
              </w:rPr>
            </w:pPr>
          </w:p>
        </w:tc>
        <w:tc>
          <w:tcPr>
            <w:tcW w:w="1676" w:type="dxa"/>
          </w:tcPr>
          <w:p w14:paraId="49549183" w14:textId="77777777" w:rsidR="00B148F9" w:rsidRPr="00585E47" w:rsidRDefault="00B148F9" w:rsidP="00B148F9">
            <w:pPr>
              <w:tabs>
                <w:tab w:val="left" w:pos="1215"/>
              </w:tabs>
              <w:ind w:right="-18"/>
              <w:jc w:val="right"/>
              <w:rPr>
                <w:rFonts w:cs="Arial"/>
                <w:bCs/>
              </w:rPr>
            </w:pPr>
            <w:r w:rsidRPr="00585E47">
              <w:rPr>
                <w:rFonts w:cs="Arial"/>
                <w:bCs/>
              </w:rPr>
              <w:t>US$</w:t>
            </w:r>
          </w:p>
        </w:tc>
        <w:tc>
          <w:tcPr>
            <w:tcW w:w="1678" w:type="dxa"/>
          </w:tcPr>
          <w:p w14:paraId="4C5F33D1" w14:textId="77777777" w:rsidR="00B148F9" w:rsidRPr="00585E47" w:rsidRDefault="00B148F9" w:rsidP="00B148F9">
            <w:pPr>
              <w:ind w:right="-18"/>
              <w:jc w:val="right"/>
              <w:rPr>
                <w:rFonts w:cs="Arial"/>
                <w:bCs/>
              </w:rPr>
            </w:pPr>
            <w:r w:rsidRPr="00585E47">
              <w:rPr>
                <w:rFonts w:cs="Arial"/>
                <w:bCs/>
              </w:rPr>
              <w:t>US$</w:t>
            </w:r>
          </w:p>
        </w:tc>
      </w:tr>
      <w:tr w:rsidR="00B148F9" w:rsidRPr="00585E47" w14:paraId="6827F41C" w14:textId="77777777" w:rsidTr="00B148F9">
        <w:tc>
          <w:tcPr>
            <w:tcW w:w="3119" w:type="dxa"/>
          </w:tcPr>
          <w:p w14:paraId="5745609F" w14:textId="77777777" w:rsidR="00B148F9" w:rsidRPr="00585E47" w:rsidRDefault="00B148F9" w:rsidP="00B148F9">
            <w:pPr>
              <w:ind w:right="-18"/>
              <w:rPr>
                <w:rFonts w:cs="Arial"/>
                <w:bCs/>
              </w:rPr>
            </w:pPr>
          </w:p>
        </w:tc>
        <w:tc>
          <w:tcPr>
            <w:tcW w:w="567" w:type="dxa"/>
          </w:tcPr>
          <w:p w14:paraId="1B9894A6" w14:textId="77777777" w:rsidR="00B148F9" w:rsidRPr="00585E47" w:rsidRDefault="00B148F9" w:rsidP="00B148F9">
            <w:pPr>
              <w:ind w:right="-18"/>
              <w:rPr>
                <w:rFonts w:cs="Arial"/>
                <w:bCs/>
              </w:rPr>
            </w:pPr>
          </w:p>
        </w:tc>
        <w:tc>
          <w:tcPr>
            <w:tcW w:w="1243" w:type="dxa"/>
          </w:tcPr>
          <w:p w14:paraId="478B5276" w14:textId="77777777" w:rsidR="00B148F9" w:rsidRPr="00585E47" w:rsidRDefault="00B148F9" w:rsidP="00B148F9">
            <w:pPr>
              <w:ind w:right="-18"/>
              <w:rPr>
                <w:rFonts w:cs="Arial"/>
                <w:bCs/>
              </w:rPr>
            </w:pPr>
          </w:p>
        </w:tc>
        <w:tc>
          <w:tcPr>
            <w:tcW w:w="1676" w:type="dxa"/>
            <w:vAlign w:val="bottom"/>
          </w:tcPr>
          <w:p w14:paraId="46E74E83" w14:textId="77777777" w:rsidR="00B148F9" w:rsidRPr="00585E47" w:rsidRDefault="00B148F9" w:rsidP="00B148F9">
            <w:pPr>
              <w:ind w:right="-18"/>
              <w:jc w:val="right"/>
              <w:rPr>
                <w:rFonts w:cs="Arial"/>
                <w:bCs/>
              </w:rPr>
            </w:pPr>
          </w:p>
        </w:tc>
        <w:tc>
          <w:tcPr>
            <w:tcW w:w="1678" w:type="dxa"/>
          </w:tcPr>
          <w:p w14:paraId="32BBC2AB" w14:textId="77777777" w:rsidR="00B148F9" w:rsidRPr="00585E47" w:rsidRDefault="00B148F9" w:rsidP="00B148F9">
            <w:pPr>
              <w:ind w:right="-18"/>
              <w:jc w:val="right"/>
              <w:rPr>
                <w:rFonts w:cs="Arial"/>
                <w:bCs/>
              </w:rPr>
            </w:pPr>
          </w:p>
        </w:tc>
      </w:tr>
      <w:tr w:rsidR="00B148F9" w:rsidRPr="00585E47" w14:paraId="0AE93B95" w14:textId="77777777" w:rsidTr="00B148F9">
        <w:tc>
          <w:tcPr>
            <w:tcW w:w="3119" w:type="dxa"/>
          </w:tcPr>
          <w:p w14:paraId="5FCCB5C7" w14:textId="36D65767" w:rsidR="00B148F9" w:rsidRPr="00585E47" w:rsidRDefault="00B148F9" w:rsidP="00251CF4">
            <w:pPr>
              <w:ind w:right="-18"/>
              <w:rPr>
                <w:rFonts w:cs="Arial"/>
                <w:bCs/>
              </w:rPr>
            </w:pPr>
            <w:r>
              <w:rPr>
                <w:rFonts w:cs="Arial"/>
                <w:bCs/>
              </w:rPr>
              <w:t>Unr</w:t>
            </w:r>
            <w:r w:rsidRPr="00585E47">
              <w:rPr>
                <w:rFonts w:cs="Arial"/>
                <w:bCs/>
              </w:rPr>
              <w:t>ealised gains</w:t>
            </w:r>
          </w:p>
        </w:tc>
        <w:tc>
          <w:tcPr>
            <w:tcW w:w="567" w:type="dxa"/>
          </w:tcPr>
          <w:p w14:paraId="4B668ACE" w14:textId="77777777" w:rsidR="00B148F9" w:rsidRPr="00585E47" w:rsidRDefault="00B148F9" w:rsidP="00B148F9">
            <w:pPr>
              <w:ind w:right="-18"/>
              <w:rPr>
                <w:rFonts w:cs="Arial"/>
                <w:bCs/>
              </w:rPr>
            </w:pPr>
          </w:p>
        </w:tc>
        <w:tc>
          <w:tcPr>
            <w:tcW w:w="1243" w:type="dxa"/>
          </w:tcPr>
          <w:p w14:paraId="37E7CFD0" w14:textId="77777777" w:rsidR="00B148F9" w:rsidRPr="00585E47" w:rsidRDefault="00B148F9" w:rsidP="00B148F9">
            <w:pPr>
              <w:ind w:right="-18"/>
              <w:rPr>
                <w:rFonts w:cs="Arial"/>
                <w:bCs/>
              </w:rPr>
            </w:pPr>
          </w:p>
        </w:tc>
        <w:tc>
          <w:tcPr>
            <w:tcW w:w="1676" w:type="dxa"/>
            <w:vAlign w:val="bottom"/>
          </w:tcPr>
          <w:p w14:paraId="531C2345" w14:textId="7A5F9C52" w:rsidR="00B148F9" w:rsidRPr="00585E47" w:rsidRDefault="003E3746" w:rsidP="00B148F9">
            <w:pPr>
              <w:ind w:right="-18"/>
              <w:jc w:val="right"/>
              <w:rPr>
                <w:rFonts w:cs="Arial"/>
                <w:bCs/>
              </w:rPr>
            </w:pPr>
            <w:r>
              <w:rPr>
                <w:rFonts w:cs="Arial"/>
                <w:bCs/>
              </w:rPr>
              <w:t>26,313,452</w:t>
            </w:r>
          </w:p>
        </w:tc>
        <w:tc>
          <w:tcPr>
            <w:tcW w:w="1678" w:type="dxa"/>
          </w:tcPr>
          <w:p w14:paraId="7981FD8E" w14:textId="67E36C19" w:rsidR="00B148F9" w:rsidRPr="00585E47" w:rsidRDefault="00B148F9" w:rsidP="00B148F9">
            <w:pPr>
              <w:ind w:right="-18"/>
              <w:jc w:val="right"/>
              <w:rPr>
                <w:rFonts w:cs="Arial"/>
                <w:bCs/>
              </w:rPr>
            </w:pPr>
            <w:r w:rsidRPr="00585E47">
              <w:t>27,992,812</w:t>
            </w:r>
          </w:p>
        </w:tc>
      </w:tr>
      <w:tr w:rsidR="00B148F9" w:rsidRPr="00585E47" w14:paraId="7787AF02" w14:textId="77777777" w:rsidTr="00B148F9">
        <w:tc>
          <w:tcPr>
            <w:tcW w:w="3119" w:type="dxa"/>
          </w:tcPr>
          <w:p w14:paraId="309F7482" w14:textId="512EAFB7" w:rsidR="00B148F9" w:rsidRPr="00585E47" w:rsidRDefault="00B148F9" w:rsidP="00B148F9">
            <w:pPr>
              <w:ind w:right="-18"/>
              <w:rPr>
                <w:rFonts w:cs="Arial"/>
                <w:bCs/>
              </w:rPr>
            </w:pPr>
            <w:r>
              <w:rPr>
                <w:rFonts w:cs="Arial"/>
                <w:bCs/>
              </w:rPr>
              <w:t>Unr</w:t>
            </w:r>
            <w:r w:rsidRPr="00585E47">
              <w:rPr>
                <w:rFonts w:cs="Arial"/>
                <w:bCs/>
              </w:rPr>
              <w:t>ealised losses</w:t>
            </w:r>
          </w:p>
        </w:tc>
        <w:tc>
          <w:tcPr>
            <w:tcW w:w="567" w:type="dxa"/>
          </w:tcPr>
          <w:p w14:paraId="70456D99" w14:textId="77777777" w:rsidR="00B148F9" w:rsidRPr="00585E47" w:rsidRDefault="00B148F9" w:rsidP="00B148F9">
            <w:pPr>
              <w:ind w:right="-18"/>
              <w:rPr>
                <w:rFonts w:cs="Arial"/>
                <w:bCs/>
              </w:rPr>
            </w:pPr>
          </w:p>
        </w:tc>
        <w:tc>
          <w:tcPr>
            <w:tcW w:w="1243" w:type="dxa"/>
          </w:tcPr>
          <w:p w14:paraId="328A86A3" w14:textId="77777777" w:rsidR="00B148F9" w:rsidRPr="00585E47" w:rsidRDefault="00B148F9" w:rsidP="00B148F9">
            <w:pPr>
              <w:ind w:right="-18"/>
              <w:rPr>
                <w:rFonts w:cs="Arial"/>
                <w:bCs/>
              </w:rPr>
            </w:pPr>
          </w:p>
        </w:tc>
        <w:tc>
          <w:tcPr>
            <w:tcW w:w="1676" w:type="dxa"/>
            <w:vAlign w:val="bottom"/>
          </w:tcPr>
          <w:p w14:paraId="075BDF07" w14:textId="139A7199" w:rsidR="00B148F9" w:rsidRPr="00585E47" w:rsidRDefault="003E3746" w:rsidP="00B148F9">
            <w:pPr>
              <w:ind w:right="-18"/>
              <w:jc w:val="right"/>
              <w:rPr>
                <w:rFonts w:cs="Arial"/>
                <w:bCs/>
              </w:rPr>
            </w:pPr>
            <w:r>
              <w:rPr>
                <w:rFonts w:cs="Arial"/>
                <w:bCs/>
              </w:rPr>
              <w:t>(858,954)</w:t>
            </w:r>
          </w:p>
        </w:tc>
        <w:tc>
          <w:tcPr>
            <w:tcW w:w="1678" w:type="dxa"/>
          </w:tcPr>
          <w:p w14:paraId="6A87D1C7" w14:textId="77777777" w:rsidR="00B148F9" w:rsidRPr="00585E47" w:rsidRDefault="00B148F9" w:rsidP="00B148F9">
            <w:pPr>
              <w:ind w:right="-18"/>
              <w:jc w:val="right"/>
              <w:rPr>
                <w:rFonts w:cs="Arial"/>
                <w:bCs/>
              </w:rPr>
            </w:pPr>
            <w:r w:rsidRPr="00585E47">
              <w:rPr>
                <w:rFonts w:cs="Arial"/>
                <w:bCs/>
              </w:rPr>
              <w:t>-</w:t>
            </w:r>
          </w:p>
        </w:tc>
      </w:tr>
      <w:tr w:rsidR="00B148F9" w:rsidRPr="00585E47" w14:paraId="78A04C2F" w14:textId="77777777" w:rsidTr="00C60076">
        <w:tc>
          <w:tcPr>
            <w:tcW w:w="3119" w:type="dxa"/>
          </w:tcPr>
          <w:p w14:paraId="2B51D943" w14:textId="22FC4E8D" w:rsidR="00B148F9" w:rsidRPr="00585E47" w:rsidRDefault="00B148F9" w:rsidP="00B148F9">
            <w:pPr>
              <w:ind w:right="-18"/>
              <w:rPr>
                <w:rFonts w:cs="Arial"/>
                <w:b/>
                <w:bCs/>
              </w:rPr>
            </w:pPr>
            <w:r w:rsidRPr="00585E47">
              <w:rPr>
                <w:rFonts w:cs="Arial"/>
                <w:b/>
                <w:bCs/>
              </w:rPr>
              <w:lastRenderedPageBreak/>
              <w:t xml:space="preserve">Net </w:t>
            </w:r>
            <w:r>
              <w:rPr>
                <w:rFonts w:cs="Arial"/>
                <w:b/>
                <w:bCs/>
              </w:rPr>
              <w:t>un</w:t>
            </w:r>
            <w:r w:rsidRPr="00585E47">
              <w:rPr>
                <w:rFonts w:cs="Arial"/>
                <w:b/>
                <w:bCs/>
              </w:rPr>
              <w:t>realised gain on securities</w:t>
            </w:r>
            <w:r>
              <w:rPr>
                <w:rFonts w:cs="Arial"/>
                <w:b/>
                <w:bCs/>
              </w:rPr>
              <w:t>, derivative contracts and securities sold short</w:t>
            </w:r>
          </w:p>
        </w:tc>
        <w:tc>
          <w:tcPr>
            <w:tcW w:w="567" w:type="dxa"/>
          </w:tcPr>
          <w:p w14:paraId="7E08AACA" w14:textId="77777777" w:rsidR="00B148F9" w:rsidRPr="00585E47" w:rsidRDefault="00B148F9" w:rsidP="00B148F9">
            <w:pPr>
              <w:ind w:right="-18"/>
              <w:rPr>
                <w:rFonts w:cs="Arial"/>
                <w:bCs/>
              </w:rPr>
            </w:pPr>
          </w:p>
        </w:tc>
        <w:tc>
          <w:tcPr>
            <w:tcW w:w="1243" w:type="dxa"/>
          </w:tcPr>
          <w:p w14:paraId="2D8D0437" w14:textId="77777777" w:rsidR="00B148F9" w:rsidRPr="00585E47" w:rsidRDefault="00B148F9" w:rsidP="00B148F9">
            <w:pPr>
              <w:ind w:right="-18"/>
              <w:rPr>
                <w:rFonts w:cs="Arial"/>
                <w:bCs/>
              </w:rPr>
            </w:pPr>
          </w:p>
        </w:tc>
        <w:tc>
          <w:tcPr>
            <w:tcW w:w="1676" w:type="dxa"/>
            <w:tcBorders>
              <w:top w:val="single" w:sz="12" w:space="0" w:color="auto"/>
              <w:bottom w:val="single" w:sz="18" w:space="0" w:color="auto"/>
            </w:tcBorders>
            <w:vAlign w:val="bottom"/>
          </w:tcPr>
          <w:p w14:paraId="15E77D23" w14:textId="229B3072" w:rsidR="00B148F9" w:rsidRPr="00585E47" w:rsidRDefault="00B148F9" w:rsidP="00B148F9">
            <w:pPr>
              <w:ind w:right="-18"/>
              <w:jc w:val="right"/>
              <w:rPr>
                <w:rFonts w:cs="Arial"/>
                <w:bCs/>
              </w:rPr>
            </w:pPr>
            <w:r>
              <w:rPr>
                <w:rFonts w:cs="Arial"/>
                <w:bCs/>
              </w:rPr>
              <w:t>25,454,498</w:t>
            </w:r>
          </w:p>
        </w:tc>
        <w:tc>
          <w:tcPr>
            <w:tcW w:w="1678" w:type="dxa"/>
            <w:tcBorders>
              <w:top w:val="single" w:sz="12" w:space="0" w:color="auto"/>
              <w:bottom w:val="single" w:sz="12" w:space="0" w:color="auto"/>
            </w:tcBorders>
            <w:vAlign w:val="bottom"/>
          </w:tcPr>
          <w:p w14:paraId="6CB8624E" w14:textId="26A40C46" w:rsidR="00B148F9" w:rsidRPr="00585E47" w:rsidRDefault="00B148F9" w:rsidP="00251CF4">
            <w:pPr>
              <w:ind w:right="-18"/>
              <w:jc w:val="right"/>
              <w:rPr>
                <w:rFonts w:cs="Arial"/>
                <w:bCs/>
              </w:rPr>
            </w:pPr>
            <w:r w:rsidRPr="00585E47">
              <w:t>27,992,812</w:t>
            </w:r>
          </w:p>
        </w:tc>
      </w:tr>
    </w:tbl>
    <w:p w14:paraId="17CDE41A" w14:textId="77777777" w:rsidR="003E3746" w:rsidRPr="00251CF4" w:rsidRDefault="003E3746" w:rsidP="004A344A">
      <w:pPr>
        <w:tabs>
          <w:tab w:val="left" w:pos="426"/>
          <w:tab w:val="left" w:pos="2160"/>
        </w:tabs>
        <w:rPr>
          <w:rFonts w:cs="Arial"/>
        </w:rPr>
      </w:pPr>
    </w:p>
    <w:p w14:paraId="34BF0243" w14:textId="1819E77D" w:rsidR="00D97A7B" w:rsidRPr="00B148F9" w:rsidRDefault="005D5ACC" w:rsidP="00A94612">
      <w:pPr>
        <w:pStyle w:val="Heading1"/>
        <w:numPr>
          <w:ilvl w:val="0"/>
          <w:numId w:val="16"/>
        </w:numPr>
        <w:ind w:left="284" w:hanging="284"/>
        <w:jc w:val="left"/>
        <w:rPr>
          <w:sz w:val="20"/>
        </w:rPr>
      </w:pPr>
      <w:r w:rsidRPr="00B148F9">
        <w:rPr>
          <w:sz w:val="20"/>
        </w:rPr>
        <w:t>Due to/from Brokers</w:t>
      </w:r>
    </w:p>
    <w:p w14:paraId="6FAB3D32" w14:textId="791A2ABA" w:rsidR="005D5ACC" w:rsidRPr="00B148F9" w:rsidRDefault="005D5ACC" w:rsidP="00913AEB">
      <w:pPr>
        <w:tabs>
          <w:tab w:val="left" w:pos="426"/>
          <w:tab w:val="left" w:pos="2160"/>
        </w:tabs>
        <w:rPr>
          <w:rFonts w:cs="Arial"/>
          <w:b/>
        </w:rPr>
      </w:pPr>
    </w:p>
    <w:p w14:paraId="03A33B3C" w14:textId="06254377" w:rsidR="000202D1" w:rsidRPr="00B148F9" w:rsidRDefault="005D5ACC" w:rsidP="005D5ACC">
      <w:pPr>
        <w:tabs>
          <w:tab w:val="left" w:pos="426"/>
          <w:tab w:val="left" w:pos="2160"/>
        </w:tabs>
        <w:rPr>
          <w:rFonts w:cs="Arial"/>
        </w:rPr>
      </w:pPr>
      <w:r w:rsidRPr="00B148F9">
        <w:rPr>
          <w:rFonts w:cs="Arial"/>
        </w:rPr>
        <w:t xml:space="preserve">Due </w:t>
      </w:r>
      <w:r w:rsidR="00A533EE" w:rsidRPr="00B148F9">
        <w:rPr>
          <w:rFonts w:cs="Arial"/>
        </w:rPr>
        <w:t>to/</w:t>
      </w:r>
      <w:r w:rsidRPr="00B148F9">
        <w:rPr>
          <w:rFonts w:cs="Arial"/>
        </w:rPr>
        <w:t xml:space="preserve">from brokers includes cash balances held with brokers, receivables and payables from unsettled trades and collateral on derivative transactions. Amounts due from brokers may be restricted to the extent that they serve as deposits for securities sold short or cash posted as collateral for derivative contracts. </w:t>
      </w:r>
    </w:p>
    <w:p w14:paraId="61B103B6" w14:textId="77777777" w:rsidR="000202D1" w:rsidRPr="00B148F9" w:rsidRDefault="000202D1" w:rsidP="005D5ACC">
      <w:pPr>
        <w:tabs>
          <w:tab w:val="left" w:pos="426"/>
          <w:tab w:val="left" w:pos="2160"/>
        </w:tabs>
        <w:rPr>
          <w:rFonts w:cs="Arial"/>
        </w:rPr>
      </w:pPr>
    </w:p>
    <w:p w14:paraId="13373CF5" w14:textId="1D9AC974" w:rsidR="005D5ACC" w:rsidRPr="00B148F9" w:rsidRDefault="00E64AA6" w:rsidP="005D5ACC">
      <w:pPr>
        <w:tabs>
          <w:tab w:val="left" w:pos="426"/>
          <w:tab w:val="left" w:pos="2160"/>
        </w:tabs>
        <w:rPr>
          <w:rFonts w:cs="Arial"/>
        </w:rPr>
      </w:pPr>
      <w:r w:rsidRPr="00B148F9">
        <w:rPr>
          <w:rFonts w:cs="Arial"/>
        </w:rPr>
        <w:t xml:space="preserve">At 31 December 2019, </w:t>
      </w:r>
      <w:r w:rsidR="000964A8" w:rsidRPr="00B148F9">
        <w:rPr>
          <w:rFonts w:cs="Arial"/>
        </w:rPr>
        <w:t>amounts included within due from brokers of US$31,190,294 can be used for investment, net of unsettled trades. T</w:t>
      </w:r>
      <w:r w:rsidRPr="00B148F9">
        <w:rPr>
          <w:rFonts w:cs="Arial"/>
        </w:rPr>
        <w:t xml:space="preserve">he Company pledged collateral to counterparties to over-the-counter derivative contracts of US$1,893,420 which is included in due from brokers. </w:t>
      </w:r>
      <w:r w:rsidR="005D5ACC" w:rsidRPr="00B148F9">
        <w:rPr>
          <w:rFonts w:cs="Arial"/>
        </w:rPr>
        <w:t xml:space="preserve">At </w:t>
      </w:r>
      <w:r w:rsidR="00BE3B5C" w:rsidRPr="00B148F9">
        <w:rPr>
          <w:rFonts w:cs="Arial"/>
        </w:rPr>
        <w:t xml:space="preserve">31 </w:t>
      </w:r>
      <w:r w:rsidR="005D5ACC" w:rsidRPr="00B148F9">
        <w:rPr>
          <w:rFonts w:cs="Arial"/>
        </w:rPr>
        <w:t xml:space="preserve">December </w:t>
      </w:r>
      <w:r w:rsidR="0025157D" w:rsidRPr="00B148F9">
        <w:rPr>
          <w:rFonts w:cs="Arial"/>
        </w:rPr>
        <w:t>2019</w:t>
      </w:r>
      <w:r w:rsidR="005D5ACC" w:rsidRPr="00B148F9">
        <w:rPr>
          <w:rFonts w:cs="Arial"/>
        </w:rPr>
        <w:t xml:space="preserve">, due to brokers includes payables of </w:t>
      </w:r>
      <w:r w:rsidR="00BE05D5" w:rsidRPr="00B148F9">
        <w:rPr>
          <w:rFonts w:cs="Arial"/>
        </w:rPr>
        <w:t>US$</w:t>
      </w:r>
      <w:r w:rsidR="00BE3B5C" w:rsidRPr="00B148F9">
        <w:rPr>
          <w:rFonts w:cs="Arial"/>
        </w:rPr>
        <w:t xml:space="preserve">532,702 </w:t>
      </w:r>
      <w:r w:rsidR="005D5ACC" w:rsidRPr="00B148F9">
        <w:rPr>
          <w:rFonts w:cs="Arial"/>
        </w:rPr>
        <w:t>related to unsettled trades.</w:t>
      </w:r>
      <w:r w:rsidR="002147E5" w:rsidRPr="00B148F9">
        <w:rPr>
          <w:rFonts w:cs="Arial"/>
        </w:rPr>
        <w:t xml:space="preserve"> </w:t>
      </w:r>
    </w:p>
    <w:p w14:paraId="1E4A8D3D" w14:textId="77777777" w:rsidR="005D5ACC" w:rsidRPr="00B148F9" w:rsidRDefault="005D5ACC" w:rsidP="005D5ACC">
      <w:pPr>
        <w:tabs>
          <w:tab w:val="left" w:pos="426"/>
          <w:tab w:val="left" w:pos="2160"/>
        </w:tabs>
        <w:rPr>
          <w:rFonts w:cs="Arial"/>
        </w:rPr>
      </w:pPr>
    </w:p>
    <w:p w14:paraId="7BE62C2F" w14:textId="2C117338" w:rsidR="005D5ACC" w:rsidRPr="00B148F9" w:rsidRDefault="005D5ACC" w:rsidP="00913AEB">
      <w:pPr>
        <w:tabs>
          <w:tab w:val="left" w:pos="426"/>
          <w:tab w:val="left" w:pos="2160"/>
        </w:tabs>
        <w:rPr>
          <w:rFonts w:cs="Arial"/>
        </w:rPr>
      </w:pPr>
      <w:r w:rsidRPr="00B148F9">
        <w:rPr>
          <w:rFonts w:cs="Arial"/>
        </w:rPr>
        <w:t xml:space="preserve">In the normal course of business, substantially all of the </w:t>
      </w:r>
      <w:r w:rsidR="00196B8B" w:rsidRPr="00B148F9">
        <w:rPr>
          <w:rFonts w:cs="Arial"/>
        </w:rPr>
        <w:t>Company</w:t>
      </w:r>
      <w:r w:rsidRPr="00B148F9">
        <w:rPr>
          <w:rFonts w:cs="Arial"/>
        </w:rPr>
        <w:t xml:space="preserve">’s securities transactions, money balances, and security positions are transacted with the </w:t>
      </w:r>
      <w:r w:rsidR="00196B8B" w:rsidRPr="00B148F9">
        <w:rPr>
          <w:rFonts w:cs="Arial"/>
        </w:rPr>
        <w:t>Company</w:t>
      </w:r>
      <w:r w:rsidRPr="00B148F9">
        <w:rPr>
          <w:rFonts w:cs="Arial"/>
        </w:rPr>
        <w:t>’s prime broker</w:t>
      </w:r>
      <w:r w:rsidR="00F45623" w:rsidRPr="00B148F9">
        <w:rPr>
          <w:rFonts w:cs="Arial"/>
        </w:rPr>
        <w:t>s</w:t>
      </w:r>
      <w:r w:rsidRPr="00B148F9">
        <w:rPr>
          <w:rFonts w:cs="Arial"/>
        </w:rPr>
        <w:t xml:space="preserve">, Goldman, Sachs &amp; Co. </w:t>
      </w:r>
      <w:r w:rsidR="006C5486" w:rsidRPr="00B148F9">
        <w:rPr>
          <w:rFonts w:cs="Arial"/>
        </w:rPr>
        <w:t>and Cowen</w:t>
      </w:r>
      <w:r w:rsidR="00A533EE" w:rsidRPr="00B148F9">
        <w:rPr>
          <w:rFonts w:cs="Arial"/>
        </w:rPr>
        <w:t xml:space="preserve"> Financial Products, LLC</w:t>
      </w:r>
      <w:r w:rsidR="00685E38" w:rsidRPr="00B148F9">
        <w:rPr>
          <w:rFonts w:cs="Arial"/>
        </w:rPr>
        <w:t>.</w:t>
      </w:r>
      <w:r w:rsidRPr="00B148F9">
        <w:rPr>
          <w:rFonts w:cs="Arial"/>
        </w:rPr>
        <w:t xml:space="preserve"> The </w:t>
      </w:r>
      <w:r w:rsidR="00196B8B" w:rsidRPr="00B148F9">
        <w:rPr>
          <w:rFonts w:cs="Arial"/>
        </w:rPr>
        <w:t>Company</w:t>
      </w:r>
      <w:r w:rsidRPr="00B148F9">
        <w:rPr>
          <w:rFonts w:cs="Arial"/>
        </w:rPr>
        <w:t xml:space="preserve"> is subject to credit risk to the extent any broker with which it conducts business is unable to </w:t>
      </w:r>
      <w:r w:rsidR="006C5486" w:rsidRPr="00B148F9">
        <w:rPr>
          <w:rFonts w:cs="Arial"/>
        </w:rPr>
        <w:t>fulfil</w:t>
      </w:r>
      <w:r w:rsidRPr="00B148F9">
        <w:rPr>
          <w:rFonts w:cs="Arial"/>
        </w:rPr>
        <w:t xml:space="preserve"> contractual obligations on its behalf. The </w:t>
      </w:r>
      <w:r w:rsidR="00196B8B" w:rsidRPr="00B148F9">
        <w:rPr>
          <w:rFonts w:cs="Arial"/>
        </w:rPr>
        <w:t>Company</w:t>
      </w:r>
      <w:r w:rsidRPr="00B148F9">
        <w:rPr>
          <w:rFonts w:cs="Arial"/>
        </w:rPr>
        <w:t>’s management monitors the financial condition of such brokers and does not anticipate any losses from these counterparties.</w:t>
      </w:r>
    </w:p>
    <w:p w14:paraId="2A5A2EAD" w14:textId="43757939" w:rsidR="005D5ACC" w:rsidRPr="00B148F9" w:rsidRDefault="005D5ACC" w:rsidP="00326CD3">
      <w:pPr>
        <w:rPr>
          <w:rFonts w:cs="Arial"/>
        </w:rPr>
      </w:pPr>
    </w:p>
    <w:p w14:paraId="41C4DE05" w14:textId="628C78D1" w:rsidR="005D5ACC" w:rsidRPr="00B148F9" w:rsidRDefault="005D5ACC" w:rsidP="00A94612">
      <w:pPr>
        <w:pStyle w:val="Heading1"/>
        <w:numPr>
          <w:ilvl w:val="0"/>
          <w:numId w:val="14"/>
        </w:numPr>
        <w:ind w:left="284" w:hanging="284"/>
        <w:jc w:val="left"/>
        <w:rPr>
          <w:sz w:val="20"/>
        </w:rPr>
      </w:pPr>
      <w:r w:rsidRPr="00B148F9">
        <w:rPr>
          <w:sz w:val="20"/>
        </w:rPr>
        <w:t>Derivative Contracts</w:t>
      </w:r>
    </w:p>
    <w:p w14:paraId="4F96E411" w14:textId="77777777" w:rsidR="00D97A7B" w:rsidRPr="00B148F9" w:rsidRDefault="00D97A7B" w:rsidP="00326CD3">
      <w:pPr>
        <w:rPr>
          <w:rFonts w:cs="Arial"/>
        </w:rPr>
      </w:pPr>
    </w:p>
    <w:p w14:paraId="00855C25" w14:textId="004B7F12" w:rsidR="005D5ACC" w:rsidRPr="00B148F9" w:rsidRDefault="005D5ACC" w:rsidP="005D5ACC">
      <w:pPr>
        <w:rPr>
          <w:rFonts w:cs="Arial"/>
        </w:rPr>
      </w:pPr>
      <w:r w:rsidRPr="00B148F9">
        <w:rPr>
          <w:rFonts w:cs="Arial"/>
        </w:rPr>
        <w:t xml:space="preserve">In the normal course of business, the </w:t>
      </w:r>
      <w:r w:rsidR="00196B8B" w:rsidRPr="00B148F9">
        <w:rPr>
          <w:rFonts w:cs="Arial"/>
        </w:rPr>
        <w:t>Company</w:t>
      </w:r>
      <w:r w:rsidRPr="00B148F9">
        <w:rPr>
          <w:rFonts w:cs="Arial"/>
        </w:rPr>
        <w:t xml:space="preserve"> utilizes derivative contracts in connection with its proprietary trading activities. Investments in derivative contracts are subject to additional risks that can result in a loss of all or part of an investment. The </w:t>
      </w:r>
      <w:r w:rsidR="00196B8B" w:rsidRPr="00B148F9">
        <w:rPr>
          <w:rFonts w:cs="Arial"/>
        </w:rPr>
        <w:t>Company</w:t>
      </w:r>
      <w:r w:rsidRPr="00B148F9">
        <w:rPr>
          <w:rFonts w:cs="Arial"/>
        </w:rPr>
        <w:t xml:space="preserve">’s derivative activities and exposure to derivative contracts are classified by the primary underlying risk, equity price risk and foreign currency exchange rate risk. In addition to its primary underlying risk, the </w:t>
      </w:r>
      <w:r w:rsidR="00196B8B" w:rsidRPr="00B148F9">
        <w:rPr>
          <w:rFonts w:cs="Arial"/>
        </w:rPr>
        <w:t>Company</w:t>
      </w:r>
      <w:r w:rsidRPr="00B148F9">
        <w:rPr>
          <w:rFonts w:cs="Arial"/>
        </w:rPr>
        <w:t xml:space="preserve"> is also subject to additional counterparty risk due to the inability of its counterparties to meet the terms of their contracts.</w:t>
      </w:r>
    </w:p>
    <w:p w14:paraId="4F96E4F6" w14:textId="77777777" w:rsidR="005D5ACC" w:rsidRPr="00B148F9" w:rsidRDefault="005D5ACC" w:rsidP="005D5ACC">
      <w:pPr>
        <w:rPr>
          <w:rFonts w:cs="Arial"/>
        </w:rPr>
      </w:pPr>
    </w:p>
    <w:p w14:paraId="649D2A69" w14:textId="77777777" w:rsidR="000202D1" w:rsidRPr="00B148F9" w:rsidRDefault="000202D1" w:rsidP="000202D1">
      <w:pPr>
        <w:rPr>
          <w:rFonts w:cs="Arial"/>
          <w:b/>
        </w:rPr>
      </w:pPr>
      <w:r w:rsidRPr="00B148F9">
        <w:rPr>
          <w:rFonts w:cs="Arial"/>
          <w:b/>
        </w:rPr>
        <w:t>Equity swap contracts</w:t>
      </w:r>
    </w:p>
    <w:p w14:paraId="519F0AC5" w14:textId="77777777" w:rsidR="00EE738E" w:rsidRPr="00B148F9" w:rsidRDefault="00EE738E" w:rsidP="000202D1">
      <w:pPr>
        <w:rPr>
          <w:rFonts w:cs="Arial"/>
        </w:rPr>
      </w:pPr>
    </w:p>
    <w:p w14:paraId="7C70E864" w14:textId="4B95EC82" w:rsidR="000202D1" w:rsidRPr="00B148F9" w:rsidRDefault="000202D1" w:rsidP="000202D1">
      <w:pPr>
        <w:rPr>
          <w:rFonts w:cs="Arial"/>
        </w:rPr>
      </w:pPr>
      <w:r w:rsidRPr="00B148F9">
        <w:rPr>
          <w:rFonts w:cs="Arial"/>
        </w:rPr>
        <w:t>The Company is subject to equity price risk in the normal course of pursuing its investment objectives. The Company may enter into equity swap contracts either to manage its exposure to the market or certain sectors of the market, or to create exposure to certain equities to which it is otherwise not exposed.</w:t>
      </w:r>
    </w:p>
    <w:p w14:paraId="129033E6" w14:textId="77777777" w:rsidR="000202D1" w:rsidRPr="00B148F9" w:rsidRDefault="000202D1" w:rsidP="000202D1">
      <w:pPr>
        <w:rPr>
          <w:rFonts w:cs="Arial"/>
        </w:rPr>
      </w:pPr>
    </w:p>
    <w:p w14:paraId="59EFB6B3" w14:textId="77777777" w:rsidR="00E464A9" w:rsidRPr="00B148F9" w:rsidRDefault="00E464A9" w:rsidP="00E464A9">
      <w:pPr>
        <w:rPr>
          <w:rFonts w:cs="Arial"/>
        </w:rPr>
      </w:pPr>
      <w:r w:rsidRPr="00B148F9">
        <w:rPr>
          <w:rFonts w:cs="Arial"/>
        </w:rPr>
        <w:t>Equity swap contracts involve the exchange by the Company and a counterparty of their respective commitments to pay or receive a net amount based on the change in the fair value of a particular security or index and a specified notional amount.</w:t>
      </w:r>
    </w:p>
    <w:p w14:paraId="27064043" w14:textId="77777777" w:rsidR="006002C4" w:rsidRPr="00B148F9" w:rsidRDefault="006002C4" w:rsidP="00326CD3">
      <w:pPr>
        <w:rPr>
          <w:rFonts w:cs="Arial"/>
        </w:rPr>
      </w:pPr>
    </w:p>
    <w:p w14:paraId="7DFD83F5" w14:textId="77777777" w:rsidR="00AD18C9" w:rsidRPr="00B148F9" w:rsidRDefault="00AD18C9" w:rsidP="00AD18C9">
      <w:pPr>
        <w:rPr>
          <w:rFonts w:cs="Arial"/>
          <w:b/>
          <w:bCs/>
        </w:rPr>
      </w:pPr>
      <w:r w:rsidRPr="00B148F9">
        <w:rPr>
          <w:rFonts w:cs="Arial"/>
          <w:b/>
          <w:bCs/>
        </w:rPr>
        <w:t>Volume of Derivative Activities</w:t>
      </w:r>
    </w:p>
    <w:p w14:paraId="09E7C7B5" w14:textId="77777777" w:rsidR="00EE738E" w:rsidRPr="00B148F9" w:rsidRDefault="00EE738E" w:rsidP="00C4780E">
      <w:pPr>
        <w:ind w:right="-18"/>
        <w:rPr>
          <w:rFonts w:cs="Arial"/>
          <w:bCs/>
        </w:rPr>
      </w:pPr>
    </w:p>
    <w:p w14:paraId="1783E834" w14:textId="6623E3D1" w:rsidR="005D5ACC" w:rsidRPr="00B148F9" w:rsidRDefault="00AD18C9" w:rsidP="00C4780E">
      <w:pPr>
        <w:ind w:right="-18"/>
        <w:rPr>
          <w:rFonts w:cs="Arial"/>
          <w:bCs/>
        </w:rPr>
      </w:pPr>
      <w:r w:rsidRPr="00B148F9">
        <w:rPr>
          <w:rFonts w:cs="Arial"/>
          <w:bCs/>
        </w:rPr>
        <w:t xml:space="preserve">The </w:t>
      </w:r>
      <w:r w:rsidR="00196B8B" w:rsidRPr="00B148F9">
        <w:rPr>
          <w:rFonts w:cs="Arial"/>
          <w:bCs/>
        </w:rPr>
        <w:t>Company</w:t>
      </w:r>
      <w:r w:rsidRPr="00B148F9">
        <w:rPr>
          <w:rFonts w:cs="Arial"/>
          <w:bCs/>
        </w:rPr>
        <w:t xml:space="preserve"> considers the average month-end notional amounts during the year, categorized by primary underlying risk, to be representative of the volume of its derivative activities during the year ended </w:t>
      </w:r>
      <w:r w:rsidR="00BE3B5C" w:rsidRPr="00B148F9">
        <w:rPr>
          <w:rFonts w:cs="Arial"/>
          <w:bCs/>
        </w:rPr>
        <w:t xml:space="preserve">31 </w:t>
      </w:r>
      <w:r w:rsidRPr="00B148F9">
        <w:rPr>
          <w:rFonts w:cs="Arial"/>
          <w:bCs/>
        </w:rPr>
        <w:t xml:space="preserve">December </w:t>
      </w:r>
      <w:r w:rsidR="00C55319" w:rsidRPr="00B148F9">
        <w:rPr>
          <w:rFonts w:cs="Arial"/>
          <w:bCs/>
        </w:rPr>
        <w:t>2019</w:t>
      </w:r>
      <w:r w:rsidRPr="00B148F9">
        <w:rPr>
          <w:rFonts w:cs="Arial"/>
          <w:bCs/>
        </w:rPr>
        <w:t>:</w:t>
      </w:r>
    </w:p>
    <w:p w14:paraId="445A2DA5" w14:textId="2B4A2F2D" w:rsidR="005D5ACC" w:rsidRPr="00B148F9" w:rsidRDefault="005D5ACC" w:rsidP="00C4780E">
      <w:pPr>
        <w:ind w:right="-18"/>
        <w:rPr>
          <w:rFonts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959"/>
        <w:gridCol w:w="1503"/>
        <w:gridCol w:w="1676"/>
        <w:gridCol w:w="687"/>
      </w:tblGrid>
      <w:tr w:rsidR="00A533EE" w:rsidRPr="00B148F9" w14:paraId="0EB99CB8" w14:textId="77777777" w:rsidTr="00924813">
        <w:tc>
          <w:tcPr>
            <w:tcW w:w="3426" w:type="dxa"/>
            <w:gridSpan w:val="2"/>
          </w:tcPr>
          <w:p w14:paraId="4562C38E" w14:textId="5BD45E11" w:rsidR="00A533EE" w:rsidRPr="00B148F9" w:rsidRDefault="00A533EE" w:rsidP="00C4780E">
            <w:pPr>
              <w:ind w:right="-18"/>
              <w:rPr>
                <w:rFonts w:cs="Arial"/>
                <w:bCs/>
              </w:rPr>
            </w:pPr>
            <w:r w:rsidRPr="00B148F9">
              <w:rPr>
                <w:rFonts w:cs="Arial"/>
                <w:bCs/>
              </w:rPr>
              <w:t>(notional amounts in thousands)</w:t>
            </w:r>
          </w:p>
        </w:tc>
        <w:tc>
          <w:tcPr>
            <w:tcW w:w="1503" w:type="dxa"/>
          </w:tcPr>
          <w:p w14:paraId="78F4EEAE" w14:textId="77777777" w:rsidR="00A533EE" w:rsidRPr="00B148F9" w:rsidRDefault="00A533EE" w:rsidP="00C4780E">
            <w:pPr>
              <w:ind w:right="-18"/>
              <w:rPr>
                <w:rFonts w:cs="Arial"/>
                <w:bCs/>
              </w:rPr>
            </w:pPr>
          </w:p>
        </w:tc>
        <w:tc>
          <w:tcPr>
            <w:tcW w:w="1676" w:type="dxa"/>
            <w:tcBorders>
              <w:bottom w:val="single" w:sz="18" w:space="0" w:color="auto"/>
            </w:tcBorders>
          </w:tcPr>
          <w:p w14:paraId="67759014" w14:textId="35689963" w:rsidR="00A533EE" w:rsidRPr="00B148F9" w:rsidRDefault="00A533EE" w:rsidP="00913AEB">
            <w:pPr>
              <w:ind w:right="-18"/>
              <w:jc w:val="center"/>
              <w:rPr>
                <w:rFonts w:cs="Arial"/>
                <w:b/>
                <w:bCs/>
              </w:rPr>
            </w:pPr>
            <w:r w:rsidRPr="00B148F9">
              <w:rPr>
                <w:rFonts w:cs="Arial"/>
                <w:b/>
                <w:bCs/>
              </w:rPr>
              <w:t>Long exposure</w:t>
            </w:r>
          </w:p>
        </w:tc>
        <w:tc>
          <w:tcPr>
            <w:tcW w:w="687" w:type="dxa"/>
          </w:tcPr>
          <w:p w14:paraId="24254DAC" w14:textId="77777777" w:rsidR="00A533EE" w:rsidRPr="00B148F9" w:rsidRDefault="00A533EE" w:rsidP="00913AEB">
            <w:pPr>
              <w:ind w:right="-18"/>
              <w:jc w:val="center"/>
              <w:rPr>
                <w:rFonts w:cs="Arial"/>
                <w:b/>
                <w:bCs/>
              </w:rPr>
            </w:pPr>
          </w:p>
        </w:tc>
      </w:tr>
      <w:tr w:rsidR="00BE3B5C" w:rsidRPr="00B148F9" w14:paraId="41291F34" w14:textId="77777777" w:rsidTr="001251FE">
        <w:tc>
          <w:tcPr>
            <w:tcW w:w="3426" w:type="dxa"/>
            <w:gridSpan w:val="2"/>
            <w:tcBorders>
              <w:bottom w:val="single" w:sz="18" w:space="0" w:color="auto"/>
            </w:tcBorders>
            <w:vAlign w:val="bottom"/>
          </w:tcPr>
          <w:p w14:paraId="71AF46CF" w14:textId="76C6AC5B" w:rsidR="00BE3B5C" w:rsidRPr="00B148F9" w:rsidRDefault="00BE3B5C" w:rsidP="00C4780E">
            <w:pPr>
              <w:ind w:right="-18"/>
              <w:rPr>
                <w:rFonts w:cs="Arial"/>
                <w:b/>
                <w:bCs/>
              </w:rPr>
            </w:pPr>
            <w:r w:rsidRPr="00B148F9">
              <w:rPr>
                <w:rFonts w:cs="Arial"/>
                <w:b/>
                <w:bCs/>
              </w:rPr>
              <w:t>Primary underlying risk</w:t>
            </w:r>
          </w:p>
        </w:tc>
        <w:tc>
          <w:tcPr>
            <w:tcW w:w="1503" w:type="dxa"/>
          </w:tcPr>
          <w:p w14:paraId="6C3C6158" w14:textId="77777777" w:rsidR="00BE3B5C" w:rsidRPr="00B148F9" w:rsidRDefault="00BE3B5C" w:rsidP="00C4780E">
            <w:pPr>
              <w:ind w:right="-18"/>
              <w:rPr>
                <w:rFonts w:cs="Arial"/>
                <w:bCs/>
              </w:rPr>
            </w:pPr>
          </w:p>
        </w:tc>
        <w:tc>
          <w:tcPr>
            <w:tcW w:w="1676" w:type="dxa"/>
            <w:tcBorders>
              <w:top w:val="single" w:sz="18" w:space="0" w:color="auto"/>
              <w:bottom w:val="single" w:sz="18" w:space="0" w:color="auto"/>
            </w:tcBorders>
          </w:tcPr>
          <w:p w14:paraId="636F5E55" w14:textId="57326116" w:rsidR="00BE3B5C" w:rsidRPr="00B148F9" w:rsidRDefault="00BE3B5C" w:rsidP="00913AEB">
            <w:pPr>
              <w:ind w:right="-18"/>
              <w:jc w:val="center"/>
              <w:rPr>
                <w:rFonts w:cs="Arial"/>
                <w:b/>
                <w:bCs/>
              </w:rPr>
            </w:pPr>
            <w:r w:rsidRPr="00B148F9">
              <w:rPr>
                <w:rFonts w:cs="Arial"/>
                <w:b/>
                <w:bCs/>
              </w:rPr>
              <w:t>Notional amounts</w:t>
            </w:r>
          </w:p>
        </w:tc>
        <w:tc>
          <w:tcPr>
            <w:tcW w:w="687" w:type="dxa"/>
          </w:tcPr>
          <w:p w14:paraId="4282DC56" w14:textId="77777777" w:rsidR="00BE3B5C" w:rsidRPr="00B148F9" w:rsidRDefault="00BE3B5C" w:rsidP="00913AEB">
            <w:pPr>
              <w:ind w:right="-18"/>
              <w:jc w:val="center"/>
              <w:rPr>
                <w:rFonts w:cs="Arial"/>
                <w:bCs/>
              </w:rPr>
            </w:pPr>
          </w:p>
        </w:tc>
      </w:tr>
      <w:tr w:rsidR="00BE3B5C" w:rsidRPr="00B148F9" w14:paraId="02428AE3" w14:textId="77777777" w:rsidTr="001251FE">
        <w:tc>
          <w:tcPr>
            <w:tcW w:w="2467" w:type="dxa"/>
            <w:tcBorders>
              <w:top w:val="single" w:sz="18" w:space="0" w:color="auto"/>
            </w:tcBorders>
          </w:tcPr>
          <w:p w14:paraId="619EE0C2" w14:textId="466069D9" w:rsidR="00BE3B5C" w:rsidRPr="00B148F9" w:rsidRDefault="00BE3B5C" w:rsidP="00C4780E">
            <w:pPr>
              <w:ind w:right="-18"/>
              <w:rPr>
                <w:rFonts w:cs="Arial"/>
                <w:b/>
                <w:bCs/>
              </w:rPr>
            </w:pPr>
            <w:r w:rsidRPr="00B148F9">
              <w:rPr>
                <w:rFonts w:cs="Arial"/>
                <w:b/>
                <w:bCs/>
              </w:rPr>
              <w:t>Equity price</w:t>
            </w:r>
          </w:p>
        </w:tc>
        <w:tc>
          <w:tcPr>
            <w:tcW w:w="959" w:type="dxa"/>
            <w:tcBorders>
              <w:top w:val="single" w:sz="18" w:space="0" w:color="auto"/>
            </w:tcBorders>
          </w:tcPr>
          <w:p w14:paraId="27216EA2" w14:textId="77777777" w:rsidR="00BE3B5C" w:rsidRPr="00B148F9" w:rsidRDefault="00BE3B5C" w:rsidP="00C4780E">
            <w:pPr>
              <w:ind w:right="-18"/>
              <w:rPr>
                <w:rFonts w:cs="Arial"/>
                <w:bCs/>
              </w:rPr>
            </w:pPr>
          </w:p>
        </w:tc>
        <w:tc>
          <w:tcPr>
            <w:tcW w:w="1503" w:type="dxa"/>
          </w:tcPr>
          <w:p w14:paraId="489E15DE" w14:textId="77777777" w:rsidR="00BE3B5C" w:rsidRPr="00B148F9" w:rsidRDefault="00BE3B5C" w:rsidP="00C4780E">
            <w:pPr>
              <w:ind w:right="-18"/>
              <w:rPr>
                <w:rFonts w:cs="Arial"/>
                <w:bCs/>
              </w:rPr>
            </w:pPr>
          </w:p>
        </w:tc>
        <w:tc>
          <w:tcPr>
            <w:tcW w:w="1676" w:type="dxa"/>
            <w:tcBorders>
              <w:top w:val="single" w:sz="18" w:space="0" w:color="auto"/>
            </w:tcBorders>
          </w:tcPr>
          <w:p w14:paraId="73B9B764" w14:textId="77777777" w:rsidR="00BE3B5C" w:rsidRPr="00B148F9" w:rsidRDefault="00BE3B5C" w:rsidP="00C4780E">
            <w:pPr>
              <w:ind w:right="-18"/>
              <w:rPr>
                <w:rFonts w:cs="Arial"/>
                <w:bCs/>
              </w:rPr>
            </w:pPr>
          </w:p>
        </w:tc>
        <w:tc>
          <w:tcPr>
            <w:tcW w:w="687" w:type="dxa"/>
          </w:tcPr>
          <w:p w14:paraId="36BD7E0D" w14:textId="77777777" w:rsidR="00BE3B5C" w:rsidRPr="00B148F9" w:rsidRDefault="00BE3B5C" w:rsidP="00C4780E">
            <w:pPr>
              <w:ind w:right="-18"/>
              <w:rPr>
                <w:rFonts w:cs="Arial"/>
                <w:bCs/>
              </w:rPr>
            </w:pPr>
          </w:p>
        </w:tc>
      </w:tr>
      <w:tr w:rsidR="00BE3B5C" w:rsidRPr="00B148F9" w14:paraId="6694E355" w14:textId="77777777" w:rsidTr="00DE3E70">
        <w:tc>
          <w:tcPr>
            <w:tcW w:w="2467" w:type="dxa"/>
          </w:tcPr>
          <w:p w14:paraId="465C7E61" w14:textId="2772EB2C" w:rsidR="00BE3B5C" w:rsidRPr="00B148F9" w:rsidRDefault="00BE3B5C" w:rsidP="00C4780E">
            <w:pPr>
              <w:ind w:right="-18"/>
              <w:rPr>
                <w:rFonts w:cs="Arial"/>
                <w:bCs/>
              </w:rPr>
            </w:pPr>
            <w:r w:rsidRPr="00B148F9">
              <w:rPr>
                <w:rFonts w:cs="Arial"/>
                <w:bCs/>
              </w:rPr>
              <w:t>Equity swap</w:t>
            </w:r>
            <w:r w:rsidR="00A533EE" w:rsidRPr="00B148F9">
              <w:rPr>
                <w:rFonts w:cs="Arial"/>
                <w:bCs/>
              </w:rPr>
              <w:t>s</w:t>
            </w:r>
          </w:p>
        </w:tc>
        <w:tc>
          <w:tcPr>
            <w:tcW w:w="959" w:type="dxa"/>
          </w:tcPr>
          <w:p w14:paraId="6569360A" w14:textId="77777777" w:rsidR="00BE3B5C" w:rsidRPr="00B148F9" w:rsidRDefault="00BE3B5C" w:rsidP="00C4780E">
            <w:pPr>
              <w:ind w:right="-18"/>
              <w:rPr>
                <w:rFonts w:cs="Arial"/>
                <w:bCs/>
              </w:rPr>
            </w:pPr>
          </w:p>
        </w:tc>
        <w:tc>
          <w:tcPr>
            <w:tcW w:w="1503" w:type="dxa"/>
          </w:tcPr>
          <w:p w14:paraId="104AFF91" w14:textId="77777777" w:rsidR="00BE3B5C" w:rsidRPr="00B148F9" w:rsidRDefault="00BE3B5C" w:rsidP="00C4780E">
            <w:pPr>
              <w:ind w:right="-18"/>
              <w:rPr>
                <w:rFonts w:cs="Arial"/>
                <w:bCs/>
              </w:rPr>
            </w:pPr>
          </w:p>
        </w:tc>
        <w:tc>
          <w:tcPr>
            <w:tcW w:w="1676" w:type="dxa"/>
            <w:tcBorders>
              <w:bottom w:val="single" w:sz="12" w:space="0" w:color="auto"/>
            </w:tcBorders>
            <w:vAlign w:val="bottom"/>
          </w:tcPr>
          <w:p w14:paraId="283B20AA" w14:textId="63123715" w:rsidR="00BE3B5C" w:rsidRPr="00B148F9" w:rsidRDefault="0014699C">
            <w:pPr>
              <w:ind w:right="-18"/>
              <w:jc w:val="right"/>
              <w:rPr>
                <w:rFonts w:cs="Arial"/>
                <w:bCs/>
              </w:rPr>
            </w:pPr>
            <w:r w:rsidRPr="00B148F9">
              <w:rPr>
                <w:rFonts w:cs="Arial"/>
                <w:bCs/>
              </w:rPr>
              <w:t>3,44</w:t>
            </w:r>
            <w:r w:rsidR="00482374" w:rsidRPr="00B148F9">
              <w:rPr>
                <w:rFonts w:cs="Arial"/>
                <w:bCs/>
              </w:rPr>
              <w:t>9</w:t>
            </w:r>
          </w:p>
        </w:tc>
        <w:tc>
          <w:tcPr>
            <w:tcW w:w="687" w:type="dxa"/>
          </w:tcPr>
          <w:p w14:paraId="7F60DC11" w14:textId="77777777" w:rsidR="00BE3B5C" w:rsidRPr="00B148F9" w:rsidRDefault="00BE3B5C" w:rsidP="00C4780E">
            <w:pPr>
              <w:ind w:right="-18"/>
              <w:rPr>
                <w:rFonts w:cs="Arial"/>
                <w:bCs/>
              </w:rPr>
            </w:pPr>
          </w:p>
        </w:tc>
      </w:tr>
      <w:tr w:rsidR="00BE3B5C" w:rsidRPr="00B148F9" w14:paraId="230230CD" w14:textId="77777777" w:rsidTr="00DE3E70">
        <w:tc>
          <w:tcPr>
            <w:tcW w:w="2467" w:type="dxa"/>
          </w:tcPr>
          <w:p w14:paraId="0D410FA6" w14:textId="77777777" w:rsidR="00BE3B5C" w:rsidRPr="00B148F9" w:rsidRDefault="00BE3B5C" w:rsidP="00C4780E">
            <w:pPr>
              <w:ind w:right="-18"/>
              <w:rPr>
                <w:rFonts w:cs="Arial"/>
                <w:bCs/>
              </w:rPr>
            </w:pPr>
          </w:p>
        </w:tc>
        <w:tc>
          <w:tcPr>
            <w:tcW w:w="959" w:type="dxa"/>
          </w:tcPr>
          <w:p w14:paraId="1401FF11" w14:textId="77777777" w:rsidR="00BE3B5C" w:rsidRPr="00B148F9" w:rsidRDefault="00BE3B5C" w:rsidP="00C4780E">
            <w:pPr>
              <w:ind w:right="-18"/>
              <w:rPr>
                <w:rFonts w:cs="Arial"/>
                <w:bCs/>
              </w:rPr>
            </w:pPr>
          </w:p>
        </w:tc>
        <w:tc>
          <w:tcPr>
            <w:tcW w:w="1503" w:type="dxa"/>
          </w:tcPr>
          <w:p w14:paraId="2BA2E5A6" w14:textId="77777777" w:rsidR="00BE3B5C" w:rsidRPr="00B148F9" w:rsidRDefault="00BE3B5C" w:rsidP="00C4780E">
            <w:pPr>
              <w:ind w:right="-18"/>
              <w:rPr>
                <w:rFonts w:cs="Arial"/>
                <w:bCs/>
              </w:rPr>
            </w:pPr>
          </w:p>
        </w:tc>
        <w:tc>
          <w:tcPr>
            <w:tcW w:w="1676" w:type="dxa"/>
            <w:tcBorders>
              <w:top w:val="single" w:sz="12" w:space="0" w:color="auto"/>
              <w:bottom w:val="single" w:sz="18" w:space="0" w:color="auto"/>
            </w:tcBorders>
            <w:vAlign w:val="bottom"/>
          </w:tcPr>
          <w:p w14:paraId="2350ED2B" w14:textId="536BAF9D" w:rsidR="00BE3B5C" w:rsidRPr="00B148F9" w:rsidRDefault="0014699C" w:rsidP="00DE3E70">
            <w:pPr>
              <w:ind w:right="-18"/>
              <w:jc w:val="right"/>
              <w:rPr>
                <w:rFonts w:cs="Arial"/>
                <w:bCs/>
              </w:rPr>
            </w:pPr>
            <w:r w:rsidRPr="00B148F9">
              <w:rPr>
                <w:rFonts w:cs="Arial"/>
                <w:bCs/>
              </w:rPr>
              <w:t>3,449</w:t>
            </w:r>
          </w:p>
        </w:tc>
        <w:tc>
          <w:tcPr>
            <w:tcW w:w="687" w:type="dxa"/>
          </w:tcPr>
          <w:p w14:paraId="72A7589E" w14:textId="77777777" w:rsidR="00BE3B5C" w:rsidRPr="00B148F9" w:rsidRDefault="00BE3B5C" w:rsidP="00C4780E">
            <w:pPr>
              <w:ind w:right="-18"/>
              <w:rPr>
                <w:rFonts w:cs="Arial"/>
                <w:bCs/>
              </w:rPr>
            </w:pPr>
          </w:p>
        </w:tc>
      </w:tr>
    </w:tbl>
    <w:p w14:paraId="69C5FD08" w14:textId="77777777" w:rsidR="006B466F" w:rsidRPr="00B148F9" w:rsidRDefault="006B466F" w:rsidP="0042784F">
      <w:pPr>
        <w:ind w:right="-18"/>
        <w:rPr>
          <w:rFonts w:cs="Arial"/>
          <w:bCs/>
          <w:sz w:val="16"/>
        </w:rPr>
      </w:pPr>
    </w:p>
    <w:p w14:paraId="0FCE8C3F" w14:textId="2FEB0073" w:rsidR="005B67E6" w:rsidRPr="00B148F9" w:rsidRDefault="005B67E6" w:rsidP="00C4780E">
      <w:pPr>
        <w:ind w:right="-18"/>
        <w:rPr>
          <w:rFonts w:cs="Arial"/>
          <w:b/>
          <w:bCs/>
        </w:rPr>
      </w:pPr>
      <w:r w:rsidRPr="00B148F9">
        <w:rPr>
          <w:rFonts w:cs="Arial"/>
          <w:b/>
          <w:bCs/>
        </w:rPr>
        <w:t>Impact of Derivatives on the Statement of Assets and Liabilities and Statement of Operations</w:t>
      </w:r>
    </w:p>
    <w:p w14:paraId="537B8B8D" w14:textId="77777777" w:rsidR="00EE738E" w:rsidRPr="00B148F9" w:rsidRDefault="00EE738E" w:rsidP="005B67E6">
      <w:pPr>
        <w:ind w:right="-18"/>
        <w:rPr>
          <w:rFonts w:cs="Arial"/>
          <w:bCs/>
        </w:rPr>
      </w:pPr>
    </w:p>
    <w:p w14:paraId="7475FEC2" w14:textId="4379D2BC" w:rsidR="005B67E6" w:rsidRPr="00B148F9" w:rsidRDefault="005B67E6" w:rsidP="005B67E6">
      <w:pPr>
        <w:ind w:right="-18"/>
        <w:rPr>
          <w:rFonts w:cs="Arial"/>
          <w:bCs/>
        </w:rPr>
      </w:pPr>
      <w:r w:rsidRPr="00B148F9">
        <w:rPr>
          <w:rFonts w:cs="Arial"/>
          <w:bCs/>
        </w:rPr>
        <w:t>The following table identifies the fair value amounts of derivative instruments included in the statement of assets and liabilities as derivative contracts, categorized by primary under</w:t>
      </w:r>
      <w:r w:rsidR="006B466F" w:rsidRPr="00B148F9">
        <w:rPr>
          <w:rFonts w:cs="Arial"/>
          <w:bCs/>
        </w:rPr>
        <w:t xml:space="preserve">lying risk, at </w:t>
      </w:r>
      <w:r w:rsidR="00BE3B5C" w:rsidRPr="00B148F9">
        <w:rPr>
          <w:rFonts w:cs="Arial"/>
          <w:bCs/>
        </w:rPr>
        <w:t xml:space="preserve">31 </w:t>
      </w:r>
      <w:r w:rsidR="006B466F" w:rsidRPr="00B148F9">
        <w:rPr>
          <w:rFonts w:cs="Arial"/>
          <w:bCs/>
        </w:rPr>
        <w:t>December 2019</w:t>
      </w:r>
      <w:r w:rsidRPr="00B148F9">
        <w:rPr>
          <w:rFonts w:cs="Arial"/>
          <w:bCs/>
        </w:rPr>
        <w:t xml:space="preserve">. The following table also identifies the gain and loss amounts included in the statement of operations as net </w:t>
      </w:r>
      <w:r w:rsidR="003535FE" w:rsidRPr="00B148F9">
        <w:rPr>
          <w:rFonts w:cs="Arial"/>
          <w:bCs/>
        </w:rPr>
        <w:t>realised</w:t>
      </w:r>
      <w:r w:rsidRPr="00B148F9">
        <w:rPr>
          <w:rFonts w:cs="Arial"/>
          <w:bCs/>
        </w:rPr>
        <w:t xml:space="preserve"> gain on derivative contracts and net change in un</w:t>
      </w:r>
      <w:r w:rsidR="003535FE" w:rsidRPr="00B148F9">
        <w:rPr>
          <w:rFonts w:cs="Arial"/>
          <w:bCs/>
        </w:rPr>
        <w:t>realised</w:t>
      </w:r>
      <w:r w:rsidRPr="00B148F9">
        <w:rPr>
          <w:rFonts w:cs="Arial"/>
          <w:bCs/>
        </w:rPr>
        <w:t xml:space="preserve"> appreciation or depreciation on derivative contracts, categorized by primary underlying risk, for the year ended </w:t>
      </w:r>
      <w:r w:rsidR="00BE3B5C" w:rsidRPr="00B148F9">
        <w:rPr>
          <w:rFonts w:cs="Arial"/>
          <w:bCs/>
        </w:rPr>
        <w:t xml:space="preserve">31 </w:t>
      </w:r>
      <w:r w:rsidRPr="00B148F9">
        <w:rPr>
          <w:rFonts w:cs="Arial"/>
          <w:bCs/>
        </w:rPr>
        <w:t>December 201</w:t>
      </w:r>
      <w:r w:rsidR="006B466F" w:rsidRPr="00B148F9">
        <w:rPr>
          <w:rFonts w:cs="Arial"/>
          <w:bCs/>
        </w:rPr>
        <w:t>9</w:t>
      </w:r>
      <w:r w:rsidRPr="00B148F9">
        <w:rPr>
          <w:rFonts w:cs="Arial"/>
          <w:bCs/>
        </w:rPr>
        <w:t>.</w:t>
      </w:r>
    </w:p>
    <w:p w14:paraId="4F068077" w14:textId="77777777" w:rsidR="005B67E6" w:rsidRPr="00B148F9" w:rsidRDefault="005B67E6" w:rsidP="00C4780E">
      <w:pPr>
        <w:ind w:right="-18"/>
        <w:rPr>
          <w:rFonts w:cs="Arial"/>
          <w:bC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7"/>
        <w:gridCol w:w="393"/>
        <w:gridCol w:w="851"/>
        <w:gridCol w:w="1275"/>
        <w:gridCol w:w="284"/>
        <w:gridCol w:w="1276"/>
        <w:gridCol w:w="283"/>
        <w:gridCol w:w="1276"/>
        <w:gridCol w:w="283"/>
        <w:gridCol w:w="1701"/>
      </w:tblGrid>
      <w:tr w:rsidR="00A533EE" w:rsidRPr="00B148F9" w14:paraId="767E753A" w14:textId="77777777" w:rsidTr="00B746FC">
        <w:tc>
          <w:tcPr>
            <w:tcW w:w="2410" w:type="dxa"/>
            <w:gridSpan w:val="2"/>
            <w:vAlign w:val="bottom"/>
          </w:tcPr>
          <w:p w14:paraId="1154D36F" w14:textId="753A1EB3" w:rsidR="00A533EE" w:rsidRPr="00B148F9" w:rsidRDefault="00A533EE" w:rsidP="00814286">
            <w:pPr>
              <w:ind w:right="-18"/>
              <w:rPr>
                <w:rFonts w:cs="Arial"/>
                <w:bCs/>
              </w:rPr>
            </w:pPr>
            <w:r w:rsidRPr="00B148F9">
              <w:rPr>
                <w:rFonts w:cs="Arial"/>
                <w:bCs/>
              </w:rPr>
              <w:t>(in thousands)</w:t>
            </w:r>
          </w:p>
        </w:tc>
        <w:tc>
          <w:tcPr>
            <w:tcW w:w="851" w:type="dxa"/>
          </w:tcPr>
          <w:p w14:paraId="7E401197" w14:textId="77777777" w:rsidR="00A533EE" w:rsidRPr="00B148F9" w:rsidRDefault="00A533EE" w:rsidP="00814286">
            <w:pPr>
              <w:ind w:right="-18"/>
              <w:rPr>
                <w:rFonts w:cs="Arial"/>
                <w:bCs/>
              </w:rPr>
            </w:pPr>
          </w:p>
        </w:tc>
        <w:tc>
          <w:tcPr>
            <w:tcW w:w="1275" w:type="dxa"/>
          </w:tcPr>
          <w:p w14:paraId="7AEFC241" w14:textId="77777777" w:rsidR="00A533EE" w:rsidRPr="00B148F9" w:rsidRDefault="00A533EE" w:rsidP="00814286">
            <w:pPr>
              <w:ind w:right="-18"/>
              <w:jc w:val="center"/>
              <w:rPr>
                <w:rFonts w:cs="Arial"/>
                <w:b/>
                <w:bCs/>
              </w:rPr>
            </w:pPr>
          </w:p>
        </w:tc>
        <w:tc>
          <w:tcPr>
            <w:tcW w:w="284" w:type="dxa"/>
          </w:tcPr>
          <w:p w14:paraId="5AFC2B87" w14:textId="77777777" w:rsidR="00A533EE" w:rsidRPr="00B148F9" w:rsidRDefault="00A533EE" w:rsidP="00814286">
            <w:pPr>
              <w:ind w:right="-18"/>
              <w:jc w:val="center"/>
              <w:rPr>
                <w:rFonts w:cs="Arial"/>
                <w:b/>
                <w:bCs/>
              </w:rPr>
            </w:pPr>
          </w:p>
        </w:tc>
        <w:tc>
          <w:tcPr>
            <w:tcW w:w="1276" w:type="dxa"/>
          </w:tcPr>
          <w:p w14:paraId="171EB3E3" w14:textId="77777777" w:rsidR="00A533EE" w:rsidRPr="00B148F9" w:rsidRDefault="00A533EE" w:rsidP="00814286">
            <w:pPr>
              <w:ind w:right="-18"/>
              <w:jc w:val="center"/>
              <w:rPr>
                <w:rFonts w:cs="Arial"/>
                <w:b/>
                <w:bCs/>
              </w:rPr>
            </w:pPr>
          </w:p>
        </w:tc>
        <w:tc>
          <w:tcPr>
            <w:tcW w:w="283" w:type="dxa"/>
          </w:tcPr>
          <w:p w14:paraId="0FE7B6C7" w14:textId="77777777" w:rsidR="00A533EE" w:rsidRPr="00B148F9" w:rsidRDefault="00A533EE" w:rsidP="00814286">
            <w:pPr>
              <w:ind w:right="-18"/>
              <w:jc w:val="center"/>
              <w:rPr>
                <w:rFonts w:cs="Arial"/>
                <w:bCs/>
              </w:rPr>
            </w:pPr>
          </w:p>
        </w:tc>
        <w:tc>
          <w:tcPr>
            <w:tcW w:w="1276" w:type="dxa"/>
          </w:tcPr>
          <w:p w14:paraId="475BA352" w14:textId="77777777" w:rsidR="00A533EE" w:rsidRPr="00B148F9" w:rsidRDefault="00A533EE" w:rsidP="00814286">
            <w:pPr>
              <w:ind w:right="-18"/>
              <w:jc w:val="center"/>
              <w:rPr>
                <w:rFonts w:cs="Arial"/>
                <w:b/>
                <w:bCs/>
              </w:rPr>
            </w:pPr>
          </w:p>
        </w:tc>
        <w:tc>
          <w:tcPr>
            <w:tcW w:w="283" w:type="dxa"/>
          </w:tcPr>
          <w:p w14:paraId="21954F04" w14:textId="77777777" w:rsidR="00A533EE" w:rsidRPr="00B148F9" w:rsidRDefault="00A533EE" w:rsidP="00814286">
            <w:pPr>
              <w:ind w:right="-18"/>
              <w:jc w:val="center"/>
              <w:rPr>
                <w:rFonts w:cs="Arial"/>
                <w:b/>
                <w:bCs/>
              </w:rPr>
            </w:pPr>
          </w:p>
        </w:tc>
        <w:tc>
          <w:tcPr>
            <w:tcW w:w="1701" w:type="dxa"/>
          </w:tcPr>
          <w:p w14:paraId="78051834" w14:textId="77777777" w:rsidR="00A533EE" w:rsidRPr="00B148F9" w:rsidRDefault="00A533EE" w:rsidP="00814286">
            <w:pPr>
              <w:ind w:right="-18"/>
              <w:jc w:val="center"/>
              <w:rPr>
                <w:rFonts w:cs="Arial"/>
                <w:b/>
                <w:bCs/>
              </w:rPr>
            </w:pPr>
          </w:p>
        </w:tc>
      </w:tr>
      <w:tr w:rsidR="00BE3B5C" w:rsidRPr="00B148F9" w14:paraId="406C786D" w14:textId="77777777" w:rsidTr="00B746FC">
        <w:tc>
          <w:tcPr>
            <w:tcW w:w="2410" w:type="dxa"/>
            <w:gridSpan w:val="2"/>
            <w:tcBorders>
              <w:bottom w:val="single" w:sz="18" w:space="0" w:color="auto"/>
            </w:tcBorders>
            <w:vAlign w:val="bottom"/>
          </w:tcPr>
          <w:p w14:paraId="2FDDA366" w14:textId="77777777" w:rsidR="00A90164" w:rsidRPr="00B148F9" w:rsidRDefault="00A90164" w:rsidP="00814286">
            <w:pPr>
              <w:ind w:right="-18"/>
              <w:rPr>
                <w:rFonts w:cs="Arial"/>
                <w:b/>
                <w:bCs/>
              </w:rPr>
            </w:pPr>
            <w:r w:rsidRPr="00B148F9">
              <w:rPr>
                <w:rFonts w:cs="Arial"/>
                <w:b/>
                <w:bCs/>
              </w:rPr>
              <w:t>Primary underlying risk</w:t>
            </w:r>
          </w:p>
        </w:tc>
        <w:tc>
          <w:tcPr>
            <w:tcW w:w="851" w:type="dxa"/>
          </w:tcPr>
          <w:p w14:paraId="64D25E50" w14:textId="77777777" w:rsidR="00A90164" w:rsidRPr="00B148F9" w:rsidRDefault="00A90164" w:rsidP="00814286">
            <w:pPr>
              <w:ind w:right="-18"/>
              <w:rPr>
                <w:rFonts w:cs="Arial"/>
                <w:bCs/>
              </w:rPr>
            </w:pPr>
          </w:p>
        </w:tc>
        <w:tc>
          <w:tcPr>
            <w:tcW w:w="1275" w:type="dxa"/>
            <w:tcBorders>
              <w:bottom w:val="single" w:sz="18" w:space="0" w:color="auto"/>
            </w:tcBorders>
          </w:tcPr>
          <w:p w14:paraId="0298E797" w14:textId="69A74D12" w:rsidR="00A90164" w:rsidRPr="00B148F9" w:rsidRDefault="00A90164" w:rsidP="00814286">
            <w:pPr>
              <w:ind w:right="-18"/>
              <w:jc w:val="center"/>
              <w:rPr>
                <w:rFonts w:cs="Arial"/>
                <w:b/>
                <w:bCs/>
              </w:rPr>
            </w:pPr>
            <w:r w:rsidRPr="00B148F9">
              <w:rPr>
                <w:rFonts w:cs="Arial"/>
                <w:b/>
                <w:bCs/>
              </w:rPr>
              <w:t>Derivative assets</w:t>
            </w:r>
          </w:p>
        </w:tc>
        <w:tc>
          <w:tcPr>
            <w:tcW w:w="284" w:type="dxa"/>
          </w:tcPr>
          <w:p w14:paraId="47FF8BD2" w14:textId="310E09C0" w:rsidR="00A90164" w:rsidRPr="00B148F9" w:rsidRDefault="00A90164" w:rsidP="00814286">
            <w:pPr>
              <w:ind w:right="-18"/>
              <w:jc w:val="center"/>
              <w:rPr>
                <w:rFonts w:cs="Arial"/>
                <w:b/>
                <w:bCs/>
              </w:rPr>
            </w:pPr>
          </w:p>
        </w:tc>
        <w:tc>
          <w:tcPr>
            <w:tcW w:w="1276" w:type="dxa"/>
            <w:tcBorders>
              <w:bottom w:val="single" w:sz="18" w:space="0" w:color="auto"/>
            </w:tcBorders>
          </w:tcPr>
          <w:p w14:paraId="7579103B" w14:textId="449BA896" w:rsidR="00A90164" w:rsidRPr="00B148F9" w:rsidRDefault="00A90164" w:rsidP="00814286">
            <w:pPr>
              <w:ind w:right="-18"/>
              <w:jc w:val="center"/>
              <w:rPr>
                <w:rFonts w:cs="Arial"/>
                <w:b/>
                <w:bCs/>
              </w:rPr>
            </w:pPr>
            <w:r w:rsidRPr="00B148F9">
              <w:rPr>
                <w:rFonts w:cs="Arial"/>
                <w:b/>
                <w:bCs/>
              </w:rPr>
              <w:t>Derivative liabilities</w:t>
            </w:r>
          </w:p>
        </w:tc>
        <w:tc>
          <w:tcPr>
            <w:tcW w:w="283" w:type="dxa"/>
          </w:tcPr>
          <w:p w14:paraId="40709A39" w14:textId="77777777" w:rsidR="00A90164" w:rsidRPr="00B148F9" w:rsidRDefault="00A90164" w:rsidP="00814286">
            <w:pPr>
              <w:ind w:right="-18"/>
              <w:jc w:val="center"/>
              <w:rPr>
                <w:rFonts w:cs="Arial"/>
                <w:bCs/>
              </w:rPr>
            </w:pPr>
          </w:p>
        </w:tc>
        <w:tc>
          <w:tcPr>
            <w:tcW w:w="1276" w:type="dxa"/>
            <w:tcBorders>
              <w:bottom w:val="single" w:sz="18" w:space="0" w:color="auto"/>
            </w:tcBorders>
          </w:tcPr>
          <w:p w14:paraId="1E7524E4" w14:textId="011F67DD" w:rsidR="00A90164" w:rsidRPr="00B148F9" w:rsidRDefault="00A90164" w:rsidP="00814286">
            <w:pPr>
              <w:ind w:right="-18"/>
              <w:jc w:val="center"/>
              <w:rPr>
                <w:rFonts w:cs="Arial"/>
                <w:b/>
                <w:bCs/>
              </w:rPr>
            </w:pPr>
            <w:r w:rsidRPr="00B148F9">
              <w:rPr>
                <w:rFonts w:cs="Arial"/>
                <w:b/>
                <w:bCs/>
              </w:rPr>
              <w:t>Realised gain (loss)</w:t>
            </w:r>
          </w:p>
        </w:tc>
        <w:tc>
          <w:tcPr>
            <w:tcW w:w="283" w:type="dxa"/>
          </w:tcPr>
          <w:p w14:paraId="2371D6EB" w14:textId="77777777" w:rsidR="00A90164" w:rsidRPr="00B148F9" w:rsidRDefault="00A90164" w:rsidP="00814286">
            <w:pPr>
              <w:ind w:right="-18"/>
              <w:jc w:val="center"/>
              <w:rPr>
                <w:rFonts w:cs="Arial"/>
                <w:b/>
                <w:bCs/>
              </w:rPr>
            </w:pPr>
          </w:p>
        </w:tc>
        <w:tc>
          <w:tcPr>
            <w:tcW w:w="1701" w:type="dxa"/>
            <w:tcBorders>
              <w:bottom w:val="single" w:sz="18" w:space="0" w:color="auto"/>
            </w:tcBorders>
          </w:tcPr>
          <w:p w14:paraId="3AD96109" w14:textId="7E099FBE" w:rsidR="00A90164" w:rsidRPr="00B148F9" w:rsidRDefault="00BE3B5C" w:rsidP="00814286">
            <w:pPr>
              <w:ind w:right="-18"/>
              <w:jc w:val="center"/>
              <w:rPr>
                <w:rFonts w:cs="Arial"/>
                <w:bCs/>
              </w:rPr>
            </w:pPr>
            <w:r w:rsidRPr="00B148F9">
              <w:rPr>
                <w:rFonts w:cs="Arial"/>
                <w:b/>
                <w:bCs/>
              </w:rPr>
              <w:t>Change in unrealised gain (loss)</w:t>
            </w:r>
          </w:p>
        </w:tc>
      </w:tr>
      <w:tr w:rsidR="00BE3B5C" w:rsidRPr="00B148F9" w14:paraId="20CF9822" w14:textId="77777777" w:rsidTr="00DE3E70">
        <w:tc>
          <w:tcPr>
            <w:tcW w:w="2017" w:type="dxa"/>
            <w:tcBorders>
              <w:top w:val="single" w:sz="18" w:space="0" w:color="auto"/>
            </w:tcBorders>
          </w:tcPr>
          <w:p w14:paraId="1C54C57E" w14:textId="77777777" w:rsidR="00A90164" w:rsidRPr="00B148F9" w:rsidRDefault="00A90164" w:rsidP="00814286">
            <w:pPr>
              <w:ind w:right="-18"/>
              <w:rPr>
                <w:rFonts w:cs="Arial"/>
                <w:b/>
                <w:bCs/>
              </w:rPr>
            </w:pPr>
            <w:r w:rsidRPr="00B148F9">
              <w:rPr>
                <w:rFonts w:cs="Arial"/>
                <w:b/>
                <w:bCs/>
              </w:rPr>
              <w:t>Equity price</w:t>
            </w:r>
          </w:p>
        </w:tc>
        <w:tc>
          <w:tcPr>
            <w:tcW w:w="393" w:type="dxa"/>
            <w:tcBorders>
              <w:top w:val="single" w:sz="18" w:space="0" w:color="auto"/>
            </w:tcBorders>
          </w:tcPr>
          <w:p w14:paraId="7B2928B8" w14:textId="77777777" w:rsidR="00A90164" w:rsidRPr="00B148F9" w:rsidRDefault="00A90164" w:rsidP="00814286">
            <w:pPr>
              <w:ind w:right="-18"/>
              <w:rPr>
                <w:rFonts w:cs="Arial"/>
                <w:bCs/>
              </w:rPr>
            </w:pPr>
          </w:p>
        </w:tc>
        <w:tc>
          <w:tcPr>
            <w:tcW w:w="851" w:type="dxa"/>
          </w:tcPr>
          <w:p w14:paraId="750C12A7" w14:textId="77777777" w:rsidR="00A90164" w:rsidRPr="00B148F9" w:rsidRDefault="00A90164" w:rsidP="00814286">
            <w:pPr>
              <w:ind w:right="-18"/>
              <w:rPr>
                <w:rFonts w:cs="Arial"/>
                <w:bCs/>
              </w:rPr>
            </w:pPr>
          </w:p>
        </w:tc>
        <w:tc>
          <w:tcPr>
            <w:tcW w:w="1275" w:type="dxa"/>
            <w:tcBorders>
              <w:top w:val="single" w:sz="18" w:space="0" w:color="auto"/>
            </w:tcBorders>
          </w:tcPr>
          <w:p w14:paraId="7B4D0E0F" w14:textId="77777777" w:rsidR="00A90164" w:rsidRPr="00B148F9" w:rsidRDefault="00A90164" w:rsidP="00814286">
            <w:pPr>
              <w:ind w:right="-18"/>
              <w:rPr>
                <w:rFonts w:cs="Arial"/>
                <w:bCs/>
              </w:rPr>
            </w:pPr>
          </w:p>
        </w:tc>
        <w:tc>
          <w:tcPr>
            <w:tcW w:w="284" w:type="dxa"/>
          </w:tcPr>
          <w:p w14:paraId="755E27DD" w14:textId="3EF9415B" w:rsidR="00A90164" w:rsidRPr="00B148F9" w:rsidRDefault="00A90164" w:rsidP="00814286">
            <w:pPr>
              <w:ind w:right="-18"/>
              <w:rPr>
                <w:rFonts w:cs="Arial"/>
                <w:bCs/>
              </w:rPr>
            </w:pPr>
          </w:p>
        </w:tc>
        <w:tc>
          <w:tcPr>
            <w:tcW w:w="1276" w:type="dxa"/>
            <w:tcBorders>
              <w:top w:val="single" w:sz="18" w:space="0" w:color="auto"/>
            </w:tcBorders>
          </w:tcPr>
          <w:p w14:paraId="6B347B97" w14:textId="31A3D639" w:rsidR="00A90164" w:rsidRPr="00B148F9" w:rsidRDefault="00A90164" w:rsidP="00814286">
            <w:pPr>
              <w:ind w:right="-18"/>
              <w:rPr>
                <w:rFonts w:cs="Arial"/>
                <w:bCs/>
              </w:rPr>
            </w:pPr>
          </w:p>
        </w:tc>
        <w:tc>
          <w:tcPr>
            <w:tcW w:w="283" w:type="dxa"/>
          </w:tcPr>
          <w:p w14:paraId="5776317C" w14:textId="77777777" w:rsidR="00A90164" w:rsidRPr="00B148F9" w:rsidRDefault="00A90164" w:rsidP="00814286">
            <w:pPr>
              <w:ind w:right="-18"/>
              <w:rPr>
                <w:rFonts w:cs="Arial"/>
                <w:bCs/>
              </w:rPr>
            </w:pPr>
          </w:p>
        </w:tc>
        <w:tc>
          <w:tcPr>
            <w:tcW w:w="1276" w:type="dxa"/>
            <w:tcBorders>
              <w:top w:val="single" w:sz="18" w:space="0" w:color="auto"/>
            </w:tcBorders>
          </w:tcPr>
          <w:p w14:paraId="337AB6AC" w14:textId="77777777" w:rsidR="00A90164" w:rsidRPr="00B148F9" w:rsidRDefault="00A90164" w:rsidP="00814286">
            <w:pPr>
              <w:ind w:right="-18"/>
              <w:rPr>
                <w:rFonts w:cs="Arial"/>
                <w:bCs/>
              </w:rPr>
            </w:pPr>
          </w:p>
        </w:tc>
        <w:tc>
          <w:tcPr>
            <w:tcW w:w="283" w:type="dxa"/>
          </w:tcPr>
          <w:p w14:paraId="238D890A" w14:textId="77777777" w:rsidR="00A90164" w:rsidRPr="00B148F9" w:rsidRDefault="00A90164" w:rsidP="00814286">
            <w:pPr>
              <w:ind w:right="-18"/>
              <w:rPr>
                <w:rFonts w:cs="Arial"/>
                <w:bCs/>
              </w:rPr>
            </w:pPr>
          </w:p>
        </w:tc>
        <w:tc>
          <w:tcPr>
            <w:tcW w:w="1701" w:type="dxa"/>
            <w:tcBorders>
              <w:top w:val="single" w:sz="18" w:space="0" w:color="auto"/>
            </w:tcBorders>
          </w:tcPr>
          <w:p w14:paraId="6C5555F5" w14:textId="614EB549" w:rsidR="00A90164" w:rsidRPr="00B148F9" w:rsidRDefault="00A90164" w:rsidP="00814286">
            <w:pPr>
              <w:ind w:right="-18"/>
              <w:rPr>
                <w:rFonts w:cs="Arial"/>
                <w:bCs/>
              </w:rPr>
            </w:pPr>
          </w:p>
        </w:tc>
      </w:tr>
      <w:tr w:rsidR="00BE3B5C" w:rsidRPr="00B148F9" w14:paraId="641E36C0" w14:textId="77777777" w:rsidTr="00923960">
        <w:tc>
          <w:tcPr>
            <w:tcW w:w="2017" w:type="dxa"/>
          </w:tcPr>
          <w:p w14:paraId="0C35A9E2" w14:textId="6FA2F51F" w:rsidR="00A90164" w:rsidRPr="00B148F9" w:rsidRDefault="00A90164" w:rsidP="00814286">
            <w:pPr>
              <w:ind w:right="-18"/>
              <w:rPr>
                <w:rFonts w:cs="Arial"/>
                <w:bCs/>
              </w:rPr>
            </w:pPr>
            <w:r w:rsidRPr="00B148F9">
              <w:rPr>
                <w:rFonts w:cs="Arial"/>
                <w:bCs/>
              </w:rPr>
              <w:t>Equity swap</w:t>
            </w:r>
            <w:r w:rsidR="00A533EE" w:rsidRPr="00B148F9">
              <w:rPr>
                <w:rFonts w:cs="Arial"/>
                <w:bCs/>
              </w:rPr>
              <w:t>s</w:t>
            </w:r>
          </w:p>
        </w:tc>
        <w:tc>
          <w:tcPr>
            <w:tcW w:w="393" w:type="dxa"/>
          </w:tcPr>
          <w:p w14:paraId="01C2FD8D" w14:textId="77777777" w:rsidR="00A90164" w:rsidRPr="00B148F9" w:rsidRDefault="00A90164" w:rsidP="00814286">
            <w:pPr>
              <w:ind w:right="-18"/>
              <w:rPr>
                <w:rFonts w:cs="Arial"/>
                <w:bCs/>
              </w:rPr>
            </w:pPr>
          </w:p>
        </w:tc>
        <w:tc>
          <w:tcPr>
            <w:tcW w:w="851" w:type="dxa"/>
          </w:tcPr>
          <w:p w14:paraId="3085B169" w14:textId="77777777" w:rsidR="00A90164" w:rsidRPr="00B148F9" w:rsidRDefault="00A90164" w:rsidP="00814286">
            <w:pPr>
              <w:ind w:right="-18"/>
              <w:rPr>
                <w:rFonts w:cs="Arial"/>
                <w:bCs/>
              </w:rPr>
            </w:pPr>
          </w:p>
        </w:tc>
        <w:tc>
          <w:tcPr>
            <w:tcW w:w="1275" w:type="dxa"/>
            <w:tcBorders>
              <w:bottom w:val="single" w:sz="12" w:space="0" w:color="auto"/>
            </w:tcBorders>
            <w:vAlign w:val="bottom"/>
          </w:tcPr>
          <w:p w14:paraId="5AF7A94F" w14:textId="33965E60" w:rsidR="00A90164" w:rsidRPr="00B148F9" w:rsidRDefault="00412DF0">
            <w:pPr>
              <w:ind w:right="-18"/>
              <w:jc w:val="right"/>
              <w:rPr>
                <w:rFonts w:cs="Arial"/>
                <w:bCs/>
              </w:rPr>
            </w:pPr>
            <w:r w:rsidRPr="00B148F9">
              <w:rPr>
                <w:rFonts w:cs="Arial"/>
                <w:bCs/>
              </w:rPr>
              <w:t>1,326</w:t>
            </w:r>
          </w:p>
        </w:tc>
        <w:tc>
          <w:tcPr>
            <w:tcW w:w="284" w:type="dxa"/>
            <w:vAlign w:val="bottom"/>
          </w:tcPr>
          <w:p w14:paraId="4E76FC15" w14:textId="50D6C95C" w:rsidR="00A90164" w:rsidRPr="00B148F9" w:rsidRDefault="00A90164" w:rsidP="00DE3E70">
            <w:pPr>
              <w:ind w:right="-18"/>
              <w:jc w:val="right"/>
              <w:rPr>
                <w:rFonts w:cs="Arial"/>
                <w:bCs/>
              </w:rPr>
            </w:pPr>
          </w:p>
        </w:tc>
        <w:tc>
          <w:tcPr>
            <w:tcW w:w="1276" w:type="dxa"/>
            <w:tcBorders>
              <w:bottom w:val="single" w:sz="12" w:space="0" w:color="auto"/>
            </w:tcBorders>
            <w:vAlign w:val="bottom"/>
          </w:tcPr>
          <w:p w14:paraId="13F3E2EA" w14:textId="525F9F49" w:rsidR="00A90164" w:rsidRPr="00B148F9" w:rsidRDefault="00BE3B5C" w:rsidP="00DE3E70">
            <w:pPr>
              <w:ind w:right="-18"/>
              <w:jc w:val="right"/>
              <w:rPr>
                <w:rFonts w:cs="Arial"/>
                <w:bCs/>
              </w:rPr>
            </w:pPr>
            <w:r w:rsidRPr="00B148F9">
              <w:rPr>
                <w:rFonts w:cs="Arial"/>
                <w:bCs/>
              </w:rPr>
              <w:t>-</w:t>
            </w:r>
          </w:p>
        </w:tc>
        <w:tc>
          <w:tcPr>
            <w:tcW w:w="283" w:type="dxa"/>
            <w:vAlign w:val="bottom"/>
          </w:tcPr>
          <w:p w14:paraId="0E54E65B" w14:textId="77777777" w:rsidR="00A90164" w:rsidRPr="00B148F9" w:rsidRDefault="00A90164" w:rsidP="00DE3E70">
            <w:pPr>
              <w:ind w:right="-18"/>
              <w:jc w:val="right"/>
              <w:rPr>
                <w:rFonts w:cs="Arial"/>
                <w:bCs/>
              </w:rPr>
            </w:pPr>
          </w:p>
        </w:tc>
        <w:tc>
          <w:tcPr>
            <w:tcW w:w="1276" w:type="dxa"/>
            <w:tcBorders>
              <w:bottom w:val="single" w:sz="12" w:space="0" w:color="auto"/>
            </w:tcBorders>
            <w:vAlign w:val="bottom"/>
          </w:tcPr>
          <w:p w14:paraId="5E9EAEC7" w14:textId="7875E068" w:rsidR="00A90164" w:rsidRPr="00B148F9" w:rsidRDefault="00BE3B5C" w:rsidP="00DE3E70">
            <w:pPr>
              <w:ind w:right="-18"/>
              <w:jc w:val="right"/>
              <w:rPr>
                <w:rFonts w:cs="Arial"/>
                <w:bCs/>
              </w:rPr>
            </w:pPr>
            <w:r w:rsidRPr="00B148F9">
              <w:rPr>
                <w:rFonts w:cs="Arial"/>
                <w:bCs/>
              </w:rPr>
              <w:t>-</w:t>
            </w:r>
          </w:p>
        </w:tc>
        <w:tc>
          <w:tcPr>
            <w:tcW w:w="283" w:type="dxa"/>
            <w:vAlign w:val="bottom"/>
          </w:tcPr>
          <w:p w14:paraId="05FB045F" w14:textId="77777777" w:rsidR="00A90164" w:rsidRPr="00B148F9" w:rsidRDefault="00A90164" w:rsidP="00DE3E70">
            <w:pPr>
              <w:ind w:right="-18"/>
              <w:jc w:val="right"/>
              <w:rPr>
                <w:rFonts w:cs="Arial"/>
                <w:bCs/>
              </w:rPr>
            </w:pPr>
          </w:p>
        </w:tc>
        <w:tc>
          <w:tcPr>
            <w:tcW w:w="1701" w:type="dxa"/>
            <w:tcBorders>
              <w:bottom w:val="single" w:sz="12" w:space="0" w:color="auto"/>
            </w:tcBorders>
            <w:vAlign w:val="bottom"/>
          </w:tcPr>
          <w:p w14:paraId="6A15DF23" w14:textId="2AAF47D1" w:rsidR="00A90164" w:rsidRPr="00B148F9" w:rsidRDefault="00BE3B5C">
            <w:pPr>
              <w:ind w:right="-18"/>
              <w:jc w:val="right"/>
              <w:rPr>
                <w:rFonts w:cs="Arial"/>
                <w:bCs/>
              </w:rPr>
            </w:pPr>
            <w:r w:rsidRPr="00B148F9">
              <w:rPr>
                <w:rFonts w:cs="Arial"/>
                <w:bCs/>
              </w:rPr>
              <w:t>1,31</w:t>
            </w:r>
            <w:r w:rsidR="00A533EE" w:rsidRPr="00B148F9">
              <w:rPr>
                <w:rFonts w:cs="Arial"/>
                <w:bCs/>
              </w:rPr>
              <w:t>6</w:t>
            </w:r>
          </w:p>
        </w:tc>
      </w:tr>
      <w:tr w:rsidR="00BE3B5C" w:rsidRPr="00B148F9" w14:paraId="4F237524" w14:textId="77777777" w:rsidTr="00923960">
        <w:tc>
          <w:tcPr>
            <w:tcW w:w="2017" w:type="dxa"/>
          </w:tcPr>
          <w:p w14:paraId="7627594F" w14:textId="77777777" w:rsidR="00A90164" w:rsidRPr="00B148F9" w:rsidRDefault="00A90164" w:rsidP="00814286">
            <w:pPr>
              <w:ind w:right="-18"/>
              <w:rPr>
                <w:rFonts w:cs="Arial"/>
                <w:bCs/>
              </w:rPr>
            </w:pPr>
          </w:p>
        </w:tc>
        <w:tc>
          <w:tcPr>
            <w:tcW w:w="393" w:type="dxa"/>
          </w:tcPr>
          <w:p w14:paraId="5E9A2BAD" w14:textId="77777777" w:rsidR="00A90164" w:rsidRPr="00B148F9" w:rsidRDefault="00A90164" w:rsidP="00814286">
            <w:pPr>
              <w:ind w:right="-18"/>
              <w:rPr>
                <w:rFonts w:cs="Arial"/>
                <w:bCs/>
              </w:rPr>
            </w:pPr>
          </w:p>
        </w:tc>
        <w:tc>
          <w:tcPr>
            <w:tcW w:w="851" w:type="dxa"/>
          </w:tcPr>
          <w:p w14:paraId="5B8A6EFA" w14:textId="77777777" w:rsidR="00A90164" w:rsidRPr="00B148F9" w:rsidRDefault="00A90164" w:rsidP="00814286">
            <w:pPr>
              <w:ind w:right="-18"/>
              <w:rPr>
                <w:rFonts w:cs="Arial"/>
                <w:bCs/>
              </w:rPr>
            </w:pPr>
          </w:p>
        </w:tc>
        <w:tc>
          <w:tcPr>
            <w:tcW w:w="1275" w:type="dxa"/>
            <w:tcBorders>
              <w:top w:val="single" w:sz="12" w:space="0" w:color="auto"/>
              <w:bottom w:val="single" w:sz="18" w:space="0" w:color="auto"/>
            </w:tcBorders>
            <w:vAlign w:val="bottom"/>
          </w:tcPr>
          <w:p w14:paraId="7A57EAF2" w14:textId="2162E695" w:rsidR="00A90164" w:rsidRPr="00B148F9" w:rsidRDefault="00412DF0">
            <w:pPr>
              <w:ind w:right="-18"/>
              <w:jc w:val="right"/>
              <w:rPr>
                <w:rFonts w:cs="Arial"/>
                <w:bCs/>
              </w:rPr>
            </w:pPr>
            <w:r w:rsidRPr="00B148F9">
              <w:rPr>
                <w:rFonts w:cs="Arial"/>
                <w:bCs/>
              </w:rPr>
              <w:t>1,326</w:t>
            </w:r>
          </w:p>
        </w:tc>
        <w:tc>
          <w:tcPr>
            <w:tcW w:w="284" w:type="dxa"/>
            <w:vAlign w:val="bottom"/>
          </w:tcPr>
          <w:p w14:paraId="4A344A41" w14:textId="6A272233" w:rsidR="00A90164" w:rsidRPr="00B148F9" w:rsidRDefault="00A90164" w:rsidP="00DE3E70">
            <w:pPr>
              <w:ind w:right="-18"/>
              <w:jc w:val="right"/>
              <w:rPr>
                <w:rFonts w:cs="Arial"/>
                <w:bCs/>
              </w:rPr>
            </w:pPr>
          </w:p>
        </w:tc>
        <w:tc>
          <w:tcPr>
            <w:tcW w:w="1276" w:type="dxa"/>
            <w:tcBorders>
              <w:top w:val="single" w:sz="12" w:space="0" w:color="auto"/>
              <w:bottom w:val="single" w:sz="18" w:space="0" w:color="auto"/>
            </w:tcBorders>
            <w:vAlign w:val="bottom"/>
          </w:tcPr>
          <w:p w14:paraId="68D05292" w14:textId="5A51C7A9" w:rsidR="00A90164" w:rsidRPr="00B148F9" w:rsidRDefault="00BE3B5C" w:rsidP="00DE3E70">
            <w:pPr>
              <w:ind w:right="-18"/>
              <w:jc w:val="right"/>
              <w:rPr>
                <w:rFonts w:cs="Arial"/>
                <w:bCs/>
              </w:rPr>
            </w:pPr>
            <w:r w:rsidRPr="00B148F9">
              <w:rPr>
                <w:rFonts w:cs="Arial"/>
                <w:bCs/>
              </w:rPr>
              <w:t>-</w:t>
            </w:r>
          </w:p>
        </w:tc>
        <w:tc>
          <w:tcPr>
            <w:tcW w:w="283" w:type="dxa"/>
            <w:vAlign w:val="bottom"/>
          </w:tcPr>
          <w:p w14:paraId="1AFC9E82" w14:textId="77777777" w:rsidR="00A90164" w:rsidRPr="00B148F9" w:rsidRDefault="00A90164" w:rsidP="00DE3E70">
            <w:pPr>
              <w:ind w:right="-18"/>
              <w:jc w:val="right"/>
              <w:rPr>
                <w:rFonts w:cs="Arial"/>
                <w:bCs/>
              </w:rPr>
            </w:pPr>
          </w:p>
        </w:tc>
        <w:tc>
          <w:tcPr>
            <w:tcW w:w="1276" w:type="dxa"/>
            <w:tcBorders>
              <w:top w:val="single" w:sz="12" w:space="0" w:color="auto"/>
              <w:bottom w:val="single" w:sz="12" w:space="0" w:color="auto"/>
            </w:tcBorders>
            <w:vAlign w:val="bottom"/>
          </w:tcPr>
          <w:p w14:paraId="1388941F" w14:textId="313D0663" w:rsidR="00A90164" w:rsidRPr="00B148F9" w:rsidRDefault="00BE3B5C" w:rsidP="00DE3E70">
            <w:pPr>
              <w:ind w:right="-18"/>
              <w:jc w:val="right"/>
              <w:rPr>
                <w:rFonts w:cs="Arial"/>
                <w:bCs/>
              </w:rPr>
            </w:pPr>
            <w:r w:rsidRPr="00B148F9">
              <w:rPr>
                <w:rFonts w:cs="Arial"/>
                <w:bCs/>
              </w:rPr>
              <w:t>-</w:t>
            </w:r>
          </w:p>
        </w:tc>
        <w:tc>
          <w:tcPr>
            <w:tcW w:w="283" w:type="dxa"/>
            <w:vAlign w:val="bottom"/>
          </w:tcPr>
          <w:p w14:paraId="75291F70" w14:textId="77777777" w:rsidR="00A90164" w:rsidRPr="00B148F9" w:rsidRDefault="00A90164" w:rsidP="00DE3E70">
            <w:pPr>
              <w:ind w:right="-18"/>
              <w:jc w:val="right"/>
              <w:rPr>
                <w:rFonts w:cs="Arial"/>
                <w:bCs/>
              </w:rPr>
            </w:pPr>
          </w:p>
        </w:tc>
        <w:tc>
          <w:tcPr>
            <w:tcW w:w="1701" w:type="dxa"/>
            <w:tcBorders>
              <w:top w:val="single" w:sz="12" w:space="0" w:color="auto"/>
              <w:bottom w:val="single" w:sz="18" w:space="0" w:color="auto"/>
            </w:tcBorders>
            <w:vAlign w:val="bottom"/>
          </w:tcPr>
          <w:p w14:paraId="6859912E" w14:textId="6A34AACF" w:rsidR="00A90164" w:rsidRPr="00B148F9" w:rsidRDefault="00BE3B5C">
            <w:pPr>
              <w:ind w:right="-18"/>
              <w:jc w:val="right"/>
              <w:rPr>
                <w:rFonts w:cs="Arial"/>
                <w:bCs/>
              </w:rPr>
            </w:pPr>
            <w:r w:rsidRPr="00B148F9">
              <w:rPr>
                <w:rFonts w:cs="Arial"/>
                <w:bCs/>
              </w:rPr>
              <w:t>1,31</w:t>
            </w:r>
            <w:r w:rsidR="00A533EE" w:rsidRPr="00B148F9">
              <w:rPr>
                <w:rFonts w:cs="Arial"/>
                <w:bCs/>
              </w:rPr>
              <w:t>6</w:t>
            </w:r>
          </w:p>
        </w:tc>
      </w:tr>
    </w:tbl>
    <w:p w14:paraId="1F91E49E" w14:textId="77777777" w:rsidR="00A24CAD" w:rsidRPr="00B148F9" w:rsidRDefault="00A24CAD" w:rsidP="00E40663">
      <w:pPr>
        <w:tabs>
          <w:tab w:val="left" w:pos="426"/>
          <w:tab w:val="left" w:pos="2160"/>
        </w:tabs>
        <w:ind w:left="360"/>
        <w:rPr>
          <w:rFonts w:cs="Arial"/>
        </w:rPr>
      </w:pPr>
    </w:p>
    <w:p w14:paraId="03DA7667" w14:textId="7EF607FC" w:rsidR="00E40663" w:rsidRPr="00B148F9" w:rsidRDefault="00630681" w:rsidP="00817824">
      <w:pPr>
        <w:pStyle w:val="Heading1"/>
        <w:jc w:val="left"/>
      </w:pPr>
      <w:r w:rsidRPr="00B148F9">
        <w:rPr>
          <w:sz w:val="20"/>
        </w:rPr>
        <w:t>5</w:t>
      </w:r>
      <w:r w:rsidR="00685E38" w:rsidRPr="00B148F9">
        <w:rPr>
          <w:sz w:val="20"/>
        </w:rPr>
        <w:t xml:space="preserve">.  </w:t>
      </w:r>
      <w:r w:rsidR="00E40663" w:rsidRPr="00B148F9">
        <w:rPr>
          <w:sz w:val="20"/>
        </w:rPr>
        <w:t>Securities lending agreements</w:t>
      </w:r>
    </w:p>
    <w:p w14:paraId="1C7D78D8" w14:textId="4DEF5F17" w:rsidR="00E40663" w:rsidRPr="00B148F9" w:rsidRDefault="00E40663" w:rsidP="00913AEB">
      <w:pPr>
        <w:tabs>
          <w:tab w:val="left" w:pos="426"/>
          <w:tab w:val="left" w:pos="2160"/>
        </w:tabs>
        <w:rPr>
          <w:rFonts w:cs="Arial"/>
          <w:b/>
        </w:rPr>
      </w:pPr>
    </w:p>
    <w:p w14:paraId="731FC886" w14:textId="52424A29" w:rsidR="00E40663" w:rsidRPr="00B148F9" w:rsidRDefault="006B47B2" w:rsidP="00913AEB">
      <w:pPr>
        <w:tabs>
          <w:tab w:val="left" w:pos="426"/>
          <w:tab w:val="left" w:pos="2160"/>
        </w:tabs>
        <w:rPr>
          <w:rFonts w:cs="Arial"/>
        </w:rPr>
      </w:pPr>
      <w:r w:rsidRPr="00B148F9">
        <w:rPr>
          <w:rFonts w:cs="Arial"/>
        </w:rPr>
        <w:t xml:space="preserve">The </w:t>
      </w:r>
      <w:r w:rsidR="00196B8B" w:rsidRPr="00B148F9">
        <w:rPr>
          <w:rFonts w:cs="Arial"/>
        </w:rPr>
        <w:t>Company</w:t>
      </w:r>
      <w:r w:rsidRPr="00B148F9">
        <w:rPr>
          <w:rFonts w:cs="Arial"/>
        </w:rPr>
        <w:t xml:space="preserve"> has entered into securities lending agreements with its prime brokers. From time to time, the prime brokers lend securities on the </w:t>
      </w:r>
      <w:r w:rsidR="00196B8B" w:rsidRPr="00B148F9">
        <w:rPr>
          <w:rFonts w:cs="Arial"/>
        </w:rPr>
        <w:t>Company</w:t>
      </w:r>
      <w:r w:rsidRPr="00B148F9">
        <w:rPr>
          <w:rFonts w:cs="Arial"/>
        </w:rPr>
        <w:t xml:space="preserve">’s behalf. As of </w:t>
      </w:r>
      <w:r w:rsidR="00BE3B5C" w:rsidRPr="00B148F9">
        <w:rPr>
          <w:rFonts w:cs="Arial"/>
        </w:rPr>
        <w:t xml:space="preserve">31 </w:t>
      </w:r>
      <w:r w:rsidRPr="00B148F9">
        <w:rPr>
          <w:rFonts w:cs="Arial"/>
        </w:rPr>
        <w:t xml:space="preserve">December </w:t>
      </w:r>
      <w:r w:rsidR="002D7A68" w:rsidRPr="00B148F9">
        <w:rPr>
          <w:rFonts w:cs="Arial"/>
        </w:rPr>
        <w:t>2019</w:t>
      </w:r>
      <w:r w:rsidRPr="00B148F9">
        <w:rPr>
          <w:rFonts w:cs="Arial"/>
        </w:rPr>
        <w:t>, no securities were loaned and no collateral was received.</w:t>
      </w:r>
    </w:p>
    <w:p w14:paraId="52AE8433" w14:textId="77777777" w:rsidR="00436B09" w:rsidRPr="00B148F9" w:rsidRDefault="00436B09" w:rsidP="00DE3E70">
      <w:pPr>
        <w:tabs>
          <w:tab w:val="left" w:pos="426"/>
          <w:tab w:val="left" w:pos="2160"/>
        </w:tabs>
        <w:rPr>
          <w:rFonts w:cs="Arial"/>
        </w:rPr>
      </w:pPr>
    </w:p>
    <w:p w14:paraId="3A66A231" w14:textId="3F9D502C" w:rsidR="006B47B2" w:rsidRPr="00B148F9" w:rsidRDefault="00630681" w:rsidP="00817824">
      <w:pPr>
        <w:pStyle w:val="Heading1"/>
        <w:jc w:val="left"/>
        <w:rPr>
          <w:sz w:val="20"/>
        </w:rPr>
      </w:pPr>
      <w:r w:rsidRPr="00B148F9">
        <w:rPr>
          <w:sz w:val="20"/>
        </w:rPr>
        <w:t>6</w:t>
      </w:r>
      <w:r w:rsidR="00685E38" w:rsidRPr="00B148F9">
        <w:rPr>
          <w:sz w:val="20"/>
        </w:rPr>
        <w:t xml:space="preserve">.  </w:t>
      </w:r>
      <w:r w:rsidR="006B47B2" w:rsidRPr="00B148F9">
        <w:rPr>
          <w:sz w:val="20"/>
        </w:rPr>
        <w:t>Offsetting assets and liabilities</w:t>
      </w:r>
    </w:p>
    <w:p w14:paraId="558DBFBB" w14:textId="15D5795C" w:rsidR="006B47B2" w:rsidRPr="00B148F9" w:rsidRDefault="006B47B2" w:rsidP="00913AEB">
      <w:pPr>
        <w:tabs>
          <w:tab w:val="left" w:pos="426"/>
          <w:tab w:val="left" w:pos="2160"/>
        </w:tabs>
        <w:rPr>
          <w:rFonts w:cs="Arial"/>
        </w:rPr>
      </w:pPr>
    </w:p>
    <w:p w14:paraId="399D7C9D" w14:textId="2024579F" w:rsidR="006B47B2" w:rsidRPr="00B148F9" w:rsidRDefault="006B47B2" w:rsidP="00913AEB">
      <w:pPr>
        <w:tabs>
          <w:tab w:val="left" w:pos="426"/>
          <w:tab w:val="left" w:pos="2160"/>
        </w:tabs>
        <w:rPr>
          <w:rFonts w:cs="Arial"/>
        </w:rPr>
      </w:pPr>
      <w:r w:rsidRPr="00B148F9">
        <w:rPr>
          <w:rFonts w:cs="Arial"/>
        </w:rPr>
        <w:t xml:space="preserve">The </w:t>
      </w:r>
      <w:r w:rsidR="00196B8B" w:rsidRPr="00B148F9">
        <w:rPr>
          <w:rFonts w:cs="Arial"/>
        </w:rPr>
        <w:t>Company</w:t>
      </w:r>
      <w:r w:rsidRPr="00B148F9">
        <w:rPr>
          <w:rFonts w:cs="Arial"/>
        </w:rPr>
        <w:t xml:space="preserve"> is required to disclose the impact of offsetting assets and liabilities represented in the statement of assets and liabilities to enable users of the financial statements to evaluate the effect or potential effect of netting arrangements on its financial position for recognized assets and liabilities. These recognized assets and liabilities are financial instruments and derivative instruments that are either subject to an enforceable master netting arrangement or similar agreement or meet the following right of setoff criteria: the amounts owed by the </w:t>
      </w:r>
      <w:r w:rsidR="00196B8B" w:rsidRPr="00B148F9">
        <w:rPr>
          <w:rFonts w:cs="Arial"/>
        </w:rPr>
        <w:t>Company</w:t>
      </w:r>
      <w:r w:rsidRPr="00B148F9">
        <w:rPr>
          <w:rFonts w:cs="Arial"/>
        </w:rPr>
        <w:t xml:space="preserve"> to another party are determinable, the </w:t>
      </w:r>
      <w:r w:rsidR="00196B8B" w:rsidRPr="00B148F9">
        <w:rPr>
          <w:rFonts w:cs="Arial"/>
        </w:rPr>
        <w:t>Company</w:t>
      </w:r>
      <w:r w:rsidRPr="00B148F9">
        <w:rPr>
          <w:rFonts w:cs="Arial"/>
        </w:rPr>
        <w:t xml:space="preserve"> has the right to offset the amounts owed with the amounts owed by the other party, the </w:t>
      </w:r>
      <w:r w:rsidR="00196B8B" w:rsidRPr="00B148F9">
        <w:rPr>
          <w:rFonts w:cs="Arial"/>
        </w:rPr>
        <w:t>Company</w:t>
      </w:r>
      <w:r w:rsidRPr="00B148F9">
        <w:rPr>
          <w:rFonts w:cs="Arial"/>
        </w:rPr>
        <w:t xml:space="preserve"> intends to offset and the </w:t>
      </w:r>
      <w:r w:rsidR="00196B8B" w:rsidRPr="00B148F9">
        <w:rPr>
          <w:rFonts w:cs="Arial"/>
        </w:rPr>
        <w:t>Company</w:t>
      </w:r>
      <w:r w:rsidRPr="00B148F9">
        <w:rPr>
          <w:rFonts w:cs="Arial"/>
        </w:rPr>
        <w:t>’s right of setoff are enforceable at law.</w:t>
      </w:r>
    </w:p>
    <w:p w14:paraId="0D4FEB01" w14:textId="77777777" w:rsidR="00E40663" w:rsidRPr="00B148F9" w:rsidRDefault="00E40663" w:rsidP="00C4780E">
      <w:pPr>
        <w:ind w:right="-18"/>
        <w:rPr>
          <w:rFonts w:cs="Arial"/>
          <w:bCs/>
        </w:rPr>
      </w:pPr>
    </w:p>
    <w:p w14:paraId="7844514A" w14:textId="7A2AD3AC" w:rsidR="005B67E6" w:rsidRPr="00B148F9" w:rsidRDefault="00750839" w:rsidP="006B47B2">
      <w:pPr>
        <w:ind w:right="-18"/>
        <w:rPr>
          <w:rFonts w:cs="Arial"/>
          <w:bCs/>
        </w:rPr>
      </w:pPr>
      <w:r w:rsidRPr="00B148F9">
        <w:rPr>
          <w:rFonts w:cs="Arial"/>
          <w:bCs/>
        </w:rPr>
        <w:t xml:space="preserve">As of </w:t>
      </w:r>
      <w:r w:rsidR="0083236E" w:rsidRPr="00B148F9">
        <w:rPr>
          <w:rFonts w:cs="Arial"/>
          <w:bCs/>
        </w:rPr>
        <w:t xml:space="preserve">31 </w:t>
      </w:r>
      <w:r w:rsidRPr="00B148F9">
        <w:rPr>
          <w:rFonts w:cs="Arial"/>
          <w:bCs/>
        </w:rPr>
        <w:t>December 2019</w:t>
      </w:r>
      <w:r w:rsidR="006B47B2" w:rsidRPr="00B148F9">
        <w:rPr>
          <w:rFonts w:cs="Arial"/>
          <w:bCs/>
        </w:rPr>
        <w:t xml:space="preserve">, the </w:t>
      </w:r>
      <w:r w:rsidR="00196B8B" w:rsidRPr="00B148F9">
        <w:rPr>
          <w:rFonts w:cs="Arial"/>
          <w:bCs/>
        </w:rPr>
        <w:t>Company</w:t>
      </w:r>
      <w:r w:rsidR="006B47B2" w:rsidRPr="00B148F9">
        <w:rPr>
          <w:rFonts w:cs="Arial"/>
          <w:bCs/>
        </w:rPr>
        <w:t xml:space="preserve"> </w:t>
      </w:r>
      <w:r w:rsidR="004E0E44" w:rsidRPr="00B148F9">
        <w:rPr>
          <w:rFonts w:cs="Arial"/>
          <w:bCs/>
        </w:rPr>
        <w:t xml:space="preserve">held </w:t>
      </w:r>
      <w:r w:rsidR="006B47B2" w:rsidRPr="00B148F9">
        <w:rPr>
          <w:rFonts w:cs="Arial"/>
          <w:bCs/>
        </w:rPr>
        <w:t xml:space="preserve">financial instruments and derivative instruments that </w:t>
      </w:r>
      <w:r w:rsidR="004E0E44" w:rsidRPr="00B148F9">
        <w:rPr>
          <w:rFonts w:cs="Arial"/>
          <w:bCs/>
        </w:rPr>
        <w:t>we</w:t>
      </w:r>
      <w:r w:rsidR="006B47B2" w:rsidRPr="00B148F9">
        <w:rPr>
          <w:rFonts w:cs="Arial"/>
          <w:bCs/>
        </w:rPr>
        <w:t xml:space="preserve">re eligible for offset in the statement of assets and liabilities and are subject to a master netting arrangement. The master netting arrangement allows the counterparty to net applicable collateral held on behalf of the </w:t>
      </w:r>
      <w:r w:rsidR="00196B8B" w:rsidRPr="00B148F9">
        <w:rPr>
          <w:rFonts w:cs="Arial"/>
          <w:bCs/>
        </w:rPr>
        <w:t>Company</w:t>
      </w:r>
      <w:r w:rsidR="006B47B2" w:rsidRPr="00B148F9">
        <w:rPr>
          <w:rFonts w:cs="Arial"/>
          <w:bCs/>
        </w:rPr>
        <w:t xml:space="preserve"> against applicable liabilities or payment obligations of the </w:t>
      </w:r>
      <w:r w:rsidR="00196B8B" w:rsidRPr="00B148F9">
        <w:rPr>
          <w:rFonts w:cs="Arial"/>
          <w:bCs/>
        </w:rPr>
        <w:t>Company</w:t>
      </w:r>
      <w:r w:rsidR="006B47B2" w:rsidRPr="00B148F9">
        <w:rPr>
          <w:rFonts w:cs="Arial"/>
          <w:bCs/>
        </w:rPr>
        <w:t xml:space="preserve"> to the counterparty. These arrangements also allow the counterparty to net any of its applicable liabilities or payment obligations they have to the </w:t>
      </w:r>
      <w:r w:rsidR="00196B8B" w:rsidRPr="00B148F9">
        <w:rPr>
          <w:rFonts w:cs="Arial"/>
          <w:bCs/>
        </w:rPr>
        <w:t>Company</w:t>
      </w:r>
      <w:r w:rsidR="006B47B2" w:rsidRPr="00B148F9">
        <w:rPr>
          <w:rFonts w:cs="Arial"/>
          <w:bCs/>
        </w:rPr>
        <w:t xml:space="preserve"> against any collateral sent to the </w:t>
      </w:r>
      <w:r w:rsidR="00196B8B" w:rsidRPr="00B148F9">
        <w:rPr>
          <w:rFonts w:cs="Arial"/>
          <w:bCs/>
        </w:rPr>
        <w:t>Company</w:t>
      </w:r>
      <w:r w:rsidR="006B47B2" w:rsidRPr="00B148F9">
        <w:rPr>
          <w:rFonts w:cs="Arial"/>
          <w:bCs/>
        </w:rPr>
        <w:t>.</w:t>
      </w:r>
    </w:p>
    <w:p w14:paraId="712DE639" w14:textId="35A09F6D" w:rsidR="005B67E6" w:rsidRPr="00B148F9" w:rsidRDefault="005B67E6" w:rsidP="00C4780E">
      <w:pPr>
        <w:ind w:right="-18"/>
        <w:rPr>
          <w:rFonts w:cs="Arial"/>
          <w:bCs/>
        </w:rPr>
      </w:pPr>
    </w:p>
    <w:p w14:paraId="27FD9CF6" w14:textId="4CA61A46" w:rsidR="005B67E6" w:rsidRPr="00B148F9" w:rsidRDefault="006B47B2" w:rsidP="006B47B2">
      <w:pPr>
        <w:ind w:right="-18"/>
        <w:rPr>
          <w:rFonts w:cs="Arial"/>
          <w:bCs/>
        </w:rPr>
      </w:pPr>
      <w:r w:rsidRPr="00B148F9">
        <w:rPr>
          <w:rFonts w:cs="Arial"/>
          <w:bCs/>
        </w:rPr>
        <w:t xml:space="preserve">As discussed in Note 1, the </w:t>
      </w:r>
      <w:r w:rsidR="00196B8B" w:rsidRPr="00B148F9">
        <w:rPr>
          <w:rFonts w:cs="Arial"/>
          <w:bCs/>
        </w:rPr>
        <w:t>Company</w:t>
      </w:r>
      <w:r w:rsidRPr="00B148F9">
        <w:rPr>
          <w:rFonts w:cs="Arial"/>
          <w:bCs/>
        </w:rPr>
        <w:t xml:space="preserve"> has elected not to offset assets and liabilities in the statement of assets and liabilities. The following table provides disclosure regarding the potential effect of offsetting of recognized assets presented in the statement of assets and liabilities had the </w:t>
      </w:r>
      <w:r w:rsidR="00196B8B" w:rsidRPr="00B148F9">
        <w:rPr>
          <w:rFonts w:cs="Arial"/>
          <w:bCs/>
        </w:rPr>
        <w:t>Company</w:t>
      </w:r>
      <w:r w:rsidRPr="00B148F9">
        <w:rPr>
          <w:rFonts w:cs="Arial"/>
          <w:bCs/>
        </w:rPr>
        <w:t xml:space="preserve"> elected to offset:</w:t>
      </w:r>
    </w:p>
    <w:p w14:paraId="0D864DAB" w14:textId="604DFC79" w:rsidR="006B47B2" w:rsidRPr="00B148F9" w:rsidRDefault="006B47B2" w:rsidP="006B47B2">
      <w:pPr>
        <w:ind w:right="-18"/>
        <w:rPr>
          <w:rFonts w:cs="Arial"/>
          <w:bCs/>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3"/>
        <w:gridCol w:w="851"/>
        <w:gridCol w:w="1701"/>
        <w:gridCol w:w="283"/>
        <w:gridCol w:w="1559"/>
        <w:gridCol w:w="284"/>
        <w:gridCol w:w="1276"/>
        <w:gridCol w:w="425"/>
        <w:gridCol w:w="1134"/>
      </w:tblGrid>
      <w:tr w:rsidR="0089071D" w:rsidRPr="00B148F9" w14:paraId="7A27F7AB" w14:textId="77777777" w:rsidTr="00913AEB">
        <w:tc>
          <w:tcPr>
            <w:tcW w:w="2518" w:type="dxa"/>
            <w:gridSpan w:val="2"/>
            <w:vAlign w:val="bottom"/>
          </w:tcPr>
          <w:p w14:paraId="50B0D2EF" w14:textId="612550D0" w:rsidR="0089071D" w:rsidRPr="00B148F9" w:rsidRDefault="00A533EE" w:rsidP="00814286">
            <w:pPr>
              <w:ind w:right="-18"/>
              <w:rPr>
                <w:rFonts w:cs="Arial"/>
                <w:bCs/>
              </w:rPr>
            </w:pPr>
            <w:r w:rsidRPr="00B148F9">
              <w:rPr>
                <w:rFonts w:cs="Arial"/>
                <w:bCs/>
              </w:rPr>
              <w:t>(in thousands)</w:t>
            </w:r>
          </w:p>
        </w:tc>
        <w:tc>
          <w:tcPr>
            <w:tcW w:w="851" w:type="dxa"/>
          </w:tcPr>
          <w:p w14:paraId="2A9904D9" w14:textId="77777777" w:rsidR="0089071D" w:rsidRPr="00B148F9" w:rsidRDefault="0089071D" w:rsidP="00814286">
            <w:pPr>
              <w:ind w:right="-18"/>
              <w:rPr>
                <w:rFonts w:cs="Arial"/>
                <w:bCs/>
              </w:rPr>
            </w:pPr>
          </w:p>
        </w:tc>
        <w:tc>
          <w:tcPr>
            <w:tcW w:w="1701" w:type="dxa"/>
          </w:tcPr>
          <w:p w14:paraId="4B5BD37F" w14:textId="77777777" w:rsidR="0089071D" w:rsidRPr="00B148F9" w:rsidRDefault="0089071D" w:rsidP="00814286">
            <w:pPr>
              <w:ind w:right="-18"/>
              <w:jc w:val="center"/>
              <w:rPr>
                <w:rFonts w:cs="Arial"/>
                <w:b/>
                <w:bCs/>
              </w:rPr>
            </w:pPr>
          </w:p>
        </w:tc>
        <w:tc>
          <w:tcPr>
            <w:tcW w:w="3827" w:type="dxa"/>
            <w:gridSpan w:val="5"/>
            <w:tcBorders>
              <w:bottom w:val="single" w:sz="18" w:space="0" w:color="auto"/>
            </w:tcBorders>
          </w:tcPr>
          <w:p w14:paraId="09612E37" w14:textId="390F4799" w:rsidR="0089071D" w:rsidRPr="00B148F9" w:rsidRDefault="0089071D" w:rsidP="00814286">
            <w:pPr>
              <w:ind w:right="-18"/>
              <w:jc w:val="center"/>
              <w:rPr>
                <w:rFonts w:cs="Arial"/>
                <w:b/>
                <w:bCs/>
              </w:rPr>
            </w:pPr>
            <w:r w:rsidRPr="00B148F9">
              <w:rPr>
                <w:rFonts w:cs="Arial"/>
                <w:b/>
                <w:bCs/>
              </w:rPr>
              <w:t>Gross amounts not offset in the statement of assets and liabilities</w:t>
            </w:r>
          </w:p>
        </w:tc>
        <w:tc>
          <w:tcPr>
            <w:tcW w:w="1134" w:type="dxa"/>
          </w:tcPr>
          <w:p w14:paraId="70369CBD" w14:textId="77777777" w:rsidR="0089071D" w:rsidRPr="00B148F9" w:rsidRDefault="0089071D" w:rsidP="00814286">
            <w:pPr>
              <w:ind w:right="-18"/>
              <w:jc w:val="center"/>
              <w:rPr>
                <w:rFonts w:cs="Arial"/>
                <w:b/>
                <w:bCs/>
              </w:rPr>
            </w:pPr>
          </w:p>
        </w:tc>
      </w:tr>
      <w:tr w:rsidR="0089071D" w:rsidRPr="00B148F9" w14:paraId="0272EA4B" w14:textId="77777777" w:rsidTr="00913AEB">
        <w:tc>
          <w:tcPr>
            <w:tcW w:w="2518" w:type="dxa"/>
            <w:gridSpan w:val="2"/>
            <w:tcBorders>
              <w:bottom w:val="single" w:sz="18" w:space="0" w:color="auto"/>
            </w:tcBorders>
            <w:vAlign w:val="bottom"/>
          </w:tcPr>
          <w:p w14:paraId="3D54D4F1" w14:textId="1474D1DD" w:rsidR="0089071D" w:rsidRPr="00B148F9" w:rsidRDefault="0089071D" w:rsidP="00814286">
            <w:pPr>
              <w:ind w:right="-18"/>
              <w:rPr>
                <w:rFonts w:cs="Arial"/>
                <w:b/>
                <w:bCs/>
              </w:rPr>
            </w:pPr>
            <w:r w:rsidRPr="00B148F9">
              <w:rPr>
                <w:rFonts w:cs="Arial"/>
                <w:b/>
                <w:bCs/>
              </w:rPr>
              <w:t>Description</w:t>
            </w:r>
          </w:p>
        </w:tc>
        <w:tc>
          <w:tcPr>
            <w:tcW w:w="851" w:type="dxa"/>
          </w:tcPr>
          <w:p w14:paraId="7A79FAB6" w14:textId="77777777" w:rsidR="0089071D" w:rsidRPr="00B148F9" w:rsidRDefault="0089071D" w:rsidP="00814286">
            <w:pPr>
              <w:ind w:right="-18"/>
              <w:rPr>
                <w:rFonts w:cs="Arial"/>
                <w:bCs/>
              </w:rPr>
            </w:pPr>
          </w:p>
        </w:tc>
        <w:tc>
          <w:tcPr>
            <w:tcW w:w="1701" w:type="dxa"/>
            <w:tcBorders>
              <w:bottom w:val="single" w:sz="18" w:space="0" w:color="auto"/>
            </w:tcBorders>
          </w:tcPr>
          <w:p w14:paraId="34941E2A" w14:textId="705568C8" w:rsidR="0089071D" w:rsidRPr="00B148F9" w:rsidRDefault="0089071D" w:rsidP="00814286">
            <w:pPr>
              <w:ind w:right="-18"/>
              <w:jc w:val="center"/>
              <w:rPr>
                <w:rFonts w:cs="Arial"/>
                <w:b/>
                <w:bCs/>
              </w:rPr>
            </w:pPr>
            <w:r w:rsidRPr="00B148F9">
              <w:rPr>
                <w:rFonts w:cs="Arial"/>
                <w:b/>
                <w:bCs/>
              </w:rPr>
              <w:t xml:space="preserve">Gross amounts of recognised assets </w:t>
            </w:r>
            <w:r w:rsidRPr="00B148F9">
              <w:rPr>
                <w:rFonts w:cs="Arial"/>
                <w:b/>
                <w:bCs/>
              </w:rPr>
              <w:lastRenderedPageBreak/>
              <w:t>presented in the statement of assets and liabilities</w:t>
            </w:r>
          </w:p>
        </w:tc>
        <w:tc>
          <w:tcPr>
            <w:tcW w:w="283" w:type="dxa"/>
            <w:tcBorders>
              <w:top w:val="single" w:sz="18" w:space="0" w:color="auto"/>
            </w:tcBorders>
          </w:tcPr>
          <w:p w14:paraId="31560973" w14:textId="77777777" w:rsidR="0089071D" w:rsidRPr="00B148F9" w:rsidRDefault="0089071D" w:rsidP="00814286">
            <w:pPr>
              <w:ind w:right="-18"/>
              <w:jc w:val="center"/>
              <w:rPr>
                <w:rFonts w:cs="Arial"/>
                <w:b/>
                <w:bCs/>
              </w:rPr>
            </w:pPr>
          </w:p>
        </w:tc>
        <w:tc>
          <w:tcPr>
            <w:tcW w:w="1559" w:type="dxa"/>
            <w:tcBorders>
              <w:top w:val="single" w:sz="18" w:space="0" w:color="auto"/>
              <w:bottom w:val="single" w:sz="18" w:space="0" w:color="auto"/>
            </w:tcBorders>
            <w:vAlign w:val="bottom"/>
          </w:tcPr>
          <w:p w14:paraId="4CB55299" w14:textId="547BD05E" w:rsidR="0089071D" w:rsidRPr="00B148F9" w:rsidRDefault="0089071D">
            <w:pPr>
              <w:ind w:right="-18"/>
              <w:jc w:val="center"/>
              <w:rPr>
                <w:rFonts w:cs="Arial"/>
                <w:b/>
                <w:bCs/>
              </w:rPr>
            </w:pPr>
            <w:r w:rsidRPr="00B148F9">
              <w:rPr>
                <w:rFonts w:cs="Arial"/>
                <w:b/>
                <w:bCs/>
              </w:rPr>
              <w:t>Financial instruments</w:t>
            </w:r>
          </w:p>
        </w:tc>
        <w:tc>
          <w:tcPr>
            <w:tcW w:w="284" w:type="dxa"/>
            <w:tcBorders>
              <w:top w:val="single" w:sz="18" w:space="0" w:color="auto"/>
            </w:tcBorders>
            <w:vAlign w:val="bottom"/>
          </w:tcPr>
          <w:p w14:paraId="632E9EE8" w14:textId="77777777" w:rsidR="0089071D" w:rsidRPr="00B148F9" w:rsidRDefault="0089071D">
            <w:pPr>
              <w:ind w:right="-18"/>
              <w:jc w:val="center"/>
              <w:rPr>
                <w:rFonts w:cs="Arial"/>
                <w:bCs/>
              </w:rPr>
            </w:pPr>
          </w:p>
        </w:tc>
        <w:tc>
          <w:tcPr>
            <w:tcW w:w="1276" w:type="dxa"/>
            <w:tcBorders>
              <w:top w:val="single" w:sz="18" w:space="0" w:color="auto"/>
              <w:bottom w:val="single" w:sz="18" w:space="0" w:color="auto"/>
            </w:tcBorders>
            <w:vAlign w:val="bottom"/>
          </w:tcPr>
          <w:p w14:paraId="0E9316A2" w14:textId="2F1FEB42" w:rsidR="0089071D" w:rsidRPr="00B148F9" w:rsidRDefault="0089071D">
            <w:pPr>
              <w:ind w:right="-18"/>
              <w:jc w:val="center"/>
              <w:rPr>
                <w:rFonts w:cs="Arial"/>
                <w:b/>
                <w:bCs/>
              </w:rPr>
            </w:pPr>
            <w:r w:rsidRPr="00B148F9">
              <w:rPr>
                <w:rFonts w:cs="Arial"/>
                <w:b/>
                <w:bCs/>
              </w:rPr>
              <w:t>Cash Collateral received</w:t>
            </w:r>
          </w:p>
        </w:tc>
        <w:tc>
          <w:tcPr>
            <w:tcW w:w="425" w:type="dxa"/>
            <w:tcBorders>
              <w:top w:val="single" w:sz="18" w:space="0" w:color="auto"/>
            </w:tcBorders>
            <w:vAlign w:val="bottom"/>
          </w:tcPr>
          <w:p w14:paraId="3BD7EAFE" w14:textId="77777777" w:rsidR="0089071D" w:rsidRPr="00B148F9" w:rsidRDefault="0089071D">
            <w:pPr>
              <w:ind w:right="-18"/>
              <w:jc w:val="center"/>
              <w:rPr>
                <w:rFonts w:cs="Arial"/>
                <w:b/>
                <w:bCs/>
              </w:rPr>
            </w:pPr>
          </w:p>
        </w:tc>
        <w:tc>
          <w:tcPr>
            <w:tcW w:w="1134" w:type="dxa"/>
            <w:tcBorders>
              <w:bottom w:val="single" w:sz="18" w:space="0" w:color="auto"/>
            </w:tcBorders>
            <w:vAlign w:val="bottom"/>
          </w:tcPr>
          <w:p w14:paraId="655ED735" w14:textId="26D2D021" w:rsidR="0089071D" w:rsidRPr="00B148F9" w:rsidRDefault="0089071D">
            <w:pPr>
              <w:ind w:right="-18"/>
              <w:jc w:val="center"/>
              <w:rPr>
                <w:rFonts w:cs="Arial"/>
                <w:bCs/>
              </w:rPr>
            </w:pPr>
            <w:r w:rsidRPr="00B148F9">
              <w:rPr>
                <w:rFonts w:cs="Arial"/>
                <w:b/>
                <w:bCs/>
              </w:rPr>
              <w:t>Net amount</w:t>
            </w:r>
          </w:p>
        </w:tc>
      </w:tr>
      <w:tr w:rsidR="0089071D" w:rsidRPr="00B148F9" w14:paraId="475A9A64" w14:textId="77777777" w:rsidTr="00913AEB">
        <w:tc>
          <w:tcPr>
            <w:tcW w:w="2235" w:type="dxa"/>
            <w:tcBorders>
              <w:top w:val="single" w:sz="18" w:space="0" w:color="auto"/>
            </w:tcBorders>
          </w:tcPr>
          <w:p w14:paraId="0D92F127" w14:textId="7A88B9BC" w:rsidR="0089071D" w:rsidRPr="00B148F9" w:rsidRDefault="0089071D" w:rsidP="00814286">
            <w:pPr>
              <w:ind w:right="-18"/>
              <w:rPr>
                <w:rFonts w:cs="Arial"/>
                <w:b/>
                <w:bCs/>
              </w:rPr>
            </w:pPr>
            <w:r w:rsidRPr="00B148F9">
              <w:rPr>
                <w:rFonts w:cs="Arial"/>
                <w:b/>
                <w:bCs/>
              </w:rPr>
              <w:t>Equity swaps</w:t>
            </w:r>
          </w:p>
        </w:tc>
        <w:tc>
          <w:tcPr>
            <w:tcW w:w="283" w:type="dxa"/>
            <w:tcBorders>
              <w:top w:val="single" w:sz="18" w:space="0" w:color="auto"/>
            </w:tcBorders>
          </w:tcPr>
          <w:p w14:paraId="593A1799" w14:textId="77777777" w:rsidR="0089071D" w:rsidRPr="00B148F9" w:rsidRDefault="0089071D" w:rsidP="00814286">
            <w:pPr>
              <w:ind w:right="-18"/>
              <w:rPr>
                <w:rFonts w:cs="Arial"/>
                <w:bCs/>
              </w:rPr>
            </w:pPr>
          </w:p>
        </w:tc>
        <w:tc>
          <w:tcPr>
            <w:tcW w:w="851" w:type="dxa"/>
          </w:tcPr>
          <w:p w14:paraId="24A81C6E" w14:textId="77777777" w:rsidR="0089071D" w:rsidRPr="00B148F9" w:rsidRDefault="0089071D" w:rsidP="00814286">
            <w:pPr>
              <w:ind w:right="-18"/>
              <w:rPr>
                <w:rFonts w:cs="Arial"/>
                <w:bCs/>
              </w:rPr>
            </w:pPr>
          </w:p>
        </w:tc>
        <w:tc>
          <w:tcPr>
            <w:tcW w:w="1701" w:type="dxa"/>
            <w:tcBorders>
              <w:top w:val="single" w:sz="18" w:space="0" w:color="auto"/>
            </w:tcBorders>
          </w:tcPr>
          <w:p w14:paraId="60576540" w14:textId="77777777" w:rsidR="0089071D" w:rsidRPr="00B148F9" w:rsidRDefault="0089071D" w:rsidP="00814286">
            <w:pPr>
              <w:ind w:right="-18"/>
              <w:rPr>
                <w:rFonts w:cs="Arial"/>
                <w:bCs/>
              </w:rPr>
            </w:pPr>
          </w:p>
        </w:tc>
        <w:tc>
          <w:tcPr>
            <w:tcW w:w="283" w:type="dxa"/>
          </w:tcPr>
          <w:p w14:paraId="13D4386C" w14:textId="77777777" w:rsidR="0089071D" w:rsidRPr="00B148F9" w:rsidRDefault="0089071D" w:rsidP="00814286">
            <w:pPr>
              <w:ind w:right="-18"/>
              <w:rPr>
                <w:rFonts w:cs="Arial"/>
                <w:bCs/>
              </w:rPr>
            </w:pPr>
          </w:p>
        </w:tc>
        <w:tc>
          <w:tcPr>
            <w:tcW w:w="1559" w:type="dxa"/>
            <w:tcBorders>
              <w:top w:val="single" w:sz="18" w:space="0" w:color="auto"/>
            </w:tcBorders>
          </w:tcPr>
          <w:p w14:paraId="4F85377D" w14:textId="77777777" w:rsidR="0089071D" w:rsidRPr="00B148F9" w:rsidRDefault="0089071D" w:rsidP="00814286">
            <w:pPr>
              <w:ind w:right="-18"/>
              <w:rPr>
                <w:rFonts w:cs="Arial"/>
                <w:bCs/>
              </w:rPr>
            </w:pPr>
          </w:p>
        </w:tc>
        <w:tc>
          <w:tcPr>
            <w:tcW w:w="284" w:type="dxa"/>
          </w:tcPr>
          <w:p w14:paraId="44AE8F5A" w14:textId="77777777" w:rsidR="0089071D" w:rsidRPr="00B148F9" w:rsidRDefault="0089071D" w:rsidP="00814286">
            <w:pPr>
              <w:ind w:right="-18"/>
              <w:rPr>
                <w:rFonts w:cs="Arial"/>
                <w:bCs/>
              </w:rPr>
            </w:pPr>
          </w:p>
        </w:tc>
        <w:tc>
          <w:tcPr>
            <w:tcW w:w="1276" w:type="dxa"/>
            <w:tcBorders>
              <w:top w:val="single" w:sz="18" w:space="0" w:color="auto"/>
            </w:tcBorders>
          </w:tcPr>
          <w:p w14:paraId="77BE3A78" w14:textId="77777777" w:rsidR="0089071D" w:rsidRPr="00B148F9" w:rsidRDefault="0089071D" w:rsidP="00814286">
            <w:pPr>
              <w:ind w:right="-18"/>
              <w:rPr>
                <w:rFonts w:cs="Arial"/>
                <w:bCs/>
              </w:rPr>
            </w:pPr>
          </w:p>
        </w:tc>
        <w:tc>
          <w:tcPr>
            <w:tcW w:w="425" w:type="dxa"/>
          </w:tcPr>
          <w:p w14:paraId="57D6186F" w14:textId="77777777" w:rsidR="0089071D" w:rsidRPr="00B148F9" w:rsidRDefault="0089071D" w:rsidP="00814286">
            <w:pPr>
              <w:ind w:right="-18"/>
              <w:rPr>
                <w:rFonts w:cs="Arial"/>
                <w:bCs/>
              </w:rPr>
            </w:pPr>
          </w:p>
        </w:tc>
        <w:tc>
          <w:tcPr>
            <w:tcW w:w="1134" w:type="dxa"/>
            <w:tcBorders>
              <w:top w:val="single" w:sz="18" w:space="0" w:color="auto"/>
            </w:tcBorders>
          </w:tcPr>
          <w:p w14:paraId="4B744A7E" w14:textId="77777777" w:rsidR="0089071D" w:rsidRPr="00B148F9" w:rsidRDefault="0089071D" w:rsidP="00814286">
            <w:pPr>
              <w:ind w:right="-18"/>
              <w:rPr>
                <w:rFonts w:cs="Arial"/>
                <w:bCs/>
              </w:rPr>
            </w:pPr>
          </w:p>
        </w:tc>
      </w:tr>
      <w:tr w:rsidR="0089071D" w:rsidRPr="00B148F9" w14:paraId="6484D7A4" w14:textId="77777777" w:rsidTr="00A533EE">
        <w:tc>
          <w:tcPr>
            <w:tcW w:w="2518" w:type="dxa"/>
            <w:gridSpan w:val="2"/>
          </w:tcPr>
          <w:p w14:paraId="65A66CD8" w14:textId="0189A863" w:rsidR="0089071D" w:rsidRPr="00B148F9" w:rsidRDefault="006C5486" w:rsidP="00B746FC">
            <w:pPr>
              <w:ind w:right="-18"/>
              <w:jc w:val="left"/>
              <w:rPr>
                <w:rFonts w:cs="Arial"/>
                <w:bCs/>
              </w:rPr>
            </w:pPr>
            <w:r w:rsidRPr="00B148F9">
              <w:rPr>
                <w:rFonts w:cs="Arial"/>
                <w:bCs/>
              </w:rPr>
              <w:t>Cowen</w:t>
            </w:r>
            <w:r w:rsidR="00A533EE" w:rsidRPr="00B148F9">
              <w:rPr>
                <w:rFonts w:cs="Arial"/>
                <w:bCs/>
              </w:rPr>
              <w:t xml:space="preserve"> Financial Products, LLC</w:t>
            </w:r>
          </w:p>
        </w:tc>
        <w:tc>
          <w:tcPr>
            <w:tcW w:w="851" w:type="dxa"/>
          </w:tcPr>
          <w:p w14:paraId="3CAA7F19" w14:textId="77777777" w:rsidR="0089071D" w:rsidRPr="00B148F9" w:rsidRDefault="0089071D" w:rsidP="00814286">
            <w:pPr>
              <w:ind w:right="-18"/>
              <w:rPr>
                <w:rFonts w:cs="Arial"/>
                <w:bCs/>
              </w:rPr>
            </w:pPr>
          </w:p>
        </w:tc>
        <w:tc>
          <w:tcPr>
            <w:tcW w:w="1701" w:type="dxa"/>
            <w:tcBorders>
              <w:bottom w:val="single" w:sz="12" w:space="0" w:color="auto"/>
            </w:tcBorders>
            <w:vAlign w:val="bottom"/>
          </w:tcPr>
          <w:p w14:paraId="73DAB9BF" w14:textId="190D81A2" w:rsidR="0089071D" w:rsidRPr="00B148F9" w:rsidRDefault="00A24CAD">
            <w:pPr>
              <w:ind w:right="-18"/>
              <w:jc w:val="right"/>
              <w:rPr>
                <w:rFonts w:cs="Arial"/>
                <w:bCs/>
              </w:rPr>
            </w:pPr>
            <w:r w:rsidRPr="00B148F9">
              <w:rPr>
                <w:rFonts w:cs="Arial"/>
                <w:bCs/>
              </w:rPr>
              <w:t>1,326</w:t>
            </w:r>
          </w:p>
        </w:tc>
        <w:tc>
          <w:tcPr>
            <w:tcW w:w="283" w:type="dxa"/>
            <w:vAlign w:val="bottom"/>
          </w:tcPr>
          <w:p w14:paraId="2914C229" w14:textId="77777777" w:rsidR="0089071D" w:rsidRPr="00B148F9" w:rsidRDefault="0089071D" w:rsidP="00DE3E70">
            <w:pPr>
              <w:ind w:right="-18"/>
              <w:jc w:val="right"/>
              <w:rPr>
                <w:rFonts w:cs="Arial"/>
                <w:bCs/>
              </w:rPr>
            </w:pPr>
          </w:p>
        </w:tc>
        <w:tc>
          <w:tcPr>
            <w:tcW w:w="1559" w:type="dxa"/>
            <w:vAlign w:val="bottom"/>
          </w:tcPr>
          <w:p w14:paraId="1C69566B" w14:textId="5DE90BE0" w:rsidR="0089071D" w:rsidRPr="00B148F9" w:rsidRDefault="000964A8">
            <w:pPr>
              <w:ind w:right="-18"/>
              <w:jc w:val="right"/>
              <w:rPr>
                <w:rFonts w:cs="Arial"/>
                <w:bCs/>
              </w:rPr>
            </w:pPr>
            <w:r w:rsidRPr="00B148F9">
              <w:rPr>
                <w:rFonts w:cs="Arial"/>
                <w:bCs/>
              </w:rPr>
              <w:t>-</w:t>
            </w:r>
          </w:p>
        </w:tc>
        <w:tc>
          <w:tcPr>
            <w:tcW w:w="284" w:type="dxa"/>
            <w:vAlign w:val="bottom"/>
          </w:tcPr>
          <w:p w14:paraId="10251134" w14:textId="77777777" w:rsidR="0089071D" w:rsidRPr="00B148F9" w:rsidRDefault="0089071D" w:rsidP="00DE3E70">
            <w:pPr>
              <w:ind w:right="-18"/>
              <w:jc w:val="right"/>
              <w:rPr>
                <w:rFonts w:cs="Arial"/>
                <w:bCs/>
              </w:rPr>
            </w:pPr>
          </w:p>
        </w:tc>
        <w:tc>
          <w:tcPr>
            <w:tcW w:w="1276" w:type="dxa"/>
            <w:tcBorders>
              <w:bottom w:val="single" w:sz="12" w:space="0" w:color="auto"/>
            </w:tcBorders>
            <w:vAlign w:val="bottom"/>
          </w:tcPr>
          <w:p w14:paraId="7911B28E" w14:textId="4CA99D77" w:rsidR="0089071D" w:rsidRPr="00B148F9" w:rsidRDefault="00A24CAD" w:rsidP="00DE3E70">
            <w:pPr>
              <w:ind w:right="-18"/>
              <w:jc w:val="right"/>
              <w:rPr>
                <w:rFonts w:cs="Arial"/>
                <w:bCs/>
              </w:rPr>
            </w:pPr>
            <w:r w:rsidRPr="00B148F9">
              <w:rPr>
                <w:rFonts w:cs="Arial"/>
                <w:bCs/>
              </w:rPr>
              <w:t>-</w:t>
            </w:r>
          </w:p>
        </w:tc>
        <w:tc>
          <w:tcPr>
            <w:tcW w:w="425" w:type="dxa"/>
            <w:vAlign w:val="bottom"/>
          </w:tcPr>
          <w:p w14:paraId="36FBFA68" w14:textId="77777777" w:rsidR="0089071D" w:rsidRPr="00B148F9" w:rsidRDefault="0089071D" w:rsidP="00DE3E70">
            <w:pPr>
              <w:ind w:right="-18"/>
              <w:jc w:val="right"/>
              <w:rPr>
                <w:rFonts w:cs="Arial"/>
                <w:bCs/>
              </w:rPr>
            </w:pPr>
          </w:p>
        </w:tc>
        <w:tc>
          <w:tcPr>
            <w:tcW w:w="1134" w:type="dxa"/>
            <w:vAlign w:val="bottom"/>
          </w:tcPr>
          <w:p w14:paraId="7BC23554" w14:textId="02D29126" w:rsidR="0089071D" w:rsidRPr="00B148F9" w:rsidRDefault="00A24CAD" w:rsidP="000964A8">
            <w:pPr>
              <w:ind w:right="-18"/>
              <w:jc w:val="right"/>
              <w:rPr>
                <w:rFonts w:cs="Arial"/>
                <w:bCs/>
              </w:rPr>
            </w:pPr>
            <w:r w:rsidRPr="00B148F9">
              <w:rPr>
                <w:rFonts w:cs="Arial"/>
                <w:bCs/>
              </w:rPr>
              <w:t>1,</w:t>
            </w:r>
            <w:r w:rsidR="000964A8" w:rsidRPr="00B148F9">
              <w:rPr>
                <w:rFonts w:cs="Arial"/>
                <w:bCs/>
              </w:rPr>
              <w:t>326</w:t>
            </w:r>
          </w:p>
        </w:tc>
      </w:tr>
      <w:tr w:rsidR="0089071D" w:rsidRPr="00B148F9" w14:paraId="1A9AEF56" w14:textId="77777777" w:rsidTr="00A533EE">
        <w:tc>
          <w:tcPr>
            <w:tcW w:w="2235" w:type="dxa"/>
          </w:tcPr>
          <w:p w14:paraId="55ABAC79" w14:textId="77777777" w:rsidR="0089071D" w:rsidRPr="00B148F9" w:rsidRDefault="0089071D" w:rsidP="00814286">
            <w:pPr>
              <w:ind w:right="-18"/>
              <w:rPr>
                <w:rFonts w:cs="Arial"/>
                <w:bCs/>
              </w:rPr>
            </w:pPr>
          </w:p>
        </w:tc>
        <w:tc>
          <w:tcPr>
            <w:tcW w:w="283" w:type="dxa"/>
          </w:tcPr>
          <w:p w14:paraId="36046EF5" w14:textId="77777777" w:rsidR="0089071D" w:rsidRPr="00B148F9" w:rsidRDefault="0089071D" w:rsidP="00814286">
            <w:pPr>
              <w:ind w:right="-18"/>
              <w:rPr>
                <w:rFonts w:cs="Arial"/>
                <w:bCs/>
              </w:rPr>
            </w:pPr>
          </w:p>
        </w:tc>
        <w:tc>
          <w:tcPr>
            <w:tcW w:w="851" w:type="dxa"/>
          </w:tcPr>
          <w:p w14:paraId="63216E0A" w14:textId="77777777" w:rsidR="0089071D" w:rsidRPr="00B148F9" w:rsidRDefault="0089071D" w:rsidP="00814286">
            <w:pPr>
              <w:ind w:right="-18"/>
              <w:rPr>
                <w:rFonts w:cs="Arial"/>
                <w:bCs/>
              </w:rPr>
            </w:pPr>
          </w:p>
        </w:tc>
        <w:tc>
          <w:tcPr>
            <w:tcW w:w="1701" w:type="dxa"/>
            <w:tcBorders>
              <w:top w:val="single" w:sz="12" w:space="0" w:color="auto"/>
              <w:bottom w:val="single" w:sz="18" w:space="0" w:color="auto"/>
            </w:tcBorders>
            <w:vAlign w:val="bottom"/>
          </w:tcPr>
          <w:p w14:paraId="148768F3" w14:textId="63077C22" w:rsidR="0089071D" w:rsidRPr="00B148F9" w:rsidRDefault="00A24CAD">
            <w:pPr>
              <w:ind w:right="-18"/>
              <w:jc w:val="right"/>
              <w:rPr>
                <w:rFonts w:cs="Arial"/>
                <w:bCs/>
              </w:rPr>
            </w:pPr>
            <w:r w:rsidRPr="00B148F9">
              <w:rPr>
                <w:rFonts w:cs="Arial"/>
                <w:bCs/>
              </w:rPr>
              <w:t>1,326</w:t>
            </w:r>
          </w:p>
        </w:tc>
        <w:tc>
          <w:tcPr>
            <w:tcW w:w="283" w:type="dxa"/>
            <w:vAlign w:val="bottom"/>
          </w:tcPr>
          <w:p w14:paraId="29D1FAA9" w14:textId="77777777" w:rsidR="0089071D" w:rsidRPr="00B148F9" w:rsidRDefault="0089071D" w:rsidP="00DE3E70">
            <w:pPr>
              <w:ind w:right="-18"/>
              <w:jc w:val="right"/>
              <w:rPr>
                <w:rFonts w:cs="Arial"/>
                <w:bCs/>
              </w:rPr>
            </w:pPr>
          </w:p>
        </w:tc>
        <w:tc>
          <w:tcPr>
            <w:tcW w:w="1559" w:type="dxa"/>
            <w:tcBorders>
              <w:top w:val="single" w:sz="12" w:space="0" w:color="auto"/>
              <w:bottom w:val="single" w:sz="18" w:space="0" w:color="auto"/>
            </w:tcBorders>
            <w:vAlign w:val="bottom"/>
          </w:tcPr>
          <w:p w14:paraId="7789EAB3" w14:textId="6E04123E" w:rsidR="0089071D" w:rsidRPr="00B148F9" w:rsidRDefault="000964A8">
            <w:pPr>
              <w:ind w:right="-18"/>
              <w:jc w:val="right"/>
              <w:rPr>
                <w:rFonts w:cs="Arial"/>
                <w:bCs/>
              </w:rPr>
            </w:pPr>
            <w:r w:rsidRPr="00B148F9">
              <w:rPr>
                <w:rFonts w:cs="Arial"/>
                <w:bCs/>
              </w:rPr>
              <w:t>-</w:t>
            </w:r>
          </w:p>
        </w:tc>
        <w:tc>
          <w:tcPr>
            <w:tcW w:w="284" w:type="dxa"/>
            <w:vAlign w:val="bottom"/>
          </w:tcPr>
          <w:p w14:paraId="00FDD5E8" w14:textId="77777777" w:rsidR="0089071D" w:rsidRPr="00B148F9" w:rsidRDefault="0089071D" w:rsidP="00DE3E70">
            <w:pPr>
              <w:ind w:right="-18"/>
              <w:jc w:val="right"/>
              <w:rPr>
                <w:rFonts w:cs="Arial"/>
                <w:bCs/>
              </w:rPr>
            </w:pPr>
          </w:p>
        </w:tc>
        <w:tc>
          <w:tcPr>
            <w:tcW w:w="1276" w:type="dxa"/>
            <w:tcBorders>
              <w:top w:val="single" w:sz="12" w:space="0" w:color="auto"/>
              <w:bottom w:val="single" w:sz="12" w:space="0" w:color="auto"/>
            </w:tcBorders>
            <w:vAlign w:val="bottom"/>
          </w:tcPr>
          <w:p w14:paraId="2503E8F2" w14:textId="757A9DAA" w:rsidR="0089071D" w:rsidRPr="00B148F9" w:rsidRDefault="00A24CAD" w:rsidP="00DE3E70">
            <w:pPr>
              <w:ind w:right="-18"/>
              <w:jc w:val="right"/>
              <w:rPr>
                <w:rFonts w:cs="Arial"/>
                <w:bCs/>
              </w:rPr>
            </w:pPr>
            <w:r w:rsidRPr="00B148F9">
              <w:rPr>
                <w:rFonts w:cs="Arial"/>
                <w:bCs/>
              </w:rPr>
              <w:t>-</w:t>
            </w:r>
          </w:p>
        </w:tc>
        <w:tc>
          <w:tcPr>
            <w:tcW w:w="425" w:type="dxa"/>
            <w:vAlign w:val="bottom"/>
          </w:tcPr>
          <w:p w14:paraId="220C4038" w14:textId="77777777" w:rsidR="0089071D" w:rsidRPr="00B148F9" w:rsidRDefault="0089071D" w:rsidP="00DE3E70">
            <w:pPr>
              <w:ind w:right="-18"/>
              <w:jc w:val="right"/>
              <w:rPr>
                <w:rFonts w:cs="Arial"/>
                <w:bCs/>
              </w:rPr>
            </w:pPr>
          </w:p>
        </w:tc>
        <w:tc>
          <w:tcPr>
            <w:tcW w:w="1134" w:type="dxa"/>
            <w:tcBorders>
              <w:top w:val="single" w:sz="12" w:space="0" w:color="auto"/>
              <w:bottom w:val="single" w:sz="18" w:space="0" w:color="auto"/>
            </w:tcBorders>
            <w:vAlign w:val="bottom"/>
          </w:tcPr>
          <w:p w14:paraId="4B085B14" w14:textId="067C8F1A" w:rsidR="0089071D" w:rsidRPr="00B148F9" w:rsidRDefault="000964A8">
            <w:pPr>
              <w:ind w:right="-18"/>
              <w:jc w:val="right"/>
              <w:rPr>
                <w:rFonts w:cs="Arial"/>
                <w:bCs/>
              </w:rPr>
            </w:pPr>
            <w:r w:rsidRPr="00B148F9">
              <w:rPr>
                <w:rFonts w:cs="Arial"/>
                <w:bCs/>
              </w:rPr>
              <w:t>1,326</w:t>
            </w:r>
          </w:p>
        </w:tc>
      </w:tr>
    </w:tbl>
    <w:p w14:paraId="67F7C83E" w14:textId="77777777" w:rsidR="00436B09" w:rsidRPr="00B148F9" w:rsidRDefault="00436B09" w:rsidP="00D84F13">
      <w:pPr>
        <w:ind w:right="-18"/>
        <w:rPr>
          <w:rFonts w:cs="Arial"/>
          <w:bCs/>
        </w:rPr>
      </w:pPr>
    </w:p>
    <w:p w14:paraId="36DD20D0" w14:textId="16F975DE" w:rsidR="005B67E6" w:rsidRPr="00B148F9" w:rsidRDefault="00D84F13" w:rsidP="00C4780E">
      <w:pPr>
        <w:ind w:right="-18"/>
        <w:rPr>
          <w:rFonts w:cs="Arial"/>
          <w:bCs/>
        </w:rPr>
      </w:pPr>
      <w:r w:rsidRPr="00B148F9">
        <w:rPr>
          <w:rFonts w:cs="Arial"/>
          <w:bCs/>
        </w:rPr>
        <w:t xml:space="preserve">The following table provides disclosure regarding the potential effect of offsetting of recognized liabilities presented in the statement of assets and liabilities had the </w:t>
      </w:r>
      <w:r w:rsidR="00196B8B" w:rsidRPr="00B148F9">
        <w:rPr>
          <w:rFonts w:cs="Arial"/>
          <w:bCs/>
        </w:rPr>
        <w:t>Company</w:t>
      </w:r>
      <w:r w:rsidRPr="00B148F9">
        <w:rPr>
          <w:rFonts w:cs="Arial"/>
          <w:bCs/>
        </w:rPr>
        <w:t xml:space="preserve"> elected to offset:</w:t>
      </w:r>
    </w:p>
    <w:p w14:paraId="4EA7C533" w14:textId="259B1D21" w:rsidR="00685E38" w:rsidRPr="00B148F9" w:rsidRDefault="00685E38" w:rsidP="00C4780E">
      <w:pPr>
        <w:ind w:right="-18"/>
        <w:rPr>
          <w:rFonts w:cs="Arial"/>
          <w:bCs/>
        </w:rPr>
      </w:pPr>
    </w:p>
    <w:p w14:paraId="67C6332A" w14:textId="77777777" w:rsidR="000202D1" w:rsidRPr="00B148F9" w:rsidRDefault="000202D1" w:rsidP="00C4780E">
      <w:pPr>
        <w:ind w:right="-18"/>
        <w:rPr>
          <w:rFonts w:cs="Arial"/>
          <w:bCs/>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3"/>
        <w:gridCol w:w="851"/>
        <w:gridCol w:w="1701"/>
        <w:gridCol w:w="283"/>
        <w:gridCol w:w="1559"/>
        <w:gridCol w:w="284"/>
        <w:gridCol w:w="1276"/>
        <w:gridCol w:w="425"/>
        <w:gridCol w:w="1134"/>
      </w:tblGrid>
      <w:tr w:rsidR="007020ED" w:rsidRPr="00B148F9" w14:paraId="3E182D47" w14:textId="77777777" w:rsidTr="00814286">
        <w:tc>
          <w:tcPr>
            <w:tcW w:w="2518" w:type="dxa"/>
            <w:gridSpan w:val="2"/>
            <w:vAlign w:val="bottom"/>
          </w:tcPr>
          <w:p w14:paraId="2BF2C468" w14:textId="3C867F81" w:rsidR="007020ED" w:rsidRPr="00B148F9" w:rsidRDefault="00FF3B93" w:rsidP="00814286">
            <w:pPr>
              <w:ind w:right="-18"/>
              <w:rPr>
                <w:rFonts w:cs="Arial"/>
                <w:b/>
                <w:bCs/>
              </w:rPr>
            </w:pPr>
            <w:r w:rsidRPr="00B148F9">
              <w:rPr>
                <w:rFonts w:cs="Arial"/>
                <w:bCs/>
              </w:rPr>
              <w:t>(in thousands)</w:t>
            </w:r>
          </w:p>
        </w:tc>
        <w:tc>
          <w:tcPr>
            <w:tcW w:w="851" w:type="dxa"/>
          </w:tcPr>
          <w:p w14:paraId="1B659A08" w14:textId="77777777" w:rsidR="007020ED" w:rsidRPr="00B148F9" w:rsidRDefault="007020ED" w:rsidP="00814286">
            <w:pPr>
              <w:ind w:right="-18"/>
              <w:rPr>
                <w:rFonts w:cs="Arial"/>
                <w:bCs/>
              </w:rPr>
            </w:pPr>
          </w:p>
        </w:tc>
        <w:tc>
          <w:tcPr>
            <w:tcW w:w="1701" w:type="dxa"/>
          </w:tcPr>
          <w:p w14:paraId="23D2ECFD" w14:textId="77777777" w:rsidR="007020ED" w:rsidRPr="00B148F9" w:rsidRDefault="007020ED" w:rsidP="00814286">
            <w:pPr>
              <w:ind w:right="-18"/>
              <w:jc w:val="center"/>
              <w:rPr>
                <w:rFonts w:cs="Arial"/>
                <w:b/>
                <w:bCs/>
              </w:rPr>
            </w:pPr>
          </w:p>
        </w:tc>
        <w:tc>
          <w:tcPr>
            <w:tcW w:w="3827" w:type="dxa"/>
            <w:gridSpan w:val="5"/>
            <w:tcBorders>
              <w:bottom w:val="single" w:sz="18" w:space="0" w:color="auto"/>
            </w:tcBorders>
          </w:tcPr>
          <w:p w14:paraId="6DDA75B5" w14:textId="77777777" w:rsidR="007020ED" w:rsidRPr="00B148F9" w:rsidRDefault="007020ED" w:rsidP="00814286">
            <w:pPr>
              <w:ind w:right="-18"/>
              <w:jc w:val="center"/>
              <w:rPr>
                <w:rFonts w:cs="Arial"/>
                <w:b/>
                <w:bCs/>
              </w:rPr>
            </w:pPr>
            <w:r w:rsidRPr="00B148F9">
              <w:rPr>
                <w:rFonts w:cs="Arial"/>
                <w:b/>
                <w:bCs/>
              </w:rPr>
              <w:t>Gross amounts not offset in the statement of assets and liabilities</w:t>
            </w:r>
          </w:p>
        </w:tc>
        <w:tc>
          <w:tcPr>
            <w:tcW w:w="1134" w:type="dxa"/>
          </w:tcPr>
          <w:p w14:paraId="70E28BC0" w14:textId="77777777" w:rsidR="007020ED" w:rsidRPr="00B148F9" w:rsidRDefault="007020ED" w:rsidP="00814286">
            <w:pPr>
              <w:ind w:right="-18"/>
              <w:jc w:val="center"/>
              <w:rPr>
                <w:rFonts w:cs="Arial"/>
                <w:b/>
                <w:bCs/>
              </w:rPr>
            </w:pPr>
          </w:p>
        </w:tc>
      </w:tr>
      <w:tr w:rsidR="007020ED" w:rsidRPr="00B148F9" w14:paraId="7B651D72" w14:textId="77777777" w:rsidTr="00814286">
        <w:tc>
          <w:tcPr>
            <w:tcW w:w="2518" w:type="dxa"/>
            <w:gridSpan w:val="2"/>
            <w:tcBorders>
              <w:bottom w:val="single" w:sz="18" w:space="0" w:color="auto"/>
            </w:tcBorders>
            <w:vAlign w:val="bottom"/>
          </w:tcPr>
          <w:p w14:paraId="408DBF41" w14:textId="77777777" w:rsidR="007020ED" w:rsidRPr="00B148F9" w:rsidRDefault="007020ED" w:rsidP="00814286">
            <w:pPr>
              <w:ind w:right="-18"/>
              <w:rPr>
                <w:rFonts w:cs="Arial"/>
                <w:b/>
                <w:bCs/>
              </w:rPr>
            </w:pPr>
            <w:r w:rsidRPr="00B148F9">
              <w:rPr>
                <w:rFonts w:cs="Arial"/>
                <w:b/>
                <w:bCs/>
              </w:rPr>
              <w:t>Description</w:t>
            </w:r>
          </w:p>
        </w:tc>
        <w:tc>
          <w:tcPr>
            <w:tcW w:w="851" w:type="dxa"/>
          </w:tcPr>
          <w:p w14:paraId="18EEFEE0" w14:textId="77777777" w:rsidR="007020ED" w:rsidRPr="00B148F9" w:rsidRDefault="007020ED" w:rsidP="00814286">
            <w:pPr>
              <w:ind w:right="-18"/>
              <w:rPr>
                <w:rFonts w:cs="Arial"/>
                <w:bCs/>
              </w:rPr>
            </w:pPr>
          </w:p>
        </w:tc>
        <w:tc>
          <w:tcPr>
            <w:tcW w:w="1701" w:type="dxa"/>
            <w:tcBorders>
              <w:bottom w:val="single" w:sz="18" w:space="0" w:color="auto"/>
            </w:tcBorders>
          </w:tcPr>
          <w:p w14:paraId="23B49E2F" w14:textId="19591BA7" w:rsidR="007020ED" w:rsidRPr="00B148F9" w:rsidRDefault="007020ED">
            <w:pPr>
              <w:ind w:right="-18"/>
              <w:jc w:val="center"/>
              <w:rPr>
                <w:rFonts w:cs="Arial"/>
                <w:b/>
                <w:bCs/>
              </w:rPr>
            </w:pPr>
            <w:r w:rsidRPr="00B148F9">
              <w:rPr>
                <w:rFonts w:cs="Arial"/>
                <w:b/>
                <w:bCs/>
              </w:rPr>
              <w:t>Gross amounts of recognised liabilities presented in the statement of assets and liabilities</w:t>
            </w:r>
          </w:p>
        </w:tc>
        <w:tc>
          <w:tcPr>
            <w:tcW w:w="283" w:type="dxa"/>
            <w:tcBorders>
              <w:top w:val="single" w:sz="18" w:space="0" w:color="auto"/>
            </w:tcBorders>
          </w:tcPr>
          <w:p w14:paraId="63253D80" w14:textId="77777777" w:rsidR="007020ED" w:rsidRPr="00B148F9" w:rsidRDefault="007020ED" w:rsidP="00814286">
            <w:pPr>
              <w:ind w:right="-18"/>
              <w:jc w:val="center"/>
              <w:rPr>
                <w:rFonts w:cs="Arial"/>
                <w:b/>
                <w:bCs/>
              </w:rPr>
            </w:pPr>
          </w:p>
        </w:tc>
        <w:tc>
          <w:tcPr>
            <w:tcW w:w="1559" w:type="dxa"/>
            <w:tcBorders>
              <w:top w:val="single" w:sz="18" w:space="0" w:color="auto"/>
              <w:bottom w:val="single" w:sz="18" w:space="0" w:color="auto"/>
            </w:tcBorders>
            <w:vAlign w:val="bottom"/>
          </w:tcPr>
          <w:p w14:paraId="26B53BD5" w14:textId="77777777" w:rsidR="007020ED" w:rsidRPr="00B148F9" w:rsidRDefault="007020ED" w:rsidP="00814286">
            <w:pPr>
              <w:ind w:right="-18"/>
              <w:jc w:val="center"/>
              <w:rPr>
                <w:rFonts w:cs="Arial"/>
                <w:b/>
                <w:bCs/>
              </w:rPr>
            </w:pPr>
            <w:r w:rsidRPr="00B148F9">
              <w:rPr>
                <w:rFonts w:cs="Arial"/>
                <w:b/>
                <w:bCs/>
              </w:rPr>
              <w:t>Financial instruments</w:t>
            </w:r>
          </w:p>
        </w:tc>
        <w:tc>
          <w:tcPr>
            <w:tcW w:w="284" w:type="dxa"/>
            <w:tcBorders>
              <w:top w:val="single" w:sz="18" w:space="0" w:color="auto"/>
            </w:tcBorders>
            <w:vAlign w:val="bottom"/>
          </w:tcPr>
          <w:p w14:paraId="11C5162D" w14:textId="77777777" w:rsidR="007020ED" w:rsidRPr="00B148F9" w:rsidRDefault="007020ED" w:rsidP="00814286">
            <w:pPr>
              <w:ind w:right="-18"/>
              <w:jc w:val="center"/>
              <w:rPr>
                <w:rFonts w:cs="Arial"/>
                <w:bCs/>
              </w:rPr>
            </w:pPr>
          </w:p>
        </w:tc>
        <w:tc>
          <w:tcPr>
            <w:tcW w:w="1276" w:type="dxa"/>
            <w:tcBorders>
              <w:top w:val="single" w:sz="18" w:space="0" w:color="auto"/>
              <w:bottom w:val="single" w:sz="18" w:space="0" w:color="auto"/>
            </w:tcBorders>
            <w:vAlign w:val="bottom"/>
          </w:tcPr>
          <w:p w14:paraId="50F06DE0" w14:textId="22BBB89D" w:rsidR="007020ED" w:rsidRPr="00B148F9" w:rsidRDefault="007020ED">
            <w:pPr>
              <w:ind w:right="-18"/>
              <w:jc w:val="center"/>
              <w:rPr>
                <w:rFonts w:cs="Arial"/>
                <w:b/>
                <w:bCs/>
              </w:rPr>
            </w:pPr>
            <w:r w:rsidRPr="00B148F9">
              <w:rPr>
                <w:rFonts w:cs="Arial"/>
                <w:b/>
                <w:bCs/>
              </w:rPr>
              <w:t>Cash Collateral pledged</w:t>
            </w:r>
          </w:p>
        </w:tc>
        <w:tc>
          <w:tcPr>
            <w:tcW w:w="425" w:type="dxa"/>
            <w:tcBorders>
              <w:top w:val="single" w:sz="18" w:space="0" w:color="auto"/>
            </w:tcBorders>
            <w:vAlign w:val="bottom"/>
          </w:tcPr>
          <w:p w14:paraId="32B406B0" w14:textId="77777777" w:rsidR="007020ED" w:rsidRPr="00B148F9" w:rsidRDefault="007020ED" w:rsidP="00814286">
            <w:pPr>
              <w:ind w:right="-18"/>
              <w:jc w:val="center"/>
              <w:rPr>
                <w:rFonts w:cs="Arial"/>
                <w:b/>
                <w:bCs/>
              </w:rPr>
            </w:pPr>
          </w:p>
        </w:tc>
        <w:tc>
          <w:tcPr>
            <w:tcW w:w="1134" w:type="dxa"/>
            <w:tcBorders>
              <w:bottom w:val="single" w:sz="18" w:space="0" w:color="auto"/>
            </w:tcBorders>
            <w:vAlign w:val="bottom"/>
          </w:tcPr>
          <w:p w14:paraId="3F715F63" w14:textId="77777777" w:rsidR="007020ED" w:rsidRPr="00B148F9" w:rsidRDefault="007020ED" w:rsidP="00814286">
            <w:pPr>
              <w:ind w:right="-18"/>
              <w:jc w:val="center"/>
              <w:rPr>
                <w:rFonts w:cs="Arial"/>
                <w:bCs/>
              </w:rPr>
            </w:pPr>
            <w:r w:rsidRPr="00B148F9">
              <w:rPr>
                <w:rFonts w:cs="Arial"/>
                <w:b/>
                <w:bCs/>
              </w:rPr>
              <w:t>Net amount</w:t>
            </w:r>
          </w:p>
        </w:tc>
      </w:tr>
      <w:tr w:rsidR="007020ED" w:rsidRPr="00B148F9" w14:paraId="03EE7C6A" w14:textId="77777777" w:rsidTr="00814286">
        <w:tc>
          <w:tcPr>
            <w:tcW w:w="2235" w:type="dxa"/>
            <w:tcBorders>
              <w:top w:val="single" w:sz="18" w:space="0" w:color="auto"/>
            </w:tcBorders>
          </w:tcPr>
          <w:p w14:paraId="71279F5D" w14:textId="77777777" w:rsidR="007020ED" w:rsidRPr="00B148F9" w:rsidRDefault="007020ED" w:rsidP="00814286">
            <w:pPr>
              <w:ind w:right="-18"/>
              <w:rPr>
                <w:rFonts w:cs="Arial"/>
                <w:b/>
                <w:bCs/>
              </w:rPr>
            </w:pPr>
            <w:r w:rsidRPr="00B148F9">
              <w:rPr>
                <w:rFonts w:cs="Arial"/>
                <w:b/>
                <w:bCs/>
              </w:rPr>
              <w:t>Equity swaps</w:t>
            </w:r>
          </w:p>
        </w:tc>
        <w:tc>
          <w:tcPr>
            <w:tcW w:w="283" w:type="dxa"/>
            <w:tcBorders>
              <w:top w:val="single" w:sz="18" w:space="0" w:color="auto"/>
            </w:tcBorders>
          </w:tcPr>
          <w:p w14:paraId="1819A3DB" w14:textId="77777777" w:rsidR="007020ED" w:rsidRPr="00B148F9" w:rsidRDefault="007020ED" w:rsidP="00814286">
            <w:pPr>
              <w:ind w:right="-18"/>
              <w:rPr>
                <w:rFonts w:cs="Arial"/>
                <w:bCs/>
              </w:rPr>
            </w:pPr>
          </w:p>
        </w:tc>
        <w:tc>
          <w:tcPr>
            <w:tcW w:w="851" w:type="dxa"/>
          </w:tcPr>
          <w:p w14:paraId="2AAFBFC8" w14:textId="77777777" w:rsidR="007020ED" w:rsidRPr="00B148F9" w:rsidRDefault="007020ED" w:rsidP="00814286">
            <w:pPr>
              <w:ind w:right="-18"/>
              <w:rPr>
                <w:rFonts w:cs="Arial"/>
                <w:bCs/>
              </w:rPr>
            </w:pPr>
          </w:p>
        </w:tc>
        <w:tc>
          <w:tcPr>
            <w:tcW w:w="1701" w:type="dxa"/>
            <w:tcBorders>
              <w:top w:val="single" w:sz="18" w:space="0" w:color="auto"/>
            </w:tcBorders>
          </w:tcPr>
          <w:p w14:paraId="335D307A" w14:textId="77777777" w:rsidR="007020ED" w:rsidRPr="00B148F9" w:rsidRDefault="007020ED" w:rsidP="00814286">
            <w:pPr>
              <w:ind w:right="-18"/>
              <w:rPr>
                <w:rFonts w:cs="Arial"/>
                <w:bCs/>
              </w:rPr>
            </w:pPr>
          </w:p>
        </w:tc>
        <w:tc>
          <w:tcPr>
            <w:tcW w:w="283" w:type="dxa"/>
          </w:tcPr>
          <w:p w14:paraId="1919837A" w14:textId="77777777" w:rsidR="007020ED" w:rsidRPr="00B148F9" w:rsidRDefault="007020ED" w:rsidP="00814286">
            <w:pPr>
              <w:ind w:right="-18"/>
              <w:rPr>
                <w:rFonts w:cs="Arial"/>
                <w:bCs/>
              </w:rPr>
            </w:pPr>
          </w:p>
        </w:tc>
        <w:tc>
          <w:tcPr>
            <w:tcW w:w="1559" w:type="dxa"/>
            <w:tcBorders>
              <w:top w:val="single" w:sz="18" w:space="0" w:color="auto"/>
            </w:tcBorders>
          </w:tcPr>
          <w:p w14:paraId="02D599EB" w14:textId="77777777" w:rsidR="007020ED" w:rsidRPr="00B148F9" w:rsidRDefault="007020ED" w:rsidP="00814286">
            <w:pPr>
              <w:ind w:right="-18"/>
              <w:rPr>
                <w:rFonts w:cs="Arial"/>
                <w:bCs/>
              </w:rPr>
            </w:pPr>
          </w:p>
        </w:tc>
        <w:tc>
          <w:tcPr>
            <w:tcW w:w="284" w:type="dxa"/>
          </w:tcPr>
          <w:p w14:paraId="577E817F" w14:textId="77777777" w:rsidR="007020ED" w:rsidRPr="00B148F9" w:rsidRDefault="007020ED" w:rsidP="00814286">
            <w:pPr>
              <w:ind w:right="-18"/>
              <w:rPr>
                <w:rFonts w:cs="Arial"/>
                <w:bCs/>
              </w:rPr>
            </w:pPr>
          </w:p>
        </w:tc>
        <w:tc>
          <w:tcPr>
            <w:tcW w:w="1276" w:type="dxa"/>
            <w:tcBorders>
              <w:top w:val="single" w:sz="18" w:space="0" w:color="auto"/>
            </w:tcBorders>
          </w:tcPr>
          <w:p w14:paraId="2B3AB6AA" w14:textId="77777777" w:rsidR="007020ED" w:rsidRPr="00B148F9" w:rsidRDefault="007020ED" w:rsidP="00814286">
            <w:pPr>
              <w:ind w:right="-18"/>
              <w:rPr>
                <w:rFonts w:cs="Arial"/>
                <w:bCs/>
              </w:rPr>
            </w:pPr>
          </w:p>
        </w:tc>
        <w:tc>
          <w:tcPr>
            <w:tcW w:w="425" w:type="dxa"/>
          </w:tcPr>
          <w:p w14:paraId="067E53DB" w14:textId="77777777" w:rsidR="007020ED" w:rsidRPr="00B148F9" w:rsidRDefault="007020ED" w:rsidP="00814286">
            <w:pPr>
              <w:ind w:right="-18"/>
              <w:rPr>
                <w:rFonts w:cs="Arial"/>
                <w:bCs/>
              </w:rPr>
            </w:pPr>
          </w:p>
        </w:tc>
        <w:tc>
          <w:tcPr>
            <w:tcW w:w="1134" w:type="dxa"/>
            <w:tcBorders>
              <w:top w:val="single" w:sz="18" w:space="0" w:color="auto"/>
            </w:tcBorders>
          </w:tcPr>
          <w:p w14:paraId="37639F99" w14:textId="77777777" w:rsidR="007020ED" w:rsidRPr="00B148F9" w:rsidRDefault="007020ED" w:rsidP="00814286">
            <w:pPr>
              <w:ind w:right="-18"/>
              <w:rPr>
                <w:rFonts w:cs="Arial"/>
                <w:bCs/>
              </w:rPr>
            </w:pPr>
          </w:p>
        </w:tc>
      </w:tr>
      <w:tr w:rsidR="007020ED" w:rsidRPr="00B148F9" w14:paraId="2CE254B9" w14:textId="77777777" w:rsidTr="00DE3E70">
        <w:tc>
          <w:tcPr>
            <w:tcW w:w="2518" w:type="dxa"/>
            <w:gridSpan w:val="2"/>
          </w:tcPr>
          <w:p w14:paraId="6F279B16" w14:textId="6BE6B83B" w:rsidR="007020ED" w:rsidRPr="00B148F9" w:rsidRDefault="006C5486" w:rsidP="00B746FC">
            <w:pPr>
              <w:ind w:right="-18"/>
              <w:jc w:val="left"/>
              <w:rPr>
                <w:rFonts w:cs="Arial"/>
                <w:bCs/>
              </w:rPr>
            </w:pPr>
            <w:r w:rsidRPr="00B148F9">
              <w:rPr>
                <w:rFonts w:cs="Arial"/>
                <w:bCs/>
              </w:rPr>
              <w:t>Cowen</w:t>
            </w:r>
            <w:r w:rsidR="00924813" w:rsidRPr="00B148F9">
              <w:rPr>
                <w:rFonts w:cs="Arial"/>
                <w:bCs/>
              </w:rPr>
              <w:t xml:space="preserve"> Financial Products, LLC</w:t>
            </w:r>
          </w:p>
        </w:tc>
        <w:tc>
          <w:tcPr>
            <w:tcW w:w="851" w:type="dxa"/>
          </w:tcPr>
          <w:p w14:paraId="5D759E1E" w14:textId="77777777" w:rsidR="007020ED" w:rsidRPr="00B148F9" w:rsidRDefault="007020ED" w:rsidP="00814286">
            <w:pPr>
              <w:ind w:right="-18"/>
              <w:rPr>
                <w:rFonts w:cs="Arial"/>
                <w:bCs/>
              </w:rPr>
            </w:pPr>
          </w:p>
        </w:tc>
        <w:tc>
          <w:tcPr>
            <w:tcW w:w="1701" w:type="dxa"/>
            <w:vAlign w:val="bottom"/>
          </w:tcPr>
          <w:p w14:paraId="043FB9F2" w14:textId="4751A27B" w:rsidR="007020ED" w:rsidRPr="00B148F9" w:rsidRDefault="00A24CAD" w:rsidP="00DE3E70">
            <w:pPr>
              <w:ind w:right="-18"/>
              <w:jc w:val="right"/>
              <w:rPr>
                <w:rFonts w:cs="Arial"/>
                <w:bCs/>
              </w:rPr>
            </w:pPr>
            <w:r w:rsidRPr="00B148F9">
              <w:rPr>
                <w:rFonts w:cs="Arial"/>
                <w:bCs/>
              </w:rPr>
              <w:t>-</w:t>
            </w:r>
          </w:p>
        </w:tc>
        <w:tc>
          <w:tcPr>
            <w:tcW w:w="283" w:type="dxa"/>
            <w:vAlign w:val="bottom"/>
          </w:tcPr>
          <w:p w14:paraId="1BCD329D" w14:textId="77777777" w:rsidR="007020ED" w:rsidRPr="00B148F9" w:rsidRDefault="007020ED" w:rsidP="00DE3E70">
            <w:pPr>
              <w:ind w:right="-18"/>
              <w:jc w:val="right"/>
              <w:rPr>
                <w:rFonts w:cs="Arial"/>
                <w:bCs/>
              </w:rPr>
            </w:pPr>
          </w:p>
        </w:tc>
        <w:tc>
          <w:tcPr>
            <w:tcW w:w="1559" w:type="dxa"/>
            <w:vAlign w:val="bottom"/>
          </w:tcPr>
          <w:p w14:paraId="2A1B5F45" w14:textId="618477F1" w:rsidR="007020ED" w:rsidRPr="00B148F9" w:rsidRDefault="000964A8">
            <w:pPr>
              <w:ind w:right="-18"/>
              <w:jc w:val="right"/>
              <w:rPr>
                <w:rFonts w:cs="Arial"/>
                <w:bCs/>
              </w:rPr>
            </w:pPr>
            <w:r w:rsidRPr="00B148F9">
              <w:rPr>
                <w:rFonts w:cs="Arial"/>
                <w:bCs/>
              </w:rPr>
              <w:t>-</w:t>
            </w:r>
          </w:p>
        </w:tc>
        <w:tc>
          <w:tcPr>
            <w:tcW w:w="284" w:type="dxa"/>
            <w:vAlign w:val="bottom"/>
          </w:tcPr>
          <w:p w14:paraId="77229050" w14:textId="77777777" w:rsidR="007020ED" w:rsidRPr="00B148F9" w:rsidRDefault="007020ED" w:rsidP="00DE3E70">
            <w:pPr>
              <w:ind w:right="-18"/>
              <w:jc w:val="right"/>
              <w:rPr>
                <w:rFonts w:cs="Arial"/>
                <w:bCs/>
              </w:rPr>
            </w:pPr>
          </w:p>
        </w:tc>
        <w:tc>
          <w:tcPr>
            <w:tcW w:w="1276" w:type="dxa"/>
            <w:vAlign w:val="bottom"/>
          </w:tcPr>
          <w:p w14:paraId="04073A63" w14:textId="1A526B16" w:rsidR="007020ED" w:rsidRPr="00B148F9" w:rsidRDefault="000964A8">
            <w:pPr>
              <w:ind w:right="-18"/>
              <w:jc w:val="right"/>
              <w:rPr>
                <w:rFonts w:cs="Arial"/>
                <w:bCs/>
              </w:rPr>
            </w:pPr>
            <w:r w:rsidRPr="00B148F9">
              <w:rPr>
                <w:rFonts w:cs="Arial"/>
                <w:bCs/>
              </w:rPr>
              <w:t>-</w:t>
            </w:r>
          </w:p>
        </w:tc>
        <w:tc>
          <w:tcPr>
            <w:tcW w:w="425" w:type="dxa"/>
            <w:vAlign w:val="bottom"/>
          </w:tcPr>
          <w:p w14:paraId="24579C0B" w14:textId="77777777" w:rsidR="007020ED" w:rsidRPr="00B148F9" w:rsidRDefault="007020ED" w:rsidP="00DE3E70">
            <w:pPr>
              <w:ind w:right="-18"/>
              <w:jc w:val="right"/>
              <w:rPr>
                <w:rFonts w:cs="Arial"/>
                <w:bCs/>
              </w:rPr>
            </w:pPr>
          </w:p>
        </w:tc>
        <w:tc>
          <w:tcPr>
            <w:tcW w:w="1134" w:type="dxa"/>
            <w:vAlign w:val="bottom"/>
          </w:tcPr>
          <w:p w14:paraId="500A0EB0" w14:textId="238AA385" w:rsidR="007020ED" w:rsidRPr="00B148F9" w:rsidRDefault="000964A8">
            <w:pPr>
              <w:ind w:right="-18"/>
              <w:jc w:val="right"/>
              <w:rPr>
                <w:rFonts w:cs="Arial"/>
                <w:bCs/>
              </w:rPr>
            </w:pPr>
            <w:r w:rsidRPr="00B148F9">
              <w:rPr>
                <w:rFonts w:cs="Arial"/>
                <w:bCs/>
              </w:rPr>
              <w:t>-</w:t>
            </w:r>
          </w:p>
        </w:tc>
      </w:tr>
      <w:tr w:rsidR="007020ED" w:rsidRPr="00B148F9" w14:paraId="30F5FBE7" w14:textId="77777777" w:rsidTr="00DE3E70">
        <w:tc>
          <w:tcPr>
            <w:tcW w:w="2235" w:type="dxa"/>
          </w:tcPr>
          <w:p w14:paraId="00C42B42" w14:textId="77777777" w:rsidR="007020ED" w:rsidRPr="00B148F9" w:rsidRDefault="007020ED" w:rsidP="00814286">
            <w:pPr>
              <w:ind w:right="-18"/>
              <w:rPr>
                <w:rFonts w:cs="Arial"/>
                <w:bCs/>
              </w:rPr>
            </w:pPr>
          </w:p>
        </w:tc>
        <w:tc>
          <w:tcPr>
            <w:tcW w:w="283" w:type="dxa"/>
          </w:tcPr>
          <w:p w14:paraId="00BC32B6" w14:textId="77777777" w:rsidR="007020ED" w:rsidRPr="00B148F9" w:rsidRDefault="007020ED" w:rsidP="00814286">
            <w:pPr>
              <w:ind w:right="-18"/>
              <w:rPr>
                <w:rFonts w:cs="Arial"/>
                <w:bCs/>
              </w:rPr>
            </w:pPr>
          </w:p>
        </w:tc>
        <w:tc>
          <w:tcPr>
            <w:tcW w:w="851" w:type="dxa"/>
          </w:tcPr>
          <w:p w14:paraId="4EF21848" w14:textId="77777777" w:rsidR="007020ED" w:rsidRPr="00B148F9" w:rsidRDefault="007020ED" w:rsidP="00814286">
            <w:pPr>
              <w:ind w:right="-18"/>
              <w:rPr>
                <w:rFonts w:cs="Arial"/>
                <w:bCs/>
              </w:rPr>
            </w:pPr>
          </w:p>
        </w:tc>
        <w:tc>
          <w:tcPr>
            <w:tcW w:w="1701" w:type="dxa"/>
            <w:tcBorders>
              <w:top w:val="single" w:sz="8" w:space="0" w:color="auto"/>
              <w:bottom w:val="single" w:sz="18" w:space="0" w:color="auto"/>
            </w:tcBorders>
            <w:vAlign w:val="bottom"/>
          </w:tcPr>
          <w:p w14:paraId="389A4EEB" w14:textId="47249D10" w:rsidR="007020ED" w:rsidRPr="00B148F9" w:rsidRDefault="00A24CAD" w:rsidP="00DE3E70">
            <w:pPr>
              <w:ind w:right="-18"/>
              <w:jc w:val="right"/>
              <w:rPr>
                <w:rFonts w:cs="Arial"/>
                <w:bCs/>
              </w:rPr>
            </w:pPr>
            <w:r w:rsidRPr="00B148F9">
              <w:rPr>
                <w:rFonts w:cs="Arial"/>
                <w:bCs/>
              </w:rPr>
              <w:t>-</w:t>
            </w:r>
          </w:p>
        </w:tc>
        <w:tc>
          <w:tcPr>
            <w:tcW w:w="283" w:type="dxa"/>
            <w:vAlign w:val="bottom"/>
          </w:tcPr>
          <w:p w14:paraId="12D266EA" w14:textId="77777777" w:rsidR="007020ED" w:rsidRPr="00B148F9" w:rsidRDefault="007020ED" w:rsidP="00DE3E70">
            <w:pPr>
              <w:ind w:right="-18"/>
              <w:jc w:val="right"/>
              <w:rPr>
                <w:rFonts w:cs="Arial"/>
                <w:bCs/>
              </w:rPr>
            </w:pPr>
          </w:p>
        </w:tc>
        <w:tc>
          <w:tcPr>
            <w:tcW w:w="1559" w:type="dxa"/>
            <w:tcBorders>
              <w:top w:val="single" w:sz="12" w:space="0" w:color="auto"/>
              <w:bottom w:val="single" w:sz="18" w:space="0" w:color="auto"/>
            </w:tcBorders>
            <w:vAlign w:val="bottom"/>
          </w:tcPr>
          <w:p w14:paraId="2CC2D4CF" w14:textId="1A84A68D" w:rsidR="007020ED" w:rsidRPr="00B148F9" w:rsidRDefault="000964A8">
            <w:pPr>
              <w:ind w:right="-18"/>
              <w:jc w:val="right"/>
              <w:rPr>
                <w:rFonts w:cs="Arial"/>
                <w:bCs/>
              </w:rPr>
            </w:pPr>
            <w:r w:rsidRPr="00B148F9">
              <w:rPr>
                <w:rFonts w:cs="Arial"/>
                <w:bCs/>
              </w:rPr>
              <w:t>-</w:t>
            </w:r>
          </w:p>
        </w:tc>
        <w:tc>
          <w:tcPr>
            <w:tcW w:w="284" w:type="dxa"/>
            <w:vAlign w:val="bottom"/>
          </w:tcPr>
          <w:p w14:paraId="496ACCB6" w14:textId="77777777" w:rsidR="007020ED" w:rsidRPr="00B148F9" w:rsidRDefault="007020ED" w:rsidP="00DE3E70">
            <w:pPr>
              <w:ind w:right="-18"/>
              <w:jc w:val="right"/>
              <w:rPr>
                <w:rFonts w:cs="Arial"/>
                <w:bCs/>
              </w:rPr>
            </w:pPr>
          </w:p>
        </w:tc>
        <w:tc>
          <w:tcPr>
            <w:tcW w:w="1276" w:type="dxa"/>
            <w:tcBorders>
              <w:top w:val="single" w:sz="8" w:space="0" w:color="auto"/>
              <w:bottom w:val="single" w:sz="12" w:space="0" w:color="auto"/>
            </w:tcBorders>
            <w:vAlign w:val="bottom"/>
          </w:tcPr>
          <w:p w14:paraId="213C2ED9" w14:textId="3D311ACD" w:rsidR="007020ED" w:rsidRPr="00B148F9" w:rsidRDefault="000964A8">
            <w:pPr>
              <w:ind w:right="-18"/>
              <w:jc w:val="right"/>
              <w:rPr>
                <w:rFonts w:cs="Arial"/>
                <w:bCs/>
              </w:rPr>
            </w:pPr>
            <w:r w:rsidRPr="00B148F9">
              <w:rPr>
                <w:rFonts w:cs="Arial"/>
                <w:bCs/>
              </w:rPr>
              <w:t>-</w:t>
            </w:r>
          </w:p>
        </w:tc>
        <w:tc>
          <w:tcPr>
            <w:tcW w:w="425" w:type="dxa"/>
            <w:vAlign w:val="bottom"/>
          </w:tcPr>
          <w:p w14:paraId="1CDDEE4F" w14:textId="77777777" w:rsidR="007020ED" w:rsidRPr="00B148F9" w:rsidRDefault="007020ED" w:rsidP="00DE3E70">
            <w:pPr>
              <w:ind w:right="-18"/>
              <w:jc w:val="right"/>
              <w:rPr>
                <w:rFonts w:cs="Arial"/>
                <w:bCs/>
              </w:rPr>
            </w:pPr>
          </w:p>
        </w:tc>
        <w:tc>
          <w:tcPr>
            <w:tcW w:w="1134" w:type="dxa"/>
            <w:tcBorders>
              <w:top w:val="single" w:sz="12" w:space="0" w:color="auto"/>
              <w:bottom w:val="single" w:sz="18" w:space="0" w:color="auto"/>
            </w:tcBorders>
            <w:vAlign w:val="bottom"/>
          </w:tcPr>
          <w:p w14:paraId="090C1E60" w14:textId="7C90198F" w:rsidR="007020ED" w:rsidRPr="00B148F9" w:rsidRDefault="000964A8">
            <w:pPr>
              <w:ind w:right="-18"/>
              <w:jc w:val="right"/>
              <w:rPr>
                <w:rFonts w:cs="Arial"/>
                <w:bCs/>
              </w:rPr>
            </w:pPr>
            <w:r w:rsidRPr="00B148F9">
              <w:rPr>
                <w:rFonts w:cs="Arial"/>
                <w:bCs/>
              </w:rPr>
              <w:t>-</w:t>
            </w:r>
          </w:p>
        </w:tc>
      </w:tr>
    </w:tbl>
    <w:p w14:paraId="1BE0A874" w14:textId="6D61E0CC" w:rsidR="000004FA" w:rsidRPr="00B148F9" w:rsidRDefault="000004FA" w:rsidP="00913AEB">
      <w:pPr>
        <w:tabs>
          <w:tab w:val="left" w:pos="426"/>
          <w:tab w:val="left" w:pos="2160"/>
        </w:tabs>
        <w:rPr>
          <w:rFonts w:cs="Arial"/>
        </w:rPr>
      </w:pPr>
    </w:p>
    <w:p w14:paraId="14AB3512" w14:textId="45783927" w:rsidR="000004FA" w:rsidRPr="00B148F9" w:rsidRDefault="00630681" w:rsidP="00817824">
      <w:pPr>
        <w:pStyle w:val="Heading1"/>
        <w:jc w:val="left"/>
        <w:rPr>
          <w:sz w:val="20"/>
        </w:rPr>
      </w:pPr>
      <w:r w:rsidRPr="00B148F9">
        <w:rPr>
          <w:sz w:val="20"/>
        </w:rPr>
        <w:t>7</w:t>
      </w:r>
      <w:r w:rsidR="00817824" w:rsidRPr="00B148F9">
        <w:rPr>
          <w:sz w:val="20"/>
        </w:rPr>
        <w:t xml:space="preserve">. </w:t>
      </w:r>
      <w:r w:rsidR="000004FA" w:rsidRPr="00B148F9">
        <w:rPr>
          <w:sz w:val="20"/>
        </w:rPr>
        <w:t>Securities sold short</w:t>
      </w:r>
    </w:p>
    <w:p w14:paraId="0D6C750C" w14:textId="27702E09" w:rsidR="000004FA" w:rsidRPr="00B148F9" w:rsidRDefault="000004FA" w:rsidP="00913AEB">
      <w:pPr>
        <w:tabs>
          <w:tab w:val="left" w:pos="426"/>
          <w:tab w:val="left" w:pos="2160"/>
        </w:tabs>
        <w:rPr>
          <w:rFonts w:cs="Arial"/>
          <w:b/>
        </w:rPr>
      </w:pPr>
    </w:p>
    <w:p w14:paraId="15A2E18B" w14:textId="0BC27916" w:rsidR="000004FA" w:rsidRPr="00B148F9" w:rsidRDefault="000004FA" w:rsidP="00913AEB">
      <w:pPr>
        <w:tabs>
          <w:tab w:val="left" w:pos="426"/>
          <w:tab w:val="left" w:pos="2160"/>
        </w:tabs>
        <w:rPr>
          <w:rFonts w:cs="Arial"/>
        </w:rPr>
      </w:pPr>
      <w:r w:rsidRPr="00B148F9">
        <w:rPr>
          <w:rFonts w:cs="Arial"/>
        </w:rPr>
        <w:t xml:space="preserve">The </w:t>
      </w:r>
      <w:r w:rsidR="00196B8B" w:rsidRPr="00B148F9">
        <w:rPr>
          <w:rFonts w:cs="Arial"/>
        </w:rPr>
        <w:t>Company</w:t>
      </w:r>
      <w:r w:rsidRPr="00B148F9">
        <w:rPr>
          <w:rFonts w:cs="Arial"/>
        </w:rPr>
        <w:t xml:space="preserve"> is subject to certain inherent risks arising from its investing activities of selling securities short. The ultimate cost to the </w:t>
      </w:r>
      <w:r w:rsidR="00196B8B" w:rsidRPr="00B148F9">
        <w:rPr>
          <w:rFonts w:cs="Arial"/>
        </w:rPr>
        <w:t>Company</w:t>
      </w:r>
      <w:r w:rsidRPr="00B148F9">
        <w:rPr>
          <w:rFonts w:cs="Arial"/>
        </w:rPr>
        <w:t xml:space="preserve"> to acquire these securities may exceed the liability reflected in these financial statements.</w:t>
      </w:r>
    </w:p>
    <w:p w14:paraId="44194536" w14:textId="77777777" w:rsidR="0021347D" w:rsidRPr="00B148F9" w:rsidRDefault="0021347D" w:rsidP="000004FA">
      <w:pPr>
        <w:tabs>
          <w:tab w:val="left" w:pos="426"/>
          <w:tab w:val="left" w:pos="2160"/>
        </w:tabs>
        <w:rPr>
          <w:rFonts w:cs="Arial"/>
        </w:rPr>
      </w:pPr>
    </w:p>
    <w:p w14:paraId="426C47AD" w14:textId="303572EC" w:rsidR="000004FA" w:rsidRPr="00B148F9" w:rsidRDefault="00630681" w:rsidP="00817824">
      <w:pPr>
        <w:pStyle w:val="Heading1"/>
        <w:jc w:val="left"/>
        <w:rPr>
          <w:sz w:val="20"/>
        </w:rPr>
      </w:pPr>
      <w:r w:rsidRPr="00B148F9">
        <w:rPr>
          <w:sz w:val="20"/>
        </w:rPr>
        <w:t>8</w:t>
      </w:r>
      <w:r w:rsidR="00817824" w:rsidRPr="00B148F9">
        <w:rPr>
          <w:sz w:val="20"/>
        </w:rPr>
        <w:t xml:space="preserve">. </w:t>
      </w:r>
      <w:r w:rsidR="00B6024F" w:rsidRPr="00B148F9">
        <w:rPr>
          <w:sz w:val="20"/>
        </w:rPr>
        <w:t>Risk factors</w:t>
      </w:r>
    </w:p>
    <w:p w14:paraId="7C86F00F" w14:textId="11B5371E" w:rsidR="000004FA" w:rsidRPr="00B148F9" w:rsidRDefault="000004FA" w:rsidP="00913AEB">
      <w:pPr>
        <w:tabs>
          <w:tab w:val="left" w:pos="426"/>
          <w:tab w:val="left" w:pos="2160"/>
        </w:tabs>
        <w:rPr>
          <w:rFonts w:cs="Arial"/>
        </w:rPr>
      </w:pPr>
    </w:p>
    <w:p w14:paraId="4A9B8B8D" w14:textId="7ADB8A26" w:rsidR="00B6024F" w:rsidRPr="00B148F9" w:rsidRDefault="007020ED" w:rsidP="00913AEB">
      <w:pPr>
        <w:tabs>
          <w:tab w:val="left" w:pos="426"/>
          <w:tab w:val="left" w:pos="2160"/>
        </w:tabs>
      </w:pPr>
      <w:r w:rsidRPr="00B148F9">
        <w:t>Some</w:t>
      </w:r>
      <w:r w:rsidR="00B6024F" w:rsidRPr="00B148F9">
        <w:t xml:space="preserve"> </w:t>
      </w:r>
      <w:r w:rsidRPr="00B148F9">
        <w:t xml:space="preserve">underlying investments </w:t>
      </w:r>
      <w:r w:rsidR="00B6024F" w:rsidRPr="00B148F9">
        <w:t>may be deemed to be a high</w:t>
      </w:r>
      <w:r w:rsidRPr="00B148F9">
        <w:t>ly speculative investment and are</w:t>
      </w:r>
      <w:r w:rsidR="00B6024F" w:rsidRPr="00B148F9">
        <w:t xml:space="preserve"> not intended as a complete investment program. It is designed only for sophisticated persons who are able to bear the economic risk of the loss of their entire investment in the </w:t>
      </w:r>
      <w:r w:rsidRPr="00B148F9">
        <w:t>Company</w:t>
      </w:r>
      <w:r w:rsidR="00B6024F" w:rsidRPr="00B148F9">
        <w:t xml:space="preserve"> and who have a limited need for liquidity in their investment. The following risks should be carefully evaluated before making an investment in the </w:t>
      </w:r>
      <w:r w:rsidR="000964A8" w:rsidRPr="00B148F9">
        <w:t>Company</w:t>
      </w:r>
      <w:r w:rsidR="00B6024F" w:rsidRPr="00B148F9">
        <w:t>:</w:t>
      </w:r>
    </w:p>
    <w:p w14:paraId="580E4B23" w14:textId="10DC91DF" w:rsidR="00B6024F" w:rsidRPr="00B148F9" w:rsidRDefault="00B6024F" w:rsidP="00913AEB">
      <w:pPr>
        <w:tabs>
          <w:tab w:val="left" w:pos="426"/>
          <w:tab w:val="left" w:pos="2160"/>
        </w:tabs>
      </w:pPr>
    </w:p>
    <w:p w14:paraId="54873D86" w14:textId="630439A7" w:rsidR="0006185C" w:rsidRPr="00B148F9" w:rsidRDefault="0006185C" w:rsidP="00B6024F">
      <w:pPr>
        <w:tabs>
          <w:tab w:val="left" w:pos="426"/>
          <w:tab w:val="left" w:pos="2160"/>
        </w:tabs>
        <w:rPr>
          <w:rFonts w:cs="Arial"/>
          <w:b/>
        </w:rPr>
      </w:pPr>
      <w:r w:rsidRPr="00B148F9">
        <w:rPr>
          <w:rFonts w:cs="Arial"/>
          <w:b/>
        </w:rPr>
        <w:t>Market risk</w:t>
      </w:r>
    </w:p>
    <w:p w14:paraId="3424B547" w14:textId="77777777" w:rsidR="00924813" w:rsidRPr="00B148F9" w:rsidRDefault="00924813" w:rsidP="00B6024F">
      <w:pPr>
        <w:tabs>
          <w:tab w:val="left" w:pos="426"/>
          <w:tab w:val="left" w:pos="2160"/>
        </w:tabs>
        <w:rPr>
          <w:rFonts w:cs="Arial"/>
        </w:rPr>
      </w:pPr>
    </w:p>
    <w:p w14:paraId="13EF00A5" w14:textId="5082EA50" w:rsidR="0006185C" w:rsidRPr="00B148F9" w:rsidRDefault="0006185C" w:rsidP="00B6024F">
      <w:pPr>
        <w:tabs>
          <w:tab w:val="left" w:pos="426"/>
          <w:tab w:val="left" w:pos="2160"/>
        </w:tabs>
        <w:rPr>
          <w:rFonts w:cs="Arial"/>
        </w:rPr>
      </w:pPr>
      <w:r w:rsidRPr="00B148F9">
        <w:rPr>
          <w:rFonts w:cs="Arial"/>
        </w:rPr>
        <w:t xml:space="preserve">Certain events particular to each market in which </w:t>
      </w:r>
      <w:r w:rsidR="00D24A1D" w:rsidRPr="00B148F9">
        <w:rPr>
          <w:rFonts w:cs="Arial"/>
        </w:rPr>
        <w:t>Portfolio Companies</w:t>
      </w:r>
      <w:r w:rsidRPr="00B148F9">
        <w:rPr>
          <w:rFonts w:cs="Arial"/>
        </w:rPr>
        <w:t xml:space="preserve"> conduct operations, as well as general economic and political conditions, may have a significant negative impact on the operations and profitability of the Company’s investments and/or on the fair value of the Company’s investments. Such events are beyond the Company’s control, and the likelihood they may occur and the effect on the Company cannot be predicted. The Company intends to mitigate market risk generally by investing in </w:t>
      </w:r>
      <w:r w:rsidR="007A7FFC" w:rsidRPr="00B148F9">
        <w:rPr>
          <w:rFonts w:cs="Calibri"/>
          <w:color w:val="000000"/>
        </w:rPr>
        <w:t xml:space="preserve">LifeSci </w:t>
      </w:r>
      <w:r w:rsidR="0054226C" w:rsidRPr="00B148F9">
        <w:rPr>
          <w:rFonts w:cs="Calibri"/>
          <w:color w:val="000000"/>
        </w:rPr>
        <w:t xml:space="preserve">Companies </w:t>
      </w:r>
      <w:r w:rsidR="0054226C" w:rsidRPr="00B148F9">
        <w:rPr>
          <w:rFonts w:cs="Arial"/>
        </w:rPr>
        <w:t>in</w:t>
      </w:r>
      <w:r w:rsidRPr="00B148F9">
        <w:rPr>
          <w:rFonts w:cs="Arial"/>
        </w:rPr>
        <w:t xml:space="preserve"> various geographies.</w:t>
      </w:r>
    </w:p>
    <w:p w14:paraId="0135103E" w14:textId="073A7835" w:rsidR="00D9504C" w:rsidRPr="00B148F9" w:rsidRDefault="00D9504C" w:rsidP="00B6024F">
      <w:pPr>
        <w:tabs>
          <w:tab w:val="left" w:pos="426"/>
          <w:tab w:val="left" w:pos="2160"/>
        </w:tabs>
        <w:rPr>
          <w:rFonts w:cs="Arial"/>
        </w:rPr>
      </w:pPr>
    </w:p>
    <w:p w14:paraId="69223C34" w14:textId="22374AE8" w:rsidR="00D9504C" w:rsidRPr="00B148F9" w:rsidRDefault="00D9504C" w:rsidP="00B6024F">
      <w:pPr>
        <w:tabs>
          <w:tab w:val="left" w:pos="426"/>
          <w:tab w:val="left" w:pos="2160"/>
        </w:tabs>
        <w:rPr>
          <w:rFonts w:cs="Arial"/>
        </w:rPr>
      </w:pPr>
      <w:r w:rsidRPr="00B148F9">
        <w:rPr>
          <w:rFonts w:cs="Arial"/>
        </w:rPr>
        <w:t>Portfolio Company products are subject to regulatory approvals and actions with new drugs, medical devices and procedures being subject to extensive regulatory scrutiny before approval, and approvals can be revoked.</w:t>
      </w:r>
    </w:p>
    <w:p w14:paraId="2E03B8EE" w14:textId="08A864D7" w:rsidR="00D24A1D" w:rsidRPr="00B148F9" w:rsidRDefault="00D24A1D" w:rsidP="00B6024F">
      <w:pPr>
        <w:tabs>
          <w:tab w:val="left" w:pos="426"/>
          <w:tab w:val="left" w:pos="2160"/>
        </w:tabs>
        <w:rPr>
          <w:rFonts w:cs="Arial"/>
        </w:rPr>
      </w:pPr>
    </w:p>
    <w:p w14:paraId="2515ABB0" w14:textId="22F7C56F" w:rsidR="00D24A1D" w:rsidRPr="00B148F9" w:rsidRDefault="00D24A1D" w:rsidP="00D24A1D">
      <w:pPr>
        <w:tabs>
          <w:tab w:val="left" w:pos="426"/>
          <w:tab w:val="left" w:pos="2160"/>
        </w:tabs>
        <w:rPr>
          <w:rFonts w:cs="Arial"/>
        </w:rPr>
      </w:pPr>
      <w:r w:rsidRPr="00B148F9">
        <w:rPr>
          <w:rFonts w:cs="Arial"/>
        </w:rPr>
        <w:t>The market value of the Company’s holdings in public Portfolio Companies could be affected by a number of factors, including, but not limited to; a change in sentiment in the market regarding the public Portfolio Companies, the market’s appetite for specific asset classes, and the financial or operational performance of the public Portfolio Companies.</w:t>
      </w:r>
    </w:p>
    <w:p w14:paraId="165DFEC8" w14:textId="1085F15A" w:rsidR="00D9504C" w:rsidRPr="00B148F9" w:rsidRDefault="00D9504C" w:rsidP="00D24A1D">
      <w:pPr>
        <w:tabs>
          <w:tab w:val="left" w:pos="426"/>
          <w:tab w:val="left" w:pos="2160"/>
        </w:tabs>
        <w:rPr>
          <w:rFonts w:cs="Arial"/>
        </w:rPr>
      </w:pPr>
    </w:p>
    <w:p w14:paraId="7D88D140" w14:textId="6171A3F4" w:rsidR="00D9504C" w:rsidRPr="00B148F9" w:rsidRDefault="00D9504C" w:rsidP="00D24A1D">
      <w:pPr>
        <w:tabs>
          <w:tab w:val="left" w:pos="426"/>
          <w:tab w:val="left" w:pos="2160"/>
        </w:tabs>
        <w:rPr>
          <w:rFonts w:cs="Arial"/>
        </w:rPr>
      </w:pPr>
      <w:r w:rsidRPr="00B148F9">
        <w:rPr>
          <w:rFonts w:cs="Arial"/>
        </w:rPr>
        <w:t>The size of investments in public Portfolio Companies or involvement in management may trigger restrictions on buying or selling securities. Laws and regulations relating to takeovers and inside information may restrict the ability of the Company to carry out transactions, or there may be delays or disclosure requirements before transactions can be completed.</w:t>
      </w:r>
    </w:p>
    <w:p w14:paraId="50205A74" w14:textId="5C768D2F" w:rsidR="00D24A1D" w:rsidRPr="00B148F9" w:rsidRDefault="00D24A1D" w:rsidP="00D24A1D">
      <w:pPr>
        <w:tabs>
          <w:tab w:val="left" w:pos="426"/>
          <w:tab w:val="left" w:pos="2160"/>
        </w:tabs>
        <w:rPr>
          <w:rFonts w:cs="Arial"/>
        </w:rPr>
      </w:pPr>
    </w:p>
    <w:p w14:paraId="52EC2A11" w14:textId="1CD1CC57" w:rsidR="0021347D" w:rsidRPr="00B148F9" w:rsidRDefault="0021347D" w:rsidP="0021347D">
      <w:pPr>
        <w:tabs>
          <w:tab w:val="left" w:pos="426"/>
          <w:tab w:val="left" w:pos="2160"/>
        </w:tabs>
        <w:rPr>
          <w:rFonts w:cs="Arial"/>
        </w:rPr>
      </w:pPr>
      <w:r w:rsidRPr="00B148F9">
        <w:rPr>
          <w:rFonts w:cs="Arial"/>
        </w:rPr>
        <w:t>Equity prices and returns from investing in equity markets are sensitive to various factors, including but not limited to; expectations of future dividends and profits, economic growth, exchange rates, interest rates, and inflation.</w:t>
      </w:r>
    </w:p>
    <w:p w14:paraId="1C33134C" w14:textId="3F11B3B0" w:rsidR="00D24A1D" w:rsidRPr="00B148F9" w:rsidRDefault="00D24A1D" w:rsidP="00913AEB">
      <w:pPr>
        <w:tabs>
          <w:tab w:val="left" w:pos="426"/>
          <w:tab w:val="left" w:pos="2160"/>
        </w:tabs>
        <w:rPr>
          <w:rFonts w:cs="Arial"/>
        </w:rPr>
      </w:pPr>
    </w:p>
    <w:p w14:paraId="702B19D0" w14:textId="39389D2A" w:rsidR="00D24A1D" w:rsidRPr="00B148F9" w:rsidRDefault="00D24A1D" w:rsidP="00D24A1D">
      <w:pPr>
        <w:tabs>
          <w:tab w:val="left" w:pos="426"/>
          <w:tab w:val="left" w:pos="2160"/>
        </w:tabs>
        <w:rPr>
          <w:rFonts w:cs="Arial"/>
          <w:b/>
        </w:rPr>
      </w:pPr>
      <w:r w:rsidRPr="00B148F9">
        <w:rPr>
          <w:rFonts w:cs="Arial"/>
          <w:b/>
        </w:rPr>
        <w:t>Biotech/</w:t>
      </w:r>
      <w:r w:rsidR="00924813" w:rsidRPr="00B148F9">
        <w:rPr>
          <w:rFonts w:cs="Arial"/>
          <w:b/>
        </w:rPr>
        <w:t>h</w:t>
      </w:r>
      <w:r w:rsidRPr="00B148F9">
        <w:rPr>
          <w:rFonts w:cs="Arial"/>
          <w:b/>
        </w:rPr>
        <w:t>ealthcare companies</w:t>
      </w:r>
    </w:p>
    <w:p w14:paraId="53639043" w14:textId="77777777" w:rsidR="00924813" w:rsidRPr="00B148F9" w:rsidRDefault="00924813" w:rsidP="00D24A1D">
      <w:pPr>
        <w:tabs>
          <w:tab w:val="left" w:pos="426"/>
          <w:tab w:val="left" w:pos="2160"/>
        </w:tabs>
        <w:rPr>
          <w:rFonts w:cs="Arial"/>
        </w:rPr>
      </w:pPr>
    </w:p>
    <w:p w14:paraId="408A42DD" w14:textId="2D1DE0CE" w:rsidR="00D24A1D" w:rsidRPr="00B148F9" w:rsidRDefault="009C260D" w:rsidP="00D24A1D">
      <w:pPr>
        <w:tabs>
          <w:tab w:val="left" w:pos="426"/>
          <w:tab w:val="left" w:pos="2160"/>
        </w:tabs>
        <w:rPr>
          <w:rFonts w:cs="Arial"/>
        </w:rPr>
      </w:pPr>
      <w:r w:rsidRPr="00B148F9">
        <w:rPr>
          <w:rFonts w:cs="Arial"/>
        </w:rPr>
        <w:t xml:space="preserve">A number of the Portfolio Companies are biotechnology companies. </w:t>
      </w:r>
      <w:r w:rsidR="00D24A1D" w:rsidRPr="00B148F9">
        <w:rPr>
          <w:rFonts w:cs="Arial"/>
        </w:rPr>
        <w:t xml:space="preserve">Biotech companies are generally subject to greater governmental regulation than other industries at both the state and federal levels. Changes in governmental policies may have a material effect on the demand for or costs of certain products and services. </w:t>
      </w:r>
    </w:p>
    <w:p w14:paraId="1333ED55" w14:textId="77777777" w:rsidR="00D24A1D" w:rsidRPr="00B148F9" w:rsidRDefault="00D24A1D" w:rsidP="00D24A1D">
      <w:pPr>
        <w:tabs>
          <w:tab w:val="left" w:pos="426"/>
          <w:tab w:val="left" w:pos="2160"/>
        </w:tabs>
        <w:rPr>
          <w:rFonts w:cs="Arial"/>
        </w:rPr>
      </w:pPr>
    </w:p>
    <w:p w14:paraId="0C1A95D5" w14:textId="77777777" w:rsidR="009E2FBA" w:rsidRPr="00B148F9" w:rsidRDefault="00D24A1D" w:rsidP="009E2FBA">
      <w:pPr>
        <w:tabs>
          <w:tab w:val="left" w:pos="426"/>
          <w:tab w:val="left" w:pos="2160"/>
        </w:tabs>
        <w:rPr>
          <w:rFonts w:cs="Arial"/>
        </w:rPr>
      </w:pPr>
      <w:r w:rsidRPr="00B148F9">
        <w:rPr>
          <w:rFonts w:cs="Arial"/>
        </w:rPr>
        <w:t>Any failure by a Portfolio Company to develop new technologies or to accurately evaluate the technical or commercial prospects of new technologies could result in it failing to achieve a growth in value and this could have a material adverse effect on the Company’s financial condition.</w:t>
      </w:r>
      <w:r w:rsidR="009E2FBA" w:rsidRPr="00B148F9">
        <w:rPr>
          <w:rFonts w:cs="Arial"/>
        </w:rPr>
        <w:t xml:space="preserve"> </w:t>
      </w:r>
    </w:p>
    <w:p w14:paraId="6C715797" w14:textId="77777777" w:rsidR="009E2FBA" w:rsidRPr="00B148F9" w:rsidRDefault="009E2FBA" w:rsidP="009E2FBA">
      <w:pPr>
        <w:tabs>
          <w:tab w:val="left" w:pos="426"/>
          <w:tab w:val="left" w:pos="2160"/>
        </w:tabs>
        <w:rPr>
          <w:rFonts w:cs="Arial"/>
        </w:rPr>
      </w:pPr>
    </w:p>
    <w:p w14:paraId="4A605BDE" w14:textId="6A10D5D9" w:rsidR="009E2FBA" w:rsidRPr="00B148F9" w:rsidRDefault="009E2FBA" w:rsidP="009E2FBA">
      <w:pPr>
        <w:tabs>
          <w:tab w:val="left" w:pos="426"/>
          <w:tab w:val="left" w:pos="2160"/>
        </w:tabs>
        <w:rPr>
          <w:rFonts w:cs="Arial"/>
        </w:rPr>
      </w:pPr>
      <w:r w:rsidRPr="00B148F9">
        <w:rPr>
          <w:rFonts w:cs="Arial"/>
        </w:rPr>
        <w:t>Portfolio Companies may not successfully translate promising scientific theory into a commercially viable business opportunity. Further, the Portfolio Companies therapy in development may fail clinical trials and therefore no longer be viable.</w:t>
      </w:r>
    </w:p>
    <w:p w14:paraId="22E8C9B7" w14:textId="359352F7" w:rsidR="00D9504C" w:rsidRPr="00B148F9" w:rsidRDefault="00D9504C" w:rsidP="009E2FBA">
      <w:pPr>
        <w:tabs>
          <w:tab w:val="left" w:pos="426"/>
          <w:tab w:val="left" w:pos="2160"/>
        </w:tabs>
        <w:rPr>
          <w:rFonts w:cs="Arial"/>
        </w:rPr>
      </w:pPr>
    </w:p>
    <w:p w14:paraId="6FE29C2E" w14:textId="7CB92701" w:rsidR="00D9504C" w:rsidRPr="00B148F9" w:rsidRDefault="00D9504C" w:rsidP="009E2FBA">
      <w:pPr>
        <w:tabs>
          <w:tab w:val="left" w:pos="426"/>
          <w:tab w:val="left" w:pos="2160"/>
        </w:tabs>
        <w:rPr>
          <w:rFonts w:cs="Arial"/>
        </w:rPr>
      </w:pPr>
      <w:r w:rsidRPr="00B148F9">
        <w:rPr>
          <w:rFonts w:cs="Arial"/>
        </w:rPr>
        <w:t>Portfolio Company products are subject to intense competition and there are many factors that will affect whether the new therapies released by the Portfolio Companies gain market share against competitors and existing therapies.</w:t>
      </w:r>
    </w:p>
    <w:p w14:paraId="36AB0367" w14:textId="34156824" w:rsidR="00D9504C" w:rsidRPr="00B148F9" w:rsidRDefault="00D9504C" w:rsidP="009E2FBA">
      <w:pPr>
        <w:tabs>
          <w:tab w:val="left" w:pos="426"/>
          <w:tab w:val="left" w:pos="2160"/>
        </w:tabs>
        <w:rPr>
          <w:rFonts w:cs="Arial"/>
        </w:rPr>
      </w:pPr>
    </w:p>
    <w:p w14:paraId="3448FF80" w14:textId="6989E552" w:rsidR="00D9504C" w:rsidRPr="00B148F9" w:rsidRDefault="00D9504C" w:rsidP="009E2FBA">
      <w:pPr>
        <w:tabs>
          <w:tab w:val="left" w:pos="426"/>
          <w:tab w:val="left" w:pos="2160"/>
        </w:tabs>
        <w:rPr>
          <w:rFonts w:cs="Arial"/>
        </w:rPr>
      </w:pPr>
      <w:r w:rsidRPr="00B148F9">
        <w:rPr>
          <w:rFonts w:cs="Arial"/>
        </w:rPr>
        <w:t>Portfolio Companies may be newer small and mid-size LifeSci Companies. These companies may be more volatile and have less experience and fewer resources than more established companies.</w:t>
      </w:r>
    </w:p>
    <w:p w14:paraId="7E7E014E" w14:textId="77777777" w:rsidR="00D24A1D" w:rsidRPr="00B148F9" w:rsidRDefault="00D24A1D" w:rsidP="00D24A1D">
      <w:pPr>
        <w:tabs>
          <w:tab w:val="left" w:pos="426"/>
          <w:tab w:val="left" w:pos="2160"/>
        </w:tabs>
        <w:rPr>
          <w:rFonts w:cs="Arial"/>
        </w:rPr>
      </w:pPr>
    </w:p>
    <w:p w14:paraId="14F535F4" w14:textId="0DB8195F" w:rsidR="00181968" w:rsidRPr="00B148F9" w:rsidRDefault="00181968" w:rsidP="00181968">
      <w:pPr>
        <w:tabs>
          <w:tab w:val="left" w:pos="426"/>
          <w:tab w:val="left" w:pos="2160"/>
        </w:tabs>
        <w:rPr>
          <w:rFonts w:cs="Arial"/>
          <w:b/>
        </w:rPr>
      </w:pPr>
      <w:r w:rsidRPr="00B148F9">
        <w:rPr>
          <w:rFonts w:cs="Arial"/>
          <w:b/>
        </w:rPr>
        <w:t>Concentration risk</w:t>
      </w:r>
    </w:p>
    <w:p w14:paraId="6AB20FB3" w14:textId="77777777" w:rsidR="00924813" w:rsidRPr="00B148F9" w:rsidRDefault="00924813" w:rsidP="00181968">
      <w:pPr>
        <w:tabs>
          <w:tab w:val="left" w:pos="426"/>
          <w:tab w:val="left" w:pos="2160"/>
        </w:tabs>
        <w:rPr>
          <w:rFonts w:cs="Arial"/>
        </w:rPr>
      </w:pPr>
    </w:p>
    <w:p w14:paraId="1E23960D" w14:textId="2FA58E19" w:rsidR="00181968" w:rsidRPr="00B148F9" w:rsidRDefault="00181968" w:rsidP="00181968">
      <w:pPr>
        <w:tabs>
          <w:tab w:val="left" w:pos="426"/>
          <w:tab w:val="left" w:pos="2160"/>
        </w:tabs>
        <w:rPr>
          <w:rFonts w:cs="Arial"/>
        </w:rPr>
      </w:pPr>
      <w:r w:rsidRPr="00B148F9">
        <w:rPr>
          <w:rFonts w:cs="Arial"/>
        </w:rPr>
        <w:t xml:space="preserve">The Company may not make an investment or a series of investments in a Portfolio Company that result in the Company’s aggregate investment in such Portfolio Company exceeding 15 per cent. of the Company’s gross assets, save for Rocket for which the limit will be 30 per cent. </w:t>
      </w:r>
      <w:r w:rsidR="001A1BBB" w:rsidRPr="00B148F9">
        <w:rPr>
          <w:rFonts w:cs="Arial"/>
        </w:rPr>
        <w:t xml:space="preserve">as stated in the Company’s prospectus. </w:t>
      </w:r>
      <w:r w:rsidRPr="00B148F9">
        <w:rPr>
          <w:rFonts w:cs="Arial"/>
        </w:rPr>
        <w:t xml:space="preserve">Each of these investment restrictions will be calculated as at the time of investment. As such, it is possible that the Company’s portfolio may be concentrated at any given point in time, potentially with more than 15 per cent. of gross assets held in one Portfolio Company as Portfolio Companies increase or decrease in value following such initial investment. The Company’s portfolio of investments may also lack diversification among </w:t>
      </w:r>
      <w:r w:rsidR="007A7FFC" w:rsidRPr="00B148F9">
        <w:rPr>
          <w:rFonts w:cs="Calibri"/>
          <w:color w:val="000000"/>
        </w:rPr>
        <w:t xml:space="preserve">LifeSci </w:t>
      </w:r>
      <w:r w:rsidR="00924813" w:rsidRPr="00B148F9">
        <w:rPr>
          <w:rFonts w:cs="Calibri"/>
          <w:color w:val="000000"/>
        </w:rPr>
        <w:t xml:space="preserve">Companies </w:t>
      </w:r>
      <w:r w:rsidR="00924813" w:rsidRPr="00B148F9">
        <w:rPr>
          <w:rFonts w:cs="Arial"/>
        </w:rPr>
        <w:t>and</w:t>
      </w:r>
      <w:r w:rsidRPr="00B148F9">
        <w:rPr>
          <w:rFonts w:cs="Arial"/>
        </w:rPr>
        <w:t xml:space="preserve"> related investments. </w:t>
      </w:r>
    </w:p>
    <w:p w14:paraId="4E2DD2FF" w14:textId="77777777" w:rsidR="00181968" w:rsidRPr="00B148F9" w:rsidRDefault="00181968" w:rsidP="00D24A1D">
      <w:pPr>
        <w:tabs>
          <w:tab w:val="left" w:pos="426"/>
          <w:tab w:val="left" w:pos="2160"/>
        </w:tabs>
        <w:rPr>
          <w:rFonts w:cs="Arial"/>
        </w:rPr>
      </w:pPr>
    </w:p>
    <w:p w14:paraId="03C6D50A" w14:textId="6F3F946E" w:rsidR="00B6024F" w:rsidRPr="00B148F9" w:rsidRDefault="00B6024F" w:rsidP="00D24A1D">
      <w:pPr>
        <w:tabs>
          <w:tab w:val="left" w:pos="426"/>
          <w:tab w:val="left" w:pos="2160"/>
        </w:tabs>
        <w:rPr>
          <w:rFonts w:cs="Arial"/>
          <w:b/>
        </w:rPr>
      </w:pPr>
      <w:r w:rsidRPr="00B148F9">
        <w:rPr>
          <w:rFonts w:cs="Arial"/>
          <w:b/>
        </w:rPr>
        <w:t xml:space="preserve">Concentration of </w:t>
      </w:r>
      <w:r w:rsidR="00D24A1D" w:rsidRPr="00B148F9">
        <w:rPr>
          <w:rFonts w:cs="Arial"/>
          <w:b/>
        </w:rPr>
        <w:t>c</w:t>
      </w:r>
      <w:r w:rsidRPr="00B148F9">
        <w:rPr>
          <w:rFonts w:cs="Arial"/>
          <w:b/>
        </w:rPr>
        <w:t xml:space="preserve">redit </w:t>
      </w:r>
      <w:r w:rsidR="00D24A1D" w:rsidRPr="00B148F9">
        <w:rPr>
          <w:rFonts w:cs="Arial"/>
          <w:b/>
        </w:rPr>
        <w:t>r</w:t>
      </w:r>
      <w:r w:rsidRPr="00B148F9">
        <w:rPr>
          <w:rFonts w:cs="Arial"/>
          <w:b/>
        </w:rPr>
        <w:t>isk</w:t>
      </w:r>
    </w:p>
    <w:p w14:paraId="752E36B8" w14:textId="77777777" w:rsidR="00924813" w:rsidRPr="00B148F9" w:rsidRDefault="00924813" w:rsidP="00D24A1D">
      <w:pPr>
        <w:tabs>
          <w:tab w:val="left" w:pos="426"/>
          <w:tab w:val="left" w:pos="2160"/>
        </w:tabs>
        <w:rPr>
          <w:rFonts w:cs="Arial"/>
        </w:rPr>
      </w:pPr>
    </w:p>
    <w:p w14:paraId="794083F7" w14:textId="758157AF" w:rsidR="00181968" w:rsidRPr="009E4CA7" w:rsidRDefault="000004FA" w:rsidP="009E4CA7">
      <w:pPr>
        <w:tabs>
          <w:tab w:val="left" w:pos="426"/>
          <w:tab w:val="left" w:pos="2160"/>
        </w:tabs>
        <w:rPr>
          <w:rFonts w:cs="Arial"/>
        </w:rPr>
      </w:pPr>
      <w:r w:rsidRPr="00B148F9">
        <w:rPr>
          <w:rFonts w:cs="Arial"/>
        </w:rPr>
        <w:t xml:space="preserve">In the normal course of business, the </w:t>
      </w:r>
      <w:r w:rsidR="00196B8B" w:rsidRPr="00B148F9">
        <w:rPr>
          <w:rFonts w:cs="Arial"/>
        </w:rPr>
        <w:t>Company</w:t>
      </w:r>
      <w:r w:rsidRPr="00B148F9">
        <w:rPr>
          <w:rFonts w:cs="Arial"/>
        </w:rPr>
        <w:t xml:space="preserve"> maintains its cash balances in financial institutions, which at times may exceed </w:t>
      </w:r>
      <w:r w:rsidR="000964A8" w:rsidRPr="00B148F9">
        <w:rPr>
          <w:rFonts w:cs="Arial"/>
        </w:rPr>
        <w:t xml:space="preserve">US </w:t>
      </w:r>
      <w:r w:rsidRPr="00B148F9">
        <w:rPr>
          <w:rFonts w:cs="Arial"/>
        </w:rPr>
        <w:t>federal</w:t>
      </w:r>
      <w:r w:rsidR="000964A8" w:rsidRPr="00B148F9">
        <w:rPr>
          <w:rFonts w:cs="Arial"/>
        </w:rPr>
        <w:t xml:space="preserve"> or UK</w:t>
      </w:r>
      <w:r w:rsidRPr="00B148F9">
        <w:rPr>
          <w:rFonts w:cs="Arial"/>
        </w:rPr>
        <w:t xml:space="preserve"> insured limits</w:t>
      </w:r>
      <w:r w:rsidR="000964A8" w:rsidRPr="00B148F9">
        <w:rPr>
          <w:rFonts w:cs="Arial"/>
        </w:rPr>
        <w:t>, as applicable</w:t>
      </w:r>
      <w:r w:rsidRPr="00B148F9">
        <w:rPr>
          <w:rFonts w:cs="Arial"/>
        </w:rPr>
        <w:t xml:space="preserve">. The </w:t>
      </w:r>
      <w:r w:rsidR="00196B8B" w:rsidRPr="00B148F9">
        <w:rPr>
          <w:rFonts w:cs="Arial"/>
        </w:rPr>
        <w:t>Company</w:t>
      </w:r>
      <w:r w:rsidRPr="00B148F9">
        <w:rPr>
          <w:rFonts w:cs="Arial"/>
        </w:rPr>
        <w:t xml:space="preserve"> is subject to credit risk to the extent any financial institution with which it conducts </w:t>
      </w:r>
      <w:r w:rsidRPr="00B148F9">
        <w:rPr>
          <w:rFonts w:cs="Arial"/>
        </w:rPr>
        <w:lastRenderedPageBreak/>
        <w:t xml:space="preserve">business is unable to </w:t>
      </w:r>
      <w:r w:rsidR="00892154" w:rsidRPr="00B148F9">
        <w:rPr>
          <w:rFonts w:cs="Arial"/>
        </w:rPr>
        <w:t>fulfil</w:t>
      </w:r>
      <w:r w:rsidRPr="00B148F9">
        <w:rPr>
          <w:rFonts w:cs="Arial"/>
        </w:rPr>
        <w:t xml:space="preserve"> contractual obligations on its behalf. Management monitors the financial condition of such financial institutions and does not anticipate any losses from these counterparties.</w:t>
      </w:r>
    </w:p>
    <w:p w14:paraId="07941342" w14:textId="77777777" w:rsidR="00181968" w:rsidRPr="00B148F9" w:rsidRDefault="00181968" w:rsidP="00181968">
      <w:pPr>
        <w:tabs>
          <w:tab w:val="left" w:pos="426"/>
          <w:tab w:val="left" w:pos="2160"/>
        </w:tabs>
        <w:rPr>
          <w:rFonts w:cs="Arial"/>
        </w:rPr>
      </w:pPr>
    </w:p>
    <w:p w14:paraId="34BAF43E" w14:textId="77777777" w:rsidR="00D9504C" w:rsidRPr="00B148F9" w:rsidRDefault="00D9504C" w:rsidP="00D9504C">
      <w:pPr>
        <w:tabs>
          <w:tab w:val="left" w:pos="426"/>
          <w:tab w:val="left" w:pos="2160"/>
        </w:tabs>
        <w:rPr>
          <w:rFonts w:cs="Arial"/>
          <w:b/>
        </w:rPr>
      </w:pPr>
      <w:r w:rsidRPr="00B148F9">
        <w:rPr>
          <w:rFonts w:cs="Arial"/>
          <w:b/>
        </w:rPr>
        <w:t>Counterparty risk</w:t>
      </w:r>
    </w:p>
    <w:p w14:paraId="0338BDF4" w14:textId="77777777" w:rsidR="00D9504C" w:rsidRPr="00B148F9" w:rsidRDefault="00D9504C" w:rsidP="00D9504C">
      <w:pPr>
        <w:tabs>
          <w:tab w:val="left" w:pos="426"/>
          <w:tab w:val="left" w:pos="2160"/>
        </w:tabs>
        <w:rPr>
          <w:rFonts w:cs="Arial"/>
        </w:rPr>
      </w:pPr>
    </w:p>
    <w:p w14:paraId="32DBDB6F" w14:textId="77777777" w:rsidR="00D9504C" w:rsidRPr="00B148F9" w:rsidRDefault="00D9504C" w:rsidP="00D9504C">
      <w:pPr>
        <w:tabs>
          <w:tab w:val="left" w:pos="426"/>
          <w:tab w:val="left" w:pos="2160"/>
        </w:tabs>
        <w:rPr>
          <w:rFonts w:cs="Arial"/>
        </w:rPr>
      </w:pPr>
      <w:r w:rsidRPr="00B148F9">
        <w:rPr>
          <w:rFonts w:cs="Arial"/>
        </w:rPr>
        <w:t>The Company invests in equity swaps and takes the risk of non-performance by the other party to the contract. This risk may include credit risk of the counterparty, the risk of settlement default, and generally, the risk of the inability of counterparties to perform with respect to transactions, whether due to insolvency, bankruptcy or other causes.</w:t>
      </w:r>
    </w:p>
    <w:p w14:paraId="377E0818" w14:textId="77777777" w:rsidR="00D9504C" w:rsidRPr="00B148F9" w:rsidRDefault="00D9504C" w:rsidP="00D9504C">
      <w:pPr>
        <w:tabs>
          <w:tab w:val="left" w:pos="426"/>
          <w:tab w:val="left" w:pos="2160"/>
        </w:tabs>
        <w:rPr>
          <w:rFonts w:cs="Arial"/>
        </w:rPr>
      </w:pPr>
    </w:p>
    <w:p w14:paraId="7909583B" w14:textId="77777777" w:rsidR="00D9504C" w:rsidRPr="00B148F9" w:rsidRDefault="00D9504C" w:rsidP="00D9504C">
      <w:pPr>
        <w:tabs>
          <w:tab w:val="left" w:pos="426"/>
          <w:tab w:val="left" w:pos="2160"/>
        </w:tabs>
        <w:rPr>
          <w:rFonts w:cs="Arial"/>
        </w:rPr>
      </w:pPr>
      <w:r w:rsidRPr="00B148F9">
        <w:rPr>
          <w:rFonts w:cs="Arial"/>
        </w:rPr>
        <w:t>In an effort to mitigate such risks, the Company will attempt to limit its transactions to counterparties which are established, well capitalised and creditworthy.</w:t>
      </w:r>
    </w:p>
    <w:p w14:paraId="768AD5A1" w14:textId="77777777" w:rsidR="00D9504C" w:rsidRPr="00B148F9" w:rsidRDefault="00D9504C" w:rsidP="00D9504C">
      <w:pPr>
        <w:tabs>
          <w:tab w:val="left" w:pos="426"/>
          <w:tab w:val="left" w:pos="2160"/>
        </w:tabs>
        <w:rPr>
          <w:rFonts w:cs="Arial"/>
        </w:rPr>
      </w:pPr>
    </w:p>
    <w:p w14:paraId="4732679E" w14:textId="77777777" w:rsidR="00D9504C" w:rsidRPr="00B148F9" w:rsidRDefault="00D9504C" w:rsidP="00D9504C">
      <w:pPr>
        <w:tabs>
          <w:tab w:val="left" w:pos="426"/>
          <w:tab w:val="left" w:pos="2160"/>
        </w:tabs>
        <w:rPr>
          <w:rFonts w:cs="Arial"/>
          <w:b/>
        </w:rPr>
      </w:pPr>
      <w:r w:rsidRPr="00B148F9">
        <w:rPr>
          <w:rFonts w:cs="Arial"/>
          <w:b/>
        </w:rPr>
        <w:t>Liquidity risk</w:t>
      </w:r>
    </w:p>
    <w:p w14:paraId="73BDE20D" w14:textId="77777777" w:rsidR="00D9504C" w:rsidRPr="00B148F9" w:rsidRDefault="00D9504C" w:rsidP="00D9504C">
      <w:pPr>
        <w:tabs>
          <w:tab w:val="left" w:pos="426"/>
          <w:tab w:val="left" w:pos="2160"/>
        </w:tabs>
        <w:rPr>
          <w:rFonts w:cs="Arial"/>
        </w:rPr>
      </w:pPr>
    </w:p>
    <w:p w14:paraId="5695FBC4" w14:textId="77777777" w:rsidR="00D9504C" w:rsidRPr="00B148F9" w:rsidRDefault="00D9504C" w:rsidP="00D9504C">
      <w:pPr>
        <w:tabs>
          <w:tab w:val="left" w:pos="426"/>
          <w:tab w:val="left" w:pos="2160"/>
        </w:tabs>
        <w:rPr>
          <w:rFonts w:cs="Arial"/>
        </w:rPr>
      </w:pPr>
      <w:r w:rsidRPr="00B148F9">
        <w:rPr>
          <w:rFonts w:cs="Arial"/>
        </w:rPr>
        <w:t>Derivative transactions may not be liquid in all circumstances, such that in volatile markets it may not be possible to close out a position without incurring a loss. The illiquidity of the derivatives markets may be due to various factors, including congestion, disorderly markets, limitations on deliverable supplies, the participation of speculators, government regulation and intervention, and technical and operational or system failures.</w:t>
      </w:r>
    </w:p>
    <w:p w14:paraId="52E86F89" w14:textId="77777777" w:rsidR="00D9504C" w:rsidRPr="00B148F9" w:rsidRDefault="00D9504C" w:rsidP="00D9504C">
      <w:pPr>
        <w:tabs>
          <w:tab w:val="left" w:pos="426"/>
          <w:tab w:val="left" w:pos="2160"/>
        </w:tabs>
        <w:rPr>
          <w:rFonts w:cs="Arial"/>
        </w:rPr>
      </w:pPr>
    </w:p>
    <w:p w14:paraId="3A0BB2BC" w14:textId="77777777" w:rsidR="00D9504C" w:rsidRPr="00B148F9" w:rsidRDefault="00D9504C" w:rsidP="00D9504C">
      <w:pPr>
        <w:tabs>
          <w:tab w:val="left" w:pos="426"/>
          <w:tab w:val="left" w:pos="2160"/>
        </w:tabs>
        <w:rPr>
          <w:rFonts w:cs="Arial"/>
        </w:rPr>
      </w:pPr>
      <w:r w:rsidRPr="00B148F9">
        <w:rPr>
          <w:rFonts w:cs="Arial"/>
        </w:rPr>
        <w:t>Investments in private Portfolio Companies will not be liquid and the exit strategy for investments in private Portfolio Companies will not necessarily be clear at the time of investment.</w:t>
      </w:r>
    </w:p>
    <w:p w14:paraId="655EBDB4" w14:textId="77777777" w:rsidR="00D9504C" w:rsidRPr="00B148F9" w:rsidRDefault="00D9504C" w:rsidP="00181968">
      <w:pPr>
        <w:tabs>
          <w:tab w:val="left" w:pos="426"/>
          <w:tab w:val="left" w:pos="2160"/>
        </w:tabs>
        <w:rPr>
          <w:rFonts w:cs="Arial"/>
        </w:rPr>
      </w:pPr>
    </w:p>
    <w:p w14:paraId="1B214C30" w14:textId="388870DE" w:rsidR="00181968" w:rsidRPr="00B148F9" w:rsidRDefault="00181968" w:rsidP="00181968">
      <w:pPr>
        <w:tabs>
          <w:tab w:val="left" w:pos="426"/>
          <w:tab w:val="left" w:pos="2160"/>
        </w:tabs>
        <w:rPr>
          <w:rFonts w:cs="Arial"/>
          <w:b/>
        </w:rPr>
      </w:pPr>
      <w:r w:rsidRPr="00B148F9">
        <w:rPr>
          <w:rFonts w:cs="Arial"/>
          <w:b/>
        </w:rPr>
        <w:t>Foreign exchange risk</w:t>
      </w:r>
    </w:p>
    <w:p w14:paraId="131F66E6" w14:textId="77777777" w:rsidR="00924813" w:rsidRPr="00B148F9" w:rsidRDefault="00924813" w:rsidP="00181968">
      <w:pPr>
        <w:tabs>
          <w:tab w:val="left" w:pos="426"/>
          <w:tab w:val="left" w:pos="2160"/>
        </w:tabs>
        <w:rPr>
          <w:rFonts w:cs="Arial"/>
        </w:rPr>
      </w:pPr>
    </w:p>
    <w:p w14:paraId="51666435" w14:textId="403DEB96" w:rsidR="00181968" w:rsidRPr="00B148F9" w:rsidRDefault="00181968" w:rsidP="00181968">
      <w:pPr>
        <w:tabs>
          <w:tab w:val="left" w:pos="426"/>
          <w:tab w:val="left" w:pos="2160"/>
        </w:tabs>
        <w:rPr>
          <w:rFonts w:cs="Arial"/>
        </w:rPr>
      </w:pPr>
      <w:r w:rsidRPr="00B148F9">
        <w:rPr>
          <w:rFonts w:cs="Arial"/>
        </w:rPr>
        <w:t>The Company will make investments in various jurisdictions in a number of currencies and will be exposed to the risk of currency fluctuations that may materially adversely affect, amongst other things, the value of the Portfolio Company or the Company’s investment in such Portfolio Company, or any distributions received from the Portfolio Company. Under its investment policy, the Company does not intend to enter into any securities or financially engineered products designed to hedge portfolio exposure or mitigate portfolio risk as a core part of its investment strategy.</w:t>
      </w:r>
    </w:p>
    <w:p w14:paraId="116CF4FC" w14:textId="417F5BB5" w:rsidR="00EB48F4" w:rsidRPr="00B148F9" w:rsidRDefault="00EB48F4" w:rsidP="00EB48F4">
      <w:pPr>
        <w:tabs>
          <w:tab w:val="left" w:pos="426"/>
          <w:tab w:val="left" w:pos="2160"/>
        </w:tabs>
        <w:rPr>
          <w:rFonts w:cs="Arial"/>
        </w:rPr>
      </w:pPr>
    </w:p>
    <w:p w14:paraId="1BFF2D9B" w14:textId="1BDB1327" w:rsidR="00EB48F4" w:rsidRPr="00B148F9" w:rsidRDefault="00436B09" w:rsidP="00817824">
      <w:pPr>
        <w:pStyle w:val="Heading1"/>
        <w:jc w:val="left"/>
        <w:rPr>
          <w:sz w:val="20"/>
        </w:rPr>
      </w:pPr>
      <w:r w:rsidRPr="00B148F9">
        <w:rPr>
          <w:sz w:val="20"/>
        </w:rPr>
        <w:t>9</w:t>
      </w:r>
      <w:r w:rsidR="00817824" w:rsidRPr="00B148F9">
        <w:rPr>
          <w:sz w:val="20"/>
        </w:rPr>
        <w:t xml:space="preserve">. </w:t>
      </w:r>
      <w:r w:rsidR="00EB48F4" w:rsidRPr="00B148F9">
        <w:rPr>
          <w:sz w:val="20"/>
        </w:rPr>
        <w:t>Share Capital</w:t>
      </w:r>
    </w:p>
    <w:p w14:paraId="308D95DE" w14:textId="1E4765EE" w:rsidR="00EB48F4" w:rsidRPr="00B148F9" w:rsidRDefault="00EB48F4" w:rsidP="00913AEB">
      <w:pPr>
        <w:tabs>
          <w:tab w:val="left" w:pos="426"/>
          <w:tab w:val="left" w:pos="2160"/>
        </w:tabs>
        <w:rPr>
          <w:szCs w:val="19"/>
        </w:rPr>
      </w:pPr>
    </w:p>
    <w:p w14:paraId="303AC4F1" w14:textId="3A6C34C7" w:rsidR="001A1BBB" w:rsidRPr="00B148F9" w:rsidRDefault="001A1BBB" w:rsidP="001A1BBB">
      <w:pPr>
        <w:pStyle w:val="hs"/>
        <w:rPr>
          <w:rFonts w:ascii="Century Gothic" w:hAnsi="Century Gothic" w:cs="Times New Roman"/>
          <w:sz w:val="20"/>
          <w:szCs w:val="19"/>
          <w:lang w:eastAsia="en-US"/>
        </w:rPr>
      </w:pPr>
      <w:r w:rsidRPr="00B148F9">
        <w:rPr>
          <w:rFonts w:ascii="Century Gothic" w:hAnsi="Century Gothic" w:cs="Times New Roman"/>
          <w:sz w:val="20"/>
          <w:szCs w:val="19"/>
          <w:lang w:eastAsia="en-US"/>
        </w:rPr>
        <w:t xml:space="preserve">Prior to re-domiciliation into Guernsey on 2 October 2019, </w:t>
      </w:r>
      <w:r w:rsidR="007E26E7" w:rsidRPr="00B148F9">
        <w:rPr>
          <w:rFonts w:ascii="Century Gothic" w:hAnsi="Century Gothic" w:cs="Times New Roman"/>
          <w:sz w:val="20"/>
          <w:szCs w:val="19"/>
          <w:lang w:eastAsia="en-US"/>
        </w:rPr>
        <w:t xml:space="preserve">while still a </w:t>
      </w:r>
      <w:r w:rsidR="00924813" w:rsidRPr="00B148F9">
        <w:rPr>
          <w:rFonts w:ascii="Century Gothic" w:hAnsi="Century Gothic" w:cs="Times New Roman"/>
          <w:sz w:val="20"/>
          <w:szCs w:val="19"/>
          <w:lang w:eastAsia="en-US"/>
        </w:rPr>
        <w:t>l</w:t>
      </w:r>
      <w:r w:rsidR="007E26E7" w:rsidRPr="00B148F9">
        <w:rPr>
          <w:rFonts w:ascii="Century Gothic" w:hAnsi="Century Gothic" w:cs="Times New Roman"/>
          <w:sz w:val="20"/>
          <w:szCs w:val="19"/>
          <w:lang w:eastAsia="en-US"/>
        </w:rPr>
        <w:t xml:space="preserve">imited </w:t>
      </w:r>
      <w:r w:rsidR="00924813" w:rsidRPr="00B148F9">
        <w:rPr>
          <w:rFonts w:ascii="Century Gothic" w:hAnsi="Century Gothic" w:cs="Times New Roman"/>
          <w:sz w:val="20"/>
          <w:szCs w:val="19"/>
          <w:lang w:eastAsia="en-US"/>
        </w:rPr>
        <w:t>l</w:t>
      </w:r>
      <w:r w:rsidR="007E26E7" w:rsidRPr="00B148F9">
        <w:rPr>
          <w:rFonts w:ascii="Century Gothic" w:hAnsi="Century Gothic" w:cs="Times New Roman"/>
          <w:sz w:val="20"/>
          <w:szCs w:val="19"/>
          <w:lang w:eastAsia="en-US"/>
        </w:rPr>
        <w:t xml:space="preserve">iability </w:t>
      </w:r>
      <w:r w:rsidR="00924813" w:rsidRPr="00B148F9">
        <w:rPr>
          <w:rFonts w:ascii="Century Gothic" w:hAnsi="Century Gothic" w:cs="Times New Roman"/>
          <w:sz w:val="20"/>
          <w:szCs w:val="19"/>
          <w:lang w:eastAsia="en-US"/>
        </w:rPr>
        <w:t>c</w:t>
      </w:r>
      <w:r w:rsidR="007E26E7" w:rsidRPr="00B148F9">
        <w:rPr>
          <w:rFonts w:ascii="Century Gothic" w:hAnsi="Century Gothic" w:cs="Times New Roman"/>
          <w:sz w:val="20"/>
          <w:szCs w:val="19"/>
          <w:lang w:eastAsia="en-US"/>
        </w:rPr>
        <w:t xml:space="preserve">ompany, </w:t>
      </w:r>
      <w:r w:rsidRPr="00B148F9">
        <w:rPr>
          <w:rFonts w:ascii="Century Gothic" w:hAnsi="Century Gothic" w:cs="Times New Roman"/>
          <w:sz w:val="20"/>
          <w:szCs w:val="19"/>
          <w:lang w:eastAsia="en-US"/>
        </w:rPr>
        <w:t>the minimum capital contribution by an investor in the Company</w:t>
      </w:r>
      <w:r w:rsidR="006E605C" w:rsidRPr="00B148F9">
        <w:rPr>
          <w:rFonts w:ascii="Century Gothic" w:hAnsi="Century Gothic" w:cs="Times New Roman"/>
          <w:sz w:val="20"/>
          <w:szCs w:val="19"/>
          <w:lang w:eastAsia="en-US"/>
        </w:rPr>
        <w:t xml:space="preserve"> </w:t>
      </w:r>
      <w:r w:rsidRPr="00B148F9">
        <w:rPr>
          <w:rFonts w:ascii="Century Gothic" w:hAnsi="Century Gothic" w:cs="Times New Roman"/>
          <w:sz w:val="20"/>
          <w:szCs w:val="19"/>
          <w:lang w:eastAsia="en-US"/>
        </w:rPr>
        <w:t xml:space="preserve">was $100,000, although RTW Fund Group GP, LLC as Managing Member </w:t>
      </w:r>
      <w:r w:rsidR="006E605C" w:rsidRPr="00B148F9">
        <w:rPr>
          <w:rFonts w:ascii="Century Gothic" w:hAnsi="Century Gothic" w:cs="Times New Roman"/>
          <w:sz w:val="20"/>
          <w:szCs w:val="19"/>
          <w:lang w:eastAsia="en-US"/>
        </w:rPr>
        <w:t>could have</w:t>
      </w:r>
      <w:r w:rsidRPr="00B148F9">
        <w:rPr>
          <w:rFonts w:ascii="Century Gothic" w:hAnsi="Century Gothic" w:cs="Times New Roman"/>
          <w:sz w:val="20"/>
          <w:szCs w:val="19"/>
          <w:lang w:eastAsia="en-US"/>
        </w:rPr>
        <w:t>, in its sole discretion, accept</w:t>
      </w:r>
      <w:r w:rsidR="006E605C" w:rsidRPr="00B148F9">
        <w:rPr>
          <w:rFonts w:ascii="Century Gothic" w:hAnsi="Century Gothic" w:cs="Times New Roman"/>
          <w:sz w:val="20"/>
          <w:szCs w:val="19"/>
          <w:lang w:eastAsia="en-US"/>
        </w:rPr>
        <w:t>ed</w:t>
      </w:r>
      <w:r w:rsidRPr="00B148F9">
        <w:rPr>
          <w:rFonts w:ascii="Century Gothic" w:hAnsi="Century Gothic" w:cs="Times New Roman"/>
          <w:sz w:val="20"/>
          <w:szCs w:val="19"/>
          <w:lang w:eastAsia="en-US"/>
        </w:rPr>
        <w:t xml:space="preserve"> smaller capital contributions with respect to any non-managing member. Prior to July 2019, the minimum capital contribution by an investor was $1 million. </w:t>
      </w:r>
      <w:r w:rsidR="000964A8" w:rsidRPr="00B148F9">
        <w:rPr>
          <w:rFonts w:ascii="Century Gothic" w:hAnsi="Century Gothic" w:cs="Times New Roman"/>
          <w:sz w:val="20"/>
          <w:szCs w:val="19"/>
          <w:lang w:eastAsia="en-US"/>
        </w:rPr>
        <w:t>Voluntary withdrawals from Non-Managing Members were not permitted until the end of the Term, unless the Managing Member was able to facilitate a transfer to a third party investor, another existing Non-Managing Member, or the Managing Member itself or any of its affiliates.</w:t>
      </w:r>
    </w:p>
    <w:p w14:paraId="1011DEDB" w14:textId="77777777" w:rsidR="001A1BBB" w:rsidRPr="00B148F9" w:rsidRDefault="001A1BBB" w:rsidP="001A1BBB">
      <w:pPr>
        <w:pStyle w:val="hs"/>
        <w:rPr>
          <w:rFonts w:ascii="Century Gothic" w:hAnsi="Century Gothic" w:cs="Times New Roman"/>
          <w:sz w:val="20"/>
          <w:szCs w:val="19"/>
          <w:lang w:eastAsia="en-US"/>
        </w:rPr>
      </w:pPr>
    </w:p>
    <w:p w14:paraId="7548D6AC" w14:textId="7B9EABF9" w:rsidR="001A1BBB" w:rsidRPr="00B148F9" w:rsidRDefault="001A1BBB" w:rsidP="001A1BBB">
      <w:pPr>
        <w:pStyle w:val="hs"/>
        <w:rPr>
          <w:rFonts w:ascii="Century Gothic" w:hAnsi="Century Gothic" w:cs="Times New Roman"/>
          <w:sz w:val="20"/>
          <w:szCs w:val="19"/>
          <w:lang w:eastAsia="en-US"/>
        </w:rPr>
      </w:pPr>
      <w:r w:rsidRPr="00B148F9">
        <w:rPr>
          <w:rFonts w:ascii="Century Gothic" w:hAnsi="Century Gothic" w:cs="Times New Roman"/>
          <w:sz w:val="20"/>
          <w:szCs w:val="19"/>
          <w:lang w:eastAsia="en-US"/>
        </w:rPr>
        <w:t xml:space="preserve">The initial closing for the sale of membership interests in the Company occurred on or about 17 February 2017. RTW Fund Group GP, LLC as Managing Member extended the offering period and held one or more subsequent closings until the final closing on 1 September 2019. </w:t>
      </w:r>
    </w:p>
    <w:p w14:paraId="1138755B" w14:textId="2D825739" w:rsidR="000964A8" w:rsidRPr="00B148F9" w:rsidRDefault="000964A8" w:rsidP="001A1BBB">
      <w:pPr>
        <w:pStyle w:val="hs"/>
        <w:rPr>
          <w:rFonts w:ascii="Century Gothic" w:hAnsi="Century Gothic" w:cs="Times New Roman"/>
          <w:sz w:val="20"/>
          <w:szCs w:val="19"/>
          <w:lang w:eastAsia="en-US"/>
        </w:rPr>
      </w:pPr>
    </w:p>
    <w:p w14:paraId="09C8C681" w14:textId="77777777" w:rsidR="000964A8" w:rsidRPr="00B148F9" w:rsidRDefault="000964A8" w:rsidP="000964A8">
      <w:pPr>
        <w:pStyle w:val="hs"/>
        <w:rPr>
          <w:rFonts w:ascii="Century Gothic" w:hAnsi="Century Gothic" w:cs="Times New Roman"/>
          <w:sz w:val="20"/>
          <w:szCs w:val="19"/>
          <w:lang w:eastAsia="en-US"/>
        </w:rPr>
      </w:pPr>
      <w:r w:rsidRPr="00B148F9">
        <w:rPr>
          <w:rFonts w:ascii="Century Gothic" w:hAnsi="Century Gothic" w:cs="Times New Roman"/>
          <w:sz w:val="20"/>
          <w:szCs w:val="19"/>
          <w:lang w:eastAsia="en-US"/>
        </w:rPr>
        <w:t xml:space="preserve">Upon re-domiciliation, the Company had 147,144,094 Ordinary Shares in issue. On 30 October 2019, the Company also issued 14,400,601 Ordinary Shares in connection with the IPO. </w:t>
      </w:r>
    </w:p>
    <w:p w14:paraId="66EC70B8" w14:textId="7E0DC93C" w:rsidR="005B67E6" w:rsidRPr="00B148F9" w:rsidRDefault="005B67E6" w:rsidP="00C4780E">
      <w:pPr>
        <w:ind w:right="-18"/>
        <w:rPr>
          <w:rFonts w:cs="Arial"/>
          <w:bCs/>
        </w:rPr>
      </w:pPr>
    </w:p>
    <w:p w14:paraId="575707BD" w14:textId="51EB3E45" w:rsidR="00D9504C" w:rsidRPr="00B148F9" w:rsidRDefault="00D9504C" w:rsidP="00D9504C">
      <w:pPr>
        <w:pStyle w:val="hs"/>
        <w:rPr>
          <w:szCs w:val="19"/>
        </w:rPr>
      </w:pPr>
      <w:r w:rsidRPr="00B148F9">
        <w:rPr>
          <w:rFonts w:ascii="Century Gothic" w:hAnsi="Century Gothic" w:cs="Times New Roman"/>
          <w:sz w:val="20"/>
          <w:szCs w:val="19"/>
          <w:lang w:eastAsia="en-US"/>
        </w:rPr>
        <w:t xml:space="preserve">Ordinary Shares carry the right to receive all income of the Company attributable to the Ordinary Shares and to participate in any distribution of such income made by the Company. </w:t>
      </w:r>
      <w:r w:rsidRPr="00B148F9">
        <w:rPr>
          <w:rFonts w:ascii="Century Gothic" w:hAnsi="Century Gothic" w:cs="Times New Roman"/>
          <w:sz w:val="20"/>
          <w:szCs w:val="19"/>
          <w:lang w:eastAsia="en-US"/>
        </w:rPr>
        <w:lastRenderedPageBreak/>
        <w:t>Such income shall be divided pari passu among the holders of Ordinary Shares in proportion to the number of Ordinary Shares held by them.</w:t>
      </w:r>
    </w:p>
    <w:p w14:paraId="40D0C79C" w14:textId="77777777" w:rsidR="00D9504C" w:rsidRPr="00B148F9" w:rsidRDefault="00D9504C" w:rsidP="00D9504C">
      <w:pPr>
        <w:tabs>
          <w:tab w:val="left" w:pos="426"/>
          <w:tab w:val="left" w:pos="2160"/>
        </w:tabs>
        <w:rPr>
          <w:szCs w:val="19"/>
        </w:rPr>
      </w:pPr>
    </w:p>
    <w:p w14:paraId="1F413387" w14:textId="55D610D9" w:rsidR="000964A8" w:rsidRPr="00B148F9" w:rsidRDefault="00D9504C" w:rsidP="00D9504C">
      <w:pPr>
        <w:tabs>
          <w:tab w:val="left" w:pos="426"/>
          <w:tab w:val="left" w:pos="2160"/>
        </w:tabs>
        <w:rPr>
          <w:szCs w:val="19"/>
        </w:rPr>
      </w:pPr>
      <w:r w:rsidRPr="00B148F9">
        <w:rPr>
          <w:szCs w:val="19"/>
        </w:rPr>
        <w:t xml:space="preserve">Ordinary Shares shall carry the right to receive notice of and attend and vote at any general meeting of the Company, and at any such meeting on a show of hands, every holder of Ordinary Shares present in person (includes present by attorney or by proxy or, in the case of a corporate member, by duly authorised corporate representative) and entitled to vote shall have one vote, and on a poll, </w:t>
      </w:r>
      <w:r w:rsidR="004E0E44" w:rsidRPr="00B148F9">
        <w:rPr>
          <w:szCs w:val="19"/>
        </w:rPr>
        <w:t xml:space="preserve">subject to any special voting powers or restrictions, </w:t>
      </w:r>
      <w:r w:rsidRPr="00B148F9">
        <w:rPr>
          <w:szCs w:val="19"/>
        </w:rPr>
        <w:t>every holder of Ordinary Shares present in person</w:t>
      </w:r>
      <w:r w:rsidR="004E0E44" w:rsidRPr="00B148F9">
        <w:rPr>
          <w:szCs w:val="19"/>
        </w:rPr>
        <w:t xml:space="preserve"> or by proxy shall be entitled to one vote for each Ordinary Share, or fraction of an Ordinary Share, held</w:t>
      </w:r>
      <w:r w:rsidRPr="00B148F9">
        <w:rPr>
          <w:szCs w:val="19"/>
        </w:rPr>
        <w:t xml:space="preserve">. </w:t>
      </w:r>
    </w:p>
    <w:p w14:paraId="105140E2" w14:textId="3BBB334E" w:rsidR="000964A8" w:rsidRPr="00B148F9" w:rsidRDefault="000964A8" w:rsidP="00D9504C">
      <w:pPr>
        <w:tabs>
          <w:tab w:val="left" w:pos="426"/>
          <w:tab w:val="left" w:pos="2160"/>
        </w:tabs>
        <w:rPr>
          <w:szCs w:val="19"/>
        </w:rPr>
      </w:pPr>
    </w:p>
    <w:p w14:paraId="5D3C3546" w14:textId="46076D3A" w:rsidR="000964A8" w:rsidRPr="00B148F9" w:rsidRDefault="000964A8" w:rsidP="000964A8">
      <w:pPr>
        <w:tabs>
          <w:tab w:val="left" w:pos="426"/>
          <w:tab w:val="left" w:pos="2160"/>
        </w:tabs>
        <w:rPr>
          <w:szCs w:val="19"/>
        </w:rPr>
      </w:pPr>
      <w:r w:rsidRPr="00B148F9">
        <w:rPr>
          <w:szCs w:val="19"/>
        </w:rPr>
        <w:t xml:space="preserve">The Performance Allocation Share Class Fund was created to which the Performance Allocation Amount will be allocated. All Performance Allocation Shares are held by RTW Venture Performance, LLC. </w:t>
      </w:r>
    </w:p>
    <w:p w14:paraId="0B65E65A" w14:textId="77777777" w:rsidR="000964A8" w:rsidRPr="00B148F9" w:rsidRDefault="000964A8" w:rsidP="000964A8">
      <w:pPr>
        <w:tabs>
          <w:tab w:val="left" w:pos="426"/>
          <w:tab w:val="left" w:pos="2160"/>
        </w:tabs>
        <w:rPr>
          <w:szCs w:val="19"/>
        </w:rPr>
      </w:pPr>
    </w:p>
    <w:p w14:paraId="17AC0D6E" w14:textId="76F83399" w:rsidR="000964A8" w:rsidRPr="00B148F9" w:rsidRDefault="000964A8" w:rsidP="000964A8">
      <w:pPr>
        <w:tabs>
          <w:tab w:val="left" w:pos="426"/>
          <w:tab w:val="left" w:pos="2160"/>
        </w:tabs>
        <w:rPr>
          <w:szCs w:val="19"/>
        </w:rPr>
      </w:pPr>
      <w:r w:rsidRPr="00B148F9">
        <w:rPr>
          <w:szCs w:val="19"/>
        </w:rPr>
        <w:t>Performance Allocation Shares shall carry the right to receive, and participate in, any dividends or other distributions of the Company available for dividend or distribution. Performance Allocation Shares shall not be entitled to receive notice of, to attend or to vote at general meetings of the Company.</w:t>
      </w:r>
    </w:p>
    <w:p w14:paraId="17A4DE3A" w14:textId="77777777" w:rsidR="000964A8" w:rsidRPr="00B148F9" w:rsidRDefault="000964A8" w:rsidP="00D9504C">
      <w:pPr>
        <w:tabs>
          <w:tab w:val="left" w:pos="426"/>
          <w:tab w:val="left" w:pos="2160"/>
        </w:tabs>
        <w:rPr>
          <w:szCs w:val="19"/>
        </w:rPr>
      </w:pPr>
    </w:p>
    <w:p w14:paraId="24867F5E" w14:textId="57AF56C6" w:rsidR="00D9504C" w:rsidRPr="00B148F9" w:rsidRDefault="000964A8" w:rsidP="00D9504C">
      <w:pPr>
        <w:tabs>
          <w:tab w:val="left" w:pos="426"/>
          <w:tab w:val="left" w:pos="2160"/>
        </w:tabs>
        <w:rPr>
          <w:szCs w:val="19"/>
        </w:rPr>
      </w:pPr>
      <w:r w:rsidRPr="00B148F9">
        <w:rPr>
          <w:szCs w:val="19"/>
        </w:rPr>
        <w:t>Management Shares shall not be entitled to receive, and participate in, any dividends or other distributions of the Company available for dividend or distribution. Management Shares shall be entitled to receive notice of, to attend or to vote at general meetings of the Company. Upon admission t</w:t>
      </w:r>
      <w:r w:rsidR="00D9504C" w:rsidRPr="00B148F9">
        <w:rPr>
          <w:szCs w:val="19"/>
        </w:rPr>
        <w:t xml:space="preserve">he Management shares of the Company </w:t>
      </w:r>
      <w:r w:rsidRPr="00B148F9">
        <w:rPr>
          <w:szCs w:val="19"/>
        </w:rPr>
        <w:t>we</w:t>
      </w:r>
      <w:r w:rsidR="00D9504C" w:rsidRPr="00B148F9">
        <w:rPr>
          <w:szCs w:val="19"/>
        </w:rPr>
        <w:t xml:space="preserve">re </w:t>
      </w:r>
      <w:r w:rsidRPr="00B148F9">
        <w:rPr>
          <w:szCs w:val="19"/>
        </w:rPr>
        <w:t xml:space="preserve">compulsorily redeemed by the Directors for nil consideration. </w:t>
      </w:r>
    </w:p>
    <w:p w14:paraId="13835232" w14:textId="77777777" w:rsidR="007E26E7" w:rsidRPr="00B148F9" w:rsidRDefault="007E26E7" w:rsidP="00E26200">
      <w:pPr>
        <w:ind w:right="-18"/>
        <w:rPr>
          <w:rFonts w:cs="Arial"/>
          <w:bCs/>
        </w:rPr>
      </w:pPr>
    </w:p>
    <w:p w14:paraId="6D93B147" w14:textId="69453F9F" w:rsidR="007E26E7" w:rsidRPr="00B148F9" w:rsidRDefault="007E26E7" w:rsidP="007E26E7">
      <w:pPr>
        <w:pStyle w:val="Heading1"/>
        <w:jc w:val="left"/>
        <w:rPr>
          <w:sz w:val="20"/>
        </w:rPr>
      </w:pPr>
      <w:r w:rsidRPr="00B148F9">
        <w:rPr>
          <w:sz w:val="20"/>
        </w:rPr>
        <w:t xml:space="preserve">10. Related </w:t>
      </w:r>
      <w:r w:rsidR="00924813" w:rsidRPr="00B148F9">
        <w:rPr>
          <w:sz w:val="20"/>
        </w:rPr>
        <w:t>p</w:t>
      </w:r>
      <w:r w:rsidRPr="00B148F9">
        <w:rPr>
          <w:sz w:val="20"/>
        </w:rPr>
        <w:t>arty transactions</w:t>
      </w:r>
    </w:p>
    <w:p w14:paraId="7952C5BA" w14:textId="0BCAE73C" w:rsidR="007E26E7" w:rsidRPr="00B148F9" w:rsidRDefault="007E26E7" w:rsidP="00E26200">
      <w:pPr>
        <w:ind w:right="-18"/>
        <w:rPr>
          <w:rFonts w:cs="Arial"/>
          <w:bCs/>
        </w:rPr>
      </w:pPr>
    </w:p>
    <w:p w14:paraId="550DD1F1" w14:textId="77777777" w:rsidR="00D9504C" w:rsidRPr="00B148F9" w:rsidRDefault="00D9504C" w:rsidP="00D9504C">
      <w:pPr>
        <w:ind w:right="-18"/>
        <w:rPr>
          <w:rFonts w:cs="Arial"/>
          <w:bCs/>
        </w:rPr>
      </w:pPr>
      <w:r w:rsidRPr="00B148F9">
        <w:rPr>
          <w:rFonts w:cs="Arial"/>
          <w:bCs/>
        </w:rPr>
        <w:t>The Company considers the Investment Manager, its principal owners, members of management, and members of their immediate families, as well as entities under common control, to be related parties. Amounts due from and due to related parties are generally settled in the normal course of business without formal payment terms.</w:t>
      </w:r>
    </w:p>
    <w:p w14:paraId="31DEF223" w14:textId="77777777" w:rsidR="00D9504C" w:rsidRPr="00B148F9" w:rsidRDefault="00D9504C" w:rsidP="007E26E7">
      <w:pPr>
        <w:ind w:right="-18"/>
        <w:rPr>
          <w:rFonts w:cs="Arial"/>
          <w:bCs/>
        </w:rPr>
      </w:pPr>
    </w:p>
    <w:p w14:paraId="57DA0339" w14:textId="0454EDB0" w:rsidR="00D25B6E" w:rsidRPr="00B148F9" w:rsidRDefault="00D25B6E" w:rsidP="007E26E7">
      <w:pPr>
        <w:ind w:right="-18"/>
        <w:rPr>
          <w:rFonts w:cs="Arial"/>
          <w:b/>
          <w:bCs/>
        </w:rPr>
      </w:pPr>
      <w:r w:rsidRPr="00B148F9">
        <w:rPr>
          <w:rFonts w:cs="Arial"/>
          <w:b/>
          <w:bCs/>
        </w:rPr>
        <w:t>Management Fee</w:t>
      </w:r>
    </w:p>
    <w:p w14:paraId="2671CB3A" w14:textId="77777777" w:rsidR="00D25B6E" w:rsidRPr="00B148F9" w:rsidRDefault="00D25B6E" w:rsidP="007E26E7">
      <w:pPr>
        <w:ind w:right="-18"/>
        <w:rPr>
          <w:rFonts w:cs="Arial"/>
          <w:bCs/>
        </w:rPr>
      </w:pPr>
    </w:p>
    <w:p w14:paraId="2E33CBCC" w14:textId="158AEF1F" w:rsidR="007E26E7" w:rsidRPr="00B148F9" w:rsidRDefault="007E26E7" w:rsidP="007E26E7">
      <w:pPr>
        <w:ind w:right="-18"/>
        <w:rPr>
          <w:rFonts w:cs="Arial"/>
          <w:bCs/>
        </w:rPr>
      </w:pPr>
      <w:r w:rsidRPr="00B148F9">
        <w:rPr>
          <w:rFonts w:cs="Arial"/>
          <w:bCs/>
        </w:rPr>
        <w:t>Prior to 1 August 2019, the Investment Manager was entitled to receive from the Company a quarterly management fee, in advance, as of the beginning of each quarter in an amount equal to 0.5% (i.e. 2.0% per annum) of each non-managing member’s capital account. None of the investors for the period from 1 January 2019 through 1 October 2019 w</w:t>
      </w:r>
      <w:r w:rsidR="00425596" w:rsidRPr="00B148F9">
        <w:rPr>
          <w:rFonts w:cs="Arial"/>
          <w:bCs/>
        </w:rPr>
        <w:t>as</w:t>
      </w:r>
      <w:r w:rsidRPr="00B148F9">
        <w:rPr>
          <w:rFonts w:cs="Arial"/>
          <w:bCs/>
        </w:rPr>
        <w:t xml:space="preserve"> subject to Management Fees under side letter agreements.</w:t>
      </w:r>
    </w:p>
    <w:p w14:paraId="7655989E" w14:textId="77777777" w:rsidR="007E26E7" w:rsidRPr="00B148F9" w:rsidRDefault="007E26E7" w:rsidP="007E26E7">
      <w:pPr>
        <w:ind w:right="-18"/>
        <w:rPr>
          <w:rFonts w:cs="Arial"/>
          <w:bCs/>
        </w:rPr>
      </w:pPr>
    </w:p>
    <w:p w14:paraId="49C525A3" w14:textId="5FEA8CAC" w:rsidR="007E26E7" w:rsidRPr="00B148F9" w:rsidRDefault="000964A8" w:rsidP="007E26E7">
      <w:pPr>
        <w:ind w:right="-18"/>
        <w:rPr>
          <w:rFonts w:cs="Arial"/>
          <w:bCs/>
        </w:rPr>
      </w:pPr>
      <w:r w:rsidRPr="00B148F9">
        <w:rPr>
          <w:rFonts w:cs="Arial"/>
          <w:bCs/>
        </w:rPr>
        <w:t>In preparation for the IPO, e</w:t>
      </w:r>
      <w:r w:rsidR="007E26E7" w:rsidRPr="00B148F9">
        <w:rPr>
          <w:rFonts w:cs="Arial"/>
          <w:bCs/>
        </w:rPr>
        <w:t xml:space="preserve">ffective from 1 August 2019, no management or performance fees were charged until after the IPO. </w:t>
      </w:r>
    </w:p>
    <w:p w14:paraId="3D2FF24E" w14:textId="71EDFBF4" w:rsidR="00614291" w:rsidRDefault="00614291" w:rsidP="00614291">
      <w:pPr>
        <w:ind w:right="-18"/>
        <w:rPr>
          <w:rFonts w:cs="Arial"/>
          <w:bCs/>
        </w:rPr>
      </w:pPr>
    </w:p>
    <w:p w14:paraId="6A778FDA" w14:textId="60191463" w:rsidR="00614291" w:rsidRPr="00B148F9" w:rsidRDefault="00614291" w:rsidP="00614291">
      <w:pPr>
        <w:ind w:right="-18"/>
        <w:rPr>
          <w:rFonts w:cs="Arial"/>
          <w:bCs/>
        </w:rPr>
      </w:pPr>
      <w:r w:rsidRPr="00B148F9">
        <w:rPr>
          <w:rFonts w:cs="Arial"/>
          <w:bCs/>
        </w:rPr>
        <w:t xml:space="preserve">Following the IPO, the Investment Manager receives a monthly management fee, in advance, as of the beginning of each month in an amount equal to 0.104% (1.25% per annum) of the net assets of the Company (the "Management Fee"). For purposes of determining the Management Fee, private investments will be valued at the fair value. The Management Fee will be prorated for any period that is less than a full month. </w:t>
      </w:r>
      <w:r>
        <w:rPr>
          <w:rFonts w:cs="Arial"/>
          <w:bCs/>
        </w:rPr>
        <w:t>The Investment Management Fees charged for the year amounted to US$</w:t>
      </w:r>
      <w:r w:rsidRPr="00B148F9">
        <w:rPr>
          <w:rFonts w:cs="Arial"/>
          <w:lang w:eastAsia="en-GB"/>
        </w:rPr>
        <w:t>368,611</w:t>
      </w:r>
      <w:r>
        <w:rPr>
          <w:rFonts w:cs="Arial"/>
          <w:lang w:eastAsia="en-GB"/>
        </w:rPr>
        <w:t xml:space="preserve"> (2018: US$nil) of which US$198,794 (2018: US$nil) was outstanding at the year end.</w:t>
      </w:r>
    </w:p>
    <w:p w14:paraId="07D6969C" w14:textId="77777777" w:rsidR="00614291" w:rsidRPr="00B148F9" w:rsidRDefault="00614291" w:rsidP="00614291">
      <w:pPr>
        <w:ind w:right="-18"/>
        <w:rPr>
          <w:rFonts w:cs="Arial"/>
          <w:bCs/>
        </w:rPr>
      </w:pPr>
    </w:p>
    <w:p w14:paraId="2BA489D6" w14:textId="656812D4" w:rsidR="00D25B6E" w:rsidRPr="00B148F9" w:rsidRDefault="00D25B6E" w:rsidP="00E26200">
      <w:pPr>
        <w:ind w:right="-18"/>
        <w:rPr>
          <w:b/>
        </w:rPr>
      </w:pPr>
      <w:r w:rsidRPr="00B148F9">
        <w:rPr>
          <w:b/>
        </w:rPr>
        <w:t>Performance Allocation</w:t>
      </w:r>
    </w:p>
    <w:p w14:paraId="7FEB41D7" w14:textId="77777777" w:rsidR="00D25B6E" w:rsidRPr="00B148F9" w:rsidRDefault="00D25B6E" w:rsidP="00E26200">
      <w:pPr>
        <w:ind w:right="-18"/>
      </w:pPr>
    </w:p>
    <w:p w14:paraId="062BE16C" w14:textId="03E7D828" w:rsidR="00CC3767" w:rsidRPr="00B148F9" w:rsidRDefault="008621A1" w:rsidP="00CC3767">
      <w:pPr>
        <w:ind w:right="-18"/>
      </w:pPr>
      <w:r w:rsidRPr="00B148F9">
        <w:lastRenderedPageBreak/>
        <w:t>Following the IPO, t</w:t>
      </w:r>
      <w:r w:rsidR="00CC3767" w:rsidRPr="00B148F9">
        <w:t xml:space="preserve">he Articles provide that in respect of each Performance Allocation Period, the Performance Allocation Amount shall be allocated to the Performance Allocation Share Class Fund, subject to the satisfaction of a hurdle condition. </w:t>
      </w:r>
    </w:p>
    <w:p w14:paraId="046BE965" w14:textId="77777777" w:rsidR="00CC3767" w:rsidRPr="00B148F9" w:rsidRDefault="00CC3767" w:rsidP="00CC3767">
      <w:pPr>
        <w:ind w:right="-18"/>
      </w:pPr>
    </w:p>
    <w:p w14:paraId="5A839DA2" w14:textId="2CE11ECD" w:rsidR="00CC3767" w:rsidRPr="00B148F9" w:rsidRDefault="00CC3767" w:rsidP="00CC3767">
      <w:pPr>
        <w:ind w:right="-18"/>
      </w:pPr>
      <w:r w:rsidRPr="00B148F9">
        <w:t>The Performance Allocation Amount relating to the Performance Allocation Period shall be an amount equal to:</w:t>
      </w:r>
    </w:p>
    <w:p w14:paraId="5367723E" w14:textId="77777777" w:rsidR="00CC3767" w:rsidRPr="00B148F9" w:rsidRDefault="00CC3767" w:rsidP="00CC3767">
      <w:pPr>
        <w:ind w:right="-18"/>
      </w:pPr>
    </w:p>
    <w:p w14:paraId="0643372E" w14:textId="77777777" w:rsidR="00CC3767" w:rsidRPr="00B148F9" w:rsidRDefault="00CC3767" w:rsidP="00CC3767">
      <w:pPr>
        <w:ind w:right="-18"/>
      </w:pPr>
      <w:r w:rsidRPr="00B148F9">
        <w:t>((A-B) x C) x 20 per cent.</w:t>
      </w:r>
    </w:p>
    <w:p w14:paraId="5BA8A5B1" w14:textId="77777777" w:rsidR="00CC3767" w:rsidRPr="00B148F9" w:rsidRDefault="00CC3767" w:rsidP="00CC3767">
      <w:pPr>
        <w:ind w:right="-18"/>
      </w:pPr>
      <w:r w:rsidRPr="00B148F9">
        <w:t>where:</w:t>
      </w:r>
    </w:p>
    <w:p w14:paraId="6FE96A2A" w14:textId="3E175875" w:rsidR="00CC3767" w:rsidRPr="00B148F9" w:rsidRDefault="00CC3767" w:rsidP="00EE53BF">
      <w:pPr>
        <w:ind w:left="720" w:right="-18" w:hanging="720"/>
      </w:pPr>
      <w:r w:rsidRPr="00B148F9">
        <w:t xml:space="preserve">A </w:t>
      </w:r>
      <w:r w:rsidRPr="00B148F9">
        <w:tab/>
        <w:t>is the Adjusted Net Asset Value per Ordinary Share on the Calculation Date, adjusted by:</w:t>
      </w:r>
    </w:p>
    <w:p w14:paraId="4C918DAD" w14:textId="518F140B" w:rsidR="00CC3767" w:rsidRPr="00B148F9" w:rsidRDefault="00CC3767" w:rsidP="00EE53BF">
      <w:pPr>
        <w:ind w:left="720" w:right="-18"/>
      </w:pPr>
      <w:r w:rsidRPr="00B148F9">
        <w:t>adding back (i) the total net Distributions (if any) per Ordinary Share (whether paid, or declared but not yet paid) during the Performance Allocation Period; and (ii) any accrual for the Performance Allocation for the current Performance Allocation Period reflected in the Net Asset Value per Ordinary Share; and deducting any accretion in the Net Asset Value per Ordinary Share resulting from either the issuance of Ordinary Shares at a premium or the repurchase or redemption of Ordinary Shares at a discount during the Performance Allocation Period;</w:t>
      </w:r>
    </w:p>
    <w:p w14:paraId="7F891A0A" w14:textId="230C6129" w:rsidR="00CC3767" w:rsidRPr="00B148F9" w:rsidRDefault="00CC3767" w:rsidP="00EE53BF">
      <w:pPr>
        <w:ind w:left="720" w:right="-18" w:hanging="720"/>
      </w:pPr>
      <w:r w:rsidRPr="00B148F9">
        <w:t xml:space="preserve">B </w:t>
      </w:r>
      <w:r w:rsidRPr="00B148F9">
        <w:tab/>
        <w:t>is the Adjusted Net Asset Value per Ordinary Share at the start of the Performance Allocation Period; and</w:t>
      </w:r>
    </w:p>
    <w:p w14:paraId="54429198" w14:textId="4EAD3638" w:rsidR="00CC3767" w:rsidRPr="00B148F9" w:rsidRDefault="00CC3767" w:rsidP="00EE53BF">
      <w:pPr>
        <w:ind w:left="720" w:right="-18" w:hanging="720"/>
      </w:pPr>
      <w:r w:rsidRPr="00B148F9">
        <w:t xml:space="preserve">C </w:t>
      </w:r>
      <w:r w:rsidRPr="00B148F9">
        <w:tab/>
        <w:t>is the time weighted average number of Ordinary Shares in issue during the Performance Allocation Period.</w:t>
      </w:r>
    </w:p>
    <w:p w14:paraId="4492E651" w14:textId="77777777" w:rsidR="00CC3767" w:rsidRPr="00B148F9" w:rsidRDefault="00CC3767" w:rsidP="00CC3767">
      <w:pPr>
        <w:ind w:right="-18"/>
      </w:pPr>
    </w:p>
    <w:p w14:paraId="41115AC3" w14:textId="6C4BB43F" w:rsidR="00CC3767" w:rsidRPr="00B148F9" w:rsidRDefault="00CC3767" w:rsidP="00CC3767">
      <w:pPr>
        <w:ind w:right="-18"/>
      </w:pPr>
      <w:r w:rsidRPr="00B148F9">
        <w:t>The Hurdle Amount shall represent an 8 per cent. annualised compounded rate of return in respect of the Adjusted Net Asset Value per Ordinary Share from the start of the initial Performance Allocation Period through the then current Performance Allocation Period</w:t>
      </w:r>
    </w:p>
    <w:p w14:paraId="4113E619" w14:textId="77777777" w:rsidR="009E4CA7" w:rsidRDefault="009E4CA7" w:rsidP="00CC3767">
      <w:pPr>
        <w:ind w:right="-18"/>
      </w:pPr>
    </w:p>
    <w:p w14:paraId="73B351AB" w14:textId="705C1852" w:rsidR="004420A2" w:rsidRPr="00B148F9" w:rsidRDefault="004420A2" w:rsidP="004420A2">
      <w:pPr>
        <w:ind w:right="-18"/>
      </w:pPr>
      <w:r w:rsidRPr="00B148F9">
        <w:t xml:space="preserve">The Performance Allocation Share Class Fund can elect to receive the Performance Allocation Amount in </w:t>
      </w:r>
      <w:r w:rsidRPr="007432CD">
        <w:t xml:space="preserve">Ordinary Shares; cash; or a mixture of the two, subject to a minimum 50% as Ordinary Shares. </w:t>
      </w:r>
      <w:r w:rsidRPr="00C60076">
        <w:t>Following the year end, the Performance Allocation Share Class Fund</w:t>
      </w:r>
      <w:r w:rsidR="007432CD" w:rsidRPr="007432CD">
        <w:t xml:space="preserve"> entered into a letter agreement pursuant to which the Performance Allocation Share Class Fund agreed to defer distributions of the Company’s Ordinary Shares</w:t>
      </w:r>
      <w:r w:rsidR="007432CD">
        <w:t xml:space="preserve"> (see Note 13).</w:t>
      </w:r>
    </w:p>
    <w:p w14:paraId="32D6AF68" w14:textId="77777777" w:rsidR="004420A2" w:rsidRPr="00B148F9" w:rsidRDefault="004420A2" w:rsidP="00E26200">
      <w:pPr>
        <w:ind w:right="-18"/>
      </w:pPr>
    </w:p>
    <w:p w14:paraId="25456CFB" w14:textId="4C3BDD17" w:rsidR="004420A2" w:rsidRPr="00B148F9" w:rsidRDefault="00B37BAF" w:rsidP="00E26200">
      <w:pPr>
        <w:ind w:right="-18"/>
      </w:pPr>
      <w:r w:rsidRPr="00B148F9">
        <w:t>The Investment Manager is a member of the Performance Allocation Share Class Fund, and will therefore receive a proportion of the Performance Allocation Amount. At the year end the Performance Allocation was US$8.7 million (31 December 2018: US$nil).</w:t>
      </w:r>
    </w:p>
    <w:p w14:paraId="631A74B4" w14:textId="336F214D" w:rsidR="00CC3767" w:rsidRPr="00B148F9" w:rsidRDefault="00CC3767" w:rsidP="005372D3">
      <w:pPr>
        <w:ind w:right="-18"/>
      </w:pPr>
    </w:p>
    <w:p w14:paraId="50EB4428" w14:textId="77777777" w:rsidR="00614291" w:rsidRPr="00B148F9" w:rsidRDefault="00614291" w:rsidP="00614291">
      <w:pPr>
        <w:ind w:right="-18"/>
      </w:pPr>
      <w:r w:rsidRPr="00B148F9">
        <w:t>Non-managing members that made a capital contribution prior to 1 September 2019 are deemed founding members and are entitled to a one-time rebate of 50% of any Performance Allocation paid to the Performance Allocation Share Class Fund until they achieve a 25% net return on their initial investment.</w:t>
      </w:r>
    </w:p>
    <w:p w14:paraId="7937F535" w14:textId="77777777" w:rsidR="00614291" w:rsidRDefault="00614291" w:rsidP="005372D3">
      <w:pPr>
        <w:ind w:right="-18"/>
      </w:pPr>
    </w:p>
    <w:p w14:paraId="7B048020" w14:textId="6006A013" w:rsidR="00FF3B93" w:rsidRPr="00B148F9" w:rsidRDefault="00FF3B93" w:rsidP="005372D3">
      <w:pPr>
        <w:ind w:right="-18"/>
      </w:pPr>
      <w:r w:rsidRPr="00B148F9">
        <w:t>The Investment Manager is also refunded any research costs incurred on behalf of the Company.</w:t>
      </w:r>
    </w:p>
    <w:p w14:paraId="1EC67F7B" w14:textId="77777777" w:rsidR="005372D3" w:rsidRPr="00B148F9" w:rsidRDefault="005372D3" w:rsidP="00E26200">
      <w:pPr>
        <w:ind w:right="-18"/>
        <w:rPr>
          <w:rFonts w:cs="Arial"/>
          <w:bCs/>
        </w:rPr>
      </w:pPr>
    </w:p>
    <w:p w14:paraId="4C9F5831" w14:textId="30551B01" w:rsidR="00E26200" w:rsidRPr="00B148F9" w:rsidRDefault="00E26200" w:rsidP="00E26200">
      <w:pPr>
        <w:ind w:right="-18"/>
        <w:rPr>
          <w:rFonts w:cs="Arial"/>
          <w:bCs/>
        </w:rPr>
      </w:pPr>
      <w:r w:rsidRPr="00B148F9">
        <w:rPr>
          <w:rFonts w:cs="Arial"/>
          <w:bCs/>
        </w:rPr>
        <w:t xml:space="preserve">One of the directors of the </w:t>
      </w:r>
      <w:r w:rsidR="00D70877" w:rsidRPr="00B148F9">
        <w:rPr>
          <w:rFonts w:cs="Arial"/>
          <w:bCs/>
        </w:rPr>
        <w:t>Company</w:t>
      </w:r>
      <w:r w:rsidRPr="00B148F9">
        <w:rPr>
          <w:rFonts w:cs="Arial"/>
          <w:bCs/>
        </w:rPr>
        <w:t xml:space="preserve"> is a member of the Investment Manager</w:t>
      </w:r>
      <w:r w:rsidR="00D42AB2" w:rsidRPr="00B148F9">
        <w:rPr>
          <w:rFonts w:cs="Arial"/>
          <w:bCs/>
        </w:rPr>
        <w:t>, Stephanie Sirota, who is a principal and Chief Business Officer</w:t>
      </w:r>
      <w:r w:rsidRPr="00B148F9">
        <w:rPr>
          <w:rFonts w:cs="Arial"/>
          <w:bCs/>
        </w:rPr>
        <w:t xml:space="preserve">. During the year ended </w:t>
      </w:r>
      <w:r w:rsidR="00F108EA" w:rsidRPr="00B148F9">
        <w:rPr>
          <w:rFonts w:cs="Arial"/>
          <w:bCs/>
        </w:rPr>
        <w:t xml:space="preserve">31 </w:t>
      </w:r>
      <w:r w:rsidRPr="00B148F9">
        <w:rPr>
          <w:rFonts w:cs="Arial"/>
          <w:bCs/>
        </w:rPr>
        <w:t>December</w:t>
      </w:r>
      <w:r w:rsidR="00814286" w:rsidRPr="00B148F9">
        <w:rPr>
          <w:rFonts w:cs="Arial"/>
          <w:bCs/>
        </w:rPr>
        <w:t xml:space="preserve"> </w:t>
      </w:r>
      <w:r w:rsidR="00D70877" w:rsidRPr="00B148F9">
        <w:rPr>
          <w:rFonts w:cs="Arial"/>
          <w:bCs/>
        </w:rPr>
        <w:t>2019</w:t>
      </w:r>
      <w:r w:rsidRPr="00B148F9">
        <w:rPr>
          <w:rFonts w:cs="Arial"/>
          <w:bCs/>
        </w:rPr>
        <w:t xml:space="preserve">, </w:t>
      </w:r>
      <w:r w:rsidR="007E26E7" w:rsidRPr="00B148F9">
        <w:rPr>
          <w:rFonts w:cs="Arial"/>
          <w:bCs/>
        </w:rPr>
        <w:t xml:space="preserve">two </w:t>
      </w:r>
      <w:r w:rsidRPr="00B148F9">
        <w:rPr>
          <w:rFonts w:cs="Arial"/>
          <w:bCs/>
        </w:rPr>
        <w:t>members of the Investment Manager served on the board of directors of Rocket</w:t>
      </w:r>
      <w:r w:rsidR="00F108EA" w:rsidRPr="00B148F9">
        <w:rPr>
          <w:rFonts w:cs="Arial"/>
          <w:bCs/>
        </w:rPr>
        <w:t xml:space="preserve"> </w:t>
      </w:r>
      <w:r w:rsidR="00924813" w:rsidRPr="00B148F9">
        <w:rPr>
          <w:rFonts w:cs="Arial"/>
          <w:bCs/>
        </w:rPr>
        <w:t>and</w:t>
      </w:r>
      <w:r w:rsidRPr="00B148F9">
        <w:rPr>
          <w:rFonts w:cs="Arial"/>
          <w:bCs/>
        </w:rPr>
        <w:t xml:space="preserve"> one member served on the board of directors of </w:t>
      </w:r>
      <w:r w:rsidR="00F108EA" w:rsidRPr="00B148F9">
        <w:rPr>
          <w:rFonts w:cs="Arial"/>
          <w:bCs/>
        </w:rPr>
        <w:t>Avidity and Landos</w:t>
      </w:r>
      <w:r w:rsidR="00B30EA5" w:rsidRPr="00B148F9">
        <w:rPr>
          <w:rFonts w:cs="Arial"/>
          <w:bCs/>
        </w:rPr>
        <w:t>,</w:t>
      </w:r>
      <w:r w:rsidRPr="00B148F9">
        <w:rPr>
          <w:rFonts w:cs="Arial"/>
          <w:bCs/>
        </w:rPr>
        <w:t xml:space="preserve"> investments</w:t>
      </w:r>
      <w:r w:rsidR="00814286" w:rsidRPr="00B148F9">
        <w:rPr>
          <w:rFonts w:cs="Arial"/>
          <w:bCs/>
        </w:rPr>
        <w:t xml:space="preserve"> </w:t>
      </w:r>
      <w:r w:rsidRPr="00B148F9">
        <w:rPr>
          <w:rFonts w:cs="Arial"/>
          <w:bCs/>
        </w:rPr>
        <w:t xml:space="preserve">of the </w:t>
      </w:r>
      <w:r w:rsidR="00D70877" w:rsidRPr="00B148F9">
        <w:rPr>
          <w:rFonts w:cs="Arial"/>
          <w:bCs/>
        </w:rPr>
        <w:t xml:space="preserve">Company. As of </w:t>
      </w:r>
      <w:r w:rsidR="00F108EA" w:rsidRPr="00B148F9">
        <w:rPr>
          <w:rFonts w:cs="Arial"/>
          <w:bCs/>
        </w:rPr>
        <w:t xml:space="preserve">31 </w:t>
      </w:r>
      <w:r w:rsidR="00D70877" w:rsidRPr="00B148F9">
        <w:rPr>
          <w:rFonts w:cs="Arial"/>
          <w:bCs/>
        </w:rPr>
        <w:t xml:space="preserve">December </w:t>
      </w:r>
      <w:r w:rsidR="00F108EA" w:rsidRPr="00B148F9">
        <w:rPr>
          <w:rFonts w:cs="Arial"/>
          <w:bCs/>
        </w:rPr>
        <w:t>2019</w:t>
      </w:r>
      <w:r w:rsidRPr="00B148F9">
        <w:rPr>
          <w:rFonts w:cs="Arial"/>
          <w:bCs/>
        </w:rPr>
        <w:t xml:space="preserve">, the fair value of such investments held by the </w:t>
      </w:r>
      <w:r w:rsidR="004567C5" w:rsidRPr="00B148F9">
        <w:rPr>
          <w:rFonts w:cs="Arial"/>
          <w:bCs/>
        </w:rPr>
        <w:t>Company</w:t>
      </w:r>
      <w:r w:rsidRPr="00B148F9">
        <w:rPr>
          <w:rFonts w:cs="Arial"/>
          <w:bCs/>
        </w:rPr>
        <w:t xml:space="preserve"> was</w:t>
      </w:r>
      <w:r w:rsidR="00814286" w:rsidRPr="00B148F9">
        <w:rPr>
          <w:rFonts w:cs="Arial"/>
          <w:bCs/>
        </w:rPr>
        <w:t xml:space="preserve"> </w:t>
      </w:r>
      <w:r w:rsidR="00BE05D5" w:rsidRPr="00B148F9">
        <w:rPr>
          <w:rFonts w:cs="Arial"/>
          <w:bCs/>
        </w:rPr>
        <w:t>US$</w:t>
      </w:r>
      <w:r w:rsidR="001937A2" w:rsidRPr="00B148F9">
        <w:rPr>
          <w:rFonts w:cs="Arial"/>
          <w:bCs/>
        </w:rPr>
        <w:t>70</w:t>
      </w:r>
      <w:r w:rsidR="006940C9" w:rsidRPr="00B148F9">
        <w:rPr>
          <w:rFonts w:cs="Arial"/>
          <w:bCs/>
        </w:rPr>
        <w:t>.</w:t>
      </w:r>
      <w:r w:rsidR="001937A2" w:rsidRPr="00B148F9">
        <w:rPr>
          <w:rFonts w:cs="Arial"/>
          <w:bCs/>
        </w:rPr>
        <w:t>3</w:t>
      </w:r>
      <w:r w:rsidR="006940C9" w:rsidRPr="00B148F9">
        <w:rPr>
          <w:rFonts w:cs="Arial"/>
          <w:bCs/>
        </w:rPr>
        <w:t xml:space="preserve"> million</w:t>
      </w:r>
      <w:r w:rsidR="00F108EA" w:rsidRPr="00B148F9">
        <w:rPr>
          <w:rFonts w:cs="Arial"/>
          <w:bCs/>
        </w:rPr>
        <w:t>, US$</w:t>
      </w:r>
      <w:r w:rsidR="006940C9" w:rsidRPr="00B148F9">
        <w:rPr>
          <w:rFonts w:cs="Arial"/>
          <w:bCs/>
        </w:rPr>
        <w:t>5.0 million</w:t>
      </w:r>
      <w:r w:rsidRPr="00B148F9">
        <w:rPr>
          <w:rFonts w:cs="Arial"/>
          <w:bCs/>
        </w:rPr>
        <w:t xml:space="preserve"> and </w:t>
      </w:r>
      <w:r w:rsidR="00BE05D5" w:rsidRPr="00B148F9">
        <w:rPr>
          <w:rFonts w:cs="Arial"/>
          <w:bCs/>
        </w:rPr>
        <w:t>US$</w:t>
      </w:r>
      <w:r w:rsidR="001937A2" w:rsidRPr="00B148F9">
        <w:rPr>
          <w:rFonts w:cs="Arial"/>
          <w:bCs/>
        </w:rPr>
        <w:t>5</w:t>
      </w:r>
      <w:r w:rsidR="006940C9" w:rsidRPr="00B148F9">
        <w:rPr>
          <w:rFonts w:cs="Arial"/>
          <w:bCs/>
        </w:rPr>
        <w:t>.1 million</w:t>
      </w:r>
      <w:r w:rsidRPr="00B148F9">
        <w:rPr>
          <w:rFonts w:cs="Arial"/>
          <w:bCs/>
        </w:rPr>
        <w:t xml:space="preserve"> in </w:t>
      </w:r>
      <w:r w:rsidR="0048214A" w:rsidRPr="00B148F9">
        <w:rPr>
          <w:rFonts w:cs="Arial"/>
          <w:bCs/>
        </w:rPr>
        <w:t>Rocket</w:t>
      </w:r>
      <w:r w:rsidR="00F108EA" w:rsidRPr="00B148F9">
        <w:rPr>
          <w:rFonts w:cs="Arial"/>
          <w:bCs/>
        </w:rPr>
        <w:t xml:space="preserve">, Avidity </w:t>
      </w:r>
      <w:r w:rsidRPr="00B148F9">
        <w:rPr>
          <w:rFonts w:cs="Arial"/>
          <w:bCs/>
        </w:rPr>
        <w:t xml:space="preserve">and </w:t>
      </w:r>
      <w:r w:rsidR="00F108EA" w:rsidRPr="00B148F9">
        <w:rPr>
          <w:rFonts w:cs="Arial"/>
          <w:bCs/>
        </w:rPr>
        <w:t>Landos</w:t>
      </w:r>
      <w:r w:rsidRPr="00B148F9">
        <w:rPr>
          <w:rFonts w:cs="Arial"/>
          <w:bCs/>
        </w:rPr>
        <w:t>, respectively.</w:t>
      </w:r>
    </w:p>
    <w:p w14:paraId="5267C26F" w14:textId="77777777" w:rsidR="004567C5" w:rsidRPr="00B148F9" w:rsidRDefault="004567C5" w:rsidP="00E26200">
      <w:pPr>
        <w:ind w:right="-18"/>
        <w:rPr>
          <w:rFonts w:cs="Arial"/>
          <w:bCs/>
        </w:rPr>
      </w:pPr>
    </w:p>
    <w:p w14:paraId="58BE7E5B" w14:textId="473BA601" w:rsidR="00685E38" w:rsidRDefault="008050B3" w:rsidP="00E26200">
      <w:pPr>
        <w:ind w:right="-18"/>
        <w:rPr>
          <w:rFonts w:cs="Arial"/>
          <w:bCs/>
        </w:rPr>
      </w:pPr>
      <w:r w:rsidRPr="00B148F9">
        <w:rPr>
          <w:rFonts w:cs="Arial"/>
          <w:bCs/>
        </w:rPr>
        <w:t xml:space="preserve">While still a </w:t>
      </w:r>
      <w:r w:rsidR="00924813" w:rsidRPr="00B148F9">
        <w:rPr>
          <w:rFonts w:cs="Arial"/>
          <w:bCs/>
        </w:rPr>
        <w:t>l</w:t>
      </w:r>
      <w:r w:rsidR="00A30B97" w:rsidRPr="00B148F9">
        <w:rPr>
          <w:rFonts w:cs="Arial"/>
          <w:bCs/>
        </w:rPr>
        <w:t xml:space="preserve">imited </w:t>
      </w:r>
      <w:r w:rsidR="00924813" w:rsidRPr="00B148F9">
        <w:rPr>
          <w:rFonts w:cs="Arial"/>
          <w:bCs/>
        </w:rPr>
        <w:t>l</w:t>
      </w:r>
      <w:r w:rsidR="00A30B97" w:rsidRPr="00B148F9">
        <w:rPr>
          <w:rFonts w:cs="Arial"/>
          <w:bCs/>
        </w:rPr>
        <w:t xml:space="preserve">iability </w:t>
      </w:r>
      <w:r w:rsidR="00924813" w:rsidRPr="00B148F9">
        <w:rPr>
          <w:rFonts w:cs="Arial"/>
          <w:bCs/>
        </w:rPr>
        <w:t>c</w:t>
      </w:r>
      <w:r w:rsidR="00A30B97" w:rsidRPr="00B148F9">
        <w:rPr>
          <w:rFonts w:cs="Arial"/>
          <w:bCs/>
        </w:rPr>
        <w:t>ompany,</w:t>
      </w:r>
      <w:r w:rsidRPr="00B148F9">
        <w:rPr>
          <w:rFonts w:cs="Arial"/>
          <w:bCs/>
        </w:rPr>
        <w:t xml:space="preserve"> the Company had a series of private funding rounds and made investments in six portfolio companies</w:t>
      </w:r>
      <w:r w:rsidR="002C2598" w:rsidRPr="00B148F9">
        <w:rPr>
          <w:rFonts w:cs="Arial"/>
          <w:bCs/>
        </w:rPr>
        <w:t xml:space="preserve"> (“Seed </w:t>
      </w:r>
      <w:r w:rsidR="0037352B" w:rsidRPr="00B148F9">
        <w:rPr>
          <w:rFonts w:cs="Arial"/>
          <w:bCs/>
        </w:rPr>
        <w:t>Assets</w:t>
      </w:r>
      <w:r w:rsidR="002C2598" w:rsidRPr="00B148F9">
        <w:rPr>
          <w:rFonts w:cs="Arial"/>
          <w:bCs/>
        </w:rPr>
        <w:t>”)</w:t>
      </w:r>
      <w:r w:rsidRPr="00B148F9">
        <w:rPr>
          <w:rFonts w:cs="Arial"/>
          <w:bCs/>
        </w:rPr>
        <w:t xml:space="preserve">. Prior to re-domiciliation the NAV of the Company was </w:t>
      </w:r>
      <w:r w:rsidR="00BE05D5" w:rsidRPr="00B148F9">
        <w:rPr>
          <w:rFonts w:cs="Arial"/>
          <w:bCs/>
        </w:rPr>
        <w:t>US$</w:t>
      </w:r>
      <w:r w:rsidRPr="00B148F9">
        <w:rPr>
          <w:rFonts w:cs="Arial"/>
          <w:bCs/>
        </w:rPr>
        <w:t>14</w:t>
      </w:r>
      <w:r w:rsidR="00924813" w:rsidRPr="00B148F9">
        <w:rPr>
          <w:rFonts w:cs="Arial"/>
          <w:bCs/>
        </w:rPr>
        <w:t>7</w:t>
      </w:r>
      <w:r w:rsidRPr="00B148F9">
        <w:rPr>
          <w:rFonts w:cs="Arial"/>
          <w:bCs/>
        </w:rPr>
        <w:t>.</w:t>
      </w:r>
      <w:r w:rsidR="00924813" w:rsidRPr="00B148F9">
        <w:rPr>
          <w:rFonts w:cs="Arial"/>
          <w:bCs/>
        </w:rPr>
        <w:t xml:space="preserve">1 </w:t>
      </w:r>
      <w:r w:rsidRPr="00B148F9">
        <w:rPr>
          <w:rFonts w:cs="Arial"/>
          <w:bCs/>
        </w:rPr>
        <w:t>m</w:t>
      </w:r>
      <w:r w:rsidR="00924813" w:rsidRPr="00B148F9">
        <w:rPr>
          <w:rFonts w:cs="Arial"/>
          <w:bCs/>
        </w:rPr>
        <w:t>illion</w:t>
      </w:r>
      <w:r w:rsidRPr="00B148F9">
        <w:rPr>
          <w:rFonts w:cs="Arial"/>
          <w:bCs/>
        </w:rPr>
        <w:t xml:space="preserve"> </w:t>
      </w:r>
      <w:r w:rsidR="002C2598" w:rsidRPr="00B148F9">
        <w:rPr>
          <w:rFonts w:cs="Arial"/>
          <w:bCs/>
        </w:rPr>
        <w:t xml:space="preserve">of which </w:t>
      </w:r>
      <w:r w:rsidR="00BE05D5" w:rsidRPr="00B148F9">
        <w:rPr>
          <w:rFonts w:cs="Arial"/>
          <w:bCs/>
        </w:rPr>
        <w:t>US$</w:t>
      </w:r>
      <w:r w:rsidR="002C2598" w:rsidRPr="00B148F9">
        <w:rPr>
          <w:rFonts w:cs="Arial"/>
          <w:bCs/>
        </w:rPr>
        <w:t>56</w:t>
      </w:r>
      <w:r w:rsidR="00924813" w:rsidRPr="00B148F9">
        <w:rPr>
          <w:rFonts w:cs="Arial"/>
          <w:bCs/>
        </w:rPr>
        <w:t xml:space="preserve">.2 </w:t>
      </w:r>
      <w:r w:rsidR="002C2598" w:rsidRPr="00B148F9">
        <w:rPr>
          <w:rFonts w:cs="Arial"/>
          <w:bCs/>
        </w:rPr>
        <w:t>m</w:t>
      </w:r>
      <w:r w:rsidR="00924813" w:rsidRPr="00B148F9">
        <w:rPr>
          <w:rFonts w:cs="Arial"/>
          <w:bCs/>
        </w:rPr>
        <w:t>illion</w:t>
      </w:r>
      <w:r w:rsidR="002C2598" w:rsidRPr="00B148F9">
        <w:rPr>
          <w:rFonts w:cs="Arial"/>
          <w:bCs/>
        </w:rPr>
        <w:t xml:space="preserve"> represented the Seed </w:t>
      </w:r>
      <w:r w:rsidR="0037352B" w:rsidRPr="00B148F9">
        <w:rPr>
          <w:rFonts w:cs="Arial"/>
          <w:bCs/>
        </w:rPr>
        <w:t>Assets</w:t>
      </w:r>
      <w:r w:rsidR="002C2598" w:rsidRPr="00B148F9">
        <w:rPr>
          <w:rFonts w:cs="Arial"/>
          <w:bCs/>
        </w:rPr>
        <w:t xml:space="preserve">. </w:t>
      </w:r>
      <w:r w:rsidR="00E141CC" w:rsidRPr="00B148F9">
        <w:rPr>
          <w:rFonts w:cs="Arial"/>
          <w:bCs/>
        </w:rPr>
        <w:t xml:space="preserve">The valuations of the Seed Assets were performed in line with the Company’s valuation policies. </w:t>
      </w:r>
      <w:r w:rsidR="002C2598" w:rsidRPr="00B148F9">
        <w:rPr>
          <w:rFonts w:cs="Arial"/>
          <w:bCs/>
        </w:rPr>
        <w:lastRenderedPageBreak/>
        <w:t>U</w:t>
      </w:r>
      <w:r w:rsidRPr="00B148F9">
        <w:rPr>
          <w:rFonts w:cs="Arial"/>
          <w:bCs/>
        </w:rPr>
        <w:t xml:space="preserve">pon re-domiciliation the members’ interests were converted into 147,144,094 Ordinary Shares, </w:t>
      </w:r>
      <w:r w:rsidR="00160B35" w:rsidRPr="00B148F9">
        <w:rPr>
          <w:rFonts w:cs="Arial"/>
          <w:bCs/>
        </w:rPr>
        <w:t>one</w:t>
      </w:r>
      <w:r w:rsidRPr="00B148F9">
        <w:rPr>
          <w:rFonts w:cs="Arial"/>
          <w:bCs/>
        </w:rPr>
        <w:t xml:space="preserve"> Management Share and </w:t>
      </w:r>
      <w:r w:rsidR="00160B35" w:rsidRPr="00B148F9">
        <w:rPr>
          <w:rFonts w:cs="Arial"/>
          <w:bCs/>
        </w:rPr>
        <w:t>one</w:t>
      </w:r>
      <w:r w:rsidRPr="00B148F9">
        <w:rPr>
          <w:rFonts w:cs="Arial"/>
          <w:bCs/>
        </w:rPr>
        <w:t xml:space="preserve"> Performance Allocation Share. </w:t>
      </w:r>
      <w:r w:rsidR="00A30B97" w:rsidRPr="00B148F9">
        <w:t xml:space="preserve">The Management Share was redeemed upon initial admission to trading on the SFS. </w:t>
      </w:r>
      <w:r w:rsidR="002C2598" w:rsidRPr="00B148F9">
        <w:rPr>
          <w:rFonts w:cs="Arial"/>
          <w:bCs/>
        </w:rPr>
        <w:t xml:space="preserve">The Directors engaged the </w:t>
      </w:r>
      <w:r w:rsidR="005335C1" w:rsidRPr="00B148F9">
        <w:rPr>
          <w:rFonts w:cs="Arial"/>
          <w:bCs/>
        </w:rPr>
        <w:t xml:space="preserve">Independent </w:t>
      </w:r>
      <w:r w:rsidR="002C2598" w:rsidRPr="00B148F9">
        <w:rPr>
          <w:rFonts w:cs="Arial"/>
          <w:bCs/>
        </w:rPr>
        <w:t xml:space="preserve">Valuer to produce a valuation report on the Seed Assets and this report was approved following discussions in the Board Meeting of 27 September 2019. </w:t>
      </w:r>
    </w:p>
    <w:p w14:paraId="565C5937" w14:textId="1B0B878B" w:rsidR="00C60076" w:rsidRDefault="00C60076" w:rsidP="00E26200">
      <w:pPr>
        <w:ind w:right="-18"/>
        <w:rPr>
          <w:rFonts w:cs="Arial"/>
          <w:bCs/>
        </w:rPr>
      </w:pPr>
    </w:p>
    <w:p w14:paraId="245BAC86" w14:textId="1D2A6CBC" w:rsidR="00C60076" w:rsidRPr="00B148F9" w:rsidRDefault="00C60076" w:rsidP="00E26200">
      <w:pPr>
        <w:ind w:right="-18"/>
        <w:rPr>
          <w:rFonts w:cs="Arial"/>
          <w:bCs/>
        </w:rPr>
      </w:pPr>
      <w:r w:rsidRPr="00C60076">
        <w:rPr>
          <w:rFonts w:cs="Arial"/>
          <w:bCs/>
        </w:rPr>
        <w:t xml:space="preserve">On </w:t>
      </w:r>
      <w:r>
        <w:rPr>
          <w:rFonts w:cs="Arial"/>
          <w:bCs/>
        </w:rPr>
        <w:t xml:space="preserve">1 </w:t>
      </w:r>
      <w:r w:rsidRPr="00C60076">
        <w:rPr>
          <w:rFonts w:cs="Arial"/>
          <w:bCs/>
        </w:rPr>
        <w:t>August 2019, investors from RTW Special Purpose Fund I, LLC (“RTW Special Purpose Fund I”) who did not consent to the re</w:t>
      </w:r>
      <w:r>
        <w:rPr>
          <w:rFonts w:cs="Arial"/>
          <w:bCs/>
        </w:rPr>
        <w:t>-</w:t>
      </w:r>
      <w:r w:rsidRPr="00C60076">
        <w:rPr>
          <w:rFonts w:cs="Arial"/>
          <w:bCs/>
        </w:rPr>
        <w:t xml:space="preserve">domiciliation of RTW Special Purpose Fund I from Delaware to Guernsey  withdrew (in whole or in part) from RTW Special Purpose Fund I and accepted relevant distributions in consideration thereof, through the issuance of membership interests in RTW Special Purpose Fund II, LLC (“RTW Special Purpose Fund II”) to such investors equal to their respective pro rata, indirect, in-kind ownership stake in the assets, rights and liabilities in RTW Special Purpose Fund I.  Such investors provided non-managing members’ representations and warranties in connection with their investment in RTW Special Purpose Fund I. As a result of such issuance, </w:t>
      </w:r>
      <w:r>
        <w:rPr>
          <w:rFonts w:cs="Arial"/>
          <w:bCs/>
        </w:rPr>
        <w:t>US</w:t>
      </w:r>
      <w:r w:rsidRPr="00C60076">
        <w:rPr>
          <w:rFonts w:cs="Arial"/>
          <w:bCs/>
        </w:rPr>
        <w:t xml:space="preserve">$16,381,186 of securities in Rocket Pharmaceuticals, Inc. were transferred in-kind to RTW Special Purpose Fund II on </w:t>
      </w:r>
      <w:r>
        <w:rPr>
          <w:rFonts w:cs="Arial"/>
          <w:bCs/>
        </w:rPr>
        <w:t xml:space="preserve">12 </w:t>
      </w:r>
      <w:r w:rsidRPr="00C60076">
        <w:rPr>
          <w:rFonts w:cs="Arial"/>
          <w:bCs/>
        </w:rPr>
        <w:t>August 2019.</w:t>
      </w:r>
    </w:p>
    <w:p w14:paraId="00470E8B" w14:textId="32D3C86F" w:rsidR="00FF3B93" w:rsidRPr="00B148F9" w:rsidRDefault="00FF3B93" w:rsidP="00E26200">
      <w:pPr>
        <w:ind w:right="-18"/>
        <w:rPr>
          <w:rFonts w:cs="Arial"/>
          <w:bCs/>
        </w:rPr>
      </w:pPr>
    </w:p>
    <w:p w14:paraId="150593DA" w14:textId="6F7CED94" w:rsidR="00FF3B93" w:rsidRPr="00B148F9" w:rsidRDefault="00FF3B93" w:rsidP="00E26200">
      <w:pPr>
        <w:ind w:right="-18"/>
        <w:rPr>
          <w:rFonts w:cs="Arial"/>
          <w:bCs/>
        </w:rPr>
      </w:pPr>
      <w:r w:rsidRPr="00B148F9">
        <w:rPr>
          <w:rFonts w:cs="Arial"/>
          <w:bCs/>
        </w:rPr>
        <w:t>As at 31 December 2019, the number of Ordinary Shares held by each Director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1243"/>
        <w:gridCol w:w="1875"/>
        <w:gridCol w:w="1843"/>
      </w:tblGrid>
      <w:tr w:rsidR="00FF3B93" w:rsidRPr="00B148F9" w14:paraId="174BF535" w14:textId="77777777" w:rsidTr="00EE53BF">
        <w:tc>
          <w:tcPr>
            <w:tcW w:w="3119" w:type="dxa"/>
          </w:tcPr>
          <w:p w14:paraId="501DC9C6" w14:textId="77777777" w:rsidR="00FF3B93" w:rsidRPr="00B148F9" w:rsidRDefault="00FF3B93" w:rsidP="00FF3B93">
            <w:pPr>
              <w:ind w:right="-18"/>
              <w:rPr>
                <w:rFonts w:cs="Arial"/>
                <w:b/>
                <w:bCs/>
              </w:rPr>
            </w:pPr>
          </w:p>
        </w:tc>
        <w:tc>
          <w:tcPr>
            <w:tcW w:w="567" w:type="dxa"/>
          </w:tcPr>
          <w:p w14:paraId="21D29064" w14:textId="77777777" w:rsidR="00FF3B93" w:rsidRPr="00B148F9" w:rsidRDefault="00FF3B93" w:rsidP="00FF3B93">
            <w:pPr>
              <w:ind w:right="-18"/>
              <w:rPr>
                <w:rFonts w:cs="Arial"/>
                <w:bCs/>
              </w:rPr>
            </w:pPr>
          </w:p>
        </w:tc>
        <w:tc>
          <w:tcPr>
            <w:tcW w:w="1243" w:type="dxa"/>
          </w:tcPr>
          <w:p w14:paraId="25FA0F8A" w14:textId="77777777" w:rsidR="00FF3B93" w:rsidRPr="00B148F9" w:rsidRDefault="00FF3B93" w:rsidP="00FF3B93">
            <w:pPr>
              <w:ind w:right="-18"/>
              <w:rPr>
                <w:rFonts w:cs="Arial"/>
                <w:bCs/>
              </w:rPr>
            </w:pPr>
          </w:p>
        </w:tc>
        <w:tc>
          <w:tcPr>
            <w:tcW w:w="1875" w:type="dxa"/>
          </w:tcPr>
          <w:p w14:paraId="0532F85A" w14:textId="77777777" w:rsidR="00FF3B93" w:rsidRPr="00B148F9" w:rsidRDefault="00FF3B93" w:rsidP="00FF3B93">
            <w:pPr>
              <w:tabs>
                <w:tab w:val="left" w:pos="1215"/>
              </w:tabs>
              <w:ind w:right="-18"/>
              <w:jc w:val="right"/>
              <w:rPr>
                <w:rFonts w:cs="Arial"/>
                <w:b/>
                <w:bCs/>
              </w:rPr>
            </w:pPr>
            <w:r w:rsidRPr="00B148F9">
              <w:rPr>
                <w:rFonts w:cs="Arial"/>
                <w:b/>
                <w:bCs/>
              </w:rPr>
              <w:t>2019</w:t>
            </w:r>
          </w:p>
        </w:tc>
        <w:tc>
          <w:tcPr>
            <w:tcW w:w="1843" w:type="dxa"/>
          </w:tcPr>
          <w:p w14:paraId="0F6E58A9" w14:textId="77777777" w:rsidR="00FF3B93" w:rsidRPr="00B148F9" w:rsidRDefault="00FF3B93" w:rsidP="00FF3B93">
            <w:pPr>
              <w:ind w:right="-18"/>
              <w:jc w:val="right"/>
              <w:rPr>
                <w:rFonts w:cs="Arial"/>
                <w:b/>
                <w:bCs/>
              </w:rPr>
            </w:pPr>
            <w:r w:rsidRPr="00B148F9">
              <w:rPr>
                <w:rFonts w:cs="Arial"/>
                <w:b/>
                <w:bCs/>
              </w:rPr>
              <w:t>2018</w:t>
            </w:r>
          </w:p>
        </w:tc>
      </w:tr>
      <w:tr w:rsidR="00FF3B93" w:rsidRPr="00B148F9" w14:paraId="49BA4819" w14:textId="77777777" w:rsidTr="00EE53BF">
        <w:tc>
          <w:tcPr>
            <w:tcW w:w="3119" w:type="dxa"/>
          </w:tcPr>
          <w:p w14:paraId="580AB35E" w14:textId="77777777" w:rsidR="00FF3B93" w:rsidRPr="00B148F9" w:rsidRDefault="00FF3B93" w:rsidP="00FF3B93">
            <w:pPr>
              <w:ind w:right="-18"/>
              <w:rPr>
                <w:rFonts w:cs="Arial"/>
                <w:b/>
                <w:bCs/>
              </w:rPr>
            </w:pPr>
          </w:p>
        </w:tc>
        <w:tc>
          <w:tcPr>
            <w:tcW w:w="567" w:type="dxa"/>
          </w:tcPr>
          <w:p w14:paraId="2D8FF112" w14:textId="77777777" w:rsidR="00FF3B93" w:rsidRPr="00B148F9" w:rsidRDefault="00FF3B93" w:rsidP="00FF3B93">
            <w:pPr>
              <w:ind w:right="-18"/>
              <w:rPr>
                <w:rFonts w:cs="Arial"/>
                <w:bCs/>
              </w:rPr>
            </w:pPr>
          </w:p>
        </w:tc>
        <w:tc>
          <w:tcPr>
            <w:tcW w:w="1243" w:type="dxa"/>
          </w:tcPr>
          <w:p w14:paraId="062003CD" w14:textId="77777777" w:rsidR="00FF3B93" w:rsidRPr="00B148F9" w:rsidRDefault="00FF3B93" w:rsidP="00FF3B93">
            <w:pPr>
              <w:ind w:right="-18"/>
              <w:rPr>
                <w:rFonts w:cs="Arial"/>
                <w:bCs/>
              </w:rPr>
            </w:pPr>
          </w:p>
        </w:tc>
        <w:tc>
          <w:tcPr>
            <w:tcW w:w="1875" w:type="dxa"/>
          </w:tcPr>
          <w:p w14:paraId="153E9529" w14:textId="19B923EA" w:rsidR="00FF3B93" w:rsidRPr="00B148F9" w:rsidRDefault="00FF3B93" w:rsidP="00FF3B93">
            <w:pPr>
              <w:tabs>
                <w:tab w:val="left" w:pos="1215"/>
              </w:tabs>
              <w:ind w:right="-18"/>
              <w:jc w:val="right"/>
              <w:rPr>
                <w:rFonts w:cs="Arial"/>
                <w:bCs/>
              </w:rPr>
            </w:pPr>
            <w:r w:rsidRPr="00B148F9">
              <w:rPr>
                <w:rFonts w:cs="Arial"/>
                <w:bCs/>
              </w:rPr>
              <w:t>Number of Ordinary Shares</w:t>
            </w:r>
          </w:p>
        </w:tc>
        <w:tc>
          <w:tcPr>
            <w:tcW w:w="1843" w:type="dxa"/>
          </w:tcPr>
          <w:p w14:paraId="1CECF687" w14:textId="5AA5A747" w:rsidR="00FF3B93" w:rsidRPr="00B148F9" w:rsidRDefault="00FF3B93" w:rsidP="00FF3B93">
            <w:pPr>
              <w:ind w:right="-18"/>
              <w:jc w:val="right"/>
              <w:rPr>
                <w:rFonts w:cs="Arial"/>
                <w:bCs/>
              </w:rPr>
            </w:pPr>
            <w:r w:rsidRPr="00B148F9">
              <w:rPr>
                <w:rFonts w:cs="Arial"/>
                <w:bCs/>
              </w:rPr>
              <w:t>Number of Ordinary Shares</w:t>
            </w:r>
          </w:p>
        </w:tc>
      </w:tr>
      <w:tr w:rsidR="00FF3B93" w:rsidRPr="00B148F9" w14:paraId="1C814820" w14:textId="77777777" w:rsidTr="00EE53BF">
        <w:tc>
          <w:tcPr>
            <w:tcW w:w="3119" w:type="dxa"/>
          </w:tcPr>
          <w:p w14:paraId="0A6CC39F" w14:textId="77777777" w:rsidR="00FF3B93" w:rsidRPr="00B148F9" w:rsidRDefault="00FF3B93" w:rsidP="00FF3B93">
            <w:pPr>
              <w:ind w:right="-18"/>
              <w:rPr>
                <w:rFonts w:cs="Arial"/>
                <w:bCs/>
              </w:rPr>
            </w:pPr>
          </w:p>
        </w:tc>
        <w:tc>
          <w:tcPr>
            <w:tcW w:w="567" w:type="dxa"/>
          </w:tcPr>
          <w:p w14:paraId="09996AC1" w14:textId="77777777" w:rsidR="00FF3B93" w:rsidRPr="00B148F9" w:rsidRDefault="00FF3B93" w:rsidP="00FF3B93">
            <w:pPr>
              <w:ind w:right="-18"/>
              <w:rPr>
                <w:rFonts w:cs="Arial"/>
                <w:bCs/>
              </w:rPr>
            </w:pPr>
          </w:p>
        </w:tc>
        <w:tc>
          <w:tcPr>
            <w:tcW w:w="1243" w:type="dxa"/>
          </w:tcPr>
          <w:p w14:paraId="5DA1263C" w14:textId="77777777" w:rsidR="00FF3B93" w:rsidRPr="00B148F9" w:rsidRDefault="00FF3B93" w:rsidP="00FF3B93">
            <w:pPr>
              <w:ind w:right="-18"/>
              <w:rPr>
                <w:rFonts w:cs="Arial"/>
                <w:bCs/>
              </w:rPr>
            </w:pPr>
          </w:p>
        </w:tc>
        <w:tc>
          <w:tcPr>
            <w:tcW w:w="1875" w:type="dxa"/>
            <w:vAlign w:val="bottom"/>
          </w:tcPr>
          <w:p w14:paraId="0A44A783" w14:textId="77777777" w:rsidR="00FF3B93" w:rsidRPr="00B148F9" w:rsidRDefault="00FF3B93" w:rsidP="00FF3B93">
            <w:pPr>
              <w:ind w:right="-18"/>
              <w:jc w:val="right"/>
              <w:rPr>
                <w:rFonts w:cs="Arial"/>
                <w:bCs/>
              </w:rPr>
            </w:pPr>
          </w:p>
        </w:tc>
        <w:tc>
          <w:tcPr>
            <w:tcW w:w="1843" w:type="dxa"/>
          </w:tcPr>
          <w:p w14:paraId="06DB0CA8" w14:textId="77777777" w:rsidR="00FF3B93" w:rsidRPr="00B148F9" w:rsidRDefault="00FF3B93" w:rsidP="00FF3B93">
            <w:pPr>
              <w:ind w:right="-18"/>
              <w:jc w:val="right"/>
              <w:rPr>
                <w:rFonts w:cs="Arial"/>
                <w:bCs/>
              </w:rPr>
            </w:pPr>
          </w:p>
        </w:tc>
      </w:tr>
      <w:tr w:rsidR="00FF3B93" w:rsidRPr="00B148F9" w14:paraId="02B5E8E3" w14:textId="77777777" w:rsidTr="00EE53BF">
        <w:tc>
          <w:tcPr>
            <w:tcW w:w="3119" w:type="dxa"/>
          </w:tcPr>
          <w:p w14:paraId="26B8A4DB" w14:textId="65929C66" w:rsidR="00FF3B93" w:rsidRPr="00B148F9" w:rsidRDefault="00FF3B93" w:rsidP="00FF3B93">
            <w:pPr>
              <w:ind w:right="-18"/>
              <w:rPr>
                <w:rFonts w:cs="Arial"/>
                <w:bCs/>
              </w:rPr>
            </w:pPr>
            <w:r w:rsidRPr="00B148F9">
              <w:rPr>
                <w:rFonts w:cs="Arial"/>
                <w:bCs/>
              </w:rPr>
              <w:t>William Simpson</w:t>
            </w:r>
          </w:p>
        </w:tc>
        <w:tc>
          <w:tcPr>
            <w:tcW w:w="567" w:type="dxa"/>
          </w:tcPr>
          <w:p w14:paraId="14992600" w14:textId="77777777" w:rsidR="00FF3B93" w:rsidRPr="00B148F9" w:rsidRDefault="00FF3B93" w:rsidP="00FF3B93">
            <w:pPr>
              <w:ind w:right="-18"/>
              <w:rPr>
                <w:rFonts w:cs="Arial"/>
                <w:bCs/>
              </w:rPr>
            </w:pPr>
          </w:p>
        </w:tc>
        <w:tc>
          <w:tcPr>
            <w:tcW w:w="1243" w:type="dxa"/>
          </w:tcPr>
          <w:p w14:paraId="52538991" w14:textId="77777777" w:rsidR="00FF3B93" w:rsidRPr="00B148F9" w:rsidRDefault="00FF3B93" w:rsidP="00FF3B93">
            <w:pPr>
              <w:ind w:right="-18"/>
              <w:rPr>
                <w:rFonts w:cs="Arial"/>
                <w:bCs/>
              </w:rPr>
            </w:pPr>
          </w:p>
        </w:tc>
        <w:tc>
          <w:tcPr>
            <w:tcW w:w="1875" w:type="dxa"/>
            <w:vAlign w:val="bottom"/>
          </w:tcPr>
          <w:p w14:paraId="69D16906" w14:textId="06BF78B3" w:rsidR="00FF3B93" w:rsidRPr="00B148F9" w:rsidRDefault="00B51526" w:rsidP="00FF3B93">
            <w:pPr>
              <w:ind w:right="-18"/>
              <w:jc w:val="right"/>
              <w:rPr>
                <w:rFonts w:cs="Arial"/>
                <w:bCs/>
              </w:rPr>
            </w:pPr>
            <w:r w:rsidRPr="00B148F9">
              <w:rPr>
                <w:rFonts w:cs="Arial"/>
                <w:bCs/>
              </w:rPr>
              <w:t>-</w:t>
            </w:r>
          </w:p>
        </w:tc>
        <w:tc>
          <w:tcPr>
            <w:tcW w:w="1843" w:type="dxa"/>
          </w:tcPr>
          <w:p w14:paraId="21B6F3DB" w14:textId="741B0243" w:rsidR="00FF3B93" w:rsidRPr="00B148F9" w:rsidRDefault="00B51526" w:rsidP="00FF3B93">
            <w:pPr>
              <w:ind w:right="-18"/>
              <w:jc w:val="right"/>
              <w:rPr>
                <w:rFonts w:cs="Arial"/>
                <w:bCs/>
              </w:rPr>
            </w:pPr>
            <w:r w:rsidRPr="00B148F9">
              <w:rPr>
                <w:rFonts w:cs="Arial"/>
                <w:bCs/>
              </w:rPr>
              <w:t>n/a</w:t>
            </w:r>
          </w:p>
        </w:tc>
      </w:tr>
      <w:tr w:rsidR="00B51526" w:rsidRPr="00B148F9" w14:paraId="72534BA0" w14:textId="77777777" w:rsidTr="00FF3B93">
        <w:tc>
          <w:tcPr>
            <w:tcW w:w="3119" w:type="dxa"/>
          </w:tcPr>
          <w:p w14:paraId="6DBFB4E1" w14:textId="78F09843" w:rsidR="00B51526" w:rsidRPr="00B148F9" w:rsidRDefault="00B51526" w:rsidP="00B51526">
            <w:pPr>
              <w:ind w:right="-18"/>
              <w:rPr>
                <w:rFonts w:cs="Arial"/>
                <w:bCs/>
              </w:rPr>
            </w:pPr>
            <w:r w:rsidRPr="00B148F9">
              <w:rPr>
                <w:rFonts w:cs="Arial"/>
                <w:bCs/>
              </w:rPr>
              <w:t>Paul Le page</w:t>
            </w:r>
          </w:p>
        </w:tc>
        <w:tc>
          <w:tcPr>
            <w:tcW w:w="567" w:type="dxa"/>
          </w:tcPr>
          <w:p w14:paraId="6E8B0C47" w14:textId="77777777" w:rsidR="00B51526" w:rsidRPr="00B148F9" w:rsidRDefault="00B51526" w:rsidP="00B51526">
            <w:pPr>
              <w:ind w:right="-18"/>
              <w:rPr>
                <w:rFonts w:cs="Arial"/>
                <w:bCs/>
              </w:rPr>
            </w:pPr>
          </w:p>
        </w:tc>
        <w:tc>
          <w:tcPr>
            <w:tcW w:w="1243" w:type="dxa"/>
          </w:tcPr>
          <w:p w14:paraId="6762F966" w14:textId="77777777" w:rsidR="00B51526" w:rsidRPr="00B148F9" w:rsidRDefault="00B51526" w:rsidP="00B51526">
            <w:pPr>
              <w:ind w:right="-18"/>
              <w:rPr>
                <w:rFonts w:cs="Arial"/>
                <w:bCs/>
              </w:rPr>
            </w:pPr>
          </w:p>
        </w:tc>
        <w:tc>
          <w:tcPr>
            <w:tcW w:w="1875" w:type="dxa"/>
            <w:vAlign w:val="bottom"/>
          </w:tcPr>
          <w:p w14:paraId="5B06B6C3" w14:textId="1E56E057" w:rsidR="00B51526" w:rsidRPr="00B148F9" w:rsidRDefault="00B51526" w:rsidP="00B51526">
            <w:pPr>
              <w:ind w:right="-18"/>
              <w:jc w:val="right"/>
              <w:rPr>
                <w:rFonts w:cs="Arial"/>
                <w:bCs/>
              </w:rPr>
            </w:pPr>
            <w:r w:rsidRPr="00B148F9">
              <w:rPr>
                <w:rFonts w:cs="Arial"/>
                <w:bCs/>
              </w:rPr>
              <w:t>-</w:t>
            </w:r>
          </w:p>
        </w:tc>
        <w:tc>
          <w:tcPr>
            <w:tcW w:w="1843" w:type="dxa"/>
          </w:tcPr>
          <w:p w14:paraId="2B9E4895" w14:textId="3F430A4A" w:rsidR="00B51526" w:rsidRPr="00B148F9" w:rsidRDefault="00B51526" w:rsidP="00B51526">
            <w:pPr>
              <w:ind w:right="-18"/>
              <w:jc w:val="right"/>
              <w:rPr>
                <w:rFonts w:cs="Arial"/>
                <w:bCs/>
              </w:rPr>
            </w:pPr>
            <w:r w:rsidRPr="00B148F9">
              <w:rPr>
                <w:rFonts w:cs="Arial"/>
                <w:bCs/>
              </w:rPr>
              <w:t>n/a</w:t>
            </w:r>
          </w:p>
        </w:tc>
      </w:tr>
      <w:tr w:rsidR="00B51526" w:rsidRPr="00B148F9" w14:paraId="7C93BF2E" w14:textId="77777777" w:rsidTr="00EE53BF">
        <w:tc>
          <w:tcPr>
            <w:tcW w:w="3119" w:type="dxa"/>
          </w:tcPr>
          <w:p w14:paraId="455C2321" w14:textId="320F4645" w:rsidR="00B51526" w:rsidRPr="00B148F9" w:rsidRDefault="00B51526" w:rsidP="00B51526">
            <w:pPr>
              <w:ind w:right="-18"/>
              <w:rPr>
                <w:rFonts w:cs="Arial"/>
                <w:bCs/>
              </w:rPr>
            </w:pPr>
            <w:r w:rsidRPr="00B148F9">
              <w:rPr>
                <w:rFonts w:cs="Arial"/>
                <w:bCs/>
              </w:rPr>
              <w:t>William Scott</w:t>
            </w:r>
          </w:p>
        </w:tc>
        <w:tc>
          <w:tcPr>
            <w:tcW w:w="567" w:type="dxa"/>
          </w:tcPr>
          <w:p w14:paraId="7ABC7B08" w14:textId="77777777" w:rsidR="00B51526" w:rsidRPr="00B148F9" w:rsidRDefault="00B51526" w:rsidP="00B51526">
            <w:pPr>
              <w:ind w:right="-18"/>
              <w:rPr>
                <w:rFonts w:cs="Arial"/>
                <w:bCs/>
              </w:rPr>
            </w:pPr>
          </w:p>
        </w:tc>
        <w:tc>
          <w:tcPr>
            <w:tcW w:w="1243" w:type="dxa"/>
          </w:tcPr>
          <w:p w14:paraId="2BC8DE24" w14:textId="77777777" w:rsidR="00B51526" w:rsidRPr="00B148F9" w:rsidRDefault="00B51526" w:rsidP="00B51526">
            <w:pPr>
              <w:ind w:right="-18"/>
              <w:rPr>
                <w:rFonts w:cs="Arial"/>
                <w:bCs/>
              </w:rPr>
            </w:pPr>
          </w:p>
        </w:tc>
        <w:tc>
          <w:tcPr>
            <w:tcW w:w="1875" w:type="dxa"/>
          </w:tcPr>
          <w:p w14:paraId="53FEC4D9" w14:textId="1B95E401" w:rsidR="00B51526" w:rsidRPr="00B148F9" w:rsidRDefault="00B51526" w:rsidP="00B51526">
            <w:pPr>
              <w:ind w:right="-18"/>
              <w:jc w:val="right"/>
              <w:rPr>
                <w:rFonts w:cs="Arial"/>
                <w:bCs/>
              </w:rPr>
            </w:pPr>
            <w:r w:rsidRPr="00B148F9">
              <w:rPr>
                <w:rFonts w:cs="Arial"/>
                <w:bCs/>
                <w:lang w:eastAsia="en-GB"/>
              </w:rPr>
              <w:t>50,000</w:t>
            </w:r>
          </w:p>
        </w:tc>
        <w:tc>
          <w:tcPr>
            <w:tcW w:w="1843" w:type="dxa"/>
          </w:tcPr>
          <w:p w14:paraId="6FD29464" w14:textId="1D57D939" w:rsidR="00B51526" w:rsidRPr="00B148F9" w:rsidRDefault="00B51526" w:rsidP="00B51526">
            <w:pPr>
              <w:ind w:right="-18"/>
              <w:jc w:val="right"/>
              <w:rPr>
                <w:rFonts w:cs="Arial"/>
                <w:bCs/>
              </w:rPr>
            </w:pPr>
            <w:r w:rsidRPr="00B148F9">
              <w:rPr>
                <w:rFonts w:cs="Arial"/>
                <w:bCs/>
              </w:rPr>
              <w:t>n/a</w:t>
            </w:r>
          </w:p>
        </w:tc>
      </w:tr>
      <w:tr w:rsidR="00B51526" w:rsidRPr="00B148F9" w14:paraId="60C44EB5" w14:textId="77777777" w:rsidTr="00EE53BF">
        <w:tc>
          <w:tcPr>
            <w:tcW w:w="3119" w:type="dxa"/>
          </w:tcPr>
          <w:p w14:paraId="17B3F527" w14:textId="4D90D172" w:rsidR="00B51526" w:rsidRPr="00B148F9" w:rsidRDefault="00B51526" w:rsidP="00B51526">
            <w:pPr>
              <w:ind w:right="-18"/>
              <w:rPr>
                <w:rFonts w:cs="Arial"/>
                <w:bCs/>
              </w:rPr>
            </w:pPr>
            <w:r w:rsidRPr="00B148F9">
              <w:rPr>
                <w:rFonts w:cs="Arial"/>
                <w:bCs/>
              </w:rPr>
              <w:t>Stephanie Sirota</w:t>
            </w:r>
          </w:p>
        </w:tc>
        <w:tc>
          <w:tcPr>
            <w:tcW w:w="567" w:type="dxa"/>
          </w:tcPr>
          <w:p w14:paraId="6DD0A4D8" w14:textId="77777777" w:rsidR="00B51526" w:rsidRPr="00B148F9" w:rsidRDefault="00B51526" w:rsidP="00B51526">
            <w:pPr>
              <w:ind w:right="-18"/>
              <w:rPr>
                <w:rFonts w:cs="Arial"/>
                <w:bCs/>
              </w:rPr>
            </w:pPr>
          </w:p>
        </w:tc>
        <w:tc>
          <w:tcPr>
            <w:tcW w:w="1243" w:type="dxa"/>
          </w:tcPr>
          <w:p w14:paraId="7850F4D7" w14:textId="77777777" w:rsidR="00B51526" w:rsidRPr="00B148F9" w:rsidRDefault="00B51526" w:rsidP="00B51526">
            <w:pPr>
              <w:ind w:right="-18"/>
              <w:rPr>
                <w:rFonts w:cs="Arial"/>
                <w:bCs/>
              </w:rPr>
            </w:pPr>
          </w:p>
        </w:tc>
        <w:tc>
          <w:tcPr>
            <w:tcW w:w="1875" w:type="dxa"/>
          </w:tcPr>
          <w:p w14:paraId="54CDDE68" w14:textId="6058C717" w:rsidR="00B51526" w:rsidRPr="00B148F9" w:rsidRDefault="00B51526" w:rsidP="00B51526">
            <w:pPr>
              <w:ind w:right="-18"/>
              <w:jc w:val="right"/>
              <w:rPr>
                <w:rFonts w:cs="Arial"/>
                <w:bCs/>
              </w:rPr>
            </w:pPr>
            <w:r w:rsidRPr="00B148F9">
              <w:rPr>
                <w:rFonts w:cs="Arial"/>
                <w:bCs/>
                <w:lang w:eastAsia="en-GB"/>
              </w:rPr>
              <w:t>494,004</w:t>
            </w:r>
          </w:p>
        </w:tc>
        <w:tc>
          <w:tcPr>
            <w:tcW w:w="1843" w:type="dxa"/>
          </w:tcPr>
          <w:p w14:paraId="78DA10D2" w14:textId="662D983C" w:rsidR="00B51526" w:rsidRPr="00B148F9" w:rsidRDefault="00B51526" w:rsidP="00B51526">
            <w:pPr>
              <w:ind w:right="-18"/>
              <w:jc w:val="right"/>
              <w:rPr>
                <w:rFonts w:cs="Arial"/>
                <w:bCs/>
              </w:rPr>
            </w:pPr>
            <w:r w:rsidRPr="00B148F9">
              <w:rPr>
                <w:rFonts w:cs="Arial"/>
                <w:bCs/>
              </w:rPr>
              <w:t>n/a</w:t>
            </w:r>
          </w:p>
        </w:tc>
      </w:tr>
    </w:tbl>
    <w:p w14:paraId="12BD4DA1" w14:textId="7295D0AF" w:rsidR="00FF3B93" w:rsidRPr="00B148F9" w:rsidRDefault="00FF3B93" w:rsidP="00E26200">
      <w:pPr>
        <w:ind w:right="-18"/>
        <w:rPr>
          <w:rFonts w:cs="Arial"/>
          <w:bCs/>
        </w:rPr>
      </w:pPr>
    </w:p>
    <w:p w14:paraId="7873BDB5" w14:textId="59AAB753" w:rsidR="00B51526" w:rsidRPr="00B148F9" w:rsidRDefault="00B51526" w:rsidP="00E26200">
      <w:pPr>
        <w:ind w:right="-18"/>
        <w:rPr>
          <w:rFonts w:cs="Arial"/>
          <w:bCs/>
        </w:rPr>
      </w:pPr>
      <w:r w:rsidRPr="00B148F9">
        <w:rPr>
          <w:rFonts w:cs="Arial"/>
          <w:bCs/>
        </w:rPr>
        <w:t>Roderick Wong is a major shareholder and also a member of the Investment Manager, at year end he held 24,814,619 Ordinary Shares in the Company.</w:t>
      </w:r>
    </w:p>
    <w:p w14:paraId="0547E284" w14:textId="457ED54A" w:rsidR="00D42AB2" w:rsidRPr="00B148F9" w:rsidRDefault="00D42AB2" w:rsidP="00E26200">
      <w:pPr>
        <w:ind w:right="-18"/>
        <w:rPr>
          <w:rFonts w:cs="Arial"/>
          <w:bCs/>
        </w:rPr>
      </w:pPr>
    </w:p>
    <w:p w14:paraId="2DC961E8" w14:textId="2766211D" w:rsidR="00D42AB2" w:rsidRDefault="00D42AB2" w:rsidP="00E26200">
      <w:pPr>
        <w:ind w:right="-18"/>
        <w:rPr>
          <w:rFonts w:cs="Arial"/>
          <w:bCs/>
        </w:rPr>
      </w:pPr>
      <w:r w:rsidRPr="00B148F9">
        <w:rPr>
          <w:rFonts w:cs="Arial"/>
          <w:bCs/>
        </w:rPr>
        <w:t>The total Directors’ fees expense for the period amounted to US$33,140 (2018: US$nil) of which US$33,140 was outstanding at 31 December 2019 (2018: US$nil).</w:t>
      </w:r>
    </w:p>
    <w:p w14:paraId="60159C49" w14:textId="77777777" w:rsidR="00436B09" w:rsidRPr="00B148F9" w:rsidRDefault="00436B09" w:rsidP="00817824">
      <w:pPr>
        <w:pStyle w:val="Heading1"/>
        <w:jc w:val="left"/>
        <w:rPr>
          <w:sz w:val="20"/>
        </w:rPr>
      </w:pPr>
    </w:p>
    <w:p w14:paraId="0C4717AA" w14:textId="326B83BD" w:rsidR="00814286" w:rsidRPr="00B148F9" w:rsidRDefault="00685E38" w:rsidP="00817824">
      <w:pPr>
        <w:pStyle w:val="Heading1"/>
        <w:jc w:val="left"/>
        <w:rPr>
          <w:sz w:val="20"/>
        </w:rPr>
      </w:pPr>
      <w:r w:rsidRPr="00B148F9">
        <w:rPr>
          <w:sz w:val="20"/>
        </w:rPr>
        <w:t>1</w:t>
      </w:r>
      <w:r w:rsidR="00436B09" w:rsidRPr="00B148F9">
        <w:rPr>
          <w:sz w:val="20"/>
        </w:rPr>
        <w:t>1</w:t>
      </w:r>
      <w:r w:rsidR="00817824" w:rsidRPr="00B148F9">
        <w:rPr>
          <w:sz w:val="20"/>
        </w:rPr>
        <w:t xml:space="preserve">. </w:t>
      </w:r>
      <w:r w:rsidR="00D70877" w:rsidRPr="00B148F9">
        <w:rPr>
          <w:sz w:val="20"/>
        </w:rPr>
        <w:t xml:space="preserve">Administrative </w:t>
      </w:r>
      <w:r w:rsidR="0024367D" w:rsidRPr="00B148F9">
        <w:rPr>
          <w:sz w:val="20"/>
        </w:rPr>
        <w:t>Services</w:t>
      </w:r>
    </w:p>
    <w:p w14:paraId="48B957B6" w14:textId="77777777" w:rsidR="005B67E6" w:rsidRPr="00B148F9" w:rsidRDefault="005B67E6" w:rsidP="00C4780E">
      <w:pPr>
        <w:ind w:right="-18"/>
        <w:rPr>
          <w:rFonts w:cs="Arial"/>
          <w:bCs/>
        </w:rPr>
      </w:pPr>
    </w:p>
    <w:p w14:paraId="62D83A90" w14:textId="3C36B32E" w:rsidR="005B67E6" w:rsidRPr="00B148F9" w:rsidRDefault="0024367D" w:rsidP="00C4780E">
      <w:pPr>
        <w:ind w:right="-18"/>
        <w:rPr>
          <w:rFonts w:cs="Arial"/>
          <w:bCs/>
        </w:rPr>
      </w:pPr>
      <w:r w:rsidRPr="00B148F9">
        <w:rPr>
          <w:rFonts w:cs="Arial"/>
          <w:bCs/>
        </w:rPr>
        <w:t xml:space="preserve">NAV Consulting, Inc. served as the Company’s </w:t>
      </w:r>
      <w:r w:rsidR="008673F8" w:rsidRPr="00B148F9">
        <w:rPr>
          <w:rFonts w:cs="Arial"/>
          <w:bCs/>
        </w:rPr>
        <w:t>administrator</w:t>
      </w:r>
      <w:r w:rsidRPr="00B148F9">
        <w:rPr>
          <w:rFonts w:cs="Arial"/>
          <w:bCs/>
        </w:rPr>
        <w:t xml:space="preserve"> until the company re-domiciled to Guernsey</w:t>
      </w:r>
      <w:r w:rsidR="008673F8" w:rsidRPr="00B148F9">
        <w:rPr>
          <w:rFonts w:cs="Arial"/>
          <w:bCs/>
        </w:rPr>
        <w:t xml:space="preserve"> on 2 October 2019. Effective from this date, </w:t>
      </w:r>
      <w:r w:rsidR="00350A1A" w:rsidRPr="00B148F9">
        <w:rPr>
          <w:rFonts w:cs="Arial"/>
          <w:bCs/>
        </w:rPr>
        <w:t xml:space="preserve">Ocorian Administration (Guernsey) Limited (formerly </w:t>
      </w:r>
      <w:r w:rsidR="00D70877" w:rsidRPr="00B148F9">
        <w:rPr>
          <w:rFonts w:cs="Arial"/>
          <w:bCs/>
        </w:rPr>
        <w:t>Estera International Fund Managers (Guernsey) Limited</w:t>
      </w:r>
      <w:r w:rsidR="00350A1A" w:rsidRPr="00B148F9">
        <w:rPr>
          <w:rFonts w:cs="Arial"/>
          <w:bCs/>
        </w:rPr>
        <w:t>)</w:t>
      </w:r>
      <w:r w:rsidR="00D70877" w:rsidRPr="00B148F9">
        <w:rPr>
          <w:rFonts w:cs="Arial"/>
          <w:bCs/>
        </w:rPr>
        <w:t xml:space="preserve"> (“</w:t>
      </w:r>
      <w:r w:rsidR="00350A1A" w:rsidRPr="00B148F9">
        <w:rPr>
          <w:rFonts w:cs="Arial"/>
          <w:bCs/>
        </w:rPr>
        <w:t>OA</w:t>
      </w:r>
      <w:r w:rsidR="00D70877" w:rsidRPr="00B148F9">
        <w:rPr>
          <w:rFonts w:cs="Arial"/>
          <w:bCs/>
        </w:rPr>
        <w:t xml:space="preserve">G”) was appointed as Administrator to the Company </w:t>
      </w:r>
      <w:r w:rsidR="008673F8" w:rsidRPr="00B148F9">
        <w:rPr>
          <w:rFonts w:cs="Arial"/>
          <w:bCs/>
        </w:rPr>
        <w:t>taking over the administration, corporate secretarial, corporate governance and compliance services from NAV Consulting, Inc</w:t>
      </w:r>
      <w:r w:rsidR="00D70877" w:rsidRPr="00B148F9">
        <w:rPr>
          <w:rFonts w:cs="Arial"/>
          <w:bCs/>
        </w:rPr>
        <w:t>.</w:t>
      </w:r>
    </w:p>
    <w:p w14:paraId="538694A0" w14:textId="3AF84CE4" w:rsidR="004567C5" w:rsidRPr="00B148F9" w:rsidRDefault="004567C5" w:rsidP="00C4780E">
      <w:pPr>
        <w:ind w:right="-18"/>
        <w:rPr>
          <w:rFonts w:cs="Arial"/>
          <w:bCs/>
        </w:rPr>
      </w:pPr>
    </w:p>
    <w:p w14:paraId="52998748" w14:textId="30D87FFE" w:rsidR="00CE5E80" w:rsidRPr="00B148F9" w:rsidRDefault="004567C5" w:rsidP="00C4780E">
      <w:pPr>
        <w:ind w:right="-18"/>
        <w:rPr>
          <w:rFonts w:cs="Arial"/>
          <w:bCs/>
        </w:rPr>
      </w:pPr>
      <w:r w:rsidRPr="00B148F9">
        <w:rPr>
          <w:rFonts w:cs="Arial"/>
          <w:bCs/>
        </w:rPr>
        <w:t xml:space="preserve">During the </w:t>
      </w:r>
      <w:r w:rsidR="00F53ACD" w:rsidRPr="00B148F9">
        <w:rPr>
          <w:rFonts w:cs="Arial"/>
          <w:bCs/>
        </w:rPr>
        <w:t>period from 2 October 2019 to</w:t>
      </w:r>
      <w:r w:rsidRPr="00B148F9">
        <w:rPr>
          <w:rFonts w:cs="Arial"/>
          <w:bCs/>
        </w:rPr>
        <w:t xml:space="preserve"> 31 December 2019, </w:t>
      </w:r>
      <w:r w:rsidR="00350A1A" w:rsidRPr="00B148F9">
        <w:rPr>
          <w:rFonts w:cs="Arial"/>
          <w:bCs/>
        </w:rPr>
        <w:t xml:space="preserve">OAG </w:t>
      </w:r>
      <w:r w:rsidRPr="00B148F9">
        <w:rPr>
          <w:rFonts w:cs="Arial"/>
          <w:bCs/>
        </w:rPr>
        <w:t>charged administration fees of US$</w:t>
      </w:r>
      <w:r w:rsidR="001937A2" w:rsidRPr="00B148F9">
        <w:rPr>
          <w:rFonts w:cs="Arial"/>
          <w:bCs/>
        </w:rPr>
        <w:t>58,38</w:t>
      </w:r>
      <w:r w:rsidR="00CF0BD5" w:rsidRPr="00B148F9">
        <w:rPr>
          <w:rFonts w:cs="Arial"/>
          <w:bCs/>
        </w:rPr>
        <w:t>1</w:t>
      </w:r>
      <w:r w:rsidRPr="00B148F9">
        <w:rPr>
          <w:rFonts w:cs="Arial"/>
          <w:bCs/>
        </w:rPr>
        <w:t xml:space="preserve"> of which US$</w:t>
      </w:r>
      <w:r w:rsidR="001937A2" w:rsidRPr="00B148F9">
        <w:rPr>
          <w:rFonts w:cs="Arial"/>
          <w:bCs/>
        </w:rPr>
        <w:t>29,439</w:t>
      </w:r>
      <w:r w:rsidRPr="00B148F9">
        <w:rPr>
          <w:rFonts w:cs="Arial"/>
          <w:bCs/>
        </w:rPr>
        <w:t xml:space="preserve"> was outstanding at year end, and NAV consulting, </w:t>
      </w:r>
      <w:r w:rsidR="0054226C" w:rsidRPr="00B148F9">
        <w:rPr>
          <w:rFonts w:cs="Arial"/>
          <w:bCs/>
        </w:rPr>
        <w:t>Inc.</w:t>
      </w:r>
      <w:r w:rsidRPr="00B148F9">
        <w:rPr>
          <w:rFonts w:cs="Arial"/>
          <w:bCs/>
        </w:rPr>
        <w:t xml:space="preserve"> charged administration fees of US$</w:t>
      </w:r>
      <w:r w:rsidR="001937A2" w:rsidRPr="00B148F9">
        <w:rPr>
          <w:rFonts w:cs="Arial"/>
          <w:bCs/>
        </w:rPr>
        <w:t>12,008</w:t>
      </w:r>
      <w:r w:rsidR="00F53ACD" w:rsidRPr="00B148F9">
        <w:rPr>
          <w:rFonts w:cs="Arial"/>
          <w:bCs/>
        </w:rPr>
        <w:t xml:space="preserve"> for the period from 1 January 2019 to 1 October 2019</w:t>
      </w:r>
      <w:r w:rsidRPr="00B148F9">
        <w:rPr>
          <w:rFonts w:cs="Arial"/>
          <w:bCs/>
        </w:rPr>
        <w:t xml:space="preserve"> (31 December 2018</w:t>
      </w:r>
      <w:r w:rsidR="00732387" w:rsidRPr="00B148F9">
        <w:rPr>
          <w:rFonts w:cs="Arial"/>
          <w:bCs/>
        </w:rPr>
        <w:t>:</w:t>
      </w:r>
      <w:r w:rsidRPr="00B148F9">
        <w:rPr>
          <w:rFonts w:cs="Arial"/>
          <w:bCs/>
        </w:rPr>
        <w:t xml:space="preserve"> US$</w:t>
      </w:r>
      <w:r w:rsidR="001937A2" w:rsidRPr="00B148F9">
        <w:rPr>
          <w:rFonts w:cs="Arial"/>
          <w:bCs/>
        </w:rPr>
        <w:t>12,000</w:t>
      </w:r>
      <w:r w:rsidRPr="00B148F9">
        <w:rPr>
          <w:rFonts w:cs="Arial"/>
          <w:bCs/>
        </w:rPr>
        <w:t xml:space="preserve">) </w:t>
      </w:r>
      <w:r w:rsidR="00350A1A" w:rsidRPr="00B148F9">
        <w:rPr>
          <w:rFonts w:cs="Arial"/>
          <w:bCs/>
        </w:rPr>
        <w:t xml:space="preserve">none </w:t>
      </w:r>
      <w:r w:rsidRPr="00B148F9">
        <w:rPr>
          <w:rFonts w:cs="Arial"/>
          <w:bCs/>
        </w:rPr>
        <w:t>of which was outstanding at the year end (31 December 2018: US$</w:t>
      </w:r>
      <w:r w:rsidR="00F8000F" w:rsidRPr="00B148F9">
        <w:rPr>
          <w:rFonts w:cs="Arial"/>
          <w:bCs/>
        </w:rPr>
        <w:t>3,000</w:t>
      </w:r>
      <w:r w:rsidRPr="00B148F9">
        <w:rPr>
          <w:rFonts w:cs="Arial"/>
          <w:bCs/>
        </w:rPr>
        <w:t>).</w:t>
      </w:r>
    </w:p>
    <w:p w14:paraId="05AA4B26" w14:textId="77777777" w:rsidR="00CC3767" w:rsidRPr="00B148F9" w:rsidRDefault="00CC3767" w:rsidP="00C4780E">
      <w:pPr>
        <w:ind w:right="-18"/>
        <w:rPr>
          <w:rFonts w:cs="Arial"/>
          <w:bCs/>
        </w:rPr>
      </w:pPr>
    </w:p>
    <w:p w14:paraId="18E9A3CB" w14:textId="56C869C7" w:rsidR="00CF0BD5" w:rsidRPr="00B148F9" w:rsidRDefault="00CF0BD5" w:rsidP="00CF0BD5">
      <w:pPr>
        <w:pStyle w:val="Heading1"/>
        <w:jc w:val="left"/>
      </w:pPr>
      <w:r w:rsidRPr="00B148F9">
        <w:rPr>
          <w:sz w:val="20"/>
          <w:szCs w:val="20"/>
        </w:rPr>
        <w:t>12.</w:t>
      </w:r>
      <w:r w:rsidRPr="00B148F9">
        <w:rPr>
          <w:sz w:val="20"/>
        </w:rPr>
        <w:t xml:space="preserve"> Financial Highlights</w:t>
      </w:r>
    </w:p>
    <w:p w14:paraId="765FFF4D" w14:textId="696DFEAB" w:rsidR="00CF0BD5" w:rsidRPr="00B148F9" w:rsidRDefault="00CF0BD5" w:rsidP="00C4780E">
      <w:pPr>
        <w:ind w:right="-18"/>
        <w:rPr>
          <w:rFonts w:cs="Arial"/>
          <w:bCs/>
        </w:rPr>
      </w:pPr>
    </w:p>
    <w:p w14:paraId="5979914E" w14:textId="69394600" w:rsidR="00BC7EA1" w:rsidRPr="00B148F9" w:rsidRDefault="00CF0BD5" w:rsidP="00C4780E">
      <w:pPr>
        <w:ind w:right="-18"/>
        <w:rPr>
          <w:szCs w:val="19"/>
        </w:rPr>
      </w:pPr>
      <w:r w:rsidRPr="00B148F9">
        <w:rPr>
          <w:rFonts w:cs="Arial"/>
          <w:bCs/>
        </w:rPr>
        <w:t xml:space="preserve">Financial highlights for the year ended 31 December 2019 </w:t>
      </w:r>
      <w:r w:rsidR="00F23333" w:rsidRPr="00B148F9">
        <w:rPr>
          <w:rFonts w:cs="Arial"/>
          <w:bCs/>
        </w:rPr>
        <w:t>and</w:t>
      </w:r>
      <w:r w:rsidR="00BC7EA1" w:rsidRPr="00B148F9">
        <w:rPr>
          <w:rFonts w:cs="Arial"/>
          <w:bCs/>
        </w:rPr>
        <w:t xml:space="preserve"> </w:t>
      </w:r>
      <w:r w:rsidR="00685481" w:rsidRPr="00B148F9">
        <w:rPr>
          <w:rFonts w:cs="Arial"/>
          <w:bCs/>
        </w:rPr>
        <w:t>f</w:t>
      </w:r>
      <w:r w:rsidR="00BC7EA1" w:rsidRPr="00B148F9">
        <w:rPr>
          <w:rFonts w:cs="Arial"/>
          <w:bCs/>
        </w:rPr>
        <w:t xml:space="preserve">or the period following </w:t>
      </w:r>
      <w:r w:rsidR="00BC7EA1" w:rsidRPr="00B148F9">
        <w:rPr>
          <w:szCs w:val="19"/>
        </w:rPr>
        <w:t>re-domiciliation into Guernsey on 2 October 2019</w:t>
      </w:r>
      <w:r w:rsidR="00F23333" w:rsidRPr="00B148F9">
        <w:rPr>
          <w:szCs w:val="19"/>
        </w:rPr>
        <w:t xml:space="preserve"> are as follows</w:t>
      </w:r>
      <w:r w:rsidR="00BC7EA1" w:rsidRPr="00B148F9">
        <w:rPr>
          <w:szCs w:val="19"/>
        </w:rPr>
        <w:t>:</w:t>
      </w:r>
    </w:p>
    <w:p w14:paraId="2CEF9DDD" w14:textId="475486EC" w:rsidR="00BC7EA1" w:rsidRPr="00B148F9" w:rsidRDefault="00BC7EA1" w:rsidP="00C4780E">
      <w:pPr>
        <w:ind w:right="-18"/>
        <w:rPr>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959"/>
        <w:gridCol w:w="1506"/>
        <w:gridCol w:w="1676"/>
        <w:gridCol w:w="687"/>
      </w:tblGrid>
      <w:tr w:rsidR="00F23333" w:rsidRPr="00B148F9" w14:paraId="675DAC88" w14:textId="77777777" w:rsidTr="00BC7EA1">
        <w:tc>
          <w:tcPr>
            <w:tcW w:w="4932" w:type="dxa"/>
            <w:gridSpan w:val="3"/>
          </w:tcPr>
          <w:p w14:paraId="710C60A0" w14:textId="6C4F2574" w:rsidR="00F23333" w:rsidRPr="00B148F9" w:rsidRDefault="00F23333" w:rsidP="00BC7EA1">
            <w:pPr>
              <w:ind w:right="-18"/>
              <w:rPr>
                <w:rFonts w:cs="Arial"/>
                <w:b/>
                <w:bCs/>
              </w:rPr>
            </w:pPr>
            <w:r w:rsidRPr="00B148F9">
              <w:rPr>
                <w:rFonts w:cs="Arial"/>
                <w:b/>
                <w:bCs/>
              </w:rPr>
              <w:t>Per Ordinary Share operating performance</w:t>
            </w:r>
          </w:p>
        </w:tc>
        <w:tc>
          <w:tcPr>
            <w:tcW w:w="1676" w:type="dxa"/>
          </w:tcPr>
          <w:p w14:paraId="02E3DBE8" w14:textId="77777777" w:rsidR="00F23333" w:rsidRPr="00B148F9" w:rsidRDefault="00F23333" w:rsidP="00BC7EA1">
            <w:pPr>
              <w:ind w:right="-18"/>
              <w:rPr>
                <w:rFonts w:cs="Arial"/>
                <w:bCs/>
              </w:rPr>
            </w:pPr>
          </w:p>
        </w:tc>
        <w:tc>
          <w:tcPr>
            <w:tcW w:w="687" w:type="dxa"/>
          </w:tcPr>
          <w:p w14:paraId="7A77F778" w14:textId="77777777" w:rsidR="00F23333" w:rsidRPr="00B148F9" w:rsidRDefault="00F23333" w:rsidP="00BC7EA1">
            <w:pPr>
              <w:ind w:right="-18"/>
              <w:rPr>
                <w:rFonts w:cs="Arial"/>
                <w:bCs/>
              </w:rPr>
            </w:pPr>
          </w:p>
        </w:tc>
      </w:tr>
      <w:tr w:rsidR="00F23333" w:rsidRPr="00B148F9" w14:paraId="7411C526" w14:textId="77777777" w:rsidTr="00BC7EA1">
        <w:tc>
          <w:tcPr>
            <w:tcW w:w="4932" w:type="dxa"/>
            <w:gridSpan w:val="3"/>
          </w:tcPr>
          <w:p w14:paraId="7257BB74" w14:textId="4E3684BA" w:rsidR="00F23333" w:rsidRPr="00B148F9" w:rsidRDefault="00F23333">
            <w:pPr>
              <w:ind w:right="-18"/>
              <w:rPr>
                <w:rFonts w:cs="Arial"/>
                <w:bCs/>
              </w:rPr>
            </w:pPr>
            <w:r w:rsidRPr="00B148F9">
              <w:rPr>
                <w:rFonts w:cs="Arial"/>
                <w:bCs/>
              </w:rPr>
              <w:t xml:space="preserve">Net </w:t>
            </w:r>
            <w:r w:rsidR="007E42ED" w:rsidRPr="00B148F9">
              <w:rPr>
                <w:rFonts w:cs="Arial"/>
                <w:bCs/>
              </w:rPr>
              <w:t>A</w:t>
            </w:r>
            <w:r w:rsidRPr="00B148F9">
              <w:rPr>
                <w:rFonts w:cs="Arial"/>
                <w:bCs/>
              </w:rPr>
              <w:t xml:space="preserve">sset </w:t>
            </w:r>
            <w:r w:rsidR="007E42ED" w:rsidRPr="00B148F9">
              <w:rPr>
                <w:rFonts w:cs="Arial"/>
                <w:bCs/>
              </w:rPr>
              <w:t>V</w:t>
            </w:r>
            <w:r w:rsidRPr="00B148F9">
              <w:rPr>
                <w:rFonts w:cs="Arial"/>
                <w:bCs/>
              </w:rPr>
              <w:t>alue, beginning of year</w:t>
            </w:r>
          </w:p>
        </w:tc>
        <w:tc>
          <w:tcPr>
            <w:tcW w:w="1676" w:type="dxa"/>
          </w:tcPr>
          <w:p w14:paraId="2ABF553E" w14:textId="485B072E" w:rsidR="00F23333" w:rsidRPr="00B148F9" w:rsidRDefault="006C1174" w:rsidP="00A415E7">
            <w:pPr>
              <w:ind w:right="-18"/>
              <w:jc w:val="right"/>
              <w:rPr>
                <w:rFonts w:cs="Arial"/>
                <w:bCs/>
              </w:rPr>
            </w:pPr>
            <w:r w:rsidRPr="00B148F9">
              <w:rPr>
                <w:rFonts w:cs="Arial"/>
                <w:bCs/>
              </w:rPr>
              <w:t>US</w:t>
            </w:r>
            <w:r w:rsidR="00F23333" w:rsidRPr="00B148F9">
              <w:rPr>
                <w:rFonts w:cs="Arial"/>
                <w:bCs/>
              </w:rPr>
              <w:t>$</w:t>
            </w:r>
            <w:r w:rsidR="00E41321" w:rsidRPr="00B148F9">
              <w:rPr>
                <w:rFonts w:cs="Arial"/>
                <w:bCs/>
              </w:rPr>
              <w:t xml:space="preserve"> </w:t>
            </w:r>
            <w:r w:rsidR="00F23333" w:rsidRPr="00B148F9">
              <w:rPr>
                <w:rFonts w:cs="Arial"/>
                <w:bCs/>
              </w:rPr>
              <w:t>-</w:t>
            </w:r>
          </w:p>
        </w:tc>
        <w:tc>
          <w:tcPr>
            <w:tcW w:w="687" w:type="dxa"/>
          </w:tcPr>
          <w:p w14:paraId="0935E7FF" w14:textId="77777777" w:rsidR="00F23333" w:rsidRPr="00B148F9" w:rsidRDefault="00F23333" w:rsidP="00BC7EA1">
            <w:pPr>
              <w:ind w:right="-18"/>
              <w:rPr>
                <w:rFonts w:cs="Arial"/>
                <w:bCs/>
              </w:rPr>
            </w:pPr>
          </w:p>
        </w:tc>
      </w:tr>
      <w:tr w:rsidR="00F23333" w:rsidRPr="00B148F9" w14:paraId="4A0951F5" w14:textId="77777777" w:rsidTr="00BC7EA1">
        <w:tc>
          <w:tcPr>
            <w:tcW w:w="4932" w:type="dxa"/>
            <w:gridSpan w:val="3"/>
          </w:tcPr>
          <w:p w14:paraId="4E9CC0A5" w14:textId="5FB5E240" w:rsidR="00F23333" w:rsidRPr="00B148F9" w:rsidRDefault="00B40642" w:rsidP="00BC7EA1">
            <w:pPr>
              <w:ind w:right="-18"/>
              <w:rPr>
                <w:rFonts w:cs="Arial"/>
                <w:bCs/>
              </w:rPr>
            </w:pPr>
            <w:r w:rsidRPr="00B148F9">
              <w:rPr>
                <w:rFonts w:cs="Arial"/>
                <w:bCs/>
              </w:rPr>
              <w:t>Transfer of shares</w:t>
            </w:r>
          </w:p>
        </w:tc>
        <w:tc>
          <w:tcPr>
            <w:tcW w:w="1676" w:type="dxa"/>
          </w:tcPr>
          <w:p w14:paraId="6E974983" w14:textId="3AB64C00" w:rsidR="00F23333" w:rsidRPr="00B148F9" w:rsidRDefault="00B40642" w:rsidP="00A415E7">
            <w:pPr>
              <w:ind w:right="-18"/>
              <w:jc w:val="right"/>
              <w:rPr>
                <w:rFonts w:cs="Arial"/>
                <w:bCs/>
              </w:rPr>
            </w:pPr>
            <w:r w:rsidRPr="00B148F9">
              <w:rPr>
                <w:rFonts w:cs="Arial"/>
                <w:bCs/>
              </w:rPr>
              <w:t>0.91</w:t>
            </w:r>
          </w:p>
        </w:tc>
        <w:tc>
          <w:tcPr>
            <w:tcW w:w="687" w:type="dxa"/>
          </w:tcPr>
          <w:p w14:paraId="3CEC230C" w14:textId="77777777" w:rsidR="00F23333" w:rsidRPr="00B148F9" w:rsidRDefault="00F23333" w:rsidP="00BC7EA1">
            <w:pPr>
              <w:ind w:right="-18"/>
              <w:rPr>
                <w:rFonts w:cs="Arial"/>
                <w:bCs/>
              </w:rPr>
            </w:pPr>
          </w:p>
        </w:tc>
      </w:tr>
      <w:tr w:rsidR="00F23333" w:rsidRPr="00B148F9" w14:paraId="41E1AC1F" w14:textId="77777777" w:rsidTr="00BC7EA1">
        <w:tc>
          <w:tcPr>
            <w:tcW w:w="4932" w:type="dxa"/>
            <w:gridSpan w:val="3"/>
          </w:tcPr>
          <w:p w14:paraId="30C81677" w14:textId="272C5E55" w:rsidR="00F23333" w:rsidRPr="00B148F9" w:rsidRDefault="00B40642" w:rsidP="00BC7EA1">
            <w:pPr>
              <w:ind w:right="-18"/>
              <w:rPr>
                <w:rFonts w:cs="Arial"/>
                <w:bCs/>
              </w:rPr>
            </w:pPr>
            <w:r w:rsidRPr="00B148F9">
              <w:rPr>
                <w:rFonts w:cs="Arial"/>
                <w:bCs/>
              </w:rPr>
              <w:t>Issuance of shares</w:t>
            </w:r>
          </w:p>
        </w:tc>
        <w:tc>
          <w:tcPr>
            <w:tcW w:w="1676" w:type="dxa"/>
          </w:tcPr>
          <w:p w14:paraId="071295B2" w14:textId="01099385" w:rsidR="00F23333" w:rsidRPr="00B148F9" w:rsidRDefault="00B40642" w:rsidP="00A415E7">
            <w:pPr>
              <w:ind w:right="-18"/>
              <w:jc w:val="right"/>
              <w:rPr>
                <w:rFonts w:cs="Arial"/>
                <w:bCs/>
              </w:rPr>
            </w:pPr>
            <w:r w:rsidRPr="00B148F9">
              <w:rPr>
                <w:rFonts w:cs="Arial"/>
                <w:bCs/>
              </w:rPr>
              <w:t>0.09</w:t>
            </w:r>
          </w:p>
        </w:tc>
        <w:tc>
          <w:tcPr>
            <w:tcW w:w="687" w:type="dxa"/>
          </w:tcPr>
          <w:p w14:paraId="6F05858F" w14:textId="77777777" w:rsidR="00F23333" w:rsidRPr="00B148F9" w:rsidRDefault="00F23333" w:rsidP="00BC7EA1">
            <w:pPr>
              <w:ind w:right="-18"/>
              <w:rPr>
                <w:rFonts w:cs="Arial"/>
                <w:bCs/>
              </w:rPr>
            </w:pPr>
          </w:p>
        </w:tc>
      </w:tr>
      <w:tr w:rsidR="00B40642" w:rsidRPr="00B148F9" w14:paraId="236C427C" w14:textId="77777777" w:rsidTr="00BC7EA1">
        <w:tc>
          <w:tcPr>
            <w:tcW w:w="4932" w:type="dxa"/>
            <w:gridSpan w:val="3"/>
          </w:tcPr>
          <w:p w14:paraId="30C5B56D" w14:textId="2D6E8D67" w:rsidR="00B40642" w:rsidRPr="00B148F9" w:rsidRDefault="00B40642" w:rsidP="00BC7EA1">
            <w:pPr>
              <w:ind w:right="-18"/>
              <w:rPr>
                <w:rFonts w:cs="Arial"/>
                <w:bCs/>
              </w:rPr>
            </w:pPr>
            <w:r w:rsidRPr="00B148F9">
              <w:rPr>
                <w:rFonts w:cs="Arial"/>
                <w:bCs/>
              </w:rPr>
              <w:lastRenderedPageBreak/>
              <w:t>Income from investments</w:t>
            </w:r>
          </w:p>
        </w:tc>
        <w:tc>
          <w:tcPr>
            <w:tcW w:w="1676" w:type="dxa"/>
          </w:tcPr>
          <w:p w14:paraId="2BCDF0AA" w14:textId="77777777" w:rsidR="00B40642" w:rsidRPr="00B148F9" w:rsidRDefault="00B40642" w:rsidP="00B40642">
            <w:pPr>
              <w:ind w:right="-18"/>
              <w:jc w:val="right"/>
              <w:rPr>
                <w:rFonts w:cs="Arial"/>
                <w:bCs/>
              </w:rPr>
            </w:pPr>
          </w:p>
        </w:tc>
        <w:tc>
          <w:tcPr>
            <w:tcW w:w="687" w:type="dxa"/>
          </w:tcPr>
          <w:p w14:paraId="169669F9" w14:textId="77777777" w:rsidR="00B40642" w:rsidRPr="00B148F9" w:rsidRDefault="00B40642" w:rsidP="00BC7EA1">
            <w:pPr>
              <w:ind w:right="-18"/>
              <w:rPr>
                <w:rFonts w:cs="Arial"/>
                <w:bCs/>
              </w:rPr>
            </w:pPr>
          </w:p>
        </w:tc>
      </w:tr>
      <w:tr w:rsidR="00F23333" w:rsidRPr="00B148F9" w14:paraId="42B78EE6" w14:textId="77777777" w:rsidTr="00BC7EA1">
        <w:tc>
          <w:tcPr>
            <w:tcW w:w="4932" w:type="dxa"/>
            <w:gridSpan w:val="3"/>
          </w:tcPr>
          <w:p w14:paraId="52A70BDB" w14:textId="36BDC926" w:rsidR="00F23333" w:rsidRPr="00B148F9" w:rsidRDefault="00B40642" w:rsidP="00B40642">
            <w:pPr>
              <w:ind w:left="321" w:right="-18"/>
              <w:rPr>
                <w:rFonts w:cs="Arial"/>
                <w:bCs/>
              </w:rPr>
            </w:pPr>
            <w:r w:rsidRPr="00B148F9">
              <w:rPr>
                <w:rFonts w:cs="Arial"/>
                <w:bCs/>
              </w:rPr>
              <w:t>Net investment loss</w:t>
            </w:r>
          </w:p>
        </w:tc>
        <w:tc>
          <w:tcPr>
            <w:tcW w:w="1676" w:type="dxa"/>
          </w:tcPr>
          <w:p w14:paraId="6D7EB2B6" w14:textId="7B572B1C" w:rsidR="00F23333" w:rsidRPr="00B148F9" w:rsidRDefault="00B40642" w:rsidP="00A415E7">
            <w:pPr>
              <w:ind w:right="-18"/>
              <w:jc w:val="right"/>
              <w:rPr>
                <w:rFonts w:cs="Arial"/>
                <w:bCs/>
              </w:rPr>
            </w:pPr>
            <w:r w:rsidRPr="00B148F9">
              <w:rPr>
                <w:rFonts w:cs="Arial"/>
                <w:bCs/>
              </w:rPr>
              <w:t>(0.01)</w:t>
            </w:r>
          </w:p>
        </w:tc>
        <w:tc>
          <w:tcPr>
            <w:tcW w:w="687" w:type="dxa"/>
          </w:tcPr>
          <w:p w14:paraId="309AEE5F" w14:textId="77777777" w:rsidR="00F23333" w:rsidRPr="00B148F9" w:rsidRDefault="00F23333" w:rsidP="00BC7EA1">
            <w:pPr>
              <w:ind w:right="-18"/>
              <w:rPr>
                <w:rFonts w:cs="Arial"/>
                <w:bCs/>
              </w:rPr>
            </w:pPr>
          </w:p>
        </w:tc>
      </w:tr>
      <w:tr w:rsidR="00F23333" w:rsidRPr="00B148F9" w14:paraId="7CD93DD9" w14:textId="77777777" w:rsidTr="00A415E7">
        <w:tc>
          <w:tcPr>
            <w:tcW w:w="4932" w:type="dxa"/>
            <w:gridSpan w:val="3"/>
          </w:tcPr>
          <w:p w14:paraId="1F2A4AE8" w14:textId="2235D9DB" w:rsidR="00F23333" w:rsidRPr="00B148F9" w:rsidRDefault="00B40642" w:rsidP="00B40642">
            <w:pPr>
              <w:ind w:left="321" w:right="-18"/>
              <w:rPr>
                <w:rFonts w:cs="Arial"/>
                <w:bCs/>
              </w:rPr>
            </w:pPr>
            <w:r w:rsidRPr="00B148F9">
              <w:rPr>
                <w:rFonts w:cs="Arial"/>
                <w:bCs/>
              </w:rPr>
              <w:t>Net realised and change in unrealised appreciation on investments, derivatives and foreign currency transactions</w:t>
            </w:r>
          </w:p>
        </w:tc>
        <w:tc>
          <w:tcPr>
            <w:tcW w:w="1676" w:type="dxa"/>
            <w:tcBorders>
              <w:bottom w:val="single" w:sz="4" w:space="0" w:color="auto"/>
            </w:tcBorders>
            <w:vAlign w:val="bottom"/>
          </w:tcPr>
          <w:p w14:paraId="34885E1B" w14:textId="2EE0B34A" w:rsidR="00F23333" w:rsidRPr="00B148F9" w:rsidRDefault="00B40642" w:rsidP="00A52998">
            <w:pPr>
              <w:ind w:right="-18"/>
              <w:jc w:val="right"/>
              <w:rPr>
                <w:rFonts w:cs="Arial"/>
                <w:bCs/>
              </w:rPr>
            </w:pPr>
            <w:r w:rsidRPr="00B148F9">
              <w:rPr>
                <w:rFonts w:cs="Arial"/>
                <w:bCs/>
              </w:rPr>
              <w:t>0.</w:t>
            </w:r>
            <w:r w:rsidR="00A52998">
              <w:rPr>
                <w:rFonts w:cs="Arial"/>
                <w:bCs/>
              </w:rPr>
              <w:t>28</w:t>
            </w:r>
          </w:p>
        </w:tc>
        <w:tc>
          <w:tcPr>
            <w:tcW w:w="687" w:type="dxa"/>
          </w:tcPr>
          <w:p w14:paraId="6E8EF1A5" w14:textId="77777777" w:rsidR="00F23333" w:rsidRPr="00B148F9" w:rsidRDefault="00F23333" w:rsidP="00BC7EA1">
            <w:pPr>
              <w:ind w:right="-18"/>
              <w:rPr>
                <w:rFonts w:cs="Arial"/>
                <w:bCs/>
              </w:rPr>
            </w:pPr>
          </w:p>
        </w:tc>
      </w:tr>
      <w:tr w:rsidR="00F23333" w:rsidRPr="00B148F9" w14:paraId="4BDB7855" w14:textId="77777777" w:rsidTr="00B40642">
        <w:tc>
          <w:tcPr>
            <w:tcW w:w="4932" w:type="dxa"/>
            <w:gridSpan w:val="3"/>
          </w:tcPr>
          <w:p w14:paraId="3E418D35" w14:textId="3D83D630" w:rsidR="00F23333" w:rsidRPr="00B148F9" w:rsidRDefault="00B40642" w:rsidP="00BC7EA1">
            <w:pPr>
              <w:ind w:right="-18"/>
              <w:rPr>
                <w:rFonts w:cs="Arial"/>
                <w:bCs/>
              </w:rPr>
            </w:pPr>
            <w:r w:rsidRPr="00B148F9">
              <w:rPr>
                <w:rFonts w:cs="Arial"/>
                <w:bCs/>
              </w:rPr>
              <w:t>Total from investment operations</w:t>
            </w:r>
          </w:p>
        </w:tc>
        <w:tc>
          <w:tcPr>
            <w:tcW w:w="1676" w:type="dxa"/>
            <w:tcBorders>
              <w:top w:val="single" w:sz="4" w:space="0" w:color="auto"/>
              <w:bottom w:val="single" w:sz="12" w:space="0" w:color="auto"/>
            </w:tcBorders>
          </w:tcPr>
          <w:p w14:paraId="73D2FA20" w14:textId="1CA1A6C8" w:rsidR="00F23333" w:rsidRPr="00B148F9" w:rsidRDefault="00B40642" w:rsidP="00A415E7">
            <w:pPr>
              <w:ind w:right="-18"/>
              <w:jc w:val="right"/>
              <w:rPr>
                <w:rFonts w:cs="Arial"/>
                <w:bCs/>
              </w:rPr>
            </w:pPr>
            <w:r w:rsidRPr="00B148F9">
              <w:rPr>
                <w:rFonts w:cs="Arial"/>
                <w:bCs/>
              </w:rPr>
              <w:t>0.27</w:t>
            </w:r>
          </w:p>
        </w:tc>
        <w:tc>
          <w:tcPr>
            <w:tcW w:w="687" w:type="dxa"/>
          </w:tcPr>
          <w:p w14:paraId="7FD28F96" w14:textId="77777777" w:rsidR="00F23333" w:rsidRPr="00B148F9" w:rsidRDefault="00F23333" w:rsidP="00BC7EA1">
            <w:pPr>
              <w:ind w:right="-18"/>
              <w:rPr>
                <w:rFonts w:cs="Arial"/>
                <w:bCs/>
              </w:rPr>
            </w:pPr>
          </w:p>
        </w:tc>
      </w:tr>
      <w:tr w:rsidR="00B40642" w:rsidRPr="00B148F9" w14:paraId="1C324096" w14:textId="77777777" w:rsidTr="00B40642">
        <w:tc>
          <w:tcPr>
            <w:tcW w:w="4932" w:type="dxa"/>
            <w:gridSpan w:val="3"/>
          </w:tcPr>
          <w:p w14:paraId="7512439C" w14:textId="0AE0027E" w:rsidR="00B40642" w:rsidRPr="00B148F9" w:rsidRDefault="00B40642">
            <w:pPr>
              <w:ind w:right="-18"/>
              <w:rPr>
                <w:rFonts w:cs="Arial"/>
                <w:bCs/>
              </w:rPr>
            </w:pPr>
            <w:r w:rsidRPr="00B148F9">
              <w:rPr>
                <w:rFonts w:cs="Arial"/>
                <w:bCs/>
              </w:rPr>
              <w:t xml:space="preserve">Net </w:t>
            </w:r>
            <w:r w:rsidR="007E42ED" w:rsidRPr="00B148F9">
              <w:rPr>
                <w:rFonts w:cs="Arial"/>
                <w:bCs/>
              </w:rPr>
              <w:t>A</w:t>
            </w:r>
            <w:r w:rsidRPr="00B148F9">
              <w:rPr>
                <w:rFonts w:cs="Arial"/>
                <w:bCs/>
              </w:rPr>
              <w:t xml:space="preserve">sset </w:t>
            </w:r>
            <w:r w:rsidR="007E42ED" w:rsidRPr="00B148F9">
              <w:rPr>
                <w:rFonts w:cs="Arial"/>
                <w:bCs/>
              </w:rPr>
              <w:t>V</w:t>
            </w:r>
            <w:r w:rsidRPr="00B148F9">
              <w:rPr>
                <w:rFonts w:cs="Arial"/>
                <w:bCs/>
              </w:rPr>
              <w:t>alue, end of year</w:t>
            </w:r>
          </w:p>
        </w:tc>
        <w:tc>
          <w:tcPr>
            <w:tcW w:w="1676" w:type="dxa"/>
            <w:tcBorders>
              <w:top w:val="single" w:sz="12" w:space="0" w:color="auto"/>
              <w:bottom w:val="single" w:sz="12" w:space="0" w:color="auto"/>
            </w:tcBorders>
          </w:tcPr>
          <w:p w14:paraId="58B8B1BB" w14:textId="443ED504" w:rsidR="00B40642" w:rsidRPr="00B148F9" w:rsidRDefault="006C1174" w:rsidP="00A415E7">
            <w:pPr>
              <w:ind w:right="-18"/>
              <w:jc w:val="right"/>
              <w:rPr>
                <w:rFonts w:cs="Arial"/>
                <w:bCs/>
              </w:rPr>
            </w:pPr>
            <w:r w:rsidRPr="00B148F9">
              <w:rPr>
                <w:rFonts w:cs="Arial"/>
                <w:bCs/>
              </w:rPr>
              <w:t>US</w:t>
            </w:r>
            <w:r w:rsidR="00B40642" w:rsidRPr="00B148F9">
              <w:rPr>
                <w:rFonts w:cs="Arial"/>
                <w:bCs/>
              </w:rPr>
              <w:t>$</w:t>
            </w:r>
            <w:r w:rsidR="00E41321" w:rsidRPr="00B148F9">
              <w:rPr>
                <w:rFonts w:cs="Arial"/>
                <w:bCs/>
              </w:rPr>
              <w:t xml:space="preserve"> </w:t>
            </w:r>
            <w:r w:rsidR="00B40642" w:rsidRPr="00B148F9">
              <w:rPr>
                <w:rFonts w:cs="Arial"/>
                <w:bCs/>
              </w:rPr>
              <w:t>1.27</w:t>
            </w:r>
          </w:p>
        </w:tc>
        <w:tc>
          <w:tcPr>
            <w:tcW w:w="687" w:type="dxa"/>
          </w:tcPr>
          <w:p w14:paraId="408728BA" w14:textId="77777777" w:rsidR="00B40642" w:rsidRPr="00B148F9" w:rsidRDefault="00B40642" w:rsidP="00BC7EA1">
            <w:pPr>
              <w:ind w:right="-18"/>
              <w:rPr>
                <w:rFonts w:cs="Arial"/>
                <w:bCs/>
              </w:rPr>
            </w:pPr>
          </w:p>
        </w:tc>
      </w:tr>
      <w:tr w:rsidR="00F23333" w:rsidRPr="00B148F9" w14:paraId="355AF4A4" w14:textId="77777777" w:rsidTr="00BC7EA1">
        <w:tc>
          <w:tcPr>
            <w:tcW w:w="4932" w:type="dxa"/>
            <w:gridSpan w:val="3"/>
          </w:tcPr>
          <w:p w14:paraId="34A471F5" w14:textId="77777777" w:rsidR="00F23333" w:rsidRPr="00B148F9" w:rsidRDefault="00F23333" w:rsidP="00BC7EA1">
            <w:pPr>
              <w:ind w:right="-18"/>
              <w:rPr>
                <w:rFonts w:cs="Arial"/>
                <w:b/>
                <w:bCs/>
              </w:rPr>
            </w:pPr>
          </w:p>
        </w:tc>
        <w:tc>
          <w:tcPr>
            <w:tcW w:w="1676" w:type="dxa"/>
          </w:tcPr>
          <w:p w14:paraId="23B49BAC" w14:textId="77777777" w:rsidR="00F23333" w:rsidRPr="00B148F9" w:rsidRDefault="00F23333" w:rsidP="00BC7EA1">
            <w:pPr>
              <w:ind w:right="-18"/>
              <w:rPr>
                <w:rFonts w:cs="Arial"/>
                <w:bCs/>
              </w:rPr>
            </w:pPr>
          </w:p>
        </w:tc>
        <w:tc>
          <w:tcPr>
            <w:tcW w:w="687" w:type="dxa"/>
          </w:tcPr>
          <w:p w14:paraId="62C4DCE4" w14:textId="77777777" w:rsidR="00F23333" w:rsidRPr="00B148F9" w:rsidRDefault="00F23333" w:rsidP="00BC7EA1">
            <w:pPr>
              <w:ind w:right="-18"/>
              <w:rPr>
                <w:rFonts w:cs="Arial"/>
                <w:bCs/>
              </w:rPr>
            </w:pPr>
          </w:p>
        </w:tc>
      </w:tr>
      <w:tr w:rsidR="00BC7EA1" w:rsidRPr="00B148F9" w14:paraId="73CF38F4" w14:textId="77777777" w:rsidTr="00BC7EA1">
        <w:tc>
          <w:tcPr>
            <w:tcW w:w="4932" w:type="dxa"/>
            <w:gridSpan w:val="3"/>
          </w:tcPr>
          <w:p w14:paraId="2E76000D" w14:textId="250EC851" w:rsidR="00BC7EA1" w:rsidRPr="00B148F9" w:rsidRDefault="00BC7EA1" w:rsidP="00BC7EA1">
            <w:pPr>
              <w:ind w:right="-18"/>
              <w:rPr>
                <w:rFonts w:cs="Arial"/>
                <w:bCs/>
              </w:rPr>
            </w:pPr>
            <w:r w:rsidRPr="00B148F9">
              <w:rPr>
                <w:rFonts w:cs="Arial"/>
                <w:b/>
                <w:bCs/>
              </w:rPr>
              <w:t>Total return</w:t>
            </w:r>
          </w:p>
        </w:tc>
        <w:tc>
          <w:tcPr>
            <w:tcW w:w="1676" w:type="dxa"/>
          </w:tcPr>
          <w:p w14:paraId="7FECC25E" w14:textId="77777777" w:rsidR="00BC7EA1" w:rsidRPr="00B148F9" w:rsidRDefault="00BC7EA1" w:rsidP="00BC7EA1">
            <w:pPr>
              <w:ind w:right="-18"/>
              <w:rPr>
                <w:rFonts w:cs="Arial"/>
                <w:bCs/>
              </w:rPr>
            </w:pPr>
          </w:p>
        </w:tc>
        <w:tc>
          <w:tcPr>
            <w:tcW w:w="687" w:type="dxa"/>
          </w:tcPr>
          <w:p w14:paraId="38E99393" w14:textId="77777777" w:rsidR="00BC7EA1" w:rsidRPr="00B148F9" w:rsidRDefault="00BC7EA1" w:rsidP="00BC7EA1">
            <w:pPr>
              <w:ind w:right="-18"/>
              <w:rPr>
                <w:rFonts w:cs="Arial"/>
                <w:bCs/>
              </w:rPr>
            </w:pPr>
          </w:p>
        </w:tc>
      </w:tr>
      <w:tr w:rsidR="00BC7EA1" w:rsidRPr="00B148F9" w14:paraId="51FE55BB" w14:textId="77777777" w:rsidTr="00BC7EA1">
        <w:tc>
          <w:tcPr>
            <w:tcW w:w="4932" w:type="dxa"/>
            <w:gridSpan w:val="3"/>
          </w:tcPr>
          <w:p w14:paraId="5BF9EB43" w14:textId="4A19057B" w:rsidR="00BC7EA1" w:rsidRPr="00B148F9" w:rsidRDefault="00BC7EA1" w:rsidP="00BC7EA1">
            <w:pPr>
              <w:ind w:right="-18"/>
              <w:rPr>
                <w:rFonts w:cs="Arial"/>
                <w:bCs/>
              </w:rPr>
            </w:pPr>
            <w:r w:rsidRPr="00B148F9">
              <w:rPr>
                <w:rFonts w:cs="Arial"/>
                <w:bCs/>
              </w:rPr>
              <w:t>Total return before Performance Allocation</w:t>
            </w:r>
          </w:p>
        </w:tc>
        <w:tc>
          <w:tcPr>
            <w:tcW w:w="1676" w:type="dxa"/>
            <w:vAlign w:val="bottom"/>
          </w:tcPr>
          <w:p w14:paraId="1DC34FB2" w14:textId="21FFB108" w:rsidR="00BC7EA1" w:rsidRPr="00B148F9" w:rsidRDefault="00393404">
            <w:pPr>
              <w:ind w:right="-18"/>
              <w:jc w:val="right"/>
              <w:rPr>
                <w:rFonts w:cs="Arial"/>
                <w:bCs/>
              </w:rPr>
            </w:pPr>
            <w:r w:rsidRPr="00B148F9">
              <w:rPr>
                <w:rFonts w:cs="Arial"/>
                <w:bCs/>
              </w:rPr>
              <w:t>45.84</w:t>
            </w:r>
            <w:r w:rsidR="00BC7EA1" w:rsidRPr="00B148F9">
              <w:rPr>
                <w:rFonts w:cs="Arial"/>
                <w:bCs/>
              </w:rPr>
              <w:t xml:space="preserve"> %</w:t>
            </w:r>
          </w:p>
        </w:tc>
        <w:tc>
          <w:tcPr>
            <w:tcW w:w="687" w:type="dxa"/>
          </w:tcPr>
          <w:p w14:paraId="68D517C8" w14:textId="77777777" w:rsidR="00BC7EA1" w:rsidRPr="00B148F9" w:rsidRDefault="00BC7EA1" w:rsidP="00BC7EA1">
            <w:pPr>
              <w:ind w:right="-18"/>
              <w:rPr>
                <w:rFonts w:cs="Arial"/>
                <w:bCs/>
              </w:rPr>
            </w:pPr>
          </w:p>
        </w:tc>
      </w:tr>
      <w:tr w:rsidR="00BC7EA1" w:rsidRPr="00B148F9" w14:paraId="63F7E0C6" w14:textId="77777777" w:rsidTr="00350A1A">
        <w:tc>
          <w:tcPr>
            <w:tcW w:w="3426" w:type="dxa"/>
            <w:gridSpan w:val="2"/>
          </w:tcPr>
          <w:p w14:paraId="046E56CF" w14:textId="1C9AC9B3" w:rsidR="00BC7EA1" w:rsidRPr="00B148F9" w:rsidRDefault="00BC7EA1" w:rsidP="00BC7EA1">
            <w:pPr>
              <w:ind w:right="-18"/>
              <w:rPr>
                <w:rFonts w:cs="Arial"/>
                <w:bCs/>
              </w:rPr>
            </w:pPr>
            <w:r w:rsidRPr="00B148F9">
              <w:rPr>
                <w:rFonts w:cs="Arial"/>
                <w:bCs/>
              </w:rPr>
              <w:t>Performance Allocation</w:t>
            </w:r>
          </w:p>
        </w:tc>
        <w:tc>
          <w:tcPr>
            <w:tcW w:w="1506" w:type="dxa"/>
          </w:tcPr>
          <w:p w14:paraId="180506DD" w14:textId="77777777" w:rsidR="00BC7EA1" w:rsidRPr="00B148F9" w:rsidRDefault="00BC7EA1" w:rsidP="00BC7EA1">
            <w:pPr>
              <w:ind w:right="-18"/>
              <w:rPr>
                <w:rFonts w:cs="Arial"/>
                <w:bCs/>
              </w:rPr>
            </w:pPr>
          </w:p>
        </w:tc>
        <w:tc>
          <w:tcPr>
            <w:tcW w:w="1676" w:type="dxa"/>
            <w:tcBorders>
              <w:bottom w:val="single" w:sz="12" w:space="0" w:color="auto"/>
            </w:tcBorders>
            <w:vAlign w:val="bottom"/>
          </w:tcPr>
          <w:p w14:paraId="13E50097" w14:textId="69374357" w:rsidR="00BC7EA1" w:rsidRPr="00B148F9" w:rsidRDefault="00F86C30">
            <w:pPr>
              <w:ind w:right="-18"/>
              <w:jc w:val="right"/>
              <w:rPr>
                <w:rFonts w:cs="Arial"/>
                <w:bCs/>
              </w:rPr>
            </w:pPr>
            <w:r w:rsidRPr="00B148F9">
              <w:rPr>
                <w:rFonts w:cs="Arial"/>
                <w:bCs/>
              </w:rPr>
              <w:t>(5.</w:t>
            </w:r>
            <w:r w:rsidR="00393404" w:rsidRPr="00B148F9">
              <w:rPr>
                <w:rFonts w:cs="Arial"/>
                <w:bCs/>
              </w:rPr>
              <w:t>91</w:t>
            </w:r>
            <w:r w:rsidRPr="00B148F9">
              <w:rPr>
                <w:rFonts w:cs="Arial"/>
                <w:bCs/>
              </w:rPr>
              <w:t>) %</w:t>
            </w:r>
          </w:p>
        </w:tc>
        <w:tc>
          <w:tcPr>
            <w:tcW w:w="687" w:type="dxa"/>
          </w:tcPr>
          <w:p w14:paraId="53544C17" w14:textId="77777777" w:rsidR="00BC7EA1" w:rsidRPr="00B148F9" w:rsidRDefault="00BC7EA1" w:rsidP="00BC7EA1">
            <w:pPr>
              <w:ind w:right="-18"/>
              <w:rPr>
                <w:rFonts w:cs="Arial"/>
                <w:bCs/>
              </w:rPr>
            </w:pPr>
          </w:p>
        </w:tc>
      </w:tr>
      <w:tr w:rsidR="00BC7EA1" w:rsidRPr="00B148F9" w14:paraId="381EBC98" w14:textId="77777777" w:rsidTr="00350A1A">
        <w:tc>
          <w:tcPr>
            <w:tcW w:w="4932" w:type="dxa"/>
            <w:gridSpan w:val="3"/>
          </w:tcPr>
          <w:p w14:paraId="627093F7" w14:textId="3A28D091" w:rsidR="00BC7EA1" w:rsidRPr="00B148F9" w:rsidRDefault="00BC7EA1" w:rsidP="00BC7EA1">
            <w:pPr>
              <w:ind w:right="-18"/>
              <w:rPr>
                <w:rFonts w:cs="Arial"/>
                <w:bCs/>
              </w:rPr>
            </w:pPr>
            <w:r w:rsidRPr="00B148F9">
              <w:rPr>
                <w:rFonts w:cs="Arial"/>
                <w:bCs/>
              </w:rPr>
              <w:t>Total return after Performance Allocation</w:t>
            </w:r>
          </w:p>
        </w:tc>
        <w:tc>
          <w:tcPr>
            <w:tcW w:w="1676" w:type="dxa"/>
            <w:tcBorders>
              <w:top w:val="single" w:sz="12" w:space="0" w:color="auto"/>
              <w:bottom w:val="single" w:sz="12" w:space="0" w:color="auto"/>
            </w:tcBorders>
            <w:vAlign w:val="bottom"/>
          </w:tcPr>
          <w:p w14:paraId="13E95189" w14:textId="0D24E14E" w:rsidR="00BC7EA1" w:rsidRPr="00B148F9" w:rsidRDefault="00393404">
            <w:pPr>
              <w:ind w:right="-18"/>
              <w:jc w:val="right"/>
              <w:rPr>
                <w:rFonts w:cs="Arial"/>
                <w:bCs/>
              </w:rPr>
            </w:pPr>
            <w:r w:rsidRPr="00B148F9">
              <w:rPr>
                <w:rFonts w:cs="Arial"/>
                <w:bCs/>
              </w:rPr>
              <w:t>39.92</w:t>
            </w:r>
            <w:r w:rsidR="00BC7EA1" w:rsidRPr="00B148F9">
              <w:rPr>
                <w:rFonts w:cs="Arial"/>
                <w:bCs/>
              </w:rPr>
              <w:t xml:space="preserve"> %</w:t>
            </w:r>
          </w:p>
        </w:tc>
        <w:tc>
          <w:tcPr>
            <w:tcW w:w="687" w:type="dxa"/>
          </w:tcPr>
          <w:p w14:paraId="78E9B056" w14:textId="77777777" w:rsidR="00BC7EA1" w:rsidRPr="00B148F9" w:rsidRDefault="00BC7EA1" w:rsidP="00BC7EA1">
            <w:pPr>
              <w:ind w:right="-18"/>
              <w:rPr>
                <w:rFonts w:cs="Arial"/>
                <w:bCs/>
              </w:rPr>
            </w:pPr>
          </w:p>
        </w:tc>
      </w:tr>
      <w:tr w:rsidR="00BC7EA1" w:rsidRPr="00B148F9" w14:paraId="51EFE515" w14:textId="77777777" w:rsidTr="00BC7EA1">
        <w:tc>
          <w:tcPr>
            <w:tcW w:w="2467" w:type="dxa"/>
          </w:tcPr>
          <w:p w14:paraId="0E35D5AF" w14:textId="77777777" w:rsidR="00BC7EA1" w:rsidRPr="00B148F9" w:rsidRDefault="00BC7EA1" w:rsidP="00BC7EA1">
            <w:pPr>
              <w:ind w:right="-18"/>
              <w:rPr>
                <w:rFonts w:cs="Arial"/>
                <w:bCs/>
              </w:rPr>
            </w:pPr>
          </w:p>
        </w:tc>
        <w:tc>
          <w:tcPr>
            <w:tcW w:w="959" w:type="dxa"/>
          </w:tcPr>
          <w:p w14:paraId="42535279" w14:textId="77777777" w:rsidR="00BC7EA1" w:rsidRPr="00B148F9" w:rsidRDefault="00BC7EA1" w:rsidP="00BC7EA1">
            <w:pPr>
              <w:ind w:right="-18"/>
              <w:rPr>
                <w:rFonts w:cs="Arial"/>
                <w:bCs/>
              </w:rPr>
            </w:pPr>
          </w:p>
        </w:tc>
        <w:tc>
          <w:tcPr>
            <w:tcW w:w="1506" w:type="dxa"/>
          </w:tcPr>
          <w:p w14:paraId="118FB2C4" w14:textId="77777777" w:rsidR="00BC7EA1" w:rsidRPr="00B148F9" w:rsidRDefault="00BC7EA1" w:rsidP="00BC7EA1">
            <w:pPr>
              <w:ind w:right="-18"/>
              <w:rPr>
                <w:rFonts w:cs="Arial"/>
                <w:bCs/>
              </w:rPr>
            </w:pPr>
          </w:p>
        </w:tc>
        <w:tc>
          <w:tcPr>
            <w:tcW w:w="1676" w:type="dxa"/>
            <w:vAlign w:val="bottom"/>
          </w:tcPr>
          <w:p w14:paraId="50C9D5A1" w14:textId="77777777" w:rsidR="00BC7EA1" w:rsidRPr="00B148F9" w:rsidRDefault="00BC7EA1" w:rsidP="00BC7EA1">
            <w:pPr>
              <w:ind w:right="-18"/>
              <w:jc w:val="right"/>
              <w:rPr>
                <w:rFonts w:cs="Arial"/>
                <w:bCs/>
              </w:rPr>
            </w:pPr>
          </w:p>
        </w:tc>
        <w:tc>
          <w:tcPr>
            <w:tcW w:w="687" w:type="dxa"/>
          </w:tcPr>
          <w:p w14:paraId="6A1565D1" w14:textId="77777777" w:rsidR="00BC7EA1" w:rsidRPr="00B148F9" w:rsidRDefault="00BC7EA1" w:rsidP="00BC7EA1">
            <w:pPr>
              <w:ind w:right="-18"/>
              <w:rPr>
                <w:rFonts w:cs="Arial"/>
                <w:bCs/>
              </w:rPr>
            </w:pPr>
          </w:p>
        </w:tc>
      </w:tr>
      <w:tr w:rsidR="00B40642" w:rsidRPr="00B148F9" w14:paraId="1235A43C" w14:textId="77777777" w:rsidTr="00B40642">
        <w:tc>
          <w:tcPr>
            <w:tcW w:w="4932" w:type="dxa"/>
            <w:gridSpan w:val="3"/>
          </w:tcPr>
          <w:p w14:paraId="1C5EC612" w14:textId="2B1BB3FC" w:rsidR="00B40642" w:rsidRPr="00B148F9" w:rsidRDefault="00B40642" w:rsidP="00BC7EA1">
            <w:pPr>
              <w:ind w:right="-18"/>
              <w:rPr>
                <w:rFonts w:cs="Arial"/>
                <w:b/>
                <w:bCs/>
              </w:rPr>
            </w:pPr>
            <w:r w:rsidRPr="00B148F9">
              <w:rPr>
                <w:rFonts w:cs="Arial"/>
                <w:b/>
                <w:bCs/>
              </w:rPr>
              <w:t>Ratios to average net assets</w:t>
            </w:r>
          </w:p>
        </w:tc>
        <w:tc>
          <w:tcPr>
            <w:tcW w:w="1676" w:type="dxa"/>
            <w:vAlign w:val="bottom"/>
          </w:tcPr>
          <w:p w14:paraId="7AE153DD" w14:textId="77777777" w:rsidR="00B40642" w:rsidRPr="00B148F9" w:rsidRDefault="00B40642" w:rsidP="00BC7EA1">
            <w:pPr>
              <w:ind w:right="-18"/>
              <w:jc w:val="right"/>
              <w:rPr>
                <w:rFonts w:cs="Arial"/>
                <w:bCs/>
              </w:rPr>
            </w:pPr>
          </w:p>
        </w:tc>
        <w:tc>
          <w:tcPr>
            <w:tcW w:w="687" w:type="dxa"/>
          </w:tcPr>
          <w:p w14:paraId="315B2F63" w14:textId="77777777" w:rsidR="00B40642" w:rsidRPr="00B148F9" w:rsidRDefault="00B40642" w:rsidP="00BC7EA1">
            <w:pPr>
              <w:ind w:right="-18"/>
              <w:rPr>
                <w:rFonts w:cs="Arial"/>
                <w:bCs/>
              </w:rPr>
            </w:pPr>
          </w:p>
        </w:tc>
      </w:tr>
      <w:tr w:rsidR="00F23333" w:rsidRPr="00B148F9" w14:paraId="1DB20CEC" w14:textId="77777777" w:rsidTr="00BC7EA1">
        <w:tc>
          <w:tcPr>
            <w:tcW w:w="2467" w:type="dxa"/>
          </w:tcPr>
          <w:p w14:paraId="451B82F2" w14:textId="7F7183BB" w:rsidR="00F23333" w:rsidRPr="00B148F9" w:rsidRDefault="00B40642" w:rsidP="00BC7EA1">
            <w:pPr>
              <w:ind w:right="-18"/>
              <w:rPr>
                <w:rFonts w:cs="Arial"/>
                <w:bCs/>
              </w:rPr>
            </w:pPr>
            <w:r w:rsidRPr="00B148F9">
              <w:rPr>
                <w:rFonts w:cs="Arial"/>
                <w:bCs/>
              </w:rPr>
              <w:t>Expenses</w:t>
            </w:r>
          </w:p>
        </w:tc>
        <w:tc>
          <w:tcPr>
            <w:tcW w:w="959" w:type="dxa"/>
          </w:tcPr>
          <w:p w14:paraId="4B7B6889" w14:textId="77777777" w:rsidR="00F23333" w:rsidRPr="00B148F9" w:rsidRDefault="00F23333" w:rsidP="00BC7EA1">
            <w:pPr>
              <w:ind w:right="-18"/>
              <w:rPr>
                <w:rFonts w:cs="Arial"/>
                <w:bCs/>
              </w:rPr>
            </w:pPr>
          </w:p>
        </w:tc>
        <w:tc>
          <w:tcPr>
            <w:tcW w:w="1506" w:type="dxa"/>
          </w:tcPr>
          <w:p w14:paraId="58663BD1" w14:textId="77777777" w:rsidR="00F23333" w:rsidRPr="00B148F9" w:rsidRDefault="00F23333" w:rsidP="00BC7EA1">
            <w:pPr>
              <w:ind w:right="-18"/>
              <w:rPr>
                <w:rFonts w:cs="Arial"/>
                <w:bCs/>
              </w:rPr>
            </w:pPr>
          </w:p>
        </w:tc>
        <w:tc>
          <w:tcPr>
            <w:tcW w:w="1676" w:type="dxa"/>
            <w:vAlign w:val="bottom"/>
          </w:tcPr>
          <w:p w14:paraId="651197EA" w14:textId="710C9ADF" w:rsidR="00F23333" w:rsidRPr="00B148F9" w:rsidRDefault="00B40642" w:rsidP="00BC7EA1">
            <w:pPr>
              <w:ind w:right="-18"/>
              <w:jc w:val="right"/>
              <w:rPr>
                <w:rFonts w:cs="Arial"/>
                <w:bCs/>
              </w:rPr>
            </w:pPr>
            <w:r w:rsidRPr="00B148F9">
              <w:rPr>
                <w:rFonts w:cs="Arial"/>
                <w:bCs/>
              </w:rPr>
              <w:t>0.56</w:t>
            </w:r>
            <w:r w:rsidR="00E4486D" w:rsidRPr="00B148F9">
              <w:rPr>
                <w:rFonts w:cs="Arial"/>
                <w:bCs/>
              </w:rPr>
              <w:t xml:space="preserve"> </w:t>
            </w:r>
            <w:r w:rsidRPr="00B148F9">
              <w:rPr>
                <w:rFonts w:cs="Arial"/>
                <w:bCs/>
              </w:rPr>
              <w:t>%</w:t>
            </w:r>
          </w:p>
        </w:tc>
        <w:tc>
          <w:tcPr>
            <w:tcW w:w="687" w:type="dxa"/>
          </w:tcPr>
          <w:p w14:paraId="6EFDE7C9" w14:textId="77777777" w:rsidR="00F23333" w:rsidRPr="00B148F9" w:rsidRDefault="00F23333" w:rsidP="00BC7EA1">
            <w:pPr>
              <w:ind w:right="-18"/>
              <w:rPr>
                <w:rFonts w:cs="Arial"/>
                <w:bCs/>
              </w:rPr>
            </w:pPr>
          </w:p>
        </w:tc>
      </w:tr>
      <w:tr w:rsidR="00B40642" w:rsidRPr="00B148F9" w14:paraId="021C6909" w14:textId="77777777" w:rsidTr="00B40642">
        <w:tc>
          <w:tcPr>
            <w:tcW w:w="3426" w:type="dxa"/>
            <w:gridSpan w:val="2"/>
          </w:tcPr>
          <w:p w14:paraId="65EBE4BC" w14:textId="4E500E11" w:rsidR="00B40642" w:rsidRPr="00B148F9" w:rsidRDefault="00B40642" w:rsidP="00BC7EA1">
            <w:pPr>
              <w:ind w:right="-18"/>
              <w:rPr>
                <w:rFonts w:cs="Arial"/>
                <w:bCs/>
              </w:rPr>
            </w:pPr>
            <w:r w:rsidRPr="00B148F9">
              <w:rPr>
                <w:rFonts w:cs="Arial"/>
                <w:bCs/>
              </w:rPr>
              <w:t>Performance Allocation</w:t>
            </w:r>
          </w:p>
        </w:tc>
        <w:tc>
          <w:tcPr>
            <w:tcW w:w="1506" w:type="dxa"/>
          </w:tcPr>
          <w:p w14:paraId="25B2FEA1" w14:textId="77777777" w:rsidR="00B40642" w:rsidRPr="00B148F9" w:rsidRDefault="00B40642" w:rsidP="00BC7EA1">
            <w:pPr>
              <w:ind w:right="-18"/>
              <w:rPr>
                <w:rFonts w:cs="Arial"/>
                <w:bCs/>
              </w:rPr>
            </w:pPr>
          </w:p>
        </w:tc>
        <w:tc>
          <w:tcPr>
            <w:tcW w:w="1676" w:type="dxa"/>
            <w:vAlign w:val="bottom"/>
          </w:tcPr>
          <w:p w14:paraId="5EDF2367" w14:textId="303672A4" w:rsidR="00B40642" w:rsidRPr="00B148F9" w:rsidRDefault="00B40642" w:rsidP="00BC7EA1">
            <w:pPr>
              <w:ind w:right="-18"/>
              <w:jc w:val="right"/>
              <w:rPr>
                <w:rFonts w:cs="Arial"/>
                <w:bCs/>
              </w:rPr>
            </w:pPr>
            <w:r w:rsidRPr="00B148F9">
              <w:rPr>
                <w:rFonts w:cs="Arial"/>
                <w:bCs/>
              </w:rPr>
              <w:t>4.78</w:t>
            </w:r>
            <w:r w:rsidR="00E4486D" w:rsidRPr="00B148F9">
              <w:rPr>
                <w:rFonts w:cs="Arial"/>
                <w:bCs/>
              </w:rPr>
              <w:t xml:space="preserve"> </w:t>
            </w:r>
            <w:r w:rsidRPr="00B148F9">
              <w:rPr>
                <w:rFonts w:cs="Arial"/>
                <w:bCs/>
              </w:rPr>
              <w:t>%</w:t>
            </w:r>
          </w:p>
        </w:tc>
        <w:tc>
          <w:tcPr>
            <w:tcW w:w="687" w:type="dxa"/>
          </w:tcPr>
          <w:p w14:paraId="315E1A1C" w14:textId="77777777" w:rsidR="00B40642" w:rsidRPr="00B148F9" w:rsidRDefault="00B40642" w:rsidP="00BC7EA1">
            <w:pPr>
              <w:ind w:right="-18"/>
              <w:rPr>
                <w:rFonts w:cs="Arial"/>
                <w:bCs/>
              </w:rPr>
            </w:pPr>
          </w:p>
        </w:tc>
      </w:tr>
      <w:tr w:rsidR="00F23333" w:rsidRPr="00B148F9" w14:paraId="78B2B7C4" w14:textId="77777777" w:rsidTr="00C60076">
        <w:tc>
          <w:tcPr>
            <w:tcW w:w="2467" w:type="dxa"/>
          </w:tcPr>
          <w:p w14:paraId="2787FBE6" w14:textId="77777777" w:rsidR="00F23333" w:rsidRPr="00B148F9" w:rsidRDefault="00F23333" w:rsidP="00BC7EA1">
            <w:pPr>
              <w:ind w:right="-18"/>
              <w:rPr>
                <w:rFonts w:cs="Arial"/>
                <w:bCs/>
              </w:rPr>
            </w:pPr>
          </w:p>
        </w:tc>
        <w:tc>
          <w:tcPr>
            <w:tcW w:w="959" w:type="dxa"/>
          </w:tcPr>
          <w:p w14:paraId="26D77B3A" w14:textId="77777777" w:rsidR="00F23333" w:rsidRPr="00B148F9" w:rsidRDefault="00F23333" w:rsidP="00BC7EA1">
            <w:pPr>
              <w:ind w:right="-18"/>
              <w:rPr>
                <w:rFonts w:cs="Arial"/>
                <w:bCs/>
              </w:rPr>
            </w:pPr>
          </w:p>
        </w:tc>
        <w:tc>
          <w:tcPr>
            <w:tcW w:w="1506" w:type="dxa"/>
          </w:tcPr>
          <w:p w14:paraId="339F1D4A" w14:textId="77777777" w:rsidR="00F23333" w:rsidRPr="00B148F9" w:rsidRDefault="00F23333" w:rsidP="00BC7EA1">
            <w:pPr>
              <w:ind w:right="-18"/>
              <w:rPr>
                <w:rFonts w:cs="Arial"/>
                <w:bCs/>
              </w:rPr>
            </w:pPr>
          </w:p>
        </w:tc>
        <w:tc>
          <w:tcPr>
            <w:tcW w:w="1676" w:type="dxa"/>
            <w:vAlign w:val="bottom"/>
          </w:tcPr>
          <w:p w14:paraId="7A3362B7" w14:textId="77777777" w:rsidR="00F23333" w:rsidRPr="00B148F9" w:rsidRDefault="00F23333" w:rsidP="00BC7EA1">
            <w:pPr>
              <w:ind w:right="-18"/>
              <w:jc w:val="right"/>
              <w:rPr>
                <w:rFonts w:cs="Arial"/>
                <w:bCs/>
              </w:rPr>
            </w:pPr>
          </w:p>
        </w:tc>
        <w:tc>
          <w:tcPr>
            <w:tcW w:w="687" w:type="dxa"/>
          </w:tcPr>
          <w:p w14:paraId="205F0796" w14:textId="77777777" w:rsidR="00F23333" w:rsidRPr="00B148F9" w:rsidRDefault="00F23333" w:rsidP="00BC7EA1">
            <w:pPr>
              <w:ind w:right="-18"/>
              <w:rPr>
                <w:rFonts w:cs="Arial"/>
                <w:bCs/>
              </w:rPr>
            </w:pPr>
          </w:p>
        </w:tc>
      </w:tr>
      <w:tr w:rsidR="00F23333" w:rsidRPr="00B148F9" w14:paraId="50D4293E" w14:textId="77777777" w:rsidTr="00C60076">
        <w:tc>
          <w:tcPr>
            <w:tcW w:w="2467" w:type="dxa"/>
          </w:tcPr>
          <w:p w14:paraId="44D6FBD4" w14:textId="48A2EB07" w:rsidR="00F23333" w:rsidRPr="00B148F9" w:rsidRDefault="00B40642" w:rsidP="00BC7EA1">
            <w:pPr>
              <w:ind w:right="-18"/>
              <w:rPr>
                <w:rFonts w:cs="Arial"/>
                <w:bCs/>
              </w:rPr>
            </w:pPr>
            <w:r w:rsidRPr="00B148F9">
              <w:rPr>
                <w:rFonts w:cs="Arial"/>
                <w:bCs/>
              </w:rPr>
              <w:t>Net investment loss</w:t>
            </w:r>
          </w:p>
        </w:tc>
        <w:tc>
          <w:tcPr>
            <w:tcW w:w="959" w:type="dxa"/>
          </w:tcPr>
          <w:p w14:paraId="0687BB20" w14:textId="77777777" w:rsidR="00F23333" w:rsidRPr="00B148F9" w:rsidRDefault="00F23333" w:rsidP="00BC7EA1">
            <w:pPr>
              <w:ind w:right="-18"/>
              <w:rPr>
                <w:rFonts w:cs="Arial"/>
                <w:bCs/>
              </w:rPr>
            </w:pPr>
          </w:p>
        </w:tc>
        <w:tc>
          <w:tcPr>
            <w:tcW w:w="1506" w:type="dxa"/>
          </w:tcPr>
          <w:p w14:paraId="20227C90" w14:textId="77777777" w:rsidR="00F23333" w:rsidRPr="00B148F9" w:rsidRDefault="00F23333" w:rsidP="00BC7EA1">
            <w:pPr>
              <w:ind w:right="-18"/>
              <w:rPr>
                <w:rFonts w:cs="Arial"/>
                <w:bCs/>
              </w:rPr>
            </w:pPr>
          </w:p>
        </w:tc>
        <w:tc>
          <w:tcPr>
            <w:tcW w:w="1676" w:type="dxa"/>
            <w:vAlign w:val="bottom"/>
          </w:tcPr>
          <w:p w14:paraId="66117428" w14:textId="7E248DB6" w:rsidR="00F23333" w:rsidRPr="00B148F9" w:rsidRDefault="00754269">
            <w:pPr>
              <w:ind w:right="-18"/>
              <w:jc w:val="right"/>
              <w:rPr>
                <w:rFonts w:cs="Arial"/>
                <w:bCs/>
              </w:rPr>
            </w:pPr>
            <w:r w:rsidRPr="00B148F9">
              <w:rPr>
                <w:rFonts w:cs="Arial"/>
                <w:bCs/>
              </w:rPr>
              <w:t>(</w:t>
            </w:r>
            <w:r w:rsidR="00393404" w:rsidRPr="00B148F9">
              <w:rPr>
                <w:rFonts w:cs="Arial"/>
                <w:bCs/>
              </w:rPr>
              <w:t>0.</w:t>
            </w:r>
            <w:r w:rsidR="00B40642" w:rsidRPr="00B148F9">
              <w:rPr>
                <w:rFonts w:cs="Arial"/>
                <w:bCs/>
              </w:rPr>
              <w:t>5</w:t>
            </w:r>
            <w:r w:rsidR="00393404" w:rsidRPr="00B148F9">
              <w:rPr>
                <w:rFonts w:cs="Arial"/>
                <w:bCs/>
              </w:rPr>
              <w:t>1</w:t>
            </w:r>
            <w:r w:rsidRPr="00B148F9">
              <w:rPr>
                <w:rFonts w:cs="Arial"/>
                <w:bCs/>
              </w:rPr>
              <w:t>)</w:t>
            </w:r>
            <w:r w:rsidR="00E4486D" w:rsidRPr="00B148F9">
              <w:rPr>
                <w:rFonts w:cs="Arial"/>
                <w:bCs/>
              </w:rPr>
              <w:t xml:space="preserve"> </w:t>
            </w:r>
            <w:r w:rsidR="00B40642" w:rsidRPr="00B148F9">
              <w:rPr>
                <w:rFonts w:cs="Arial"/>
                <w:bCs/>
              </w:rPr>
              <w:t>%</w:t>
            </w:r>
          </w:p>
        </w:tc>
        <w:tc>
          <w:tcPr>
            <w:tcW w:w="687" w:type="dxa"/>
          </w:tcPr>
          <w:p w14:paraId="46A20630" w14:textId="77777777" w:rsidR="00F23333" w:rsidRPr="00B148F9" w:rsidRDefault="00F23333" w:rsidP="00BC7EA1">
            <w:pPr>
              <w:ind w:right="-18"/>
              <w:rPr>
                <w:rFonts w:cs="Arial"/>
                <w:bCs/>
              </w:rPr>
            </w:pPr>
          </w:p>
        </w:tc>
      </w:tr>
      <w:tr w:rsidR="00F23333" w:rsidRPr="00B148F9" w14:paraId="38C74CA9" w14:textId="77777777" w:rsidTr="00C60076">
        <w:tc>
          <w:tcPr>
            <w:tcW w:w="2467" w:type="dxa"/>
          </w:tcPr>
          <w:p w14:paraId="1AE944EF" w14:textId="77777777" w:rsidR="00F23333" w:rsidRPr="00B148F9" w:rsidRDefault="00F23333" w:rsidP="00BC7EA1">
            <w:pPr>
              <w:ind w:right="-18"/>
              <w:rPr>
                <w:rFonts w:cs="Arial"/>
                <w:bCs/>
              </w:rPr>
            </w:pPr>
          </w:p>
        </w:tc>
        <w:tc>
          <w:tcPr>
            <w:tcW w:w="959" w:type="dxa"/>
          </w:tcPr>
          <w:p w14:paraId="0206554D" w14:textId="77777777" w:rsidR="00F23333" w:rsidRPr="00B148F9" w:rsidRDefault="00F23333" w:rsidP="00BC7EA1">
            <w:pPr>
              <w:ind w:right="-18"/>
              <w:rPr>
                <w:rFonts w:cs="Arial"/>
                <w:bCs/>
              </w:rPr>
            </w:pPr>
          </w:p>
        </w:tc>
        <w:tc>
          <w:tcPr>
            <w:tcW w:w="1506" w:type="dxa"/>
          </w:tcPr>
          <w:p w14:paraId="48032198" w14:textId="77777777" w:rsidR="00F23333" w:rsidRPr="00B148F9" w:rsidRDefault="00F23333" w:rsidP="00BC7EA1">
            <w:pPr>
              <w:ind w:right="-18"/>
              <w:rPr>
                <w:rFonts w:cs="Arial"/>
                <w:bCs/>
              </w:rPr>
            </w:pPr>
          </w:p>
        </w:tc>
        <w:tc>
          <w:tcPr>
            <w:tcW w:w="1676" w:type="dxa"/>
            <w:vAlign w:val="bottom"/>
          </w:tcPr>
          <w:p w14:paraId="3B2CAE05" w14:textId="77777777" w:rsidR="00F23333" w:rsidRPr="00B148F9" w:rsidRDefault="00F23333" w:rsidP="00BC7EA1">
            <w:pPr>
              <w:ind w:right="-18"/>
              <w:jc w:val="right"/>
              <w:rPr>
                <w:rFonts w:cs="Arial"/>
                <w:bCs/>
              </w:rPr>
            </w:pPr>
          </w:p>
        </w:tc>
        <w:tc>
          <w:tcPr>
            <w:tcW w:w="687" w:type="dxa"/>
          </w:tcPr>
          <w:p w14:paraId="3C1CD294" w14:textId="77777777" w:rsidR="00F23333" w:rsidRPr="00B148F9" w:rsidRDefault="00F23333" w:rsidP="00BC7EA1">
            <w:pPr>
              <w:ind w:right="-18"/>
              <w:rPr>
                <w:rFonts w:cs="Arial"/>
                <w:bCs/>
              </w:rPr>
            </w:pPr>
          </w:p>
        </w:tc>
      </w:tr>
    </w:tbl>
    <w:p w14:paraId="624521CA" w14:textId="3EDE32EA" w:rsidR="0050176F" w:rsidRPr="00B148F9" w:rsidRDefault="0050176F" w:rsidP="0050176F">
      <w:pPr>
        <w:ind w:right="-18"/>
        <w:rPr>
          <w:rFonts w:cs="Arial"/>
          <w:bCs/>
        </w:rPr>
      </w:pPr>
    </w:p>
    <w:p w14:paraId="1F3A3F50" w14:textId="406B5680" w:rsidR="00685481" w:rsidRDefault="00685481" w:rsidP="0050176F">
      <w:pPr>
        <w:ind w:right="-18"/>
        <w:rPr>
          <w:rFonts w:cs="Arial"/>
          <w:bCs/>
        </w:rPr>
      </w:pPr>
      <w:r w:rsidRPr="00B148F9">
        <w:rPr>
          <w:rFonts w:cs="Arial"/>
          <w:bCs/>
        </w:rPr>
        <w:t>Financial highlights are calculated for Ordinary Shares. An individual shareholder’s financial highlights may vary based on participation in new issues, different Performance Allocation arrangements, and the timing of capital share transactions. Total return has not been annualised.</w:t>
      </w:r>
      <w:r w:rsidR="00585C39" w:rsidRPr="00B148F9">
        <w:rPr>
          <w:rFonts w:cs="Arial"/>
          <w:bCs/>
        </w:rPr>
        <w:t xml:space="preserve"> Net investment loss does not reflect the effects of the Performance Allocation.</w:t>
      </w:r>
    </w:p>
    <w:p w14:paraId="70E24CB5" w14:textId="34A59E49" w:rsidR="00646CFF" w:rsidRDefault="00646CFF" w:rsidP="0050176F">
      <w:pPr>
        <w:ind w:right="-18"/>
        <w:rPr>
          <w:rFonts w:cs="Arial"/>
          <w:bCs/>
        </w:rPr>
      </w:pPr>
    </w:p>
    <w:p w14:paraId="50B62AF7" w14:textId="0606BDDD" w:rsidR="00646CFF" w:rsidRPr="00B148F9" w:rsidRDefault="00646CFF" w:rsidP="0050176F">
      <w:pPr>
        <w:ind w:right="-18"/>
        <w:rPr>
          <w:rFonts w:cs="Arial"/>
          <w:bCs/>
        </w:rPr>
      </w:pPr>
      <w:r>
        <w:t>IRR from inception through 1 October 2019 was 67.93%.</w:t>
      </w:r>
    </w:p>
    <w:p w14:paraId="79D2AC49" w14:textId="1EAAC0AD" w:rsidR="00685481" w:rsidRDefault="00685481" w:rsidP="0050176F">
      <w:pPr>
        <w:ind w:right="-18"/>
        <w:rPr>
          <w:rFonts w:cs="Arial"/>
          <w:bCs/>
        </w:rPr>
      </w:pPr>
    </w:p>
    <w:p w14:paraId="6D5419B7" w14:textId="159EF08E" w:rsidR="00A06B17" w:rsidRPr="00B148F9" w:rsidRDefault="00A06B17" w:rsidP="0050176F">
      <w:pPr>
        <w:ind w:right="-18"/>
        <w:rPr>
          <w:rFonts w:cs="Arial"/>
          <w:bCs/>
        </w:rPr>
      </w:pPr>
      <w:r w:rsidRPr="00B148F9">
        <w:rPr>
          <w:rFonts w:cs="Arial"/>
          <w:bCs/>
        </w:rPr>
        <w:t>Financial highlights for the year ended 31 December 2018 are as follows:</w:t>
      </w:r>
    </w:p>
    <w:p w14:paraId="4B103FB7" w14:textId="73DF35AC" w:rsidR="00A06B17" w:rsidRPr="00B148F9" w:rsidRDefault="00A06B17" w:rsidP="0050176F">
      <w:pPr>
        <w:ind w:right="-18"/>
        <w:rPr>
          <w:rFonts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959"/>
        <w:gridCol w:w="1503"/>
        <w:gridCol w:w="1676"/>
        <w:gridCol w:w="687"/>
      </w:tblGrid>
      <w:tr w:rsidR="00A06B17" w:rsidRPr="00B148F9" w14:paraId="4D3A27EB" w14:textId="77777777" w:rsidTr="00646470">
        <w:tc>
          <w:tcPr>
            <w:tcW w:w="4929" w:type="dxa"/>
            <w:gridSpan w:val="3"/>
          </w:tcPr>
          <w:p w14:paraId="18C01B65" w14:textId="77777777" w:rsidR="00A06B17" w:rsidRPr="00B148F9" w:rsidRDefault="00A06B17" w:rsidP="00646470">
            <w:pPr>
              <w:ind w:right="-18"/>
              <w:rPr>
                <w:rFonts w:cs="Arial"/>
                <w:bCs/>
              </w:rPr>
            </w:pPr>
            <w:r w:rsidRPr="00B148F9">
              <w:rPr>
                <w:rFonts w:cs="Arial"/>
                <w:b/>
                <w:bCs/>
              </w:rPr>
              <w:t>Internal rate of return, since inception:</w:t>
            </w:r>
          </w:p>
        </w:tc>
        <w:tc>
          <w:tcPr>
            <w:tcW w:w="1676" w:type="dxa"/>
          </w:tcPr>
          <w:p w14:paraId="1CE7C3D1" w14:textId="77777777" w:rsidR="00A06B17" w:rsidRPr="00B148F9" w:rsidRDefault="00A06B17" w:rsidP="00646470">
            <w:pPr>
              <w:ind w:right="-18"/>
              <w:rPr>
                <w:rFonts w:cs="Arial"/>
                <w:bCs/>
              </w:rPr>
            </w:pPr>
          </w:p>
        </w:tc>
        <w:tc>
          <w:tcPr>
            <w:tcW w:w="687" w:type="dxa"/>
          </w:tcPr>
          <w:p w14:paraId="024FDF67" w14:textId="77777777" w:rsidR="00A06B17" w:rsidRPr="00B148F9" w:rsidRDefault="00A06B17" w:rsidP="00646470">
            <w:pPr>
              <w:ind w:right="-18"/>
              <w:rPr>
                <w:rFonts w:cs="Arial"/>
                <w:bCs/>
              </w:rPr>
            </w:pPr>
          </w:p>
        </w:tc>
      </w:tr>
      <w:tr w:rsidR="00A06B17" w:rsidRPr="00B148F9" w14:paraId="0F565610" w14:textId="77777777" w:rsidTr="00646470">
        <w:tc>
          <w:tcPr>
            <w:tcW w:w="2467" w:type="dxa"/>
          </w:tcPr>
          <w:p w14:paraId="4B1A3060" w14:textId="5F5FFD62" w:rsidR="00A06B17" w:rsidRPr="00B148F9" w:rsidRDefault="00A06B17" w:rsidP="00B746FC">
            <w:pPr>
              <w:ind w:right="-18"/>
              <w:rPr>
                <w:rFonts w:cs="Arial"/>
                <w:bCs/>
              </w:rPr>
            </w:pPr>
            <w:r w:rsidRPr="00B148F9">
              <w:rPr>
                <w:rFonts w:cs="Arial"/>
                <w:bCs/>
              </w:rPr>
              <w:t>Beginning of year</w:t>
            </w:r>
          </w:p>
        </w:tc>
        <w:tc>
          <w:tcPr>
            <w:tcW w:w="959" w:type="dxa"/>
          </w:tcPr>
          <w:p w14:paraId="46BEA0BA" w14:textId="77777777" w:rsidR="00A06B17" w:rsidRPr="00B148F9" w:rsidRDefault="00A06B17" w:rsidP="00646470">
            <w:pPr>
              <w:ind w:right="-18"/>
              <w:rPr>
                <w:rFonts w:cs="Arial"/>
                <w:bCs/>
              </w:rPr>
            </w:pPr>
          </w:p>
        </w:tc>
        <w:tc>
          <w:tcPr>
            <w:tcW w:w="1503" w:type="dxa"/>
          </w:tcPr>
          <w:p w14:paraId="1A28CED9" w14:textId="77777777" w:rsidR="00A06B17" w:rsidRPr="00B148F9" w:rsidRDefault="00A06B17" w:rsidP="00646470">
            <w:pPr>
              <w:ind w:right="-18"/>
              <w:rPr>
                <w:rFonts w:cs="Arial"/>
                <w:bCs/>
              </w:rPr>
            </w:pPr>
          </w:p>
        </w:tc>
        <w:tc>
          <w:tcPr>
            <w:tcW w:w="1676" w:type="dxa"/>
            <w:tcBorders>
              <w:bottom w:val="single" w:sz="12" w:space="0" w:color="auto"/>
            </w:tcBorders>
            <w:vAlign w:val="bottom"/>
          </w:tcPr>
          <w:p w14:paraId="2A94150E" w14:textId="38379FF3" w:rsidR="00A06B17" w:rsidRPr="00B148F9" w:rsidRDefault="00A06B17" w:rsidP="00B746FC">
            <w:pPr>
              <w:ind w:right="-18"/>
              <w:jc w:val="right"/>
              <w:rPr>
                <w:rFonts w:cs="Arial"/>
                <w:bCs/>
              </w:rPr>
            </w:pPr>
            <w:r w:rsidRPr="00B148F9">
              <w:rPr>
                <w:rFonts w:cs="Arial"/>
                <w:bCs/>
              </w:rPr>
              <w:t>328.39 %</w:t>
            </w:r>
          </w:p>
        </w:tc>
        <w:tc>
          <w:tcPr>
            <w:tcW w:w="687" w:type="dxa"/>
          </w:tcPr>
          <w:p w14:paraId="0DF872BC" w14:textId="77777777" w:rsidR="00A06B17" w:rsidRPr="00B148F9" w:rsidRDefault="00A06B17" w:rsidP="00646470">
            <w:pPr>
              <w:ind w:right="-18"/>
              <w:rPr>
                <w:rFonts w:cs="Arial"/>
                <w:bCs/>
              </w:rPr>
            </w:pPr>
          </w:p>
        </w:tc>
      </w:tr>
      <w:tr w:rsidR="00A06B17" w:rsidRPr="00B148F9" w14:paraId="3FA6861E" w14:textId="77777777" w:rsidTr="00646470">
        <w:tc>
          <w:tcPr>
            <w:tcW w:w="2467" w:type="dxa"/>
          </w:tcPr>
          <w:p w14:paraId="7E306D63" w14:textId="7DD0D01F" w:rsidR="00A06B17" w:rsidRPr="00B148F9" w:rsidRDefault="00A06B17" w:rsidP="00B746FC">
            <w:pPr>
              <w:ind w:right="-18"/>
              <w:rPr>
                <w:rFonts w:cs="Arial"/>
                <w:bCs/>
              </w:rPr>
            </w:pPr>
            <w:r w:rsidRPr="00B148F9">
              <w:rPr>
                <w:rFonts w:cs="Arial"/>
                <w:bCs/>
              </w:rPr>
              <w:t>End of year</w:t>
            </w:r>
          </w:p>
        </w:tc>
        <w:tc>
          <w:tcPr>
            <w:tcW w:w="959" w:type="dxa"/>
          </w:tcPr>
          <w:p w14:paraId="22E17D68" w14:textId="77777777" w:rsidR="00A06B17" w:rsidRPr="00B148F9" w:rsidRDefault="00A06B17" w:rsidP="00646470">
            <w:pPr>
              <w:ind w:right="-18"/>
              <w:rPr>
                <w:rFonts w:cs="Arial"/>
                <w:bCs/>
              </w:rPr>
            </w:pPr>
          </w:p>
        </w:tc>
        <w:tc>
          <w:tcPr>
            <w:tcW w:w="1503" w:type="dxa"/>
          </w:tcPr>
          <w:p w14:paraId="3F94BDCC" w14:textId="77777777" w:rsidR="00A06B17" w:rsidRPr="00B148F9" w:rsidRDefault="00A06B17" w:rsidP="00646470">
            <w:pPr>
              <w:ind w:right="-18"/>
              <w:rPr>
                <w:rFonts w:cs="Arial"/>
                <w:bCs/>
              </w:rPr>
            </w:pPr>
          </w:p>
        </w:tc>
        <w:tc>
          <w:tcPr>
            <w:tcW w:w="1676" w:type="dxa"/>
            <w:tcBorders>
              <w:top w:val="single" w:sz="12" w:space="0" w:color="auto"/>
              <w:bottom w:val="single" w:sz="12" w:space="0" w:color="auto"/>
            </w:tcBorders>
            <w:vAlign w:val="bottom"/>
          </w:tcPr>
          <w:p w14:paraId="48420BBB" w14:textId="42651D95" w:rsidR="00A06B17" w:rsidRPr="00B148F9" w:rsidRDefault="00A06B17" w:rsidP="00B746FC">
            <w:pPr>
              <w:ind w:right="-18"/>
              <w:jc w:val="right"/>
              <w:rPr>
                <w:rFonts w:cs="Arial"/>
                <w:bCs/>
              </w:rPr>
            </w:pPr>
            <w:r w:rsidRPr="00B148F9">
              <w:rPr>
                <w:rFonts w:cs="Arial"/>
                <w:bCs/>
              </w:rPr>
              <w:t>159.76 %</w:t>
            </w:r>
          </w:p>
        </w:tc>
        <w:tc>
          <w:tcPr>
            <w:tcW w:w="687" w:type="dxa"/>
          </w:tcPr>
          <w:p w14:paraId="28C8EFDC" w14:textId="77777777" w:rsidR="00A06B17" w:rsidRPr="00B148F9" w:rsidRDefault="00A06B17" w:rsidP="00646470">
            <w:pPr>
              <w:ind w:right="-18"/>
              <w:rPr>
                <w:rFonts w:cs="Arial"/>
                <w:bCs/>
              </w:rPr>
            </w:pPr>
          </w:p>
        </w:tc>
      </w:tr>
      <w:tr w:rsidR="00A06B17" w:rsidRPr="00B148F9" w14:paraId="22254FDC" w14:textId="77777777" w:rsidTr="00646470">
        <w:tc>
          <w:tcPr>
            <w:tcW w:w="2467" w:type="dxa"/>
          </w:tcPr>
          <w:p w14:paraId="7273F367" w14:textId="77777777" w:rsidR="00A06B17" w:rsidRPr="00B148F9" w:rsidRDefault="00A06B17" w:rsidP="00646470">
            <w:pPr>
              <w:ind w:right="-18"/>
              <w:rPr>
                <w:rFonts w:cs="Arial"/>
                <w:bCs/>
              </w:rPr>
            </w:pPr>
          </w:p>
        </w:tc>
        <w:tc>
          <w:tcPr>
            <w:tcW w:w="959" w:type="dxa"/>
          </w:tcPr>
          <w:p w14:paraId="654DB3B2" w14:textId="77777777" w:rsidR="00A06B17" w:rsidRPr="00B148F9" w:rsidRDefault="00A06B17" w:rsidP="00646470">
            <w:pPr>
              <w:ind w:right="-18"/>
              <w:rPr>
                <w:rFonts w:cs="Arial"/>
                <w:bCs/>
              </w:rPr>
            </w:pPr>
          </w:p>
        </w:tc>
        <w:tc>
          <w:tcPr>
            <w:tcW w:w="1503" w:type="dxa"/>
          </w:tcPr>
          <w:p w14:paraId="70F3A879" w14:textId="77777777" w:rsidR="00A06B17" w:rsidRPr="00B148F9" w:rsidRDefault="00A06B17" w:rsidP="00646470">
            <w:pPr>
              <w:ind w:right="-18"/>
              <w:rPr>
                <w:rFonts w:cs="Arial"/>
                <w:bCs/>
              </w:rPr>
            </w:pPr>
          </w:p>
        </w:tc>
        <w:tc>
          <w:tcPr>
            <w:tcW w:w="1676" w:type="dxa"/>
            <w:vAlign w:val="bottom"/>
          </w:tcPr>
          <w:p w14:paraId="4E9330FA" w14:textId="77777777" w:rsidR="00A06B17" w:rsidRPr="00B148F9" w:rsidRDefault="00A06B17" w:rsidP="00646470">
            <w:pPr>
              <w:ind w:right="-18"/>
              <w:jc w:val="right"/>
              <w:rPr>
                <w:rFonts w:cs="Arial"/>
                <w:bCs/>
              </w:rPr>
            </w:pPr>
          </w:p>
        </w:tc>
        <w:tc>
          <w:tcPr>
            <w:tcW w:w="687" w:type="dxa"/>
          </w:tcPr>
          <w:p w14:paraId="7FCACCF2" w14:textId="77777777" w:rsidR="00A06B17" w:rsidRPr="00B148F9" w:rsidRDefault="00A06B17" w:rsidP="00646470">
            <w:pPr>
              <w:ind w:right="-18"/>
              <w:rPr>
                <w:rFonts w:cs="Arial"/>
                <w:bCs/>
              </w:rPr>
            </w:pPr>
          </w:p>
        </w:tc>
      </w:tr>
      <w:tr w:rsidR="00A06B17" w:rsidRPr="00B148F9" w14:paraId="5585EA86" w14:textId="77777777" w:rsidTr="00646470">
        <w:tc>
          <w:tcPr>
            <w:tcW w:w="4929" w:type="dxa"/>
            <w:gridSpan w:val="3"/>
          </w:tcPr>
          <w:p w14:paraId="0C756CCA" w14:textId="77777777" w:rsidR="00A06B17" w:rsidRPr="00B148F9" w:rsidRDefault="00A06B17" w:rsidP="00646470">
            <w:pPr>
              <w:ind w:right="-18"/>
              <w:rPr>
                <w:rFonts w:cs="Arial"/>
                <w:b/>
                <w:bCs/>
              </w:rPr>
            </w:pPr>
            <w:r w:rsidRPr="00B148F9">
              <w:rPr>
                <w:rFonts w:cs="Arial"/>
                <w:b/>
                <w:bCs/>
              </w:rPr>
              <w:t>Ratio to average non managing members equity:</w:t>
            </w:r>
          </w:p>
        </w:tc>
        <w:tc>
          <w:tcPr>
            <w:tcW w:w="1676" w:type="dxa"/>
            <w:vAlign w:val="bottom"/>
          </w:tcPr>
          <w:p w14:paraId="0FDB27E6" w14:textId="77777777" w:rsidR="00A06B17" w:rsidRPr="00B148F9" w:rsidRDefault="00A06B17" w:rsidP="00646470">
            <w:pPr>
              <w:ind w:right="-18"/>
              <w:jc w:val="right"/>
              <w:rPr>
                <w:rFonts w:cs="Arial"/>
                <w:bCs/>
              </w:rPr>
            </w:pPr>
          </w:p>
        </w:tc>
        <w:tc>
          <w:tcPr>
            <w:tcW w:w="687" w:type="dxa"/>
          </w:tcPr>
          <w:p w14:paraId="659663F7" w14:textId="77777777" w:rsidR="00A06B17" w:rsidRPr="00B148F9" w:rsidRDefault="00A06B17" w:rsidP="00646470">
            <w:pPr>
              <w:ind w:right="-18"/>
              <w:rPr>
                <w:rFonts w:cs="Arial"/>
                <w:bCs/>
              </w:rPr>
            </w:pPr>
          </w:p>
        </w:tc>
      </w:tr>
      <w:tr w:rsidR="00A06B17" w:rsidRPr="00B148F9" w14:paraId="577BC1A6" w14:textId="77777777" w:rsidTr="00646470">
        <w:tc>
          <w:tcPr>
            <w:tcW w:w="2467" w:type="dxa"/>
          </w:tcPr>
          <w:p w14:paraId="0D82F0D2" w14:textId="77777777" w:rsidR="00A06B17" w:rsidRPr="00B148F9" w:rsidRDefault="00A06B17" w:rsidP="00646470">
            <w:pPr>
              <w:ind w:right="-18"/>
              <w:rPr>
                <w:rFonts w:cs="Arial"/>
                <w:bCs/>
              </w:rPr>
            </w:pPr>
            <w:r w:rsidRPr="00B148F9">
              <w:rPr>
                <w:rFonts w:cs="Arial"/>
                <w:bCs/>
              </w:rPr>
              <w:t>Expenses</w:t>
            </w:r>
          </w:p>
        </w:tc>
        <w:tc>
          <w:tcPr>
            <w:tcW w:w="959" w:type="dxa"/>
          </w:tcPr>
          <w:p w14:paraId="735D6F78" w14:textId="77777777" w:rsidR="00A06B17" w:rsidRPr="00B148F9" w:rsidRDefault="00A06B17" w:rsidP="00646470">
            <w:pPr>
              <w:ind w:right="-18"/>
              <w:rPr>
                <w:rFonts w:cs="Arial"/>
                <w:bCs/>
              </w:rPr>
            </w:pPr>
          </w:p>
        </w:tc>
        <w:tc>
          <w:tcPr>
            <w:tcW w:w="1503" w:type="dxa"/>
          </w:tcPr>
          <w:p w14:paraId="628A3DDC" w14:textId="77777777" w:rsidR="00A06B17" w:rsidRPr="00B148F9" w:rsidRDefault="00A06B17" w:rsidP="00646470">
            <w:pPr>
              <w:ind w:right="-18"/>
              <w:rPr>
                <w:rFonts w:cs="Arial"/>
                <w:bCs/>
              </w:rPr>
            </w:pPr>
          </w:p>
        </w:tc>
        <w:tc>
          <w:tcPr>
            <w:tcW w:w="1676" w:type="dxa"/>
            <w:tcBorders>
              <w:bottom w:val="single" w:sz="12" w:space="0" w:color="auto"/>
            </w:tcBorders>
            <w:vAlign w:val="bottom"/>
          </w:tcPr>
          <w:p w14:paraId="6C741715" w14:textId="0F2284EE" w:rsidR="00A06B17" w:rsidRPr="00B148F9" w:rsidRDefault="00A06B17" w:rsidP="00B746FC">
            <w:pPr>
              <w:ind w:right="-18"/>
              <w:jc w:val="right"/>
              <w:rPr>
                <w:rFonts w:cs="Arial"/>
                <w:bCs/>
              </w:rPr>
            </w:pPr>
            <w:r w:rsidRPr="00B148F9">
              <w:rPr>
                <w:rFonts w:cs="Arial"/>
                <w:bCs/>
              </w:rPr>
              <w:t>0.09 %</w:t>
            </w:r>
          </w:p>
        </w:tc>
        <w:tc>
          <w:tcPr>
            <w:tcW w:w="687" w:type="dxa"/>
          </w:tcPr>
          <w:p w14:paraId="3CA66BA1" w14:textId="77777777" w:rsidR="00A06B17" w:rsidRPr="00B148F9" w:rsidRDefault="00A06B17" w:rsidP="00646470">
            <w:pPr>
              <w:ind w:right="-18"/>
              <w:rPr>
                <w:rFonts w:cs="Arial"/>
                <w:bCs/>
              </w:rPr>
            </w:pPr>
          </w:p>
        </w:tc>
      </w:tr>
      <w:tr w:rsidR="00A06B17" w:rsidRPr="00B148F9" w14:paraId="428650A4" w14:textId="77777777" w:rsidTr="00646470">
        <w:tc>
          <w:tcPr>
            <w:tcW w:w="2467" w:type="dxa"/>
          </w:tcPr>
          <w:p w14:paraId="41C0E60E" w14:textId="77777777" w:rsidR="00A06B17" w:rsidRPr="00B148F9" w:rsidRDefault="00A06B17" w:rsidP="00646470">
            <w:pPr>
              <w:ind w:right="-18"/>
              <w:rPr>
                <w:rFonts w:cs="Arial"/>
                <w:bCs/>
              </w:rPr>
            </w:pPr>
            <w:r w:rsidRPr="00B148F9">
              <w:rPr>
                <w:rFonts w:cs="Arial"/>
                <w:bCs/>
              </w:rPr>
              <w:t>Net investment loss</w:t>
            </w:r>
          </w:p>
        </w:tc>
        <w:tc>
          <w:tcPr>
            <w:tcW w:w="959" w:type="dxa"/>
          </w:tcPr>
          <w:p w14:paraId="20467E61" w14:textId="77777777" w:rsidR="00A06B17" w:rsidRPr="00B148F9" w:rsidRDefault="00A06B17" w:rsidP="00646470">
            <w:pPr>
              <w:ind w:right="-18"/>
              <w:rPr>
                <w:rFonts w:cs="Arial"/>
                <w:bCs/>
              </w:rPr>
            </w:pPr>
          </w:p>
        </w:tc>
        <w:tc>
          <w:tcPr>
            <w:tcW w:w="1503" w:type="dxa"/>
          </w:tcPr>
          <w:p w14:paraId="4B6B1A2B" w14:textId="77777777" w:rsidR="00A06B17" w:rsidRPr="00B148F9" w:rsidRDefault="00A06B17" w:rsidP="00646470">
            <w:pPr>
              <w:ind w:right="-18"/>
              <w:rPr>
                <w:rFonts w:cs="Arial"/>
                <w:bCs/>
              </w:rPr>
            </w:pPr>
          </w:p>
        </w:tc>
        <w:tc>
          <w:tcPr>
            <w:tcW w:w="1676" w:type="dxa"/>
            <w:tcBorders>
              <w:top w:val="single" w:sz="12" w:space="0" w:color="auto"/>
              <w:bottom w:val="single" w:sz="12" w:space="0" w:color="auto"/>
            </w:tcBorders>
            <w:vAlign w:val="bottom"/>
          </w:tcPr>
          <w:p w14:paraId="66D7AFAC" w14:textId="70C444AA" w:rsidR="00A06B17" w:rsidRPr="00B148F9" w:rsidRDefault="00A06B17" w:rsidP="00B746FC">
            <w:pPr>
              <w:ind w:right="-18"/>
              <w:jc w:val="right"/>
              <w:rPr>
                <w:rFonts w:cs="Arial"/>
                <w:bCs/>
              </w:rPr>
            </w:pPr>
            <w:r w:rsidRPr="00B148F9">
              <w:rPr>
                <w:rFonts w:cs="Arial"/>
                <w:bCs/>
              </w:rPr>
              <w:t>(0.09) %</w:t>
            </w:r>
          </w:p>
        </w:tc>
        <w:tc>
          <w:tcPr>
            <w:tcW w:w="687" w:type="dxa"/>
          </w:tcPr>
          <w:p w14:paraId="7B7B4155" w14:textId="77777777" w:rsidR="00A06B17" w:rsidRPr="00B148F9" w:rsidRDefault="00A06B17" w:rsidP="00646470">
            <w:pPr>
              <w:ind w:right="-18"/>
              <w:rPr>
                <w:rFonts w:cs="Arial"/>
                <w:bCs/>
              </w:rPr>
            </w:pPr>
          </w:p>
        </w:tc>
      </w:tr>
      <w:tr w:rsidR="00A06B17" w:rsidRPr="00B148F9" w14:paraId="113B93BF" w14:textId="77777777" w:rsidTr="00646470">
        <w:tc>
          <w:tcPr>
            <w:tcW w:w="2467" w:type="dxa"/>
          </w:tcPr>
          <w:p w14:paraId="35D079AC" w14:textId="77777777" w:rsidR="00A06B17" w:rsidRPr="00B148F9" w:rsidRDefault="00A06B17" w:rsidP="00646470">
            <w:pPr>
              <w:ind w:right="-18"/>
              <w:rPr>
                <w:rFonts w:cs="Arial"/>
                <w:bCs/>
              </w:rPr>
            </w:pPr>
          </w:p>
        </w:tc>
        <w:tc>
          <w:tcPr>
            <w:tcW w:w="959" w:type="dxa"/>
          </w:tcPr>
          <w:p w14:paraId="19D88A03" w14:textId="77777777" w:rsidR="00A06B17" w:rsidRPr="00B148F9" w:rsidRDefault="00A06B17" w:rsidP="00646470">
            <w:pPr>
              <w:ind w:right="-18"/>
              <w:rPr>
                <w:rFonts w:cs="Arial"/>
                <w:bCs/>
              </w:rPr>
            </w:pPr>
          </w:p>
        </w:tc>
        <w:tc>
          <w:tcPr>
            <w:tcW w:w="1503" w:type="dxa"/>
          </w:tcPr>
          <w:p w14:paraId="2333565B" w14:textId="77777777" w:rsidR="00A06B17" w:rsidRPr="00B148F9" w:rsidRDefault="00A06B17" w:rsidP="00646470">
            <w:pPr>
              <w:ind w:right="-18"/>
              <w:rPr>
                <w:rFonts w:cs="Arial"/>
                <w:bCs/>
              </w:rPr>
            </w:pPr>
          </w:p>
        </w:tc>
        <w:tc>
          <w:tcPr>
            <w:tcW w:w="1676" w:type="dxa"/>
            <w:tcBorders>
              <w:top w:val="single" w:sz="12" w:space="0" w:color="auto"/>
            </w:tcBorders>
            <w:vAlign w:val="bottom"/>
          </w:tcPr>
          <w:p w14:paraId="03849C8E" w14:textId="77777777" w:rsidR="00A06B17" w:rsidRPr="00B148F9" w:rsidRDefault="00A06B17" w:rsidP="00646470">
            <w:pPr>
              <w:ind w:right="-18"/>
              <w:jc w:val="right"/>
              <w:rPr>
                <w:rFonts w:cs="Arial"/>
                <w:bCs/>
              </w:rPr>
            </w:pPr>
          </w:p>
        </w:tc>
        <w:tc>
          <w:tcPr>
            <w:tcW w:w="687" w:type="dxa"/>
          </w:tcPr>
          <w:p w14:paraId="1176AF9B" w14:textId="77777777" w:rsidR="00A06B17" w:rsidRPr="00B148F9" w:rsidRDefault="00A06B17" w:rsidP="00646470">
            <w:pPr>
              <w:ind w:right="-18"/>
              <w:rPr>
                <w:rFonts w:cs="Arial"/>
                <w:bCs/>
              </w:rPr>
            </w:pPr>
          </w:p>
        </w:tc>
      </w:tr>
    </w:tbl>
    <w:p w14:paraId="319C02D9" w14:textId="697383F9" w:rsidR="00A06B17" w:rsidRPr="00B148F9" w:rsidRDefault="00A06B17" w:rsidP="0050176F">
      <w:pPr>
        <w:ind w:right="-18"/>
        <w:rPr>
          <w:rFonts w:cs="Arial"/>
          <w:bCs/>
        </w:rPr>
      </w:pPr>
    </w:p>
    <w:p w14:paraId="05D3C01F" w14:textId="77777777" w:rsidR="00685481" w:rsidRPr="00B148F9" w:rsidRDefault="00685481" w:rsidP="00685481">
      <w:pPr>
        <w:ind w:right="-18"/>
        <w:rPr>
          <w:rFonts w:cs="Arial"/>
          <w:bCs/>
        </w:rPr>
      </w:pPr>
      <w:r w:rsidRPr="00B148F9">
        <w:rPr>
          <w:rFonts w:cs="Arial"/>
          <w:bCs/>
        </w:rPr>
        <w:t xml:space="preserve">The IRR is calculated for the non-managing members class taken as a whole computed based on the members' cash inflows (capital contributions), cash outflows (withdrawals) and the ending members' capital at the end of the reporting period (residual value) of the members' capital account as of 31 December 2018. </w:t>
      </w:r>
    </w:p>
    <w:p w14:paraId="277E09C1" w14:textId="77777777" w:rsidR="00685481" w:rsidRPr="00B148F9" w:rsidRDefault="00685481" w:rsidP="00685481">
      <w:pPr>
        <w:ind w:right="-18"/>
        <w:rPr>
          <w:rFonts w:cs="Arial"/>
          <w:bCs/>
        </w:rPr>
      </w:pPr>
    </w:p>
    <w:p w14:paraId="0F9AD561" w14:textId="152877C0" w:rsidR="00685481" w:rsidRPr="00B148F9" w:rsidRDefault="00685481" w:rsidP="00685481">
      <w:pPr>
        <w:ind w:right="-18"/>
        <w:rPr>
          <w:rFonts w:cs="Arial"/>
          <w:bCs/>
        </w:rPr>
      </w:pPr>
      <w:r w:rsidRPr="00B148F9">
        <w:rPr>
          <w:rFonts w:cs="Arial"/>
          <w:bCs/>
        </w:rPr>
        <w:t>Financial highlights are calculated for non-managing members’ class taken as a whole. An individual member’s return and ratios may vary based on the timing of capital transactions.</w:t>
      </w:r>
    </w:p>
    <w:p w14:paraId="0C8E91D4" w14:textId="77777777" w:rsidR="00141315" w:rsidRPr="00B148F9" w:rsidRDefault="00141315" w:rsidP="0050176F">
      <w:pPr>
        <w:ind w:right="-18"/>
        <w:rPr>
          <w:rFonts w:cs="Arial"/>
          <w:bCs/>
        </w:rPr>
      </w:pPr>
    </w:p>
    <w:p w14:paraId="112E1FF9" w14:textId="6E91F2F1" w:rsidR="0050176F" w:rsidRPr="00B148F9" w:rsidRDefault="00685E38" w:rsidP="00817824">
      <w:pPr>
        <w:pStyle w:val="Heading1"/>
        <w:jc w:val="left"/>
      </w:pPr>
      <w:r w:rsidRPr="00B148F9">
        <w:rPr>
          <w:sz w:val="20"/>
          <w:szCs w:val="20"/>
        </w:rPr>
        <w:t>1</w:t>
      </w:r>
      <w:r w:rsidR="00CF0BD5" w:rsidRPr="00B148F9">
        <w:rPr>
          <w:sz w:val="20"/>
          <w:szCs w:val="20"/>
        </w:rPr>
        <w:t>3</w:t>
      </w:r>
      <w:r w:rsidR="00817824" w:rsidRPr="00B148F9">
        <w:rPr>
          <w:sz w:val="20"/>
          <w:szCs w:val="20"/>
        </w:rPr>
        <w:t>.</w:t>
      </w:r>
      <w:r w:rsidR="00817824" w:rsidRPr="00B148F9">
        <w:rPr>
          <w:sz w:val="20"/>
        </w:rPr>
        <w:t xml:space="preserve"> </w:t>
      </w:r>
      <w:r w:rsidR="0050176F" w:rsidRPr="00B148F9">
        <w:rPr>
          <w:sz w:val="20"/>
        </w:rPr>
        <w:t>Subsequent events</w:t>
      </w:r>
    </w:p>
    <w:p w14:paraId="374E080A" w14:textId="50AA8A3C" w:rsidR="0050176F" w:rsidRPr="00B148F9" w:rsidRDefault="0050176F" w:rsidP="0050176F">
      <w:pPr>
        <w:tabs>
          <w:tab w:val="left" w:pos="426"/>
          <w:tab w:val="left" w:pos="2160"/>
        </w:tabs>
        <w:rPr>
          <w:rFonts w:cs="Arial"/>
          <w:b/>
        </w:rPr>
      </w:pPr>
    </w:p>
    <w:p w14:paraId="61F171E8" w14:textId="09F8D29D" w:rsidR="004567C5" w:rsidRPr="00B148F9" w:rsidRDefault="00F86C30">
      <w:pPr>
        <w:tabs>
          <w:tab w:val="left" w:pos="426"/>
          <w:tab w:val="left" w:pos="2160"/>
        </w:tabs>
        <w:rPr>
          <w:rFonts w:cs="Arial"/>
        </w:rPr>
      </w:pPr>
      <w:r w:rsidRPr="00B148F9">
        <w:rPr>
          <w:rFonts w:cs="Arial"/>
        </w:rPr>
        <w:t xml:space="preserve">Following year end, the Company </w:t>
      </w:r>
      <w:r w:rsidR="0089729D" w:rsidRPr="00B148F9">
        <w:rPr>
          <w:rFonts w:cs="Arial"/>
        </w:rPr>
        <w:t xml:space="preserve">through several share issuances, </w:t>
      </w:r>
      <w:r w:rsidRPr="00B148F9">
        <w:rPr>
          <w:rFonts w:cs="Arial"/>
        </w:rPr>
        <w:t>i</w:t>
      </w:r>
      <w:r w:rsidR="004567C5" w:rsidRPr="00B148F9">
        <w:rPr>
          <w:rFonts w:cs="Arial"/>
        </w:rPr>
        <w:t>ssue</w:t>
      </w:r>
      <w:r w:rsidRPr="00B148F9">
        <w:rPr>
          <w:rFonts w:cs="Arial"/>
        </w:rPr>
        <w:t>d</w:t>
      </w:r>
      <w:r w:rsidR="004567C5" w:rsidRPr="00B148F9">
        <w:rPr>
          <w:rFonts w:cs="Arial"/>
        </w:rPr>
        <w:t xml:space="preserve"> additional </w:t>
      </w:r>
      <w:r w:rsidRPr="00B148F9">
        <w:rPr>
          <w:rFonts w:cs="Arial"/>
        </w:rPr>
        <w:t>Ordinary S</w:t>
      </w:r>
      <w:r w:rsidR="004567C5" w:rsidRPr="00B148F9">
        <w:rPr>
          <w:rFonts w:cs="Arial"/>
        </w:rPr>
        <w:t xml:space="preserve">hares </w:t>
      </w:r>
      <w:r w:rsidR="008255A4" w:rsidRPr="00B148F9">
        <w:rPr>
          <w:rFonts w:cs="Arial"/>
        </w:rPr>
        <w:t>raising US$</w:t>
      </w:r>
      <w:r w:rsidR="00350A1A" w:rsidRPr="00B148F9">
        <w:rPr>
          <w:rFonts w:cs="Arial"/>
        </w:rPr>
        <w:t>16.8 million</w:t>
      </w:r>
      <w:r w:rsidR="004E0E44" w:rsidRPr="00B148F9">
        <w:rPr>
          <w:rFonts w:cs="Arial"/>
        </w:rPr>
        <w:t xml:space="preserve"> net of expenses,</w:t>
      </w:r>
      <w:r w:rsidR="00350A1A" w:rsidRPr="00B148F9">
        <w:rPr>
          <w:rFonts w:cs="Arial"/>
        </w:rPr>
        <w:t xml:space="preserve"> </w:t>
      </w:r>
      <w:r w:rsidR="008255A4" w:rsidRPr="00B148F9">
        <w:rPr>
          <w:rFonts w:cs="Arial"/>
        </w:rPr>
        <w:t xml:space="preserve">with the issued share capital as at </w:t>
      </w:r>
      <w:r w:rsidR="00350A1A" w:rsidRPr="00B148F9">
        <w:rPr>
          <w:rFonts w:cs="Arial"/>
        </w:rPr>
        <w:t>2 March</w:t>
      </w:r>
      <w:r w:rsidR="008255A4" w:rsidRPr="00B148F9">
        <w:rPr>
          <w:rFonts w:cs="Arial"/>
        </w:rPr>
        <w:t xml:space="preserve"> 2020 now </w:t>
      </w:r>
      <w:r w:rsidR="00350A1A" w:rsidRPr="00B148F9">
        <w:rPr>
          <w:rFonts w:cs="Arial"/>
        </w:rPr>
        <w:t>173,969,428</w:t>
      </w:r>
      <w:r w:rsidR="008255A4" w:rsidRPr="00B148F9">
        <w:rPr>
          <w:rFonts w:cs="Arial"/>
        </w:rPr>
        <w:t xml:space="preserve"> Ordinary Shares.</w:t>
      </w:r>
    </w:p>
    <w:p w14:paraId="6253A757" w14:textId="28D42847" w:rsidR="00015E1B" w:rsidRPr="00B148F9" w:rsidRDefault="00015E1B">
      <w:pPr>
        <w:tabs>
          <w:tab w:val="left" w:pos="426"/>
          <w:tab w:val="left" w:pos="2160"/>
        </w:tabs>
        <w:rPr>
          <w:rFonts w:cs="Arial"/>
        </w:rPr>
      </w:pPr>
    </w:p>
    <w:p w14:paraId="6E19FD8A" w14:textId="1B837A15" w:rsidR="00015E1B" w:rsidRPr="00B148F9" w:rsidRDefault="00015E1B">
      <w:pPr>
        <w:tabs>
          <w:tab w:val="left" w:pos="426"/>
          <w:tab w:val="left" w:pos="2160"/>
        </w:tabs>
        <w:rPr>
          <w:rFonts w:cs="Arial"/>
        </w:rPr>
      </w:pPr>
      <w:r w:rsidRPr="00B148F9">
        <w:rPr>
          <w:rFonts w:cs="Arial"/>
        </w:rPr>
        <w:t>Post year end William Simpson acquired 43,000 Ordinary Shares and Paul Le Page acquired 3,000 Ordinary Shares.</w:t>
      </w:r>
    </w:p>
    <w:p w14:paraId="12108347" w14:textId="36528222" w:rsidR="003B2A1A" w:rsidRPr="00B148F9" w:rsidRDefault="003B2A1A">
      <w:pPr>
        <w:tabs>
          <w:tab w:val="left" w:pos="426"/>
          <w:tab w:val="left" w:pos="2160"/>
        </w:tabs>
        <w:rPr>
          <w:rFonts w:cs="Arial"/>
        </w:rPr>
      </w:pPr>
    </w:p>
    <w:p w14:paraId="7CA681F4" w14:textId="46340D22" w:rsidR="00F8000F" w:rsidRPr="00B148F9" w:rsidRDefault="00F8000F">
      <w:pPr>
        <w:tabs>
          <w:tab w:val="left" w:pos="426"/>
          <w:tab w:val="left" w:pos="2160"/>
        </w:tabs>
        <w:rPr>
          <w:rFonts w:cs="Arial"/>
        </w:rPr>
      </w:pPr>
      <w:r w:rsidRPr="00B148F9">
        <w:rPr>
          <w:rFonts w:cs="Arial"/>
        </w:rPr>
        <w:lastRenderedPageBreak/>
        <w:t xml:space="preserve">The Company has formed and provided seed capital to Ji Xing, a Shanghai-based company focused on acquiring licensing rights to innovative therapies developed in the West for distribution to the Chinese market. As stated in the prospectus, the </w:t>
      </w:r>
      <w:r w:rsidR="00685481" w:rsidRPr="00B148F9">
        <w:rPr>
          <w:rFonts w:cs="Arial"/>
        </w:rPr>
        <w:t>Company will</w:t>
      </w:r>
      <w:r w:rsidR="008F023B" w:rsidRPr="00B148F9">
        <w:rPr>
          <w:rFonts w:cs="Arial"/>
        </w:rPr>
        <w:t xml:space="preserve"> </w:t>
      </w:r>
      <w:r w:rsidRPr="00B148F9">
        <w:rPr>
          <w:rFonts w:cs="Arial"/>
        </w:rPr>
        <w:t>participate in a Series A financing together with the Investment Manager’s other funds</w:t>
      </w:r>
      <w:r w:rsidR="008F023B" w:rsidRPr="00B148F9">
        <w:rPr>
          <w:rFonts w:cs="Arial"/>
        </w:rPr>
        <w:t xml:space="preserve"> in near to medium term</w:t>
      </w:r>
      <w:r w:rsidR="00C60076">
        <w:rPr>
          <w:rFonts w:cs="Arial"/>
        </w:rPr>
        <w:t xml:space="preserve">. </w:t>
      </w:r>
      <w:r w:rsidR="00C60076" w:rsidRPr="00C60076">
        <w:rPr>
          <w:rFonts w:cs="Arial"/>
        </w:rPr>
        <w:t>Roderick Wong, M.D, is a Board Director at Ji Xing Pharmaceuticals.</w:t>
      </w:r>
      <w:r w:rsidR="00C60076">
        <w:rPr>
          <w:rFonts w:cs="Arial"/>
        </w:rPr>
        <w:t xml:space="preserve"> </w:t>
      </w:r>
    </w:p>
    <w:p w14:paraId="537757D6" w14:textId="77777777" w:rsidR="00F8000F" w:rsidRPr="00B148F9" w:rsidRDefault="00F8000F">
      <w:pPr>
        <w:tabs>
          <w:tab w:val="left" w:pos="426"/>
          <w:tab w:val="left" w:pos="2160"/>
        </w:tabs>
        <w:rPr>
          <w:rFonts w:cs="Arial"/>
        </w:rPr>
      </w:pPr>
    </w:p>
    <w:p w14:paraId="7EA3C574" w14:textId="6C808023" w:rsidR="00234861" w:rsidRPr="00B148F9" w:rsidRDefault="0093466B" w:rsidP="00B746FC">
      <w:pPr>
        <w:rPr>
          <w:rFonts w:cs="Arial"/>
        </w:rPr>
      </w:pPr>
      <w:r w:rsidRPr="00B148F9">
        <w:rPr>
          <w:rFonts w:cs="Arial"/>
        </w:rPr>
        <w:t xml:space="preserve">In December 2019, a novel strain of coronavirus (COVID-19) surfaced. The spread of COVID-19 around the world in the first quarter of 2020 has caused significant volatility in US and international markets. There is significant uncertainty around the breadth and duration of business disruptions related to COVID-19, as well as its impact on the US and international economies and, as such, the Company </w:t>
      </w:r>
      <w:r w:rsidR="00974BA3" w:rsidRPr="00B148F9">
        <w:rPr>
          <w:rFonts w:cs="Arial"/>
        </w:rPr>
        <w:t>finds it</w:t>
      </w:r>
      <w:r w:rsidRPr="00B148F9">
        <w:rPr>
          <w:rFonts w:cs="Arial"/>
        </w:rPr>
        <w:t xml:space="preserve"> </w:t>
      </w:r>
      <w:r w:rsidR="00CB285A" w:rsidRPr="00B148F9">
        <w:rPr>
          <w:rFonts w:cs="Arial"/>
        </w:rPr>
        <w:t>difficult</w:t>
      </w:r>
      <w:r w:rsidRPr="00B148F9">
        <w:rPr>
          <w:rFonts w:cs="Arial"/>
        </w:rPr>
        <w:t xml:space="preserve"> to determine </w:t>
      </w:r>
      <w:r w:rsidR="006A152C" w:rsidRPr="00B148F9">
        <w:rPr>
          <w:rFonts w:cs="Arial"/>
        </w:rPr>
        <w:t>whether</w:t>
      </w:r>
      <w:r w:rsidRPr="00B148F9">
        <w:rPr>
          <w:rFonts w:cs="Arial"/>
        </w:rPr>
        <w:t xml:space="preserve"> it will have a material impact to its operations. Thus far, there have been no changes to the fundamentals of the underlying portfolio assets, nor any expected supply chain disruptions given the nature of the early stage of the science. The Company will continue its work and now more than ever is determined to be a reliable source of capital to LifeSci</w:t>
      </w:r>
      <w:r w:rsidR="00E82A72" w:rsidRPr="00B148F9">
        <w:rPr>
          <w:rFonts w:cs="Arial"/>
        </w:rPr>
        <w:t>, biopharmaceutical and medical technology</w:t>
      </w:r>
      <w:r w:rsidRPr="00B148F9">
        <w:rPr>
          <w:rFonts w:cs="Arial"/>
        </w:rPr>
        <w:t xml:space="preserve"> companies.</w:t>
      </w:r>
    </w:p>
    <w:p w14:paraId="49F9B0C3" w14:textId="48A7AD86" w:rsidR="006D5F60" w:rsidRPr="00B148F9" w:rsidRDefault="006D5F60" w:rsidP="00B746FC">
      <w:pPr>
        <w:rPr>
          <w:rFonts w:cs="Arial"/>
        </w:rPr>
      </w:pPr>
    </w:p>
    <w:p w14:paraId="0D37FCAF" w14:textId="277CD81B" w:rsidR="0071737E" w:rsidRDefault="006D5F60">
      <w:pPr>
        <w:rPr>
          <w:rFonts w:cs="Arial"/>
        </w:rPr>
      </w:pPr>
      <w:r w:rsidRPr="00B148F9">
        <w:rPr>
          <w:rFonts w:cs="Arial"/>
        </w:rPr>
        <w:t>In April 2020</w:t>
      </w:r>
      <w:r w:rsidR="006A152C" w:rsidRPr="00B148F9">
        <w:rPr>
          <w:rFonts w:cs="Arial"/>
        </w:rPr>
        <w:t>,</w:t>
      </w:r>
      <w:r w:rsidRPr="00B148F9">
        <w:rPr>
          <w:rFonts w:cs="Arial"/>
        </w:rPr>
        <w:t xml:space="preserve"> the Company and RTW Venture Performance, LLC</w:t>
      </w:r>
      <w:r w:rsidR="0071737E">
        <w:rPr>
          <w:rFonts w:cs="Arial"/>
        </w:rPr>
        <w:t>,</w:t>
      </w:r>
      <w:r w:rsidRPr="00B148F9">
        <w:rPr>
          <w:rFonts w:cs="Arial"/>
        </w:rPr>
        <w:t xml:space="preserve"> the holder of the Performance Allocation Shares</w:t>
      </w:r>
      <w:r w:rsidR="0071737E">
        <w:rPr>
          <w:rFonts w:cs="Arial"/>
        </w:rPr>
        <w:t xml:space="preserve">, </w:t>
      </w:r>
      <w:r w:rsidR="0071737E" w:rsidRPr="0071737E">
        <w:rPr>
          <w:rFonts w:cs="Arial"/>
        </w:rPr>
        <w:t>entered into a letter agreement pursuant to which the Performance Allocation Share</w:t>
      </w:r>
      <w:r w:rsidR="0071737E">
        <w:rPr>
          <w:rFonts w:cs="Arial"/>
        </w:rPr>
        <w:t xml:space="preserve"> Class Fund</w:t>
      </w:r>
      <w:r w:rsidR="0071737E" w:rsidRPr="0071737E">
        <w:rPr>
          <w:rFonts w:cs="Arial"/>
        </w:rPr>
        <w:t xml:space="preserve"> agreed to defer distributions of the Company’s Ordinary Shares that would otherwise be distributable to the Performance Allocation Share</w:t>
      </w:r>
      <w:r w:rsidR="0071737E">
        <w:rPr>
          <w:rFonts w:cs="Arial"/>
        </w:rPr>
        <w:t xml:space="preserve"> Class Fund</w:t>
      </w:r>
      <w:r w:rsidR="0071737E" w:rsidRPr="0071737E">
        <w:rPr>
          <w:rFonts w:cs="Arial"/>
        </w:rPr>
        <w:t>. Under the letter agreement, such Ordinary Shares shall be distributable to the Performance Allocation Share</w:t>
      </w:r>
      <w:r w:rsidR="0071737E">
        <w:rPr>
          <w:rFonts w:cs="Arial"/>
        </w:rPr>
        <w:t xml:space="preserve"> Class Fund</w:t>
      </w:r>
      <w:r w:rsidR="0071737E" w:rsidRPr="0071737E">
        <w:rPr>
          <w:rFonts w:cs="Arial"/>
        </w:rPr>
        <w:t xml:space="preserve"> at such time or times as determined by the Board of Directors of the Company.</w:t>
      </w:r>
    </w:p>
    <w:p w14:paraId="7B7B3A5A" w14:textId="599C4027" w:rsidR="00C60076" w:rsidRDefault="00C60076">
      <w:pPr>
        <w:rPr>
          <w:rFonts w:cs="Arial"/>
        </w:rPr>
      </w:pPr>
    </w:p>
    <w:p w14:paraId="343ABB92" w14:textId="495D671B" w:rsidR="0071737E" w:rsidRPr="0071737E" w:rsidRDefault="0071737E">
      <w:pPr>
        <w:rPr>
          <w:rFonts w:cs="Arial"/>
        </w:rPr>
      </w:pPr>
    </w:p>
    <w:p w14:paraId="26B09D61" w14:textId="196D30B7" w:rsidR="0071737E" w:rsidRPr="00B148F9" w:rsidRDefault="0071737E" w:rsidP="0071737E">
      <w:pPr>
        <w:rPr>
          <w:rFonts w:cs="Arial"/>
        </w:rPr>
      </w:pPr>
      <w:r w:rsidRPr="0071737E">
        <w:rPr>
          <w:rFonts w:cs="Arial"/>
        </w:rPr>
        <w:t>Until the Company makes a distribution of Ordinary Shares to the Performance Allocation Share</w:t>
      </w:r>
      <w:r>
        <w:rPr>
          <w:rFonts w:cs="Arial"/>
        </w:rPr>
        <w:t xml:space="preserve"> Class Fund</w:t>
      </w:r>
      <w:r w:rsidRPr="0071737E">
        <w:rPr>
          <w:rFonts w:cs="Arial"/>
        </w:rPr>
        <w:t xml:space="preserve">, the Company will have an unsecured discretionary obligation to make such distribution at such time or times as the Board of Directors of the Company determines. </w:t>
      </w:r>
      <w:r w:rsidRPr="00585E47">
        <w:rPr>
          <w:rFonts w:cs="Arial"/>
        </w:rPr>
        <w:t>RTW Venture Performance, LLC</w:t>
      </w:r>
      <w:r>
        <w:rPr>
          <w:rFonts w:cs="Arial"/>
        </w:rPr>
        <w:t xml:space="preserve"> </w:t>
      </w:r>
      <w:r w:rsidRPr="0071737E">
        <w:rPr>
          <w:rFonts w:cs="Arial"/>
        </w:rPr>
        <w:t>has agreed to the deferral of the distributions of the Company’s Ordinary Shares in connection with its own tax planning. The Company does not believe that the deferral of such distributions to the Performance</w:t>
      </w:r>
      <w:r>
        <w:rPr>
          <w:rFonts w:cs="Arial"/>
        </w:rPr>
        <w:t xml:space="preserve"> Allocation Share Class Fund</w:t>
      </w:r>
      <w:r w:rsidRPr="0071737E">
        <w:rPr>
          <w:rFonts w:cs="Arial"/>
        </w:rPr>
        <w:t xml:space="preserve"> will have any negative effects on holders of the Company’s Ordinary Shares.</w:t>
      </w:r>
    </w:p>
    <w:p w14:paraId="2AE433E1" w14:textId="2F79E608" w:rsidR="00685481" w:rsidRPr="00B148F9" w:rsidRDefault="00685481" w:rsidP="006D5F60">
      <w:pPr>
        <w:rPr>
          <w:rFonts w:cs="Arial"/>
        </w:rPr>
      </w:pPr>
    </w:p>
    <w:p w14:paraId="727A9772" w14:textId="5F74E1E2" w:rsidR="00685481" w:rsidRPr="00B148F9" w:rsidRDefault="00685481" w:rsidP="006D5F60">
      <w:pPr>
        <w:rPr>
          <w:rFonts w:cs="Arial"/>
        </w:rPr>
      </w:pPr>
      <w:r w:rsidRPr="00B148F9">
        <w:rPr>
          <w:rFonts w:cs="Arial"/>
        </w:rPr>
        <w:t>These financial statements were approved by management and available for issuance on 2</w:t>
      </w:r>
      <w:r w:rsidR="00D42AB2" w:rsidRPr="00B148F9">
        <w:rPr>
          <w:rFonts w:cs="Arial"/>
        </w:rPr>
        <w:t>1</w:t>
      </w:r>
      <w:r w:rsidRPr="00B148F9">
        <w:rPr>
          <w:rFonts w:cs="Arial"/>
        </w:rPr>
        <w:t xml:space="preserve"> April 2020. Subsequent events have been evaluated through this date.</w:t>
      </w:r>
    </w:p>
    <w:p w14:paraId="57BA48D3" w14:textId="3AD549B5" w:rsidR="005B67E6" w:rsidRDefault="005B67E6" w:rsidP="00C4780E">
      <w:pPr>
        <w:ind w:right="-18"/>
        <w:rPr>
          <w:rFonts w:cs="Arial"/>
          <w:bCs/>
        </w:rPr>
      </w:pPr>
    </w:p>
    <w:p w14:paraId="23798989" w14:textId="20EC862B" w:rsidR="009E4CA7" w:rsidRPr="009E4CA7" w:rsidRDefault="009E4CA7" w:rsidP="009E4CA7">
      <w:pPr>
        <w:ind w:right="-18"/>
        <w:jc w:val="center"/>
        <w:rPr>
          <w:rFonts w:cs="Arial"/>
          <w:b/>
          <w:bCs/>
        </w:rPr>
      </w:pPr>
      <w:r w:rsidRPr="009E4CA7">
        <w:rPr>
          <w:rFonts w:cs="Arial"/>
          <w:b/>
          <w:bCs/>
        </w:rPr>
        <w:t xml:space="preserve">Glossary </w:t>
      </w:r>
      <w:r w:rsidRPr="009E4CA7">
        <w:rPr>
          <w:rFonts w:cs="Arial"/>
          <w:b/>
          <w:bCs/>
          <w:vertAlign w:val="superscript"/>
        </w:rPr>
        <w:t>unaudited</w:t>
      </w:r>
    </w:p>
    <w:p w14:paraId="5743DA26" w14:textId="77777777" w:rsidR="009E4CA7" w:rsidRDefault="009E4CA7" w:rsidP="000202D1">
      <w:pPr>
        <w:pStyle w:val="Heading1"/>
        <w:jc w:val="left"/>
        <w:rPr>
          <w:sz w:val="20"/>
        </w:rPr>
      </w:pPr>
      <w:bookmarkStart w:id="7" w:name="fn10"/>
      <w:bookmarkEnd w:id="7"/>
    </w:p>
    <w:p w14:paraId="1139F70C" w14:textId="2169147E" w:rsidR="00FB130F" w:rsidRPr="00B148F9" w:rsidRDefault="00FB130F" w:rsidP="000202D1">
      <w:pPr>
        <w:pStyle w:val="Heading1"/>
        <w:jc w:val="left"/>
        <w:rPr>
          <w:sz w:val="20"/>
        </w:rPr>
      </w:pPr>
      <w:r w:rsidRPr="00B148F9">
        <w:rPr>
          <w:sz w:val="20"/>
        </w:rPr>
        <w:t>Defined Terms</w:t>
      </w:r>
    </w:p>
    <w:p w14:paraId="25FD0396" w14:textId="223FE6C2" w:rsidR="00FB130F" w:rsidRPr="00B148F9" w:rsidRDefault="00FB130F" w:rsidP="00CB4F52">
      <w:pPr>
        <w:pStyle w:val="Title"/>
        <w:spacing w:line="240" w:lineRule="auto"/>
        <w:rPr>
          <w:rFonts w:ascii="Century Gothic" w:hAnsi="Century Gothic"/>
          <w:b/>
          <w:sz w:val="20"/>
          <w:szCs w:val="20"/>
        </w:rPr>
      </w:pPr>
    </w:p>
    <w:tbl>
      <w:tblPr>
        <w:tblW w:w="9293" w:type="dxa"/>
        <w:tblInd w:w="900" w:type="dxa"/>
        <w:tblLook w:val="04A0" w:firstRow="1" w:lastRow="0" w:firstColumn="1" w:lastColumn="0" w:noHBand="0" w:noVBand="1"/>
      </w:tblPr>
      <w:tblGrid>
        <w:gridCol w:w="2713"/>
        <w:gridCol w:w="6580"/>
      </w:tblGrid>
      <w:tr w:rsidR="00FB130F" w:rsidRPr="00B148F9" w14:paraId="10832D29" w14:textId="77777777" w:rsidTr="00617322">
        <w:trPr>
          <w:trHeight w:val="540"/>
        </w:trPr>
        <w:tc>
          <w:tcPr>
            <w:tcW w:w="2713" w:type="dxa"/>
            <w:tcBorders>
              <w:top w:val="nil"/>
              <w:left w:val="nil"/>
              <w:bottom w:val="nil"/>
              <w:right w:val="nil"/>
            </w:tcBorders>
            <w:shd w:val="clear" w:color="auto" w:fill="auto"/>
            <w:vAlign w:val="center"/>
            <w:hideMark/>
          </w:tcPr>
          <w:p w14:paraId="5B299844" w14:textId="67DB010C" w:rsidR="00FB130F" w:rsidRPr="00B148F9" w:rsidRDefault="00FB130F">
            <w:pPr>
              <w:rPr>
                <w:rFonts w:cs="Calibri"/>
                <w:b/>
                <w:bCs/>
                <w:color w:val="000000"/>
                <w:lang w:eastAsia="en-GB"/>
              </w:rPr>
            </w:pPr>
            <w:r w:rsidRPr="00B148F9">
              <w:rPr>
                <w:rFonts w:cs="Calibri"/>
                <w:b/>
                <w:bCs/>
                <w:color w:val="000000"/>
                <w:lang w:eastAsia="en-GB"/>
              </w:rPr>
              <w:t xml:space="preserve">“Administrator” </w:t>
            </w:r>
            <w:r w:rsidRPr="00B148F9">
              <w:rPr>
                <w:color w:val="000000"/>
              </w:rPr>
              <w:t>or</w:t>
            </w:r>
            <w:r w:rsidRPr="00B148F9">
              <w:rPr>
                <w:rFonts w:cs="Calibri"/>
                <w:b/>
                <w:bCs/>
                <w:color w:val="000000"/>
                <w:lang w:eastAsia="en-GB"/>
              </w:rPr>
              <w:t xml:space="preserve"> “</w:t>
            </w:r>
            <w:r w:rsidR="00350A1A" w:rsidRPr="00B148F9">
              <w:rPr>
                <w:rFonts w:cs="Calibri"/>
                <w:b/>
                <w:bCs/>
                <w:color w:val="000000"/>
                <w:lang w:eastAsia="en-GB"/>
              </w:rPr>
              <w:t>Ocorian</w:t>
            </w:r>
            <w:r w:rsidRPr="00B148F9">
              <w:rPr>
                <w:rFonts w:cs="Calibri"/>
                <w:b/>
                <w:bCs/>
                <w:color w:val="000000"/>
                <w:lang w:eastAsia="en-GB"/>
              </w:rPr>
              <w:t xml:space="preserve">” </w:t>
            </w:r>
            <w:r w:rsidRPr="00B148F9">
              <w:rPr>
                <w:rFonts w:cs="Calibri"/>
                <w:bCs/>
                <w:color w:val="000000"/>
                <w:lang w:eastAsia="en-GB"/>
              </w:rPr>
              <w:t>or</w:t>
            </w:r>
            <w:r w:rsidRPr="00B148F9">
              <w:rPr>
                <w:rFonts w:cs="Calibri"/>
                <w:b/>
                <w:bCs/>
                <w:color w:val="000000"/>
                <w:lang w:eastAsia="en-GB"/>
              </w:rPr>
              <w:t xml:space="preserve"> "</w:t>
            </w:r>
            <w:r w:rsidR="00350A1A" w:rsidRPr="00B148F9">
              <w:rPr>
                <w:rFonts w:cs="Calibri"/>
                <w:b/>
                <w:bCs/>
                <w:color w:val="000000"/>
                <w:lang w:eastAsia="en-GB"/>
              </w:rPr>
              <w:t>OA</w:t>
            </w:r>
            <w:r w:rsidRPr="00B148F9">
              <w:rPr>
                <w:rFonts w:cs="Calibri"/>
                <w:b/>
                <w:bCs/>
                <w:color w:val="000000"/>
                <w:lang w:eastAsia="en-GB"/>
              </w:rPr>
              <w:t>G"</w:t>
            </w:r>
          </w:p>
        </w:tc>
        <w:tc>
          <w:tcPr>
            <w:tcW w:w="6580" w:type="dxa"/>
            <w:tcBorders>
              <w:top w:val="nil"/>
              <w:left w:val="nil"/>
              <w:bottom w:val="nil"/>
              <w:right w:val="nil"/>
            </w:tcBorders>
            <w:shd w:val="clear" w:color="auto" w:fill="auto"/>
            <w:vAlign w:val="center"/>
            <w:hideMark/>
          </w:tcPr>
          <w:p w14:paraId="65C34D8E" w14:textId="1AF710F0" w:rsidR="00FB130F" w:rsidRPr="00B148F9" w:rsidRDefault="00FB130F">
            <w:pPr>
              <w:rPr>
                <w:rFonts w:cs="Calibri"/>
                <w:color w:val="000000"/>
                <w:lang w:eastAsia="en-GB"/>
              </w:rPr>
            </w:pPr>
            <w:r w:rsidRPr="00B148F9">
              <w:rPr>
                <w:rFonts w:cs="Calibri"/>
                <w:color w:val="000000"/>
                <w:lang w:eastAsia="en-GB"/>
              </w:rPr>
              <w:t xml:space="preserve">means </w:t>
            </w:r>
            <w:r w:rsidR="00350A1A" w:rsidRPr="00B148F9">
              <w:rPr>
                <w:rFonts w:cs="Calibri"/>
                <w:color w:val="000000"/>
                <w:lang w:eastAsia="en-GB"/>
              </w:rPr>
              <w:t>Ocorian Administration</w:t>
            </w:r>
            <w:r w:rsidRPr="00B148F9">
              <w:rPr>
                <w:rFonts w:cs="Calibri"/>
                <w:color w:val="000000"/>
                <w:lang w:eastAsia="en-GB"/>
              </w:rPr>
              <w:t xml:space="preserve"> (Guernsey) Limited (formerly known as </w:t>
            </w:r>
            <w:r w:rsidR="00350A1A" w:rsidRPr="00B148F9">
              <w:rPr>
                <w:rFonts w:cs="Calibri"/>
                <w:color w:val="000000"/>
                <w:lang w:eastAsia="en-GB"/>
              </w:rPr>
              <w:t xml:space="preserve">Estera </w:t>
            </w:r>
            <w:r w:rsidRPr="00B148F9">
              <w:rPr>
                <w:rFonts w:cs="Calibri"/>
                <w:color w:val="000000"/>
                <w:lang w:eastAsia="en-GB"/>
              </w:rPr>
              <w:t>International Fund Managers</w:t>
            </w:r>
            <w:r w:rsidR="00350A1A" w:rsidRPr="00B148F9">
              <w:rPr>
                <w:rFonts w:cs="Calibri"/>
                <w:color w:val="000000"/>
                <w:lang w:eastAsia="en-GB"/>
              </w:rPr>
              <w:t xml:space="preserve"> (Guernsey)</w:t>
            </w:r>
            <w:r w:rsidRPr="00B148F9">
              <w:rPr>
                <w:rFonts w:cs="Calibri"/>
                <w:color w:val="000000"/>
                <w:lang w:eastAsia="en-GB"/>
              </w:rPr>
              <w:t xml:space="preserve"> Limited);</w:t>
            </w:r>
          </w:p>
        </w:tc>
      </w:tr>
      <w:tr w:rsidR="00FB130F" w:rsidRPr="00B148F9" w14:paraId="31BF3A6C" w14:textId="77777777" w:rsidTr="00617322">
        <w:trPr>
          <w:trHeight w:val="300"/>
        </w:trPr>
        <w:tc>
          <w:tcPr>
            <w:tcW w:w="2713" w:type="dxa"/>
            <w:tcBorders>
              <w:top w:val="nil"/>
              <w:left w:val="nil"/>
              <w:bottom w:val="nil"/>
              <w:right w:val="nil"/>
            </w:tcBorders>
            <w:shd w:val="clear" w:color="auto" w:fill="auto"/>
            <w:vAlign w:val="center"/>
            <w:hideMark/>
          </w:tcPr>
          <w:p w14:paraId="136838F1"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205D2E20" w14:textId="77777777" w:rsidR="00FB130F" w:rsidRPr="00B148F9" w:rsidRDefault="00FB130F" w:rsidP="00D126DE">
            <w:pPr>
              <w:rPr>
                <w:rFonts w:cs="Calibri"/>
                <w:color w:val="000000"/>
                <w:lang w:eastAsia="en-GB"/>
              </w:rPr>
            </w:pPr>
          </w:p>
        </w:tc>
      </w:tr>
      <w:tr w:rsidR="00FB130F" w:rsidRPr="00B148F9" w14:paraId="16FDD382" w14:textId="77777777" w:rsidTr="00617322">
        <w:trPr>
          <w:trHeight w:val="300"/>
        </w:trPr>
        <w:tc>
          <w:tcPr>
            <w:tcW w:w="2713" w:type="dxa"/>
            <w:tcBorders>
              <w:top w:val="nil"/>
              <w:left w:val="nil"/>
              <w:bottom w:val="nil"/>
              <w:right w:val="nil"/>
            </w:tcBorders>
            <w:shd w:val="clear" w:color="auto" w:fill="auto"/>
            <w:vAlign w:val="center"/>
            <w:hideMark/>
          </w:tcPr>
          <w:p w14:paraId="10310EF0" w14:textId="77777777" w:rsidR="00FB130F" w:rsidRPr="00B148F9" w:rsidRDefault="00FB130F" w:rsidP="00D126DE">
            <w:pPr>
              <w:rPr>
                <w:rFonts w:cs="Calibri"/>
                <w:b/>
                <w:bCs/>
                <w:color w:val="000000"/>
                <w:lang w:eastAsia="en-GB"/>
              </w:rPr>
            </w:pPr>
            <w:r w:rsidRPr="00B148F9">
              <w:rPr>
                <w:rFonts w:cs="Calibri"/>
                <w:b/>
                <w:bCs/>
                <w:color w:val="000000"/>
                <w:lang w:eastAsia="en-GB"/>
              </w:rPr>
              <w:t>"AIC"</w:t>
            </w:r>
          </w:p>
        </w:tc>
        <w:tc>
          <w:tcPr>
            <w:tcW w:w="6580" w:type="dxa"/>
            <w:tcBorders>
              <w:top w:val="nil"/>
              <w:left w:val="nil"/>
              <w:bottom w:val="nil"/>
              <w:right w:val="nil"/>
            </w:tcBorders>
            <w:shd w:val="clear" w:color="auto" w:fill="auto"/>
            <w:noWrap/>
            <w:vAlign w:val="bottom"/>
            <w:hideMark/>
          </w:tcPr>
          <w:p w14:paraId="4516CE86" w14:textId="77777777" w:rsidR="00FB130F" w:rsidRPr="00B148F9" w:rsidRDefault="00FB130F" w:rsidP="00D126DE">
            <w:pPr>
              <w:rPr>
                <w:color w:val="000000"/>
              </w:rPr>
            </w:pPr>
            <w:r w:rsidRPr="00B148F9">
              <w:rPr>
                <w:color w:val="000000"/>
              </w:rPr>
              <w:t>the Association of Investment Companies;</w:t>
            </w:r>
          </w:p>
        </w:tc>
      </w:tr>
      <w:tr w:rsidR="00FB130F" w:rsidRPr="00B148F9" w14:paraId="53E7A2C0" w14:textId="77777777" w:rsidTr="00617322">
        <w:trPr>
          <w:trHeight w:val="300"/>
        </w:trPr>
        <w:tc>
          <w:tcPr>
            <w:tcW w:w="2713" w:type="dxa"/>
            <w:tcBorders>
              <w:top w:val="nil"/>
              <w:left w:val="nil"/>
              <w:bottom w:val="nil"/>
              <w:right w:val="nil"/>
            </w:tcBorders>
            <w:shd w:val="clear" w:color="auto" w:fill="auto"/>
            <w:vAlign w:val="center"/>
            <w:hideMark/>
          </w:tcPr>
          <w:p w14:paraId="22A7DA20"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1C67C46F" w14:textId="77777777" w:rsidR="00FB130F" w:rsidRPr="00B148F9" w:rsidRDefault="00FB130F" w:rsidP="00D126DE">
            <w:pPr>
              <w:rPr>
                <w:rFonts w:cs="Calibri"/>
                <w:color w:val="000000"/>
                <w:lang w:eastAsia="en-GB"/>
              </w:rPr>
            </w:pPr>
          </w:p>
        </w:tc>
      </w:tr>
      <w:tr w:rsidR="00FB130F" w:rsidRPr="00B148F9" w14:paraId="57966846" w14:textId="77777777" w:rsidTr="00617322">
        <w:trPr>
          <w:trHeight w:val="300"/>
        </w:trPr>
        <w:tc>
          <w:tcPr>
            <w:tcW w:w="2713" w:type="dxa"/>
            <w:tcBorders>
              <w:top w:val="nil"/>
              <w:left w:val="nil"/>
              <w:bottom w:val="nil"/>
              <w:right w:val="nil"/>
            </w:tcBorders>
            <w:shd w:val="clear" w:color="auto" w:fill="auto"/>
            <w:vAlign w:val="center"/>
            <w:hideMark/>
          </w:tcPr>
          <w:p w14:paraId="785B8413" w14:textId="77777777" w:rsidR="00FB130F" w:rsidRPr="00B148F9" w:rsidRDefault="00FB130F" w:rsidP="00D126DE">
            <w:pPr>
              <w:rPr>
                <w:rFonts w:cs="Calibri"/>
                <w:b/>
                <w:bCs/>
                <w:color w:val="000000"/>
                <w:lang w:eastAsia="en-GB"/>
              </w:rPr>
            </w:pPr>
            <w:r w:rsidRPr="00B148F9">
              <w:rPr>
                <w:rFonts w:cs="Calibri"/>
                <w:b/>
                <w:bCs/>
                <w:color w:val="000000"/>
                <w:lang w:eastAsia="en-GB"/>
              </w:rPr>
              <w:t>"AIC Code"</w:t>
            </w:r>
          </w:p>
        </w:tc>
        <w:tc>
          <w:tcPr>
            <w:tcW w:w="6580" w:type="dxa"/>
            <w:tcBorders>
              <w:top w:val="nil"/>
              <w:left w:val="nil"/>
              <w:bottom w:val="nil"/>
              <w:right w:val="nil"/>
            </w:tcBorders>
            <w:shd w:val="clear" w:color="auto" w:fill="auto"/>
            <w:noWrap/>
            <w:vAlign w:val="bottom"/>
            <w:hideMark/>
          </w:tcPr>
          <w:p w14:paraId="69E6D56B" w14:textId="37742216" w:rsidR="00FB130F" w:rsidRPr="00B148F9" w:rsidRDefault="00FB130F">
            <w:pPr>
              <w:rPr>
                <w:color w:val="000000"/>
              </w:rPr>
            </w:pPr>
            <w:r w:rsidRPr="00B148F9">
              <w:rPr>
                <w:color w:val="000000"/>
              </w:rPr>
              <w:t xml:space="preserve">the AIC Code of Corporate Governance dated </w:t>
            </w:r>
            <w:r w:rsidR="001156EF" w:rsidRPr="00B148F9">
              <w:rPr>
                <w:color w:val="000000"/>
              </w:rPr>
              <w:t>February</w:t>
            </w:r>
            <w:r w:rsidRPr="00B148F9">
              <w:rPr>
                <w:color w:val="000000"/>
              </w:rPr>
              <w:t xml:space="preserve"> 201</w:t>
            </w:r>
            <w:r w:rsidR="001156EF" w:rsidRPr="00B148F9">
              <w:rPr>
                <w:color w:val="000000"/>
              </w:rPr>
              <w:t>9</w:t>
            </w:r>
            <w:r w:rsidRPr="00B148F9">
              <w:rPr>
                <w:color w:val="000000"/>
              </w:rPr>
              <w:t>;</w:t>
            </w:r>
          </w:p>
        </w:tc>
      </w:tr>
      <w:tr w:rsidR="00FB130F" w:rsidRPr="00B148F9" w14:paraId="117DA11C" w14:textId="77777777" w:rsidTr="00617322">
        <w:trPr>
          <w:trHeight w:val="300"/>
        </w:trPr>
        <w:tc>
          <w:tcPr>
            <w:tcW w:w="2713" w:type="dxa"/>
            <w:tcBorders>
              <w:top w:val="nil"/>
              <w:left w:val="nil"/>
              <w:bottom w:val="nil"/>
              <w:right w:val="nil"/>
            </w:tcBorders>
            <w:shd w:val="clear" w:color="auto" w:fill="auto"/>
            <w:vAlign w:val="center"/>
            <w:hideMark/>
          </w:tcPr>
          <w:p w14:paraId="402B2FAE"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noWrap/>
            <w:vAlign w:val="bottom"/>
            <w:hideMark/>
          </w:tcPr>
          <w:p w14:paraId="53D0EF6A" w14:textId="77777777" w:rsidR="00FB130F" w:rsidRPr="00B148F9" w:rsidRDefault="00FB130F" w:rsidP="00D126DE">
            <w:pPr>
              <w:rPr>
                <w:color w:val="000000"/>
              </w:rPr>
            </w:pPr>
          </w:p>
        </w:tc>
      </w:tr>
      <w:tr w:rsidR="008E668F" w:rsidRPr="00B148F9" w14:paraId="6B861E8E" w14:textId="77777777" w:rsidTr="00617322">
        <w:trPr>
          <w:trHeight w:val="300"/>
        </w:trPr>
        <w:tc>
          <w:tcPr>
            <w:tcW w:w="2713" w:type="dxa"/>
            <w:tcBorders>
              <w:top w:val="nil"/>
              <w:left w:val="nil"/>
              <w:bottom w:val="nil"/>
              <w:right w:val="nil"/>
            </w:tcBorders>
            <w:shd w:val="clear" w:color="auto" w:fill="auto"/>
            <w:vAlign w:val="center"/>
          </w:tcPr>
          <w:p w14:paraId="539DD8FF" w14:textId="1CAC11D2" w:rsidR="008E668F" w:rsidRPr="00B148F9" w:rsidRDefault="008E668F" w:rsidP="00D126DE">
            <w:pPr>
              <w:rPr>
                <w:rFonts w:cs="Calibri"/>
                <w:b/>
                <w:bCs/>
                <w:color w:val="000000"/>
                <w:lang w:eastAsia="en-GB"/>
              </w:rPr>
            </w:pPr>
            <w:r w:rsidRPr="00B148F9">
              <w:rPr>
                <w:rFonts w:cs="Calibri"/>
                <w:b/>
                <w:bCs/>
                <w:color w:val="000000"/>
                <w:lang w:eastAsia="en-GB"/>
              </w:rPr>
              <w:t>“AIFM”</w:t>
            </w:r>
          </w:p>
        </w:tc>
        <w:tc>
          <w:tcPr>
            <w:tcW w:w="6580" w:type="dxa"/>
            <w:tcBorders>
              <w:top w:val="nil"/>
              <w:left w:val="nil"/>
              <w:bottom w:val="nil"/>
              <w:right w:val="nil"/>
            </w:tcBorders>
            <w:shd w:val="clear" w:color="auto" w:fill="auto"/>
            <w:noWrap/>
            <w:vAlign w:val="bottom"/>
          </w:tcPr>
          <w:p w14:paraId="699A9D01" w14:textId="269DB7B2" w:rsidR="008E668F" w:rsidRPr="00B148F9" w:rsidRDefault="008E668F" w:rsidP="00D126DE">
            <w:pPr>
              <w:rPr>
                <w:color w:val="000000"/>
              </w:rPr>
            </w:pPr>
            <w:r w:rsidRPr="00B148F9">
              <w:rPr>
                <w:color w:val="000000"/>
              </w:rPr>
              <w:t xml:space="preserve">means Alternative Investment Fund Manager; </w:t>
            </w:r>
          </w:p>
        </w:tc>
      </w:tr>
      <w:tr w:rsidR="008E668F" w:rsidRPr="00B148F9" w14:paraId="789F6B39" w14:textId="77777777" w:rsidTr="00617322">
        <w:trPr>
          <w:trHeight w:val="300"/>
        </w:trPr>
        <w:tc>
          <w:tcPr>
            <w:tcW w:w="2713" w:type="dxa"/>
            <w:tcBorders>
              <w:top w:val="nil"/>
              <w:left w:val="nil"/>
              <w:bottom w:val="nil"/>
              <w:right w:val="nil"/>
            </w:tcBorders>
            <w:shd w:val="clear" w:color="auto" w:fill="auto"/>
            <w:vAlign w:val="center"/>
          </w:tcPr>
          <w:p w14:paraId="7EF3F4BF" w14:textId="77777777" w:rsidR="008E668F" w:rsidRPr="00B148F9" w:rsidRDefault="008E668F" w:rsidP="00D126DE">
            <w:pPr>
              <w:rPr>
                <w:rFonts w:cs="Calibri"/>
                <w:b/>
                <w:bCs/>
                <w:color w:val="000000"/>
                <w:lang w:eastAsia="en-GB"/>
              </w:rPr>
            </w:pPr>
          </w:p>
        </w:tc>
        <w:tc>
          <w:tcPr>
            <w:tcW w:w="6580" w:type="dxa"/>
            <w:tcBorders>
              <w:top w:val="nil"/>
              <w:left w:val="nil"/>
              <w:bottom w:val="nil"/>
              <w:right w:val="nil"/>
            </w:tcBorders>
            <w:shd w:val="clear" w:color="auto" w:fill="auto"/>
            <w:noWrap/>
            <w:vAlign w:val="bottom"/>
          </w:tcPr>
          <w:p w14:paraId="7001301B" w14:textId="77777777" w:rsidR="008E668F" w:rsidRPr="00B148F9" w:rsidRDefault="008E668F" w:rsidP="00D126DE">
            <w:pPr>
              <w:rPr>
                <w:color w:val="000000"/>
              </w:rPr>
            </w:pPr>
          </w:p>
        </w:tc>
      </w:tr>
      <w:tr w:rsidR="00FB130F" w:rsidRPr="00B148F9" w14:paraId="77E5C814" w14:textId="77777777" w:rsidTr="00617322">
        <w:trPr>
          <w:trHeight w:val="300"/>
        </w:trPr>
        <w:tc>
          <w:tcPr>
            <w:tcW w:w="2713" w:type="dxa"/>
            <w:tcBorders>
              <w:top w:val="nil"/>
              <w:left w:val="nil"/>
              <w:bottom w:val="nil"/>
              <w:right w:val="nil"/>
            </w:tcBorders>
            <w:shd w:val="clear" w:color="auto" w:fill="auto"/>
            <w:vAlign w:val="center"/>
          </w:tcPr>
          <w:p w14:paraId="737F5D5A" w14:textId="77777777" w:rsidR="00FB130F" w:rsidRPr="00B148F9" w:rsidRDefault="00FB130F" w:rsidP="00D126DE">
            <w:pPr>
              <w:rPr>
                <w:rFonts w:cs="Calibri"/>
                <w:b/>
                <w:bCs/>
                <w:color w:val="000000"/>
                <w:lang w:eastAsia="en-GB"/>
              </w:rPr>
            </w:pPr>
            <w:r w:rsidRPr="00B148F9">
              <w:rPr>
                <w:rFonts w:cs="Calibri"/>
                <w:b/>
                <w:bCs/>
                <w:color w:val="000000"/>
                <w:lang w:eastAsia="en-GB"/>
              </w:rPr>
              <w:t>“AIFMD”</w:t>
            </w:r>
          </w:p>
        </w:tc>
        <w:tc>
          <w:tcPr>
            <w:tcW w:w="6580" w:type="dxa"/>
            <w:tcBorders>
              <w:top w:val="nil"/>
              <w:left w:val="nil"/>
              <w:bottom w:val="nil"/>
              <w:right w:val="nil"/>
            </w:tcBorders>
            <w:shd w:val="clear" w:color="auto" w:fill="auto"/>
            <w:noWrap/>
            <w:vAlign w:val="bottom"/>
          </w:tcPr>
          <w:p w14:paraId="782D2B5F" w14:textId="77777777" w:rsidR="00FB130F" w:rsidRPr="00B148F9" w:rsidRDefault="00FB130F" w:rsidP="00D126DE">
            <w:pPr>
              <w:rPr>
                <w:color w:val="000000"/>
              </w:rPr>
            </w:pPr>
            <w:r w:rsidRPr="00B148F9">
              <w:rPr>
                <w:color w:val="000000"/>
              </w:rPr>
              <w:t>the Alternative Investment Fund Managers Directive;</w:t>
            </w:r>
          </w:p>
        </w:tc>
      </w:tr>
      <w:tr w:rsidR="00FB130F" w:rsidRPr="00B148F9" w14:paraId="7B55B2CF" w14:textId="77777777" w:rsidTr="00617322">
        <w:trPr>
          <w:trHeight w:val="300"/>
        </w:trPr>
        <w:tc>
          <w:tcPr>
            <w:tcW w:w="2713" w:type="dxa"/>
            <w:tcBorders>
              <w:top w:val="nil"/>
              <w:left w:val="nil"/>
              <w:bottom w:val="nil"/>
              <w:right w:val="nil"/>
            </w:tcBorders>
            <w:shd w:val="clear" w:color="auto" w:fill="auto"/>
            <w:vAlign w:val="center"/>
            <w:hideMark/>
          </w:tcPr>
          <w:p w14:paraId="4539AF1C"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50FFAB26" w14:textId="77777777" w:rsidR="00FB130F" w:rsidRPr="00B148F9" w:rsidRDefault="00FB130F" w:rsidP="00D126DE">
            <w:pPr>
              <w:rPr>
                <w:rFonts w:cs="Calibri"/>
                <w:color w:val="000000"/>
                <w:lang w:eastAsia="en-GB"/>
              </w:rPr>
            </w:pPr>
          </w:p>
        </w:tc>
      </w:tr>
      <w:tr w:rsidR="00FB130F" w:rsidRPr="00B148F9" w14:paraId="75AA7ECB" w14:textId="77777777" w:rsidTr="00617322">
        <w:trPr>
          <w:trHeight w:val="300"/>
        </w:trPr>
        <w:tc>
          <w:tcPr>
            <w:tcW w:w="2713" w:type="dxa"/>
            <w:tcBorders>
              <w:top w:val="nil"/>
              <w:left w:val="nil"/>
              <w:bottom w:val="nil"/>
              <w:right w:val="nil"/>
            </w:tcBorders>
            <w:shd w:val="clear" w:color="auto" w:fill="auto"/>
            <w:vAlign w:val="center"/>
            <w:hideMark/>
          </w:tcPr>
          <w:p w14:paraId="21B99F85" w14:textId="77777777" w:rsidR="00FB130F" w:rsidRPr="00B148F9" w:rsidRDefault="00FB130F" w:rsidP="00D126DE">
            <w:pPr>
              <w:rPr>
                <w:rFonts w:cs="Calibri"/>
                <w:b/>
                <w:bCs/>
                <w:color w:val="000000"/>
                <w:lang w:eastAsia="en-GB"/>
              </w:rPr>
            </w:pPr>
            <w:r w:rsidRPr="00B148F9">
              <w:rPr>
                <w:rFonts w:cs="Calibri"/>
                <w:b/>
                <w:bCs/>
                <w:color w:val="000000"/>
                <w:lang w:eastAsia="en-GB"/>
              </w:rPr>
              <w:t xml:space="preserve">“Annual General Meeting” </w:t>
            </w:r>
            <w:r w:rsidRPr="00B148F9">
              <w:rPr>
                <w:color w:val="000000"/>
              </w:rPr>
              <w:t xml:space="preserve">or </w:t>
            </w:r>
            <w:r w:rsidRPr="00B148F9">
              <w:rPr>
                <w:rFonts w:cs="Calibri"/>
                <w:b/>
                <w:bCs/>
                <w:color w:val="000000"/>
                <w:lang w:eastAsia="en-GB"/>
              </w:rPr>
              <w:t>“AGM”</w:t>
            </w:r>
          </w:p>
        </w:tc>
        <w:tc>
          <w:tcPr>
            <w:tcW w:w="6580" w:type="dxa"/>
            <w:tcBorders>
              <w:top w:val="nil"/>
              <w:left w:val="nil"/>
              <w:bottom w:val="nil"/>
              <w:right w:val="nil"/>
            </w:tcBorders>
            <w:shd w:val="clear" w:color="auto" w:fill="auto"/>
            <w:vAlign w:val="center"/>
            <w:hideMark/>
          </w:tcPr>
          <w:p w14:paraId="69296F94" w14:textId="59EEBF64" w:rsidR="00FB130F" w:rsidRPr="00B148F9" w:rsidRDefault="00FB130F" w:rsidP="00D126DE">
            <w:pPr>
              <w:rPr>
                <w:rFonts w:cs="Calibri"/>
                <w:color w:val="000000"/>
                <w:lang w:eastAsia="en-GB"/>
              </w:rPr>
            </w:pPr>
            <w:r w:rsidRPr="00B148F9">
              <w:rPr>
                <w:rFonts w:cs="Calibri"/>
                <w:color w:val="000000"/>
                <w:lang w:eastAsia="en-GB"/>
              </w:rPr>
              <w:t xml:space="preserve">the </w:t>
            </w:r>
            <w:r w:rsidR="000513EA" w:rsidRPr="00B148F9">
              <w:rPr>
                <w:rFonts w:cs="Calibri"/>
                <w:color w:val="000000"/>
                <w:lang w:eastAsia="en-GB"/>
              </w:rPr>
              <w:t xml:space="preserve">annual </w:t>
            </w:r>
            <w:r w:rsidRPr="00B148F9">
              <w:rPr>
                <w:rFonts w:cs="Calibri"/>
                <w:color w:val="000000"/>
                <w:lang w:eastAsia="en-GB"/>
              </w:rPr>
              <w:t>general meeting of the</w:t>
            </w:r>
            <w:r w:rsidR="000513EA" w:rsidRPr="00B148F9">
              <w:rPr>
                <w:rFonts w:cs="Calibri"/>
                <w:color w:val="000000"/>
                <w:lang w:eastAsia="en-GB"/>
              </w:rPr>
              <w:t xml:space="preserve"> shareholders of the</w:t>
            </w:r>
            <w:r w:rsidRPr="00B148F9">
              <w:rPr>
                <w:rFonts w:cs="Calibri"/>
                <w:color w:val="000000"/>
                <w:lang w:eastAsia="en-GB"/>
              </w:rPr>
              <w:t xml:space="preserve"> Company; </w:t>
            </w:r>
          </w:p>
        </w:tc>
      </w:tr>
      <w:tr w:rsidR="00FB130F" w:rsidRPr="00B148F9" w14:paraId="64094A6F" w14:textId="77777777" w:rsidTr="00617322">
        <w:trPr>
          <w:trHeight w:val="300"/>
        </w:trPr>
        <w:tc>
          <w:tcPr>
            <w:tcW w:w="2713" w:type="dxa"/>
            <w:tcBorders>
              <w:top w:val="nil"/>
              <w:left w:val="nil"/>
              <w:bottom w:val="nil"/>
              <w:right w:val="nil"/>
            </w:tcBorders>
            <w:shd w:val="clear" w:color="auto" w:fill="auto"/>
            <w:vAlign w:val="center"/>
          </w:tcPr>
          <w:p w14:paraId="28CF1F85"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2CF8E8D7" w14:textId="77777777" w:rsidR="00FB130F" w:rsidRPr="00B148F9" w:rsidRDefault="00FB130F" w:rsidP="00D126DE">
            <w:pPr>
              <w:rPr>
                <w:rFonts w:cs="Calibri"/>
                <w:color w:val="000000"/>
                <w:lang w:eastAsia="en-GB"/>
              </w:rPr>
            </w:pPr>
          </w:p>
        </w:tc>
      </w:tr>
      <w:tr w:rsidR="00FB130F" w:rsidRPr="00B148F9" w14:paraId="6862335A" w14:textId="77777777" w:rsidTr="00617322">
        <w:trPr>
          <w:trHeight w:val="300"/>
        </w:trPr>
        <w:tc>
          <w:tcPr>
            <w:tcW w:w="2713" w:type="dxa"/>
            <w:tcBorders>
              <w:top w:val="nil"/>
              <w:left w:val="nil"/>
              <w:bottom w:val="nil"/>
              <w:right w:val="nil"/>
            </w:tcBorders>
            <w:shd w:val="clear" w:color="auto" w:fill="auto"/>
            <w:vAlign w:val="center"/>
          </w:tcPr>
          <w:p w14:paraId="5379655B" w14:textId="77777777" w:rsidR="00FB130F" w:rsidRPr="00B148F9" w:rsidRDefault="00FB130F" w:rsidP="00D126DE">
            <w:pPr>
              <w:rPr>
                <w:rFonts w:cs="Calibri"/>
                <w:b/>
                <w:bCs/>
                <w:color w:val="000000"/>
                <w:lang w:eastAsia="en-GB"/>
              </w:rPr>
            </w:pPr>
            <w:r w:rsidRPr="00B148F9">
              <w:rPr>
                <w:rFonts w:cs="Calibri"/>
                <w:b/>
                <w:bCs/>
                <w:color w:val="000000"/>
                <w:lang w:eastAsia="en-GB"/>
              </w:rPr>
              <w:t>“Annual Report”</w:t>
            </w:r>
          </w:p>
        </w:tc>
        <w:tc>
          <w:tcPr>
            <w:tcW w:w="6580" w:type="dxa"/>
            <w:tcBorders>
              <w:top w:val="nil"/>
              <w:left w:val="nil"/>
              <w:bottom w:val="nil"/>
              <w:right w:val="nil"/>
            </w:tcBorders>
            <w:shd w:val="clear" w:color="auto" w:fill="auto"/>
            <w:vAlign w:val="center"/>
          </w:tcPr>
          <w:p w14:paraId="73323683" w14:textId="77777777" w:rsidR="00FB130F" w:rsidRPr="00B148F9" w:rsidRDefault="00FB130F" w:rsidP="00D126DE">
            <w:pPr>
              <w:rPr>
                <w:rFonts w:cs="Calibri"/>
                <w:color w:val="000000"/>
                <w:lang w:eastAsia="en-GB"/>
              </w:rPr>
            </w:pPr>
            <w:r w:rsidRPr="00B148F9">
              <w:rPr>
                <w:rFonts w:cs="Calibri"/>
                <w:color w:val="000000"/>
                <w:lang w:eastAsia="en-GB"/>
              </w:rPr>
              <w:t>the Annual Report and Audited Financial Statements;</w:t>
            </w:r>
          </w:p>
        </w:tc>
      </w:tr>
      <w:tr w:rsidR="00FB130F" w:rsidRPr="00B148F9" w14:paraId="5CF40CBF" w14:textId="77777777" w:rsidTr="00617322">
        <w:trPr>
          <w:trHeight w:val="300"/>
        </w:trPr>
        <w:tc>
          <w:tcPr>
            <w:tcW w:w="2713" w:type="dxa"/>
            <w:tcBorders>
              <w:top w:val="nil"/>
              <w:left w:val="nil"/>
              <w:bottom w:val="nil"/>
              <w:right w:val="nil"/>
            </w:tcBorders>
            <w:shd w:val="clear" w:color="auto" w:fill="auto"/>
            <w:vAlign w:val="center"/>
          </w:tcPr>
          <w:p w14:paraId="2886279F"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3DAACFD6" w14:textId="77777777" w:rsidR="00FB130F" w:rsidRPr="00B148F9" w:rsidRDefault="00FB130F" w:rsidP="00D126DE">
            <w:pPr>
              <w:rPr>
                <w:rFonts w:cs="Calibri"/>
                <w:color w:val="000000"/>
                <w:lang w:eastAsia="en-GB"/>
              </w:rPr>
            </w:pPr>
          </w:p>
        </w:tc>
      </w:tr>
      <w:tr w:rsidR="00D87A1D" w:rsidRPr="00B148F9" w14:paraId="2B4C831A" w14:textId="77777777" w:rsidTr="00617322">
        <w:trPr>
          <w:trHeight w:val="300"/>
        </w:trPr>
        <w:tc>
          <w:tcPr>
            <w:tcW w:w="2713" w:type="dxa"/>
            <w:tcBorders>
              <w:top w:val="nil"/>
              <w:left w:val="nil"/>
              <w:bottom w:val="nil"/>
              <w:right w:val="nil"/>
            </w:tcBorders>
            <w:shd w:val="clear" w:color="auto" w:fill="auto"/>
            <w:vAlign w:val="center"/>
          </w:tcPr>
          <w:p w14:paraId="69DBFB2E" w14:textId="17245AA0" w:rsidR="00D87A1D" w:rsidRPr="00B148F9" w:rsidRDefault="00D87A1D" w:rsidP="00D126DE">
            <w:pPr>
              <w:rPr>
                <w:rFonts w:cs="Calibri"/>
                <w:b/>
                <w:bCs/>
                <w:color w:val="000000"/>
                <w:lang w:eastAsia="en-GB"/>
              </w:rPr>
            </w:pPr>
            <w:r w:rsidRPr="00B148F9">
              <w:rPr>
                <w:rFonts w:cs="Calibri"/>
                <w:b/>
                <w:bCs/>
                <w:color w:val="000000"/>
                <w:lang w:eastAsia="en-GB"/>
              </w:rPr>
              <w:t>“Antibody”</w:t>
            </w:r>
          </w:p>
        </w:tc>
        <w:tc>
          <w:tcPr>
            <w:tcW w:w="6580" w:type="dxa"/>
            <w:tcBorders>
              <w:top w:val="nil"/>
              <w:left w:val="nil"/>
              <w:bottom w:val="nil"/>
              <w:right w:val="nil"/>
            </w:tcBorders>
            <w:shd w:val="clear" w:color="auto" w:fill="auto"/>
            <w:vAlign w:val="center"/>
          </w:tcPr>
          <w:p w14:paraId="373FF2A5" w14:textId="220A7372" w:rsidR="00D87A1D" w:rsidRPr="00B148F9" w:rsidRDefault="00D87A1D">
            <w:pPr>
              <w:rPr>
                <w:rFonts w:cs="Calibri"/>
                <w:color w:val="000000"/>
                <w:lang w:eastAsia="en-GB"/>
              </w:rPr>
            </w:pPr>
            <w:r w:rsidRPr="00B148F9">
              <w:rPr>
                <w:rFonts w:cs="Calibri"/>
                <w:color w:val="000000"/>
              </w:rPr>
              <w:t xml:space="preserve">a large Y-shaped blood protein that can stick to the surface of a virus, bacteria or receptor on </w:t>
            </w:r>
            <w:r w:rsidR="00E03880" w:rsidRPr="00B148F9">
              <w:rPr>
                <w:rFonts w:cs="Calibri"/>
                <w:color w:val="000000"/>
              </w:rPr>
              <w:t xml:space="preserve">a </w:t>
            </w:r>
            <w:r w:rsidRPr="00B148F9">
              <w:rPr>
                <w:rFonts w:cs="Calibri"/>
                <w:color w:val="000000"/>
              </w:rPr>
              <w:t>cell;</w:t>
            </w:r>
          </w:p>
        </w:tc>
      </w:tr>
      <w:tr w:rsidR="00D87A1D" w:rsidRPr="00B148F9" w14:paraId="52DA9502" w14:textId="77777777" w:rsidTr="00617322">
        <w:trPr>
          <w:trHeight w:val="300"/>
        </w:trPr>
        <w:tc>
          <w:tcPr>
            <w:tcW w:w="2713" w:type="dxa"/>
            <w:tcBorders>
              <w:top w:val="nil"/>
              <w:left w:val="nil"/>
              <w:bottom w:val="nil"/>
              <w:right w:val="nil"/>
            </w:tcBorders>
            <w:shd w:val="clear" w:color="auto" w:fill="auto"/>
            <w:vAlign w:val="center"/>
          </w:tcPr>
          <w:p w14:paraId="2CE93BF6"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0AAE114E" w14:textId="77777777" w:rsidR="00D87A1D" w:rsidRPr="00B148F9" w:rsidRDefault="00D87A1D" w:rsidP="00D126DE">
            <w:pPr>
              <w:rPr>
                <w:rFonts w:cs="Calibri"/>
                <w:color w:val="000000"/>
                <w:lang w:eastAsia="en-GB"/>
              </w:rPr>
            </w:pPr>
          </w:p>
        </w:tc>
      </w:tr>
      <w:tr w:rsidR="00D87A1D" w:rsidRPr="00B148F9" w14:paraId="1B698C03" w14:textId="77777777" w:rsidTr="00617322">
        <w:trPr>
          <w:trHeight w:val="300"/>
        </w:trPr>
        <w:tc>
          <w:tcPr>
            <w:tcW w:w="2713" w:type="dxa"/>
            <w:tcBorders>
              <w:top w:val="nil"/>
              <w:left w:val="nil"/>
              <w:bottom w:val="nil"/>
              <w:right w:val="nil"/>
            </w:tcBorders>
            <w:shd w:val="clear" w:color="auto" w:fill="auto"/>
            <w:vAlign w:val="center"/>
          </w:tcPr>
          <w:p w14:paraId="0269C8B6" w14:textId="0B64DF89" w:rsidR="00D87A1D" w:rsidRPr="00B148F9" w:rsidRDefault="00D87A1D">
            <w:pPr>
              <w:rPr>
                <w:rFonts w:cs="Calibri"/>
                <w:b/>
                <w:bCs/>
                <w:color w:val="000000"/>
                <w:lang w:eastAsia="en-GB"/>
              </w:rPr>
            </w:pPr>
            <w:r w:rsidRPr="00B148F9">
              <w:rPr>
                <w:rFonts w:cs="Calibri"/>
                <w:b/>
                <w:bCs/>
                <w:color w:val="000000"/>
                <w:lang w:eastAsia="en-GB"/>
              </w:rPr>
              <w:t xml:space="preserve">“Antibody-Oligonucleotide Conjugates” </w:t>
            </w:r>
            <w:r w:rsidRPr="00B148F9">
              <w:rPr>
                <w:rFonts w:cs="Calibri"/>
                <w:bCs/>
                <w:color w:val="000000"/>
                <w:lang w:eastAsia="en-GB"/>
              </w:rPr>
              <w:t>or</w:t>
            </w:r>
            <w:r w:rsidRPr="00B148F9">
              <w:rPr>
                <w:rFonts w:cs="Calibri"/>
                <w:b/>
                <w:bCs/>
                <w:color w:val="000000"/>
                <w:lang w:eastAsia="en-GB"/>
              </w:rPr>
              <w:t xml:space="preserve"> “AOC”</w:t>
            </w:r>
          </w:p>
        </w:tc>
        <w:tc>
          <w:tcPr>
            <w:tcW w:w="6580" w:type="dxa"/>
            <w:tcBorders>
              <w:top w:val="nil"/>
              <w:left w:val="nil"/>
              <w:bottom w:val="nil"/>
              <w:right w:val="nil"/>
            </w:tcBorders>
            <w:shd w:val="clear" w:color="auto" w:fill="auto"/>
            <w:vAlign w:val="center"/>
          </w:tcPr>
          <w:p w14:paraId="2F4594C8" w14:textId="092E3DFC" w:rsidR="00D87A1D" w:rsidRPr="00B148F9" w:rsidRDefault="00D87A1D" w:rsidP="00D126DE">
            <w:pPr>
              <w:rPr>
                <w:rFonts w:cs="Calibri"/>
                <w:color w:val="000000"/>
                <w:lang w:eastAsia="en-GB"/>
              </w:rPr>
            </w:pPr>
            <w:r w:rsidRPr="00B148F9">
              <w:rPr>
                <w:rFonts w:cs="Calibri"/>
                <w:color w:val="000000"/>
              </w:rPr>
              <w:t>molecules that combine structures of an antibody and an oligo;</w:t>
            </w:r>
          </w:p>
        </w:tc>
      </w:tr>
      <w:tr w:rsidR="00D87A1D" w:rsidRPr="00B148F9" w14:paraId="1CB9A31D" w14:textId="77777777" w:rsidTr="00617322">
        <w:trPr>
          <w:trHeight w:val="300"/>
        </w:trPr>
        <w:tc>
          <w:tcPr>
            <w:tcW w:w="2713" w:type="dxa"/>
            <w:tcBorders>
              <w:top w:val="nil"/>
              <w:left w:val="nil"/>
              <w:bottom w:val="nil"/>
              <w:right w:val="nil"/>
            </w:tcBorders>
            <w:shd w:val="clear" w:color="auto" w:fill="auto"/>
            <w:vAlign w:val="center"/>
          </w:tcPr>
          <w:p w14:paraId="4596F0FB"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4AA7A6DF" w14:textId="77777777" w:rsidR="00D87A1D" w:rsidRPr="00B148F9" w:rsidRDefault="00D87A1D" w:rsidP="00D126DE">
            <w:pPr>
              <w:rPr>
                <w:rFonts w:cs="Calibri"/>
                <w:color w:val="000000"/>
                <w:lang w:eastAsia="en-GB"/>
              </w:rPr>
            </w:pPr>
          </w:p>
        </w:tc>
      </w:tr>
      <w:tr w:rsidR="00D87A1D" w:rsidRPr="00B148F9" w14:paraId="0842D224" w14:textId="77777777" w:rsidTr="00617322">
        <w:trPr>
          <w:trHeight w:val="300"/>
        </w:trPr>
        <w:tc>
          <w:tcPr>
            <w:tcW w:w="2713" w:type="dxa"/>
            <w:tcBorders>
              <w:top w:val="nil"/>
              <w:left w:val="nil"/>
              <w:bottom w:val="nil"/>
              <w:right w:val="nil"/>
            </w:tcBorders>
            <w:shd w:val="clear" w:color="auto" w:fill="auto"/>
            <w:vAlign w:val="center"/>
          </w:tcPr>
          <w:p w14:paraId="290D34F2" w14:textId="7976C348" w:rsidR="00D87A1D" w:rsidRPr="00B148F9" w:rsidRDefault="00D87A1D" w:rsidP="00D126DE">
            <w:pPr>
              <w:rPr>
                <w:rFonts w:cs="Calibri"/>
                <w:b/>
                <w:bCs/>
                <w:color w:val="000000"/>
                <w:lang w:eastAsia="en-GB"/>
              </w:rPr>
            </w:pPr>
            <w:r w:rsidRPr="00B148F9">
              <w:rPr>
                <w:rFonts w:cs="Calibri"/>
                <w:b/>
                <w:bCs/>
                <w:color w:val="000000"/>
                <w:lang w:eastAsia="en-GB"/>
              </w:rPr>
              <w:t>“Autoimmune diseases”</w:t>
            </w:r>
          </w:p>
        </w:tc>
        <w:tc>
          <w:tcPr>
            <w:tcW w:w="6580" w:type="dxa"/>
            <w:tcBorders>
              <w:top w:val="nil"/>
              <w:left w:val="nil"/>
              <w:bottom w:val="nil"/>
              <w:right w:val="nil"/>
            </w:tcBorders>
            <w:shd w:val="clear" w:color="auto" w:fill="auto"/>
            <w:vAlign w:val="center"/>
          </w:tcPr>
          <w:p w14:paraId="7AB4E1AE" w14:textId="06F3186F" w:rsidR="00D87A1D" w:rsidRPr="00B148F9" w:rsidRDefault="00D87A1D" w:rsidP="00D126DE">
            <w:pPr>
              <w:rPr>
                <w:rFonts w:cs="Calibri"/>
                <w:color w:val="000000"/>
                <w:lang w:eastAsia="en-GB"/>
              </w:rPr>
            </w:pPr>
            <w:r w:rsidRPr="00B148F9">
              <w:rPr>
                <w:rFonts w:cs="Calibri"/>
                <w:color w:val="000000"/>
              </w:rPr>
              <w:t>conditions, where the immune system mistakenly attacks a body tissue;</w:t>
            </w:r>
          </w:p>
        </w:tc>
      </w:tr>
      <w:tr w:rsidR="00D87A1D" w:rsidRPr="00B148F9" w14:paraId="353DCE56" w14:textId="77777777" w:rsidTr="00617322">
        <w:trPr>
          <w:trHeight w:val="300"/>
        </w:trPr>
        <w:tc>
          <w:tcPr>
            <w:tcW w:w="2713" w:type="dxa"/>
            <w:tcBorders>
              <w:top w:val="nil"/>
              <w:left w:val="nil"/>
              <w:bottom w:val="nil"/>
              <w:right w:val="nil"/>
            </w:tcBorders>
            <w:shd w:val="clear" w:color="auto" w:fill="auto"/>
            <w:vAlign w:val="center"/>
          </w:tcPr>
          <w:p w14:paraId="698630CE"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5C0B36AF" w14:textId="77777777" w:rsidR="00D87A1D" w:rsidRPr="00B148F9" w:rsidRDefault="00D87A1D" w:rsidP="00D126DE">
            <w:pPr>
              <w:rPr>
                <w:rFonts w:cs="Calibri"/>
                <w:color w:val="000000"/>
                <w:lang w:eastAsia="en-GB"/>
              </w:rPr>
            </w:pPr>
          </w:p>
        </w:tc>
      </w:tr>
      <w:tr w:rsidR="00D87A1D" w:rsidRPr="00B148F9" w14:paraId="2CDE4710" w14:textId="77777777" w:rsidTr="00617322">
        <w:trPr>
          <w:trHeight w:val="300"/>
        </w:trPr>
        <w:tc>
          <w:tcPr>
            <w:tcW w:w="2713" w:type="dxa"/>
            <w:tcBorders>
              <w:top w:val="nil"/>
              <w:left w:val="nil"/>
              <w:bottom w:val="nil"/>
              <w:right w:val="nil"/>
            </w:tcBorders>
            <w:shd w:val="clear" w:color="auto" w:fill="auto"/>
            <w:vAlign w:val="center"/>
          </w:tcPr>
          <w:p w14:paraId="1B1E0DFD" w14:textId="04D44E58" w:rsidR="00D87A1D" w:rsidRPr="00B148F9" w:rsidRDefault="00D87A1D" w:rsidP="00D126DE">
            <w:pPr>
              <w:rPr>
                <w:rFonts w:cs="Calibri"/>
                <w:b/>
                <w:bCs/>
                <w:color w:val="000000"/>
                <w:lang w:eastAsia="en-GB"/>
              </w:rPr>
            </w:pPr>
            <w:r w:rsidRPr="00B148F9">
              <w:rPr>
                <w:rFonts w:cs="Calibri"/>
                <w:b/>
                <w:bCs/>
                <w:color w:val="000000"/>
                <w:lang w:eastAsia="en-GB"/>
              </w:rPr>
              <w:t>“Avidity”</w:t>
            </w:r>
          </w:p>
        </w:tc>
        <w:tc>
          <w:tcPr>
            <w:tcW w:w="6580" w:type="dxa"/>
            <w:tcBorders>
              <w:top w:val="nil"/>
              <w:left w:val="nil"/>
              <w:bottom w:val="nil"/>
              <w:right w:val="nil"/>
            </w:tcBorders>
            <w:shd w:val="clear" w:color="auto" w:fill="auto"/>
            <w:vAlign w:val="center"/>
          </w:tcPr>
          <w:p w14:paraId="6B0B558F" w14:textId="71CF5C8C" w:rsidR="00D87A1D" w:rsidRPr="00B148F9" w:rsidRDefault="00D87A1D" w:rsidP="00D126DE">
            <w:pPr>
              <w:rPr>
                <w:rFonts w:cs="Calibri"/>
                <w:color w:val="000000"/>
                <w:lang w:eastAsia="en-GB"/>
              </w:rPr>
            </w:pPr>
            <w:r w:rsidRPr="00B148F9">
              <w:rPr>
                <w:rFonts w:cs="Calibri"/>
                <w:color w:val="000000"/>
              </w:rPr>
              <w:t>Avidity Biosciences, Inc.;</w:t>
            </w:r>
          </w:p>
        </w:tc>
      </w:tr>
      <w:tr w:rsidR="00D87A1D" w:rsidRPr="00B148F9" w14:paraId="0E0588E8" w14:textId="77777777" w:rsidTr="00617322">
        <w:trPr>
          <w:trHeight w:val="300"/>
        </w:trPr>
        <w:tc>
          <w:tcPr>
            <w:tcW w:w="2713" w:type="dxa"/>
            <w:tcBorders>
              <w:top w:val="nil"/>
              <w:left w:val="nil"/>
              <w:bottom w:val="nil"/>
              <w:right w:val="nil"/>
            </w:tcBorders>
            <w:shd w:val="clear" w:color="auto" w:fill="auto"/>
            <w:vAlign w:val="center"/>
          </w:tcPr>
          <w:p w14:paraId="22AE88E6"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CC6B474" w14:textId="77777777" w:rsidR="00D87A1D" w:rsidRPr="00B148F9" w:rsidRDefault="00D87A1D" w:rsidP="00D126DE">
            <w:pPr>
              <w:rPr>
                <w:rFonts w:cs="Calibri"/>
                <w:color w:val="000000"/>
                <w:lang w:eastAsia="en-GB"/>
              </w:rPr>
            </w:pPr>
          </w:p>
        </w:tc>
      </w:tr>
      <w:tr w:rsidR="00D87A1D" w:rsidRPr="00B148F9" w14:paraId="7333D299" w14:textId="77777777" w:rsidTr="00617322">
        <w:trPr>
          <w:trHeight w:val="300"/>
        </w:trPr>
        <w:tc>
          <w:tcPr>
            <w:tcW w:w="2713" w:type="dxa"/>
            <w:tcBorders>
              <w:top w:val="nil"/>
              <w:left w:val="nil"/>
              <w:bottom w:val="nil"/>
              <w:right w:val="nil"/>
            </w:tcBorders>
            <w:shd w:val="clear" w:color="auto" w:fill="auto"/>
            <w:vAlign w:val="center"/>
          </w:tcPr>
          <w:p w14:paraId="165EB98A" w14:textId="29327D8A" w:rsidR="00D87A1D" w:rsidRPr="00B148F9" w:rsidRDefault="00D87A1D" w:rsidP="00D126DE">
            <w:pPr>
              <w:rPr>
                <w:rFonts w:cs="Calibri"/>
                <w:b/>
                <w:bCs/>
                <w:color w:val="000000"/>
                <w:lang w:eastAsia="en-GB"/>
              </w:rPr>
            </w:pPr>
            <w:r w:rsidRPr="00B148F9">
              <w:rPr>
                <w:rFonts w:cs="Calibri"/>
                <w:b/>
                <w:bCs/>
                <w:color w:val="000000"/>
                <w:lang w:eastAsia="en-GB"/>
              </w:rPr>
              <w:t>“Beta Bionics”</w:t>
            </w:r>
          </w:p>
        </w:tc>
        <w:tc>
          <w:tcPr>
            <w:tcW w:w="6580" w:type="dxa"/>
            <w:tcBorders>
              <w:top w:val="nil"/>
              <w:left w:val="nil"/>
              <w:bottom w:val="nil"/>
              <w:right w:val="nil"/>
            </w:tcBorders>
            <w:shd w:val="clear" w:color="auto" w:fill="auto"/>
            <w:vAlign w:val="center"/>
          </w:tcPr>
          <w:p w14:paraId="4B00A7D7" w14:textId="32EC1192" w:rsidR="00D87A1D" w:rsidRPr="00B148F9" w:rsidRDefault="00D87A1D" w:rsidP="00D126DE">
            <w:pPr>
              <w:rPr>
                <w:rFonts w:cs="Calibri"/>
                <w:color w:val="000000"/>
                <w:lang w:eastAsia="en-GB"/>
              </w:rPr>
            </w:pPr>
            <w:r w:rsidRPr="00B148F9">
              <w:rPr>
                <w:rFonts w:cs="Calibri"/>
                <w:color w:val="000000"/>
              </w:rPr>
              <w:t>Beta Bionics, Inc.;</w:t>
            </w:r>
          </w:p>
        </w:tc>
      </w:tr>
      <w:tr w:rsidR="00D87A1D" w:rsidRPr="00B148F9" w14:paraId="517E3764" w14:textId="77777777" w:rsidTr="00617322">
        <w:trPr>
          <w:trHeight w:val="300"/>
        </w:trPr>
        <w:tc>
          <w:tcPr>
            <w:tcW w:w="2713" w:type="dxa"/>
            <w:tcBorders>
              <w:top w:val="nil"/>
              <w:left w:val="nil"/>
              <w:bottom w:val="nil"/>
              <w:right w:val="nil"/>
            </w:tcBorders>
            <w:shd w:val="clear" w:color="auto" w:fill="auto"/>
            <w:vAlign w:val="center"/>
          </w:tcPr>
          <w:p w14:paraId="3F8374B3"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3120C6FA" w14:textId="77777777" w:rsidR="00D87A1D" w:rsidRPr="00B148F9" w:rsidRDefault="00D87A1D" w:rsidP="00D126DE">
            <w:pPr>
              <w:rPr>
                <w:rFonts w:cs="Calibri"/>
                <w:color w:val="000000"/>
                <w:lang w:eastAsia="en-GB"/>
              </w:rPr>
            </w:pPr>
          </w:p>
        </w:tc>
      </w:tr>
      <w:tr w:rsidR="00D87A1D" w:rsidRPr="00B148F9" w14:paraId="50774A63" w14:textId="77777777" w:rsidTr="00617322">
        <w:trPr>
          <w:trHeight w:val="300"/>
        </w:trPr>
        <w:tc>
          <w:tcPr>
            <w:tcW w:w="2713" w:type="dxa"/>
            <w:tcBorders>
              <w:top w:val="nil"/>
              <w:left w:val="nil"/>
              <w:bottom w:val="nil"/>
              <w:right w:val="nil"/>
            </w:tcBorders>
            <w:shd w:val="clear" w:color="auto" w:fill="auto"/>
            <w:vAlign w:val="center"/>
          </w:tcPr>
          <w:p w14:paraId="1EDFD5CC" w14:textId="026517C9" w:rsidR="00D87A1D" w:rsidRPr="00B148F9" w:rsidRDefault="00D87A1D" w:rsidP="00D126DE">
            <w:pPr>
              <w:rPr>
                <w:rFonts w:cs="Calibri"/>
                <w:b/>
                <w:bCs/>
                <w:color w:val="000000"/>
                <w:lang w:eastAsia="en-GB"/>
              </w:rPr>
            </w:pPr>
            <w:r w:rsidRPr="00B148F9">
              <w:rPr>
                <w:rFonts w:cs="Calibri"/>
                <w:b/>
                <w:bCs/>
                <w:color w:val="000000"/>
                <w:lang w:eastAsia="en-GB"/>
              </w:rPr>
              <w:t>“Cardiovascular disease”</w:t>
            </w:r>
          </w:p>
        </w:tc>
        <w:tc>
          <w:tcPr>
            <w:tcW w:w="6580" w:type="dxa"/>
            <w:tcBorders>
              <w:top w:val="nil"/>
              <w:left w:val="nil"/>
              <w:bottom w:val="nil"/>
              <w:right w:val="nil"/>
            </w:tcBorders>
            <w:shd w:val="clear" w:color="auto" w:fill="auto"/>
            <w:vAlign w:val="center"/>
          </w:tcPr>
          <w:p w14:paraId="0C19AFBB" w14:textId="606C3894" w:rsidR="00D87A1D" w:rsidRPr="00B148F9" w:rsidRDefault="00D87A1D" w:rsidP="00D126DE">
            <w:pPr>
              <w:rPr>
                <w:rFonts w:cs="Calibri"/>
                <w:color w:val="000000"/>
                <w:lang w:eastAsia="en-GB"/>
              </w:rPr>
            </w:pPr>
            <w:r w:rsidRPr="00B148F9">
              <w:rPr>
                <w:rFonts w:cs="Calibri"/>
                <w:color w:val="000000"/>
              </w:rPr>
              <w:t>conditions affecting heart and vascular system;</w:t>
            </w:r>
          </w:p>
        </w:tc>
      </w:tr>
      <w:tr w:rsidR="00D87A1D" w:rsidRPr="00B148F9" w14:paraId="476C43AF" w14:textId="77777777" w:rsidTr="00617322">
        <w:trPr>
          <w:trHeight w:val="300"/>
        </w:trPr>
        <w:tc>
          <w:tcPr>
            <w:tcW w:w="2713" w:type="dxa"/>
            <w:tcBorders>
              <w:top w:val="nil"/>
              <w:left w:val="nil"/>
              <w:bottom w:val="nil"/>
              <w:right w:val="nil"/>
            </w:tcBorders>
            <w:shd w:val="clear" w:color="auto" w:fill="auto"/>
            <w:vAlign w:val="center"/>
          </w:tcPr>
          <w:p w14:paraId="07423BD8"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2FE78C8" w14:textId="77777777" w:rsidR="00D87A1D" w:rsidRPr="00B148F9" w:rsidRDefault="00D87A1D" w:rsidP="00D126DE">
            <w:pPr>
              <w:rPr>
                <w:rFonts w:cs="Calibri"/>
                <w:color w:val="000000"/>
                <w:lang w:eastAsia="en-GB"/>
              </w:rPr>
            </w:pPr>
          </w:p>
        </w:tc>
      </w:tr>
      <w:tr w:rsidR="00D87A1D" w:rsidRPr="00B148F9" w14:paraId="3BC76ECB" w14:textId="77777777" w:rsidTr="00617322">
        <w:trPr>
          <w:trHeight w:val="300"/>
        </w:trPr>
        <w:tc>
          <w:tcPr>
            <w:tcW w:w="2713" w:type="dxa"/>
            <w:tcBorders>
              <w:top w:val="nil"/>
              <w:left w:val="nil"/>
              <w:bottom w:val="nil"/>
              <w:right w:val="nil"/>
            </w:tcBorders>
            <w:shd w:val="clear" w:color="auto" w:fill="auto"/>
            <w:vAlign w:val="center"/>
          </w:tcPr>
          <w:p w14:paraId="51279F39" w14:textId="71576E70" w:rsidR="00D87A1D" w:rsidRPr="00B148F9" w:rsidRDefault="00D87A1D" w:rsidP="00D126DE">
            <w:pPr>
              <w:rPr>
                <w:rFonts w:cs="Calibri"/>
                <w:b/>
                <w:bCs/>
                <w:color w:val="000000"/>
                <w:lang w:eastAsia="en-GB"/>
              </w:rPr>
            </w:pPr>
            <w:r w:rsidRPr="00B148F9">
              <w:rPr>
                <w:rFonts w:cs="Calibri"/>
                <w:b/>
                <w:bCs/>
                <w:color w:val="000000"/>
                <w:lang w:eastAsia="en-GB"/>
              </w:rPr>
              <w:t>“CD18 protein”</w:t>
            </w:r>
          </w:p>
        </w:tc>
        <w:tc>
          <w:tcPr>
            <w:tcW w:w="6580" w:type="dxa"/>
            <w:tcBorders>
              <w:top w:val="nil"/>
              <w:left w:val="nil"/>
              <w:bottom w:val="nil"/>
              <w:right w:val="nil"/>
            </w:tcBorders>
            <w:shd w:val="clear" w:color="auto" w:fill="auto"/>
            <w:vAlign w:val="center"/>
          </w:tcPr>
          <w:p w14:paraId="78143F25" w14:textId="1E6A3ADB" w:rsidR="00D87A1D" w:rsidRPr="00B148F9" w:rsidRDefault="00D87A1D" w:rsidP="00D126DE">
            <w:pPr>
              <w:rPr>
                <w:rFonts w:cs="Calibri"/>
                <w:color w:val="000000"/>
                <w:lang w:eastAsia="en-GB"/>
              </w:rPr>
            </w:pPr>
            <w:r w:rsidRPr="00B148F9">
              <w:rPr>
                <w:rFonts w:cs="Calibri"/>
                <w:color w:val="000000"/>
              </w:rPr>
              <w:t>a protein that helps white blood cells adhere;</w:t>
            </w:r>
          </w:p>
        </w:tc>
      </w:tr>
      <w:tr w:rsidR="00D87A1D" w:rsidRPr="00B148F9" w14:paraId="561C61C0" w14:textId="77777777" w:rsidTr="00617322">
        <w:trPr>
          <w:trHeight w:val="300"/>
        </w:trPr>
        <w:tc>
          <w:tcPr>
            <w:tcW w:w="2713" w:type="dxa"/>
            <w:tcBorders>
              <w:top w:val="nil"/>
              <w:left w:val="nil"/>
              <w:bottom w:val="nil"/>
              <w:right w:val="nil"/>
            </w:tcBorders>
            <w:shd w:val="clear" w:color="auto" w:fill="auto"/>
            <w:vAlign w:val="center"/>
          </w:tcPr>
          <w:p w14:paraId="1A46F378"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2EF708E1" w14:textId="77777777" w:rsidR="00D87A1D" w:rsidRPr="00B148F9" w:rsidRDefault="00D87A1D" w:rsidP="00D126DE">
            <w:pPr>
              <w:rPr>
                <w:rFonts w:cs="Calibri"/>
                <w:color w:val="000000"/>
                <w:lang w:eastAsia="en-GB"/>
              </w:rPr>
            </w:pPr>
          </w:p>
        </w:tc>
      </w:tr>
      <w:tr w:rsidR="00D87A1D" w:rsidRPr="00B148F9" w14:paraId="0E1D9DFA" w14:textId="77777777" w:rsidTr="00617322">
        <w:trPr>
          <w:trHeight w:val="300"/>
        </w:trPr>
        <w:tc>
          <w:tcPr>
            <w:tcW w:w="2713" w:type="dxa"/>
            <w:tcBorders>
              <w:top w:val="nil"/>
              <w:left w:val="nil"/>
              <w:bottom w:val="nil"/>
              <w:right w:val="nil"/>
            </w:tcBorders>
            <w:shd w:val="clear" w:color="auto" w:fill="auto"/>
            <w:vAlign w:val="center"/>
          </w:tcPr>
          <w:p w14:paraId="6AF2CE4F" w14:textId="50DD925C" w:rsidR="00D87A1D" w:rsidRPr="00B148F9" w:rsidRDefault="00D87A1D" w:rsidP="00D126DE">
            <w:pPr>
              <w:rPr>
                <w:rFonts w:cs="Calibri"/>
                <w:b/>
                <w:bCs/>
                <w:color w:val="000000"/>
                <w:lang w:eastAsia="en-GB"/>
              </w:rPr>
            </w:pPr>
            <w:r w:rsidRPr="00B148F9">
              <w:rPr>
                <w:rFonts w:cs="Calibri"/>
                <w:b/>
                <w:bCs/>
                <w:color w:val="000000"/>
                <w:lang w:eastAsia="en-GB"/>
              </w:rPr>
              <w:t xml:space="preserve">“Clinical stage” </w:t>
            </w:r>
            <w:r w:rsidRPr="00B148F9">
              <w:rPr>
                <w:rFonts w:cs="Calibri"/>
                <w:bCs/>
                <w:color w:val="000000"/>
                <w:lang w:eastAsia="en-GB"/>
              </w:rPr>
              <w:t>or</w:t>
            </w:r>
            <w:r w:rsidRPr="00B148F9">
              <w:rPr>
                <w:rFonts w:cs="Calibri"/>
                <w:b/>
                <w:bCs/>
                <w:color w:val="000000"/>
                <w:lang w:eastAsia="en-GB"/>
              </w:rPr>
              <w:t xml:space="preserve"> “clinical trial”</w:t>
            </w:r>
          </w:p>
        </w:tc>
        <w:tc>
          <w:tcPr>
            <w:tcW w:w="6580" w:type="dxa"/>
            <w:tcBorders>
              <w:top w:val="nil"/>
              <w:left w:val="nil"/>
              <w:bottom w:val="nil"/>
              <w:right w:val="nil"/>
            </w:tcBorders>
            <w:shd w:val="clear" w:color="auto" w:fill="auto"/>
            <w:vAlign w:val="center"/>
          </w:tcPr>
          <w:p w14:paraId="7FE1A255" w14:textId="6A20010B" w:rsidR="00D87A1D" w:rsidRPr="00B148F9" w:rsidRDefault="00D87A1D" w:rsidP="00D126DE">
            <w:pPr>
              <w:rPr>
                <w:rFonts w:cs="Calibri"/>
                <w:color w:val="000000"/>
                <w:lang w:eastAsia="en-GB"/>
              </w:rPr>
            </w:pPr>
            <w:r w:rsidRPr="00B148F9">
              <w:rPr>
                <w:rFonts w:cs="Calibri"/>
                <w:color w:val="000000"/>
              </w:rPr>
              <w:t>a therapy in development goes through a number of clinical trials to ensure its safety and efficacy. The trials in human subjects range from Phase 1 to Phase 3. All studies done prior to clinical testing in human subjects are considered preclinical;</w:t>
            </w:r>
          </w:p>
        </w:tc>
      </w:tr>
      <w:tr w:rsidR="00D87A1D" w:rsidRPr="00B148F9" w14:paraId="490A712B" w14:textId="77777777" w:rsidTr="00617322">
        <w:trPr>
          <w:trHeight w:val="300"/>
        </w:trPr>
        <w:tc>
          <w:tcPr>
            <w:tcW w:w="2713" w:type="dxa"/>
            <w:tcBorders>
              <w:top w:val="nil"/>
              <w:left w:val="nil"/>
              <w:bottom w:val="nil"/>
              <w:right w:val="nil"/>
            </w:tcBorders>
            <w:shd w:val="clear" w:color="auto" w:fill="auto"/>
            <w:vAlign w:val="center"/>
          </w:tcPr>
          <w:p w14:paraId="52A79C29"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031EA0C6" w14:textId="77777777" w:rsidR="00D87A1D" w:rsidRPr="00B148F9" w:rsidRDefault="00D87A1D" w:rsidP="00D126DE">
            <w:pPr>
              <w:rPr>
                <w:rFonts w:cs="Calibri"/>
                <w:color w:val="000000"/>
                <w:lang w:eastAsia="en-GB"/>
              </w:rPr>
            </w:pPr>
          </w:p>
        </w:tc>
      </w:tr>
      <w:tr w:rsidR="00FB130F" w:rsidRPr="00B148F9" w14:paraId="688DE982" w14:textId="77777777" w:rsidTr="00617322">
        <w:trPr>
          <w:trHeight w:val="300"/>
        </w:trPr>
        <w:tc>
          <w:tcPr>
            <w:tcW w:w="2713" w:type="dxa"/>
            <w:tcBorders>
              <w:top w:val="nil"/>
              <w:left w:val="nil"/>
              <w:bottom w:val="nil"/>
              <w:right w:val="nil"/>
            </w:tcBorders>
            <w:shd w:val="clear" w:color="auto" w:fill="auto"/>
            <w:vAlign w:val="center"/>
            <w:hideMark/>
          </w:tcPr>
          <w:p w14:paraId="0F3BC9F6" w14:textId="77777777" w:rsidR="00FB130F" w:rsidRPr="00B148F9" w:rsidRDefault="00FB130F" w:rsidP="00D126DE">
            <w:pPr>
              <w:rPr>
                <w:rFonts w:cs="Calibri"/>
                <w:b/>
                <w:bCs/>
                <w:color w:val="000000"/>
                <w:lang w:eastAsia="en-GB"/>
              </w:rPr>
            </w:pPr>
            <w:r w:rsidRPr="00B148F9">
              <w:rPr>
                <w:rFonts w:cs="Calibri"/>
                <w:b/>
                <w:bCs/>
                <w:color w:val="000000"/>
                <w:lang w:eastAsia="en-GB"/>
              </w:rPr>
              <w:t>“Companies Law</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03BF9A45" w14:textId="1DA4B683" w:rsidR="00FB130F" w:rsidRPr="00B148F9" w:rsidRDefault="00FB130F" w:rsidP="00D126DE">
            <w:pPr>
              <w:rPr>
                <w:rFonts w:cs="Calibri"/>
                <w:color w:val="000000"/>
                <w:lang w:eastAsia="en-GB"/>
              </w:rPr>
            </w:pPr>
            <w:r w:rsidRPr="00B148F9">
              <w:rPr>
                <w:rFonts w:cs="Calibri"/>
                <w:color w:val="000000"/>
                <w:lang w:eastAsia="en-GB"/>
              </w:rPr>
              <w:t>the Companies (Guernsey) Law, 2008</w:t>
            </w:r>
            <w:r w:rsidR="00A06B17" w:rsidRPr="00B148F9">
              <w:rPr>
                <w:rFonts w:cs="Calibri"/>
                <w:color w:val="000000"/>
                <w:lang w:eastAsia="en-GB"/>
              </w:rPr>
              <w:t xml:space="preserve"> (as amended)</w:t>
            </w:r>
            <w:r w:rsidRPr="00B148F9">
              <w:rPr>
                <w:rFonts w:cs="Calibri"/>
                <w:color w:val="000000"/>
                <w:lang w:eastAsia="en-GB"/>
              </w:rPr>
              <w:t>;</w:t>
            </w:r>
          </w:p>
        </w:tc>
      </w:tr>
      <w:tr w:rsidR="00FB130F" w:rsidRPr="00B148F9" w14:paraId="33192ED0" w14:textId="77777777" w:rsidTr="00617322">
        <w:trPr>
          <w:trHeight w:val="300"/>
        </w:trPr>
        <w:tc>
          <w:tcPr>
            <w:tcW w:w="2713" w:type="dxa"/>
            <w:tcBorders>
              <w:top w:val="nil"/>
              <w:left w:val="nil"/>
              <w:bottom w:val="nil"/>
              <w:right w:val="nil"/>
            </w:tcBorders>
            <w:shd w:val="clear" w:color="auto" w:fill="auto"/>
            <w:vAlign w:val="center"/>
            <w:hideMark/>
          </w:tcPr>
          <w:p w14:paraId="27441305"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799A64C7" w14:textId="77777777" w:rsidR="00FB130F" w:rsidRPr="00B148F9" w:rsidRDefault="00FB130F" w:rsidP="00D126DE">
            <w:pPr>
              <w:rPr>
                <w:rFonts w:cs="Calibri"/>
                <w:color w:val="000000"/>
                <w:lang w:eastAsia="en-GB"/>
              </w:rPr>
            </w:pPr>
          </w:p>
        </w:tc>
      </w:tr>
      <w:tr w:rsidR="00FB130F" w:rsidRPr="00B148F9" w14:paraId="750ECE5E" w14:textId="77777777" w:rsidTr="00617322">
        <w:trPr>
          <w:trHeight w:val="1425"/>
        </w:trPr>
        <w:tc>
          <w:tcPr>
            <w:tcW w:w="2713" w:type="dxa"/>
            <w:tcBorders>
              <w:top w:val="nil"/>
              <w:left w:val="nil"/>
              <w:bottom w:val="nil"/>
              <w:right w:val="nil"/>
            </w:tcBorders>
            <w:shd w:val="clear" w:color="auto" w:fill="auto"/>
            <w:vAlign w:val="center"/>
            <w:hideMark/>
          </w:tcPr>
          <w:p w14:paraId="6825B99A" w14:textId="77777777" w:rsidR="00FB130F" w:rsidRPr="00B148F9" w:rsidRDefault="00FB130F" w:rsidP="00D126DE">
            <w:pPr>
              <w:rPr>
                <w:rFonts w:cs="Calibri"/>
                <w:b/>
                <w:bCs/>
                <w:color w:val="000000"/>
                <w:lang w:eastAsia="en-GB"/>
              </w:rPr>
            </w:pPr>
            <w:r w:rsidRPr="00B148F9">
              <w:rPr>
                <w:rFonts w:cs="Calibri"/>
                <w:b/>
                <w:bCs/>
                <w:color w:val="000000"/>
                <w:lang w:eastAsia="en-GB"/>
              </w:rPr>
              <w:t>“Company</w:t>
            </w:r>
            <w:r w:rsidRPr="00B148F9">
              <w:rPr>
                <w:rFonts w:cs="Calibri"/>
                <w:color w:val="000000"/>
                <w:lang w:eastAsia="en-GB"/>
              </w:rPr>
              <w:t>” or “</w:t>
            </w:r>
            <w:r w:rsidRPr="00B148F9">
              <w:rPr>
                <w:rFonts w:cs="Calibri"/>
                <w:b/>
                <w:bCs/>
                <w:color w:val="000000"/>
                <w:lang w:eastAsia="en-GB"/>
              </w:rPr>
              <w:t>RTW Venture Fund Limited</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0A4E3332" w14:textId="3EB97F4F" w:rsidR="00FB130F" w:rsidRPr="00B148F9" w:rsidRDefault="00FB130F" w:rsidP="00FB130F">
            <w:pPr>
              <w:autoSpaceDE w:val="0"/>
              <w:autoSpaceDN w:val="0"/>
              <w:adjustRightInd w:val="0"/>
              <w:rPr>
                <w:rFonts w:cs="Calibri"/>
                <w:color w:val="000000"/>
                <w:lang w:eastAsia="en-GB"/>
              </w:rPr>
            </w:pPr>
            <w:r w:rsidRPr="00B148F9">
              <w:rPr>
                <w:rFonts w:cs="AvenirNextLTPro-Regular"/>
              </w:rPr>
              <w:t xml:space="preserve">RTW Venture Fund Limited is a company incorporated in and controlled from Guernsey as a close-ended Investment Company. </w:t>
            </w:r>
            <w:r w:rsidRPr="00B148F9">
              <w:rPr>
                <w:rFonts w:eastAsia="Calibri" w:cs="AvenirNextLTPro-Regular"/>
                <w:lang w:eastAsia="en-GB"/>
              </w:rPr>
              <w:t>The Company has an unlimited life and is registered with the GFSC as a Registered Closed-ended Collective Investment Scheme. The registered office of the Company is PO Box 286, Floor 2, Trafalgar Court, Les Banques, St Peter Port, Guernsey, GY1 4LY</w:t>
            </w:r>
            <w:r w:rsidR="008E668F" w:rsidRPr="00B148F9">
              <w:rPr>
                <w:rFonts w:eastAsia="Calibri" w:cs="AvenirNextLTPro-Regular"/>
                <w:lang w:eastAsia="en-GB"/>
              </w:rPr>
              <w:t>;</w:t>
            </w:r>
          </w:p>
        </w:tc>
      </w:tr>
      <w:tr w:rsidR="00FB130F" w:rsidRPr="00B148F9" w14:paraId="3B55D19B" w14:textId="77777777" w:rsidTr="00617322">
        <w:trPr>
          <w:trHeight w:val="300"/>
        </w:trPr>
        <w:tc>
          <w:tcPr>
            <w:tcW w:w="2713" w:type="dxa"/>
            <w:tcBorders>
              <w:top w:val="nil"/>
              <w:left w:val="nil"/>
              <w:bottom w:val="nil"/>
              <w:right w:val="nil"/>
            </w:tcBorders>
            <w:shd w:val="clear" w:color="auto" w:fill="auto"/>
            <w:vAlign w:val="center"/>
            <w:hideMark/>
          </w:tcPr>
          <w:p w14:paraId="540FD7BF"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7ED48DEE" w14:textId="77777777" w:rsidR="00FB130F" w:rsidRPr="00B148F9" w:rsidRDefault="00FB130F" w:rsidP="00D126DE">
            <w:pPr>
              <w:rPr>
                <w:rFonts w:cs="Calibri"/>
                <w:color w:val="000000"/>
                <w:lang w:eastAsia="en-GB"/>
              </w:rPr>
            </w:pPr>
          </w:p>
        </w:tc>
      </w:tr>
      <w:tr w:rsidR="00FB130F" w:rsidRPr="00B148F9" w14:paraId="778AD0D5" w14:textId="77777777" w:rsidTr="00617322">
        <w:trPr>
          <w:trHeight w:val="300"/>
        </w:trPr>
        <w:tc>
          <w:tcPr>
            <w:tcW w:w="2713" w:type="dxa"/>
            <w:tcBorders>
              <w:top w:val="nil"/>
              <w:left w:val="nil"/>
              <w:bottom w:val="nil"/>
              <w:right w:val="nil"/>
            </w:tcBorders>
            <w:shd w:val="clear" w:color="auto" w:fill="auto"/>
            <w:vAlign w:val="center"/>
            <w:hideMark/>
          </w:tcPr>
          <w:p w14:paraId="665701BF" w14:textId="77777777" w:rsidR="00FB130F" w:rsidRPr="00B148F9" w:rsidRDefault="00FB130F" w:rsidP="00D126DE">
            <w:pPr>
              <w:rPr>
                <w:rFonts w:cs="Calibri"/>
                <w:b/>
                <w:bCs/>
                <w:color w:val="000000"/>
                <w:lang w:eastAsia="en-GB"/>
              </w:rPr>
            </w:pPr>
            <w:r w:rsidRPr="00B148F9">
              <w:rPr>
                <w:rFonts w:cs="Calibri"/>
                <w:b/>
                <w:bCs/>
                <w:color w:val="000000"/>
                <w:lang w:eastAsia="en-GB"/>
              </w:rPr>
              <w:t>“Company’s Articles</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32EADF71" w14:textId="77777777" w:rsidR="00FB130F" w:rsidRPr="00B148F9" w:rsidRDefault="00FB130F" w:rsidP="00D126DE">
            <w:pPr>
              <w:rPr>
                <w:rFonts w:cs="Calibri"/>
                <w:color w:val="000000"/>
                <w:lang w:eastAsia="en-GB"/>
              </w:rPr>
            </w:pPr>
            <w:r w:rsidRPr="00B148F9">
              <w:rPr>
                <w:rFonts w:cs="Calibri"/>
                <w:color w:val="000000"/>
                <w:lang w:eastAsia="en-GB"/>
              </w:rPr>
              <w:t>means the Company’s Articles of Incorporation;</w:t>
            </w:r>
          </w:p>
        </w:tc>
      </w:tr>
      <w:tr w:rsidR="00FB130F" w:rsidRPr="00B148F9" w14:paraId="266FBA20" w14:textId="77777777" w:rsidTr="00617322">
        <w:trPr>
          <w:trHeight w:val="300"/>
        </w:trPr>
        <w:tc>
          <w:tcPr>
            <w:tcW w:w="2713" w:type="dxa"/>
            <w:tcBorders>
              <w:top w:val="nil"/>
              <w:left w:val="nil"/>
              <w:bottom w:val="nil"/>
              <w:right w:val="nil"/>
            </w:tcBorders>
            <w:shd w:val="clear" w:color="auto" w:fill="auto"/>
            <w:vAlign w:val="center"/>
            <w:hideMark/>
          </w:tcPr>
          <w:p w14:paraId="4D48D809"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7E949D9E" w14:textId="77777777" w:rsidR="00FB130F" w:rsidRPr="00B148F9" w:rsidRDefault="00FB130F" w:rsidP="00D126DE">
            <w:pPr>
              <w:rPr>
                <w:rFonts w:cs="Calibri"/>
                <w:color w:val="000000"/>
                <w:lang w:eastAsia="en-GB"/>
              </w:rPr>
            </w:pPr>
          </w:p>
        </w:tc>
      </w:tr>
      <w:tr w:rsidR="00FB130F" w:rsidRPr="00B148F9" w14:paraId="139427BB" w14:textId="77777777" w:rsidTr="00617322">
        <w:trPr>
          <w:trHeight w:val="300"/>
        </w:trPr>
        <w:tc>
          <w:tcPr>
            <w:tcW w:w="2713" w:type="dxa"/>
            <w:tcBorders>
              <w:top w:val="nil"/>
              <w:left w:val="nil"/>
              <w:bottom w:val="nil"/>
              <w:right w:val="nil"/>
            </w:tcBorders>
            <w:shd w:val="clear" w:color="auto" w:fill="auto"/>
            <w:vAlign w:val="center"/>
            <w:hideMark/>
          </w:tcPr>
          <w:p w14:paraId="6DE581A7" w14:textId="1B3AE65A" w:rsidR="00FB130F" w:rsidRPr="00B148F9" w:rsidRDefault="00FB130F" w:rsidP="00D126DE">
            <w:pPr>
              <w:rPr>
                <w:rFonts w:cs="Calibri"/>
                <w:b/>
                <w:bCs/>
                <w:color w:val="000000"/>
                <w:lang w:eastAsia="en-GB"/>
              </w:rPr>
            </w:pPr>
            <w:r w:rsidRPr="00B148F9">
              <w:rPr>
                <w:rFonts w:cs="Calibri"/>
                <w:b/>
                <w:bCs/>
                <w:color w:val="000000"/>
                <w:lang w:eastAsia="en-GB"/>
              </w:rPr>
              <w:t>“Corporate Broker</w:t>
            </w:r>
            <w:r w:rsidR="000E3D4A" w:rsidRPr="00B148F9">
              <w:rPr>
                <w:rFonts w:cs="Calibri"/>
                <w:b/>
                <w:bCs/>
                <w:color w:val="000000"/>
                <w:lang w:eastAsia="en-GB"/>
              </w:rPr>
              <w:t>s</w:t>
            </w:r>
            <w:r w:rsidRPr="00B148F9">
              <w:rPr>
                <w:rFonts w:cs="Calibri"/>
                <w:b/>
                <w:bCs/>
                <w:color w:val="000000"/>
                <w:lang w:eastAsia="en-GB"/>
              </w:rPr>
              <w:t>”</w:t>
            </w:r>
          </w:p>
        </w:tc>
        <w:tc>
          <w:tcPr>
            <w:tcW w:w="6580" w:type="dxa"/>
            <w:tcBorders>
              <w:top w:val="nil"/>
              <w:left w:val="nil"/>
              <w:bottom w:val="nil"/>
              <w:right w:val="nil"/>
            </w:tcBorders>
            <w:shd w:val="clear" w:color="auto" w:fill="auto"/>
            <w:vAlign w:val="center"/>
            <w:hideMark/>
          </w:tcPr>
          <w:p w14:paraId="18ABD842" w14:textId="7D4C7A48" w:rsidR="00FB130F" w:rsidRPr="00B148F9" w:rsidRDefault="00FB130F" w:rsidP="00D050E5">
            <w:pPr>
              <w:rPr>
                <w:rFonts w:cs="Calibri"/>
                <w:color w:val="000000"/>
                <w:lang w:eastAsia="en-GB"/>
              </w:rPr>
            </w:pPr>
            <w:r w:rsidRPr="00B148F9">
              <w:rPr>
                <w:rFonts w:cs="Calibri"/>
                <w:color w:val="000000"/>
                <w:lang w:eastAsia="en-GB"/>
              </w:rPr>
              <w:t xml:space="preserve">being </w:t>
            </w:r>
            <w:r w:rsidR="000E3D4A" w:rsidRPr="00B148F9">
              <w:rPr>
                <w:rFonts w:cs="Calibri"/>
                <w:color w:val="000000"/>
                <w:lang w:eastAsia="en-GB"/>
              </w:rPr>
              <w:t xml:space="preserve">Barclays and </w:t>
            </w:r>
            <w:r w:rsidR="000E3D4A" w:rsidRPr="00B148F9">
              <w:rPr>
                <w:rFonts w:cs="Arial"/>
              </w:rPr>
              <w:t>J.P. Morgan Cazenove</w:t>
            </w:r>
            <w:r w:rsidRPr="00B148F9">
              <w:rPr>
                <w:rFonts w:cs="Calibri"/>
                <w:color w:val="000000"/>
                <w:lang w:eastAsia="en-GB"/>
              </w:rPr>
              <w:t>;</w:t>
            </w:r>
          </w:p>
        </w:tc>
      </w:tr>
      <w:tr w:rsidR="00FB130F" w:rsidRPr="00B148F9" w14:paraId="3D55AA90" w14:textId="77777777" w:rsidTr="00617322">
        <w:trPr>
          <w:trHeight w:val="300"/>
        </w:trPr>
        <w:tc>
          <w:tcPr>
            <w:tcW w:w="2713" w:type="dxa"/>
            <w:tcBorders>
              <w:top w:val="nil"/>
              <w:left w:val="nil"/>
              <w:bottom w:val="nil"/>
              <w:right w:val="nil"/>
            </w:tcBorders>
            <w:shd w:val="clear" w:color="auto" w:fill="auto"/>
            <w:vAlign w:val="center"/>
            <w:hideMark/>
          </w:tcPr>
          <w:p w14:paraId="35C4FCE9"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61275786" w14:textId="77777777" w:rsidR="00FB130F" w:rsidRPr="00B148F9" w:rsidRDefault="00FB130F" w:rsidP="00D126DE">
            <w:pPr>
              <w:rPr>
                <w:rFonts w:cs="Calibri"/>
                <w:color w:val="000000"/>
                <w:lang w:eastAsia="en-GB"/>
              </w:rPr>
            </w:pPr>
          </w:p>
        </w:tc>
      </w:tr>
      <w:tr w:rsidR="00D87A1D" w:rsidRPr="00B148F9" w14:paraId="69C2204D" w14:textId="77777777" w:rsidTr="00617322">
        <w:trPr>
          <w:trHeight w:val="300"/>
        </w:trPr>
        <w:tc>
          <w:tcPr>
            <w:tcW w:w="2713" w:type="dxa"/>
            <w:tcBorders>
              <w:top w:val="nil"/>
              <w:left w:val="nil"/>
              <w:bottom w:val="nil"/>
              <w:right w:val="nil"/>
            </w:tcBorders>
            <w:shd w:val="clear" w:color="auto" w:fill="auto"/>
            <w:vAlign w:val="center"/>
          </w:tcPr>
          <w:p w14:paraId="06FD3B75" w14:textId="437636E3" w:rsidR="00D87A1D" w:rsidRPr="00B148F9" w:rsidRDefault="00D87A1D" w:rsidP="00D126DE">
            <w:pPr>
              <w:rPr>
                <w:rFonts w:cs="Calibri"/>
                <w:b/>
                <w:bCs/>
                <w:color w:val="000000"/>
                <w:lang w:eastAsia="en-GB"/>
              </w:rPr>
            </w:pPr>
            <w:r w:rsidRPr="00B148F9">
              <w:rPr>
                <w:rFonts w:cs="Calibri"/>
                <w:b/>
                <w:bCs/>
                <w:color w:val="000000"/>
                <w:lang w:eastAsia="en-GB"/>
              </w:rPr>
              <w:t>“Crohn’s Disease”</w:t>
            </w:r>
          </w:p>
        </w:tc>
        <w:tc>
          <w:tcPr>
            <w:tcW w:w="6580" w:type="dxa"/>
            <w:tcBorders>
              <w:top w:val="nil"/>
              <w:left w:val="nil"/>
              <w:bottom w:val="nil"/>
              <w:right w:val="nil"/>
            </w:tcBorders>
            <w:shd w:val="clear" w:color="auto" w:fill="auto"/>
            <w:vAlign w:val="center"/>
          </w:tcPr>
          <w:p w14:paraId="3BDEB492" w14:textId="30A22EE4" w:rsidR="00D87A1D" w:rsidRPr="00B148F9" w:rsidRDefault="00D87A1D" w:rsidP="00D126DE">
            <w:pPr>
              <w:rPr>
                <w:rFonts w:cs="Calibri"/>
                <w:color w:val="000000"/>
                <w:lang w:eastAsia="en-GB"/>
              </w:rPr>
            </w:pPr>
            <w:r w:rsidRPr="00B148F9">
              <w:rPr>
                <w:rFonts w:cs="Calibri"/>
                <w:color w:val="000000"/>
              </w:rPr>
              <w:t>a condition, in which a part(s) of digestive tract is inflamed;</w:t>
            </w:r>
          </w:p>
        </w:tc>
      </w:tr>
      <w:tr w:rsidR="00D87A1D" w:rsidRPr="00B148F9" w14:paraId="431E750F" w14:textId="77777777" w:rsidTr="00617322">
        <w:trPr>
          <w:trHeight w:val="300"/>
        </w:trPr>
        <w:tc>
          <w:tcPr>
            <w:tcW w:w="2713" w:type="dxa"/>
            <w:tcBorders>
              <w:top w:val="nil"/>
              <w:left w:val="nil"/>
              <w:bottom w:val="nil"/>
              <w:right w:val="nil"/>
            </w:tcBorders>
            <w:shd w:val="clear" w:color="auto" w:fill="auto"/>
            <w:vAlign w:val="center"/>
          </w:tcPr>
          <w:p w14:paraId="48794291"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6EFB8B5E" w14:textId="77777777" w:rsidR="00D87A1D" w:rsidRPr="00B148F9" w:rsidRDefault="00D87A1D" w:rsidP="00D126DE">
            <w:pPr>
              <w:rPr>
                <w:rFonts w:cs="Calibri"/>
                <w:color w:val="000000"/>
                <w:lang w:eastAsia="en-GB"/>
              </w:rPr>
            </w:pPr>
          </w:p>
        </w:tc>
      </w:tr>
      <w:tr w:rsidR="00D87A1D" w:rsidRPr="00B148F9" w14:paraId="0F51C905" w14:textId="77777777" w:rsidTr="00617322">
        <w:trPr>
          <w:trHeight w:val="300"/>
        </w:trPr>
        <w:tc>
          <w:tcPr>
            <w:tcW w:w="2713" w:type="dxa"/>
            <w:tcBorders>
              <w:top w:val="nil"/>
              <w:left w:val="nil"/>
              <w:bottom w:val="nil"/>
              <w:right w:val="nil"/>
            </w:tcBorders>
            <w:shd w:val="clear" w:color="auto" w:fill="auto"/>
            <w:vAlign w:val="center"/>
          </w:tcPr>
          <w:p w14:paraId="74A00686" w14:textId="7323E79D" w:rsidR="00D87A1D" w:rsidRPr="00B148F9" w:rsidRDefault="00D87A1D" w:rsidP="00D126DE">
            <w:pPr>
              <w:rPr>
                <w:rFonts w:cs="Calibri"/>
                <w:b/>
                <w:bCs/>
                <w:color w:val="000000"/>
                <w:lang w:eastAsia="en-GB"/>
              </w:rPr>
            </w:pPr>
            <w:r w:rsidRPr="00B148F9">
              <w:rPr>
                <w:rFonts w:cs="Calibri"/>
                <w:b/>
                <w:bCs/>
                <w:color w:val="000000"/>
                <w:lang w:eastAsia="en-GB"/>
              </w:rPr>
              <w:t>“Cutaneous melanoma”</w:t>
            </w:r>
          </w:p>
        </w:tc>
        <w:tc>
          <w:tcPr>
            <w:tcW w:w="6580" w:type="dxa"/>
            <w:tcBorders>
              <w:top w:val="nil"/>
              <w:left w:val="nil"/>
              <w:bottom w:val="nil"/>
              <w:right w:val="nil"/>
            </w:tcBorders>
            <w:shd w:val="clear" w:color="auto" w:fill="auto"/>
            <w:vAlign w:val="center"/>
          </w:tcPr>
          <w:p w14:paraId="3A274368" w14:textId="1AD356A2" w:rsidR="00D87A1D" w:rsidRPr="00B148F9" w:rsidRDefault="00D87A1D" w:rsidP="00D126DE">
            <w:pPr>
              <w:rPr>
                <w:rFonts w:cs="Calibri"/>
                <w:color w:val="000000"/>
                <w:lang w:eastAsia="en-GB"/>
              </w:rPr>
            </w:pPr>
            <w:r w:rsidRPr="00B148F9">
              <w:rPr>
                <w:rFonts w:cs="Calibri"/>
                <w:color w:val="000000"/>
              </w:rPr>
              <w:t>a type of skin cancer;</w:t>
            </w:r>
          </w:p>
        </w:tc>
      </w:tr>
      <w:tr w:rsidR="00D87A1D" w:rsidRPr="00B148F9" w14:paraId="32800541" w14:textId="77777777" w:rsidTr="00617322">
        <w:trPr>
          <w:trHeight w:val="300"/>
        </w:trPr>
        <w:tc>
          <w:tcPr>
            <w:tcW w:w="2713" w:type="dxa"/>
            <w:tcBorders>
              <w:top w:val="nil"/>
              <w:left w:val="nil"/>
              <w:bottom w:val="nil"/>
              <w:right w:val="nil"/>
            </w:tcBorders>
            <w:shd w:val="clear" w:color="auto" w:fill="auto"/>
            <w:vAlign w:val="center"/>
          </w:tcPr>
          <w:p w14:paraId="490A5A0A"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2D2D00AF" w14:textId="77777777" w:rsidR="00D87A1D" w:rsidRPr="00B148F9" w:rsidRDefault="00D87A1D" w:rsidP="00D126DE">
            <w:pPr>
              <w:rPr>
                <w:rFonts w:cs="Calibri"/>
                <w:color w:val="000000"/>
                <w:lang w:eastAsia="en-GB"/>
              </w:rPr>
            </w:pPr>
          </w:p>
        </w:tc>
      </w:tr>
      <w:tr w:rsidR="00D87A1D" w:rsidRPr="00B148F9" w14:paraId="05C18F6A" w14:textId="77777777" w:rsidTr="00617322">
        <w:trPr>
          <w:trHeight w:val="300"/>
        </w:trPr>
        <w:tc>
          <w:tcPr>
            <w:tcW w:w="2713" w:type="dxa"/>
            <w:tcBorders>
              <w:top w:val="nil"/>
              <w:left w:val="nil"/>
              <w:bottom w:val="nil"/>
              <w:right w:val="nil"/>
            </w:tcBorders>
            <w:shd w:val="clear" w:color="auto" w:fill="auto"/>
            <w:vAlign w:val="center"/>
          </w:tcPr>
          <w:p w14:paraId="6E81172A" w14:textId="3A999512" w:rsidR="00D87A1D" w:rsidRPr="00B148F9" w:rsidRDefault="00D87A1D" w:rsidP="00D126DE">
            <w:pPr>
              <w:rPr>
                <w:rFonts w:cs="Calibri"/>
                <w:b/>
                <w:bCs/>
                <w:color w:val="000000"/>
                <w:lang w:eastAsia="en-GB"/>
              </w:rPr>
            </w:pPr>
            <w:r w:rsidRPr="00B148F9">
              <w:rPr>
                <w:rFonts w:cs="Calibri"/>
                <w:b/>
                <w:bCs/>
                <w:color w:val="000000"/>
                <w:lang w:eastAsia="en-GB"/>
              </w:rPr>
              <w:t>“Danon Disease”</w:t>
            </w:r>
          </w:p>
        </w:tc>
        <w:tc>
          <w:tcPr>
            <w:tcW w:w="6580" w:type="dxa"/>
            <w:tcBorders>
              <w:top w:val="nil"/>
              <w:left w:val="nil"/>
              <w:bottom w:val="nil"/>
              <w:right w:val="nil"/>
            </w:tcBorders>
            <w:shd w:val="clear" w:color="auto" w:fill="auto"/>
            <w:vAlign w:val="center"/>
          </w:tcPr>
          <w:p w14:paraId="69629380" w14:textId="67DF4537" w:rsidR="00D87A1D" w:rsidRPr="00B148F9" w:rsidRDefault="00D87A1D" w:rsidP="00D126DE">
            <w:pPr>
              <w:rPr>
                <w:rFonts w:cs="Calibri"/>
                <w:color w:val="000000"/>
                <w:lang w:eastAsia="en-GB"/>
              </w:rPr>
            </w:pPr>
            <w:r w:rsidRPr="00B148F9">
              <w:rPr>
                <w:rFonts w:cs="Calibri"/>
                <w:color w:val="000000"/>
              </w:rPr>
              <w:t>a rare genetic heart condition in children, predominantly boys;</w:t>
            </w:r>
          </w:p>
        </w:tc>
      </w:tr>
      <w:tr w:rsidR="00D87A1D" w:rsidRPr="00B148F9" w14:paraId="18DED6B2" w14:textId="77777777" w:rsidTr="00617322">
        <w:trPr>
          <w:trHeight w:val="300"/>
        </w:trPr>
        <w:tc>
          <w:tcPr>
            <w:tcW w:w="2713" w:type="dxa"/>
            <w:tcBorders>
              <w:top w:val="nil"/>
              <w:left w:val="nil"/>
              <w:bottom w:val="nil"/>
              <w:right w:val="nil"/>
            </w:tcBorders>
            <w:shd w:val="clear" w:color="auto" w:fill="auto"/>
            <w:vAlign w:val="center"/>
          </w:tcPr>
          <w:p w14:paraId="5711C3A9" w14:textId="77777777" w:rsidR="00D87A1D" w:rsidRPr="00B148F9" w:rsidRDefault="00D87A1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5F8BFFBD" w14:textId="77777777" w:rsidR="00D87A1D" w:rsidRPr="00B148F9" w:rsidRDefault="00D87A1D" w:rsidP="00D126DE">
            <w:pPr>
              <w:rPr>
                <w:rFonts w:cs="Calibri"/>
                <w:color w:val="000000"/>
                <w:lang w:eastAsia="en-GB"/>
              </w:rPr>
            </w:pPr>
          </w:p>
        </w:tc>
      </w:tr>
      <w:tr w:rsidR="00FB130F" w:rsidRPr="00B148F9" w14:paraId="1F5DFC9F" w14:textId="77777777" w:rsidTr="00617322">
        <w:trPr>
          <w:trHeight w:val="570"/>
        </w:trPr>
        <w:tc>
          <w:tcPr>
            <w:tcW w:w="2713" w:type="dxa"/>
            <w:tcBorders>
              <w:top w:val="nil"/>
              <w:left w:val="nil"/>
              <w:bottom w:val="nil"/>
              <w:right w:val="nil"/>
            </w:tcBorders>
            <w:shd w:val="clear" w:color="auto" w:fill="auto"/>
            <w:vAlign w:val="center"/>
            <w:hideMark/>
          </w:tcPr>
          <w:p w14:paraId="1A7D2BF5" w14:textId="77777777" w:rsidR="00FB130F" w:rsidRPr="00B148F9" w:rsidRDefault="00FB130F" w:rsidP="00D126DE">
            <w:pPr>
              <w:rPr>
                <w:rFonts w:cs="Calibri"/>
                <w:b/>
                <w:bCs/>
                <w:color w:val="000000"/>
                <w:lang w:eastAsia="en-GB"/>
              </w:rPr>
            </w:pPr>
            <w:r w:rsidRPr="00B148F9">
              <w:rPr>
                <w:rFonts w:cs="Calibri"/>
                <w:b/>
                <w:bCs/>
                <w:color w:val="000000"/>
                <w:lang w:eastAsia="en-GB"/>
              </w:rPr>
              <w:t>“Directors</w:t>
            </w:r>
            <w:r w:rsidRPr="00B148F9">
              <w:rPr>
                <w:rFonts w:cs="Calibri"/>
                <w:color w:val="000000"/>
                <w:lang w:eastAsia="en-GB"/>
              </w:rPr>
              <w:t>” or “</w:t>
            </w:r>
            <w:r w:rsidRPr="00B148F9">
              <w:rPr>
                <w:rFonts w:cs="Calibri"/>
                <w:b/>
                <w:bCs/>
                <w:color w:val="000000"/>
                <w:lang w:eastAsia="en-GB"/>
              </w:rPr>
              <w:t>Board</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4F0C2115" w14:textId="77777777" w:rsidR="00FB130F" w:rsidRPr="00B148F9" w:rsidRDefault="00FB130F" w:rsidP="00D126DE">
            <w:pPr>
              <w:rPr>
                <w:rFonts w:cs="Calibri"/>
                <w:color w:val="000000"/>
                <w:lang w:eastAsia="en-GB"/>
              </w:rPr>
            </w:pPr>
            <w:r w:rsidRPr="00B148F9">
              <w:rPr>
                <w:rFonts w:cs="Calibri"/>
                <w:color w:val="000000"/>
                <w:lang w:eastAsia="en-GB"/>
              </w:rPr>
              <w:t>the directors of the Company as at the date of this document and “Director” means any one of them;</w:t>
            </w:r>
          </w:p>
        </w:tc>
      </w:tr>
      <w:tr w:rsidR="009877DD" w:rsidRPr="00B148F9" w14:paraId="583ACFBC" w14:textId="77777777" w:rsidTr="00617322">
        <w:trPr>
          <w:trHeight w:val="300"/>
        </w:trPr>
        <w:tc>
          <w:tcPr>
            <w:tcW w:w="2713" w:type="dxa"/>
            <w:tcBorders>
              <w:top w:val="nil"/>
              <w:left w:val="nil"/>
              <w:bottom w:val="nil"/>
              <w:right w:val="nil"/>
            </w:tcBorders>
            <w:shd w:val="clear" w:color="auto" w:fill="auto"/>
            <w:vAlign w:val="center"/>
          </w:tcPr>
          <w:p w14:paraId="282434B1" w14:textId="77777777" w:rsidR="009877DD" w:rsidRPr="00B148F9" w:rsidRDefault="009877D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0062EB7" w14:textId="77777777" w:rsidR="009877DD" w:rsidRPr="00B148F9" w:rsidRDefault="009877DD" w:rsidP="00D126DE">
            <w:pPr>
              <w:rPr>
                <w:rFonts w:cs="Calibri"/>
                <w:color w:val="000000"/>
                <w:lang w:eastAsia="en-GB"/>
              </w:rPr>
            </w:pPr>
          </w:p>
        </w:tc>
      </w:tr>
      <w:tr w:rsidR="00FB130F" w:rsidRPr="00B148F9" w14:paraId="7D6C9FAB" w14:textId="77777777" w:rsidTr="00617322">
        <w:trPr>
          <w:trHeight w:val="300"/>
        </w:trPr>
        <w:tc>
          <w:tcPr>
            <w:tcW w:w="2713" w:type="dxa"/>
            <w:tcBorders>
              <w:top w:val="nil"/>
              <w:left w:val="nil"/>
              <w:bottom w:val="nil"/>
              <w:right w:val="nil"/>
            </w:tcBorders>
            <w:shd w:val="clear" w:color="auto" w:fill="auto"/>
            <w:vAlign w:val="center"/>
            <w:hideMark/>
          </w:tcPr>
          <w:p w14:paraId="73B11901" w14:textId="77777777" w:rsidR="00FB130F" w:rsidRPr="00B148F9" w:rsidRDefault="00FB130F" w:rsidP="00D126DE">
            <w:pPr>
              <w:rPr>
                <w:rFonts w:cs="Calibri"/>
                <w:b/>
                <w:bCs/>
                <w:color w:val="000000"/>
                <w:lang w:eastAsia="en-GB"/>
              </w:rPr>
            </w:pPr>
          </w:p>
          <w:p w14:paraId="6C1932DF" w14:textId="77777777" w:rsidR="00FB130F" w:rsidRPr="00B148F9" w:rsidRDefault="00FB130F" w:rsidP="00D126DE">
            <w:pPr>
              <w:rPr>
                <w:rFonts w:cs="Calibri"/>
                <w:b/>
                <w:bCs/>
                <w:color w:val="000000"/>
                <w:lang w:eastAsia="en-GB"/>
              </w:rPr>
            </w:pPr>
            <w:r w:rsidRPr="00B148F9">
              <w:rPr>
                <w:rFonts w:cs="Calibri"/>
                <w:b/>
                <w:bCs/>
                <w:color w:val="000000"/>
                <w:lang w:eastAsia="en-GB"/>
              </w:rPr>
              <w:t>“DTR”</w:t>
            </w:r>
          </w:p>
          <w:p w14:paraId="1DC18A6D"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24E8435A" w14:textId="2DA0B162" w:rsidR="00FB130F" w:rsidRPr="00B148F9" w:rsidRDefault="00FB130F" w:rsidP="00D126DE">
            <w:pPr>
              <w:rPr>
                <w:rFonts w:cs="Calibri"/>
                <w:color w:val="000000"/>
                <w:lang w:eastAsia="en-GB"/>
              </w:rPr>
            </w:pPr>
            <w:r w:rsidRPr="00B148F9">
              <w:rPr>
                <w:rFonts w:cs="Calibri"/>
                <w:color w:val="000000"/>
                <w:lang w:eastAsia="en-GB"/>
              </w:rPr>
              <w:lastRenderedPageBreak/>
              <w:t xml:space="preserve">Disclosure </w:t>
            </w:r>
            <w:r w:rsidR="00F06068" w:rsidRPr="00B148F9">
              <w:rPr>
                <w:rFonts w:cs="Calibri"/>
                <w:color w:val="000000"/>
                <w:lang w:eastAsia="en-GB"/>
              </w:rPr>
              <w:t xml:space="preserve">Guidance </w:t>
            </w:r>
            <w:r w:rsidRPr="00B148F9">
              <w:rPr>
                <w:rFonts w:cs="Calibri"/>
                <w:color w:val="000000"/>
                <w:lang w:eastAsia="en-GB"/>
              </w:rPr>
              <w:t>and Transparency Rules of the UK’s FCA;</w:t>
            </w:r>
          </w:p>
        </w:tc>
      </w:tr>
      <w:tr w:rsidR="009877DD" w:rsidRPr="00B148F9" w14:paraId="0579E202" w14:textId="77777777" w:rsidTr="00617322">
        <w:trPr>
          <w:trHeight w:val="300"/>
        </w:trPr>
        <w:tc>
          <w:tcPr>
            <w:tcW w:w="2713" w:type="dxa"/>
            <w:tcBorders>
              <w:top w:val="nil"/>
              <w:left w:val="nil"/>
              <w:bottom w:val="nil"/>
              <w:right w:val="nil"/>
            </w:tcBorders>
            <w:shd w:val="clear" w:color="auto" w:fill="auto"/>
            <w:vAlign w:val="center"/>
          </w:tcPr>
          <w:p w14:paraId="440725AD" w14:textId="77777777" w:rsidR="009877DD" w:rsidRPr="00B148F9" w:rsidRDefault="009877DD"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613D3DD4" w14:textId="77777777" w:rsidR="009877DD" w:rsidRPr="00B148F9" w:rsidRDefault="009877DD" w:rsidP="00D126DE">
            <w:pPr>
              <w:rPr>
                <w:rFonts w:cs="Calibri"/>
                <w:color w:val="000000"/>
                <w:lang w:eastAsia="en-GB"/>
              </w:rPr>
            </w:pPr>
          </w:p>
        </w:tc>
      </w:tr>
      <w:tr w:rsidR="00FB130F" w:rsidRPr="00B148F9" w14:paraId="673508FF" w14:textId="77777777" w:rsidTr="00617322">
        <w:trPr>
          <w:trHeight w:val="570"/>
        </w:trPr>
        <w:tc>
          <w:tcPr>
            <w:tcW w:w="2713" w:type="dxa"/>
            <w:tcBorders>
              <w:top w:val="nil"/>
              <w:left w:val="nil"/>
              <w:bottom w:val="nil"/>
              <w:right w:val="nil"/>
            </w:tcBorders>
            <w:shd w:val="clear" w:color="auto" w:fill="auto"/>
            <w:vAlign w:val="center"/>
            <w:hideMark/>
          </w:tcPr>
          <w:p w14:paraId="550F460C" w14:textId="77777777" w:rsidR="00FB130F" w:rsidRPr="00B148F9" w:rsidRDefault="00FB130F" w:rsidP="00D126DE">
            <w:pPr>
              <w:rPr>
                <w:rFonts w:cs="Calibri"/>
                <w:b/>
                <w:bCs/>
                <w:color w:val="000000"/>
                <w:lang w:eastAsia="en-GB"/>
              </w:rPr>
            </w:pPr>
            <w:r w:rsidRPr="00B148F9">
              <w:rPr>
                <w:rFonts w:cs="Calibri"/>
                <w:b/>
                <w:bCs/>
                <w:color w:val="000000"/>
                <w:lang w:eastAsia="en-GB"/>
              </w:rPr>
              <w:t>“EU</w:t>
            </w:r>
            <w:r w:rsidRPr="00B148F9">
              <w:rPr>
                <w:rFonts w:cs="Calibri"/>
                <w:color w:val="000000"/>
                <w:lang w:eastAsia="en-GB"/>
              </w:rPr>
              <w:t>” or “</w:t>
            </w:r>
            <w:r w:rsidRPr="00B148F9">
              <w:rPr>
                <w:rFonts w:cs="Calibri"/>
                <w:b/>
                <w:bCs/>
                <w:color w:val="000000"/>
                <w:lang w:eastAsia="en-GB"/>
              </w:rPr>
              <w:t>European Union</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45FF1E2A" w14:textId="77777777" w:rsidR="00FB130F" w:rsidRPr="00B148F9" w:rsidRDefault="00FB130F" w:rsidP="00D126DE">
            <w:pPr>
              <w:rPr>
                <w:rFonts w:cs="Calibri"/>
                <w:color w:val="000000"/>
                <w:lang w:eastAsia="en-GB"/>
              </w:rPr>
            </w:pPr>
            <w:r w:rsidRPr="00B148F9">
              <w:rPr>
                <w:rFonts w:cs="Calibri"/>
                <w:color w:val="000000"/>
                <w:lang w:eastAsia="en-GB"/>
              </w:rPr>
              <w:t>the European Union first established by the treaty made at Maastricht on 7 February 1992;</w:t>
            </w:r>
          </w:p>
        </w:tc>
      </w:tr>
      <w:tr w:rsidR="00FB130F" w:rsidRPr="00B148F9" w14:paraId="4024357C" w14:textId="77777777" w:rsidTr="00617322">
        <w:trPr>
          <w:trHeight w:val="300"/>
        </w:trPr>
        <w:tc>
          <w:tcPr>
            <w:tcW w:w="2713" w:type="dxa"/>
            <w:tcBorders>
              <w:top w:val="nil"/>
              <w:left w:val="nil"/>
              <w:bottom w:val="nil"/>
              <w:right w:val="nil"/>
            </w:tcBorders>
            <w:shd w:val="clear" w:color="auto" w:fill="auto"/>
            <w:vAlign w:val="center"/>
          </w:tcPr>
          <w:p w14:paraId="78A7135F"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3C9F2391" w14:textId="77777777" w:rsidR="00FB130F" w:rsidRPr="00B148F9" w:rsidRDefault="00FB130F" w:rsidP="00D126DE">
            <w:pPr>
              <w:rPr>
                <w:rFonts w:cs="Calibri"/>
                <w:color w:val="000000"/>
                <w:lang w:eastAsia="en-GB"/>
              </w:rPr>
            </w:pPr>
          </w:p>
        </w:tc>
      </w:tr>
      <w:tr w:rsidR="008A1A86" w:rsidRPr="00B148F9" w14:paraId="33FF4907" w14:textId="77777777" w:rsidTr="00617322">
        <w:trPr>
          <w:trHeight w:val="300"/>
        </w:trPr>
        <w:tc>
          <w:tcPr>
            <w:tcW w:w="2713" w:type="dxa"/>
            <w:tcBorders>
              <w:top w:val="nil"/>
              <w:left w:val="nil"/>
              <w:bottom w:val="nil"/>
              <w:right w:val="nil"/>
            </w:tcBorders>
            <w:shd w:val="clear" w:color="auto" w:fill="auto"/>
            <w:vAlign w:val="center"/>
          </w:tcPr>
          <w:p w14:paraId="6DAC1B01" w14:textId="080C14F6" w:rsidR="008A1A86" w:rsidRPr="00B148F9" w:rsidRDefault="008A1A86" w:rsidP="00D126DE">
            <w:pPr>
              <w:rPr>
                <w:rFonts w:cs="Calibri"/>
                <w:b/>
                <w:bCs/>
                <w:color w:val="000000"/>
                <w:lang w:eastAsia="en-GB"/>
              </w:rPr>
            </w:pPr>
            <w:r w:rsidRPr="00B148F9">
              <w:rPr>
                <w:rFonts w:cs="Calibri"/>
                <w:b/>
                <w:bCs/>
                <w:color w:val="000000"/>
                <w:lang w:eastAsia="en-GB"/>
              </w:rPr>
              <w:t>“Fanconi Anemia”</w:t>
            </w:r>
          </w:p>
        </w:tc>
        <w:tc>
          <w:tcPr>
            <w:tcW w:w="6580" w:type="dxa"/>
            <w:tcBorders>
              <w:top w:val="nil"/>
              <w:left w:val="nil"/>
              <w:bottom w:val="nil"/>
              <w:right w:val="nil"/>
            </w:tcBorders>
            <w:shd w:val="clear" w:color="auto" w:fill="auto"/>
            <w:vAlign w:val="center"/>
          </w:tcPr>
          <w:p w14:paraId="7E94F81C" w14:textId="1A97360B" w:rsidR="008A1A86" w:rsidRPr="00B148F9" w:rsidRDefault="008A1A86" w:rsidP="00D126DE">
            <w:pPr>
              <w:rPr>
                <w:rFonts w:cs="Calibri"/>
                <w:color w:val="000000"/>
                <w:lang w:eastAsia="en-GB"/>
              </w:rPr>
            </w:pPr>
            <w:r w:rsidRPr="00B148F9">
              <w:rPr>
                <w:rFonts w:cs="Calibri"/>
                <w:color w:val="000000"/>
              </w:rPr>
              <w:t>a rare genetic blood condition in young children;</w:t>
            </w:r>
          </w:p>
        </w:tc>
      </w:tr>
      <w:tr w:rsidR="008A1A86" w:rsidRPr="00B148F9" w14:paraId="418D0A9D" w14:textId="77777777" w:rsidTr="00617322">
        <w:trPr>
          <w:trHeight w:val="300"/>
        </w:trPr>
        <w:tc>
          <w:tcPr>
            <w:tcW w:w="2713" w:type="dxa"/>
            <w:tcBorders>
              <w:top w:val="nil"/>
              <w:left w:val="nil"/>
              <w:bottom w:val="nil"/>
              <w:right w:val="nil"/>
            </w:tcBorders>
            <w:shd w:val="clear" w:color="auto" w:fill="auto"/>
            <w:vAlign w:val="center"/>
          </w:tcPr>
          <w:p w14:paraId="09A508CB"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B4F055A" w14:textId="77777777" w:rsidR="008A1A86" w:rsidRPr="00B148F9" w:rsidRDefault="008A1A86" w:rsidP="00D126DE">
            <w:pPr>
              <w:rPr>
                <w:rFonts w:cs="Calibri"/>
                <w:color w:val="000000"/>
                <w:lang w:eastAsia="en-GB"/>
              </w:rPr>
            </w:pPr>
          </w:p>
        </w:tc>
      </w:tr>
      <w:tr w:rsidR="00FB130F" w:rsidRPr="00B148F9" w14:paraId="285CDE80" w14:textId="77777777" w:rsidTr="00617322">
        <w:trPr>
          <w:trHeight w:val="300"/>
        </w:trPr>
        <w:tc>
          <w:tcPr>
            <w:tcW w:w="2713" w:type="dxa"/>
            <w:tcBorders>
              <w:top w:val="nil"/>
              <w:left w:val="nil"/>
              <w:bottom w:val="nil"/>
              <w:right w:val="nil"/>
            </w:tcBorders>
            <w:shd w:val="clear" w:color="auto" w:fill="auto"/>
            <w:vAlign w:val="center"/>
          </w:tcPr>
          <w:p w14:paraId="2B35F601" w14:textId="77777777" w:rsidR="00FB130F" w:rsidRPr="00B148F9" w:rsidRDefault="00FB130F" w:rsidP="00D126DE">
            <w:pPr>
              <w:rPr>
                <w:rFonts w:cs="Calibri"/>
                <w:b/>
                <w:bCs/>
                <w:color w:val="000000"/>
                <w:lang w:eastAsia="en-GB"/>
              </w:rPr>
            </w:pPr>
            <w:r w:rsidRPr="00B148F9">
              <w:rPr>
                <w:rFonts w:cs="Calibri"/>
                <w:b/>
                <w:bCs/>
                <w:color w:val="000000"/>
                <w:lang w:eastAsia="en-GB"/>
              </w:rPr>
              <w:t>“FATCA”</w:t>
            </w:r>
          </w:p>
        </w:tc>
        <w:tc>
          <w:tcPr>
            <w:tcW w:w="6580" w:type="dxa"/>
            <w:tcBorders>
              <w:top w:val="nil"/>
              <w:left w:val="nil"/>
              <w:bottom w:val="nil"/>
              <w:right w:val="nil"/>
            </w:tcBorders>
            <w:shd w:val="clear" w:color="auto" w:fill="auto"/>
            <w:vAlign w:val="center"/>
          </w:tcPr>
          <w:p w14:paraId="502B4E04" w14:textId="77777777" w:rsidR="00FB130F" w:rsidRPr="00B148F9" w:rsidRDefault="00FB130F" w:rsidP="00D126DE">
            <w:pPr>
              <w:rPr>
                <w:rFonts w:cs="Calibri"/>
                <w:color w:val="000000"/>
                <w:lang w:eastAsia="en-GB"/>
              </w:rPr>
            </w:pPr>
            <w:r w:rsidRPr="00B148F9">
              <w:rPr>
                <w:rFonts w:cs="Calibri"/>
                <w:color w:val="000000"/>
                <w:lang w:eastAsia="en-GB"/>
              </w:rPr>
              <w:t>the Foreign Account Tax Compliance Act;</w:t>
            </w:r>
          </w:p>
        </w:tc>
      </w:tr>
      <w:tr w:rsidR="00FB130F" w:rsidRPr="00B148F9" w14:paraId="2F6D6B73" w14:textId="77777777" w:rsidTr="00617322">
        <w:trPr>
          <w:trHeight w:val="300"/>
        </w:trPr>
        <w:tc>
          <w:tcPr>
            <w:tcW w:w="2713" w:type="dxa"/>
            <w:tcBorders>
              <w:top w:val="nil"/>
              <w:left w:val="nil"/>
              <w:bottom w:val="nil"/>
              <w:right w:val="nil"/>
            </w:tcBorders>
            <w:shd w:val="clear" w:color="auto" w:fill="auto"/>
            <w:vAlign w:val="center"/>
          </w:tcPr>
          <w:p w14:paraId="0DD08F52"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51706D2" w14:textId="77777777" w:rsidR="00FB130F" w:rsidRPr="00B148F9" w:rsidRDefault="00FB130F" w:rsidP="00D126DE">
            <w:pPr>
              <w:rPr>
                <w:rFonts w:cs="Calibri"/>
                <w:color w:val="000000"/>
                <w:lang w:eastAsia="en-GB"/>
              </w:rPr>
            </w:pPr>
          </w:p>
        </w:tc>
      </w:tr>
      <w:tr w:rsidR="00FB130F" w:rsidRPr="00B148F9" w14:paraId="68570C47" w14:textId="77777777" w:rsidTr="00617322">
        <w:trPr>
          <w:trHeight w:val="300"/>
        </w:trPr>
        <w:tc>
          <w:tcPr>
            <w:tcW w:w="2713" w:type="dxa"/>
            <w:tcBorders>
              <w:top w:val="nil"/>
              <w:left w:val="nil"/>
              <w:bottom w:val="nil"/>
              <w:right w:val="nil"/>
            </w:tcBorders>
            <w:shd w:val="clear" w:color="auto" w:fill="auto"/>
            <w:vAlign w:val="center"/>
            <w:hideMark/>
          </w:tcPr>
          <w:p w14:paraId="13BFE75B" w14:textId="77777777" w:rsidR="00FB130F" w:rsidRPr="00B148F9" w:rsidRDefault="00FB130F" w:rsidP="00D126DE">
            <w:pPr>
              <w:rPr>
                <w:rFonts w:cs="Calibri"/>
                <w:b/>
                <w:bCs/>
                <w:color w:val="000000"/>
                <w:lang w:eastAsia="en-GB"/>
              </w:rPr>
            </w:pPr>
            <w:r w:rsidRPr="00B148F9">
              <w:rPr>
                <w:rFonts w:cs="Calibri"/>
                <w:b/>
                <w:bCs/>
                <w:color w:val="000000"/>
                <w:lang w:eastAsia="en-GB"/>
              </w:rPr>
              <w:t>“FCA</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441B59F6" w14:textId="77777777" w:rsidR="00FB130F" w:rsidRPr="00B148F9" w:rsidRDefault="00FB130F" w:rsidP="00D126DE">
            <w:pPr>
              <w:rPr>
                <w:rFonts w:cs="Calibri"/>
                <w:color w:val="000000"/>
                <w:lang w:eastAsia="en-GB"/>
              </w:rPr>
            </w:pPr>
            <w:r w:rsidRPr="00B148F9">
              <w:rPr>
                <w:rFonts w:cs="Calibri"/>
                <w:color w:val="000000"/>
                <w:lang w:eastAsia="en-GB"/>
              </w:rPr>
              <w:t>the Financial Conduct Authority;</w:t>
            </w:r>
          </w:p>
        </w:tc>
      </w:tr>
      <w:tr w:rsidR="00FB130F" w:rsidRPr="00B148F9" w14:paraId="706530FC" w14:textId="77777777" w:rsidTr="00617322">
        <w:trPr>
          <w:trHeight w:val="300"/>
        </w:trPr>
        <w:tc>
          <w:tcPr>
            <w:tcW w:w="2713" w:type="dxa"/>
            <w:tcBorders>
              <w:top w:val="nil"/>
              <w:left w:val="nil"/>
              <w:bottom w:val="nil"/>
              <w:right w:val="nil"/>
            </w:tcBorders>
            <w:shd w:val="clear" w:color="auto" w:fill="auto"/>
            <w:vAlign w:val="center"/>
          </w:tcPr>
          <w:p w14:paraId="6E7EFECB"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901AD61" w14:textId="77777777" w:rsidR="00FB130F" w:rsidRPr="00B148F9" w:rsidRDefault="00FB130F" w:rsidP="00D126DE">
            <w:pPr>
              <w:rPr>
                <w:rFonts w:cs="Calibri"/>
                <w:color w:val="000000"/>
                <w:lang w:eastAsia="en-GB"/>
              </w:rPr>
            </w:pPr>
          </w:p>
        </w:tc>
      </w:tr>
      <w:tr w:rsidR="00FB130F" w:rsidRPr="00B148F9" w14:paraId="2B7A69CD" w14:textId="77777777" w:rsidTr="00617322">
        <w:trPr>
          <w:trHeight w:val="855"/>
        </w:trPr>
        <w:tc>
          <w:tcPr>
            <w:tcW w:w="2713" w:type="dxa"/>
            <w:tcBorders>
              <w:top w:val="nil"/>
              <w:left w:val="nil"/>
              <w:bottom w:val="nil"/>
              <w:right w:val="nil"/>
            </w:tcBorders>
            <w:shd w:val="clear" w:color="auto" w:fill="auto"/>
            <w:vAlign w:val="center"/>
            <w:hideMark/>
          </w:tcPr>
          <w:p w14:paraId="75153013" w14:textId="77777777" w:rsidR="00FB130F" w:rsidRPr="00B148F9" w:rsidRDefault="00FB130F" w:rsidP="00D126DE">
            <w:pPr>
              <w:rPr>
                <w:rFonts w:cs="Calibri"/>
                <w:b/>
                <w:bCs/>
                <w:color w:val="000000"/>
                <w:lang w:eastAsia="en-GB"/>
              </w:rPr>
            </w:pPr>
            <w:r w:rsidRPr="00B148F9">
              <w:rPr>
                <w:rFonts w:cs="Calibri"/>
                <w:b/>
                <w:bCs/>
                <w:color w:val="000000"/>
                <w:lang w:eastAsia="en-GB"/>
              </w:rPr>
              <w:t>“FCA Rules</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48E244E9" w14:textId="77777777" w:rsidR="00FB130F" w:rsidRPr="00B148F9" w:rsidRDefault="00FB130F" w:rsidP="00D126DE">
            <w:pPr>
              <w:rPr>
                <w:rFonts w:cs="Calibri"/>
                <w:color w:val="000000"/>
                <w:lang w:eastAsia="en-GB"/>
              </w:rPr>
            </w:pPr>
            <w:r w:rsidRPr="00B148F9">
              <w:rPr>
                <w:rFonts w:cs="Calibri"/>
                <w:color w:val="000000"/>
                <w:lang w:eastAsia="en-GB"/>
              </w:rPr>
              <w:t>the rules or regulations issued or promulgated by the FCA from time to time and for the time being in force (as varied by any waiver or modification granted, or guidance given, by the FCA);</w:t>
            </w:r>
          </w:p>
        </w:tc>
      </w:tr>
      <w:tr w:rsidR="00FB130F" w:rsidRPr="00B148F9" w14:paraId="75790E47" w14:textId="77777777" w:rsidTr="00617322">
        <w:trPr>
          <w:trHeight w:val="300"/>
        </w:trPr>
        <w:tc>
          <w:tcPr>
            <w:tcW w:w="2713" w:type="dxa"/>
            <w:tcBorders>
              <w:top w:val="nil"/>
              <w:left w:val="nil"/>
              <w:bottom w:val="nil"/>
              <w:right w:val="nil"/>
            </w:tcBorders>
            <w:shd w:val="clear" w:color="auto" w:fill="auto"/>
            <w:vAlign w:val="center"/>
          </w:tcPr>
          <w:p w14:paraId="12399812"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468B9FAA" w14:textId="77777777" w:rsidR="00FB130F" w:rsidRPr="00B148F9" w:rsidRDefault="00FB130F" w:rsidP="00D126DE">
            <w:pPr>
              <w:rPr>
                <w:rFonts w:cs="Calibri"/>
                <w:color w:val="000000"/>
                <w:lang w:eastAsia="en-GB"/>
              </w:rPr>
            </w:pPr>
          </w:p>
        </w:tc>
      </w:tr>
      <w:tr w:rsidR="00DA63CF" w:rsidRPr="00B148F9" w14:paraId="77ABE1C6" w14:textId="77777777" w:rsidTr="00617322">
        <w:trPr>
          <w:trHeight w:val="300"/>
        </w:trPr>
        <w:tc>
          <w:tcPr>
            <w:tcW w:w="2713" w:type="dxa"/>
            <w:tcBorders>
              <w:top w:val="nil"/>
              <w:left w:val="nil"/>
              <w:bottom w:val="nil"/>
              <w:right w:val="nil"/>
            </w:tcBorders>
            <w:shd w:val="clear" w:color="auto" w:fill="auto"/>
            <w:vAlign w:val="center"/>
          </w:tcPr>
          <w:p w14:paraId="4457360D" w14:textId="31B6506B" w:rsidR="00DA63CF" w:rsidRPr="00B148F9" w:rsidRDefault="00DA63CF" w:rsidP="00D126DE">
            <w:pPr>
              <w:rPr>
                <w:rFonts w:cs="Calibri"/>
                <w:b/>
                <w:bCs/>
                <w:color w:val="000000"/>
                <w:lang w:eastAsia="en-GB"/>
              </w:rPr>
            </w:pPr>
            <w:r w:rsidRPr="00B148F9">
              <w:rPr>
                <w:rFonts w:cs="Calibri"/>
                <w:b/>
                <w:bCs/>
                <w:color w:val="000000"/>
                <w:lang w:eastAsia="en-GB"/>
              </w:rPr>
              <w:t>“FDA”</w:t>
            </w:r>
          </w:p>
        </w:tc>
        <w:tc>
          <w:tcPr>
            <w:tcW w:w="6580" w:type="dxa"/>
            <w:tcBorders>
              <w:top w:val="nil"/>
              <w:left w:val="nil"/>
              <w:bottom w:val="nil"/>
              <w:right w:val="nil"/>
            </w:tcBorders>
            <w:shd w:val="clear" w:color="auto" w:fill="auto"/>
            <w:vAlign w:val="center"/>
          </w:tcPr>
          <w:p w14:paraId="60C16E28" w14:textId="16843FAA" w:rsidR="00DA63CF" w:rsidRPr="00B148F9" w:rsidRDefault="00DA63CF" w:rsidP="00D126DE">
            <w:pPr>
              <w:rPr>
                <w:rFonts w:cs="Calibri"/>
                <w:color w:val="000000"/>
                <w:lang w:eastAsia="en-GB"/>
              </w:rPr>
            </w:pPr>
            <w:r w:rsidRPr="00B148F9">
              <w:rPr>
                <w:rFonts w:cs="Calibri"/>
                <w:color w:val="000000"/>
                <w:lang w:eastAsia="en-GB"/>
              </w:rPr>
              <w:t>the US Food and Drug Administration;</w:t>
            </w:r>
          </w:p>
        </w:tc>
      </w:tr>
      <w:tr w:rsidR="00DA63CF" w:rsidRPr="00B148F9" w14:paraId="73F03A76" w14:textId="77777777" w:rsidTr="00617322">
        <w:trPr>
          <w:trHeight w:val="300"/>
        </w:trPr>
        <w:tc>
          <w:tcPr>
            <w:tcW w:w="2713" w:type="dxa"/>
            <w:tcBorders>
              <w:top w:val="nil"/>
              <w:left w:val="nil"/>
              <w:bottom w:val="nil"/>
              <w:right w:val="nil"/>
            </w:tcBorders>
            <w:shd w:val="clear" w:color="auto" w:fill="auto"/>
            <w:vAlign w:val="center"/>
          </w:tcPr>
          <w:p w14:paraId="0339D67A" w14:textId="77777777" w:rsidR="00DA63CF" w:rsidRPr="00B148F9" w:rsidRDefault="00DA63C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5CE5B8D2" w14:textId="77777777" w:rsidR="00DA63CF" w:rsidRPr="00B148F9" w:rsidRDefault="00DA63CF" w:rsidP="00D126DE">
            <w:pPr>
              <w:rPr>
                <w:rFonts w:cs="Calibri"/>
                <w:color w:val="000000"/>
                <w:lang w:eastAsia="en-GB"/>
              </w:rPr>
            </w:pPr>
          </w:p>
        </w:tc>
      </w:tr>
      <w:tr w:rsidR="008A1A86" w:rsidRPr="00B148F9" w14:paraId="48ED5698" w14:textId="77777777" w:rsidTr="00617322">
        <w:trPr>
          <w:trHeight w:val="300"/>
        </w:trPr>
        <w:tc>
          <w:tcPr>
            <w:tcW w:w="2713" w:type="dxa"/>
            <w:tcBorders>
              <w:top w:val="nil"/>
              <w:left w:val="nil"/>
              <w:bottom w:val="nil"/>
              <w:right w:val="nil"/>
            </w:tcBorders>
            <w:shd w:val="clear" w:color="auto" w:fill="auto"/>
            <w:vAlign w:val="center"/>
          </w:tcPr>
          <w:p w14:paraId="7A7A49B3" w14:textId="5654AA51" w:rsidR="008A1A86" w:rsidRPr="00B148F9" w:rsidRDefault="008A1A86" w:rsidP="00D126DE">
            <w:pPr>
              <w:rPr>
                <w:rFonts w:cs="Calibri"/>
                <w:b/>
                <w:bCs/>
                <w:color w:val="000000"/>
                <w:lang w:eastAsia="en-GB"/>
              </w:rPr>
            </w:pPr>
            <w:r w:rsidRPr="00B148F9">
              <w:rPr>
                <w:rFonts w:cs="Calibri"/>
                <w:b/>
                <w:bCs/>
                <w:color w:val="000000"/>
                <w:lang w:eastAsia="en-GB"/>
              </w:rPr>
              <w:t>“FDA Breakthrough Device Designation”</w:t>
            </w:r>
          </w:p>
        </w:tc>
        <w:tc>
          <w:tcPr>
            <w:tcW w:w="6580" w:type="dxa"/>
            <w:tcBorders>
              <w:top w:val="nil"/>
              <w:left w:val="nil"/>
              <w:bottom w:val="nil"/>
              <w:right w:val="nil"/>
            </w:tcBorders>
            <w:shd w:val="clear" w:color="auto" w:fill="auto"/>
            <w:vAlign w:val="center"/>
          </w:tcPr>
          <w:p w14:paraId="406A4BDE" w14:textId="58547262" w:rsidR="008A1A86" w:rsidRPr="00B148F9" w:rsidRDefault="008A1A86" w:rsidP="00D126DE">
            <w:pPr>
              <w:rPr>
                <w:rFonts w:cs="Calibri"/>
                <w:color w:val="000000"/>
                <w:lang w:eastAsia="en-GB"/>
              </w:rPr>
            </w:pPr>
            <w:r w:rsidRPr="00B148F9">
              <w:rPr>
                <w:rFonts w:cs="Calibri"/>
                <w:color w:val="000000"/>
                <w:lang w:eastAsia="en-GB"/>
              </w:rPr>
              <w:t>a process designed to facilitate the development and expedite the review of the device that provides a more effective treatment or diagnosis of life-threatening or irreversibly debilitating human disease or conditions;</w:t>
            </w:r>
          </w:p>
        </w:tc>
      </w:tr>
      <w:tr w:rsidR="008A1A86" w:rsidRPr="00B148F9" w14:paraId="6D6BCEAB" w14:textId="77777777" w:rsidTr="00617322">
        <w:trPr>
          <w:trHeight w:val="300"/>
        </w:trPr>
        <w:tc>
          <w:tcPr>
            <w:tcW w:w="2713" w:type="dxa"/>
            <w:tcBorders>
              <w:top w:val="nil"/>
              <w:left w:val="nil"/>
              <w:bottom w:val="nil"/>
              <w:right w:val="nil"/>
            </w:tcBorders>
            <w:shd w:val="clear" w:color="auto" w:fill="auto"/>
            <w:vAlign w:val="center"/>
          </w:tcPr>
          <w:p w14:paraId="5524C252"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7E3FB766" w14:textId="77777777" w:rsidR="008A1A86" w:rsidRPr="00B148F9" w:rsidRDefault="008A1A86" w:rsidP="00D126DE">
            <w:pPr>
              <w:rPr>
                <w:rFonts w:cs="Calibri"/>
                <w:color w:val="000000"/>
                <w:lang w:eastAsia="en-GB"/>
              </w:rPr>
            </w:pPr>
          </w:p>
        </w:tc>
      </w:tr>
      <w:tr w:rsidR="008A1A86" w:rsidRPr="00B148F9" w14:paraId="61E5FE1A" w14:textId="77777777" w:rsidTr="00617322">
        <w:trPr>
          <w:trHeight w:val="300"/>
        </w:trPr>
        <w:tc>
          <w:tcPr>
            <w:tcW w:w="2713" w:type="dxa"/>
            <w:tcBorders>
              <w:top w:val="nil"/>
              <w:left w:val="nil"/>
              <w:bottom w:val="nil"/>
              <w:right w:val="nil"/>
            </w:tcBorders>
            <w:shd w:val="clear" w:color="auto" w:fill="auto"/>
            <w:vAlign w:val="center"/>
          </w:tcPr>
          <w:p w14:paraId="0CE62608" w14:textId="2AF62DCE" w:rsidR="008A1A86" w:rsidRPr="00B148F9" w:rsidRDefault="008A1A86" w:rsidP="00D126DE">
            <w:pPr>
              <w:rPr>
                <w:rFonts w:cs="Calibri"/>
                <w:b/>
                <w:bCs/>
                <w:color w:val="000000"/>
                <w:lang w:eastAsia="en-GB"/>
              </w:rPr>
            </w:pPr>
            <w:r w:rsidRPr="00B148F9">
              <w:rPr>
                <w:rFonts w:cs="Calibri"/>
                <w:b/>
                <w:bCs/>
                <w:color w:val="000000"/>
                <w:lang w:eastAsia="en-GB"/>
              </w:rPr>
              <w:t>“FDA Breakthrough Drug Designation”</w:t>
            </w:r>
          </w:p>
        </w:tc>
        <w:tc>
          <w:tcPr>
            <w:tcW w:w="6580" w:type="dxa"/>
            <w:tcBorders>
              <w:top w:val="nil"/>
              <w:left w:val="nil"/>
              <w:bottom w:val="nil"/>
              <w:right w:val="nil"/>
            </w:tcBorders>
            <w:shd w:val="clear" w:color="auto" w:fill="auto"/>
            <w:vAlign w:val="center"/>
          </w:tcPr>
          <w:p w14:paraId="744DA5FE" w14:textId="5FA796F1" w:rsidR="008A1A86" w:rsidRPr="00B148F9" w:rsidRDefault="008A1A86" w:rsidP="00D126DE">
            <w:pPr>
              <w:rPr>
                <w:rFonts w:cs="Calibri"/>
                <w:color w:val="000000"/>
                <w:lang w:eastAsia="en-GB"/>
              </w:rPr>
            </w:pPr>
            <w:r w:rsidRPr="00B148F9">
              <w:rPr>
                <w:rFonts w:cs="Calibri"/>
                <w:color w:val="000000"/>
              </w:rPr>
              <w:t>a process designed to expedite the development and review of drugs which may demonstrate substantial improvement over available therapy;</w:t>
            </w:r>
          </w:p>
        </w:tc>
      </w:tr>
      <w:tr w:rsidR="008A1A86" w:rsidRPr="00B148F9" w14:paraId="1F9E9CAA" w14:textId="77777777" w:rsidTr="00617322">
        <w:trPr>
          <w:trHeight w:val="300"/>
        </w:trPr>
        <w:tc>
          <w:tcPr>
            <w:tcW w:w="2713" w:type="dxa"/>
            <w:tcBorders>
              <w:top w:val="nil"/>
              <w:left w:val="nil"/>
              <w:bottom w:val="nil"/>
              <w:right w:val="nil"/>
            </w:tcBorders>
            <w:shd w:val="clear" w:color="auto" w:fill="auto"/>
            <w:vAlign w:val="center"/>
          </w:tcPr>
          <w:p w14:paraId="28A2143A"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6CEEC8EA" w14:textId="77777777" w:rsidR="008A1A86" w:rsidRPr="00B148F9" w:rsidRDefault="008A1A86" w:rsidP="00D126DE">
            <w:pPr>
              <w:rPr>
                <w:rFonts w:cs="Calibri"/>
                <w:color w:val="000000"/>
                <w:lang w:eastAsia="en-GB"/>
              </w:rPr>
            </w:pPr>
          </w:p>
        </w:tc>
      </w:tr>
      <w:tr w:rsidR="008A1A86" w:rsidRPr="00B148F9" w14:paraId="14D24C90" w14:textId="77777777" w:rsidTr="00617322">
        <w:trPr>
          <w:trHeight w:val="300"/>
        </w:trPr>
        <w:tc>
          <w:tcPr>
            <w:tcW w:w="2713" w:type="dxa"/>
            <w:tcBorders>
              <w:top w:val="nil"/>
              <w:left w:val="nil"/>
              <w:bottom w:val="nil"/>
              <w:right w:val="nil"/>
            </w:tcBorders>
            <w:shd w:val="clear" w:color="auto" w:fill="auto"/>
            <w:vAlign w:val="center"/>
          </w:tcPr>
          <w:p w14:paraId="496989DD" w14:textId="7D0D1ED0" w:rsidR="008A1A86" w:rsidRPr="00B148F9" w:rsidRDefault="008A1A86" w:rsidP="00D126DE">
            <w:pPr>
              <w:rPr>
                <w:rFonts w:cs="Calibri"/>
                <w:b/>
                <w:bCs/>
                <w:color w:val="000000"/>
                <w:lang w:eastAsia="en-GB"/>
              </w:rPr>
            </w:pPr>
            <w:r w:rsidRPr="00B148F9">
              <w:rPr>
                <w:rFonts w:cs="Calibri"/>
                <w:b/>
                <w:bCs/>
                <w:color w:val="000000"/>
                <w:lang w:eastAsia="en-GB"/>
              </w:rPr>
              <w:t>“FDA Fast Track designation”</w:t>
            </w:r>
          </w:p>
        </w:tc>
        <w:tc>
          <w:tcPr>
            <w:tcW w:w="6580" w:type="dxa"/>
            <w:tcBorders>
              <w:top w:val="nil"/>
              <w:left w:val="nil"/>
              <w:bottom w:val="nil"/>
              <w:right w:val="nil"/>
            </w:tcBorders>
            <w:shd w:val="clear" w:color="auto" w:fill="auto"/>
            <w:vAlign w:val="center"/>
          </w:tcPr>
          <w:p w14:paraId="70DACC08" w14:textId="0CA9949F" w:rsidR="008A1A86" w:rsidRPr="00B148F9" w:rsidRDefault="008A1A86" w:rsidP="00D126DE">
            <w:pPr>
              <w:rPr>
                <w:rFonts w:cs="Calibri"/>
                <w:color w:val="000000"/>
                <w:lang w:eastAsia="en-GB"/>
              </w:rPr>
            </w:pPr>
            <w:r w:rsidRPr="00B148F9">
              <w:rPr>
                <w:rFonts w:cs="Calibri"/>
                <w:color w:val="000000"/>
              </w:rPr>
              <w:t>a process designed to facilitate the development and expedite the review of drugs to treat serious conditions and fill an unmet medical need;</w:t>
            </w:r>
          </w:p>
        </w:tc>
      </w:tr>
      <w:tr w:rsidR="008A1A86" w:rsidRPr="00B148F9" w14:paraId="0F2E146C" w14:textId="77777777" w:rsidTr="00617322">
        <w:trPr>
          <w:trHeight w:val="300"/>
        </w:trPr>
        <w:tc>
          <w:tcPr>
            <w:tcW w:w="2713" w:type="dxa"/>
            <w:tcBorders>
              <w:top w:val="nil"/>
              <w:left w:val="nil"/>
              <w:bottom w:val="nil"/>
              <w:right w:val="nil"/>
            </w:tcBorders>
            <w:shd w:val="clear" w:color="auto" w:fill="auto"/>
            <w:vAlign w:val="center"/>
          </w:tcPr>
          <w:p w14:paraId="3A7EE0C8"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30823B6A" w14:textId="77777777" w:rsidR="008A1A86" w:rsidRPr="00B148F9" w:rsidRDefault="008A1A86" w:rsidP="00D126DE">
            <w:pPr>
              <w:rPr>
                <w:rFonts w:cs="Calibri"/>
                <w:color w:val="000000"/>
                <w:lang w:eastAsia="en-GB"/>
              </w:rPr>
            </w:pPr>
          </w:p>
        </w:tc>
      </w:tr>
      <w:tr w:rsidR="00FB130F" w:rsidRPr="00B148F9" w14:paraId="19394DF4" w14:textId="77777777" w:rsidTr="00617322">
        <w:trPr>
          <w:trHeight w:val="300"/>
        </w:trPr>
        <w:tc>
          <w:tcPr>
            <w:tcW w:w="2713" w:type="dxa"/>
            <w:tcBorders>
              <w:top w:val="nil"/>
              <w:left w:val="nil"/>
              <w:bottom w:val="nil"/>
              <w:right w:val="nil"/>
            </w:tcBorders>
            <w:shd w:val="clear" w:color="auto" w:fill="auto"/>
            <w:vAlign w:val="center"/>
          </w:tcPr>
          <w:p w14:paraId="4025AB9C" w14:textId="77777777" w:rsidR="00FB130F" w:rsidRPr="00B148F9" w:rsidRDefault="00FB130F" w:rsidP="00D126DE">
            <w:pPr>
              <w:rPr>
                <w:rFonts w:cs="Calibri"/>
                <w:b/>
                <w:bCs/>
                <w:color w:val="000000"/>
                <w:lang w:eastAsia="en-GB"/>
              </w:rPr>
            </w:pPr>
            <w:r w:rsidRPr="00B148F9">
              <w:rPr>
                <w:rFonts w:cs="Calibri"/>
                <w:b/>
                <w:bCs/>
                <w:color w:val="000000"/>
                <w:lang w:eastAsia="en-GB"/>
              </w:rPr>
              <w:t>“FRC”</w:t>
            </w:r>
          </w:p>
        </w:tc>
        <w:tc>
          <w:tcPr>
            <w:tcW w:w="6580" w:type="dxa"/>
            <w:tcBorders>
              <w:top w:val="nil"/>
              <w:left w:val="nil"/>
              <w:bottom w:val="nil"/>
              <w:right w:val="nil"/>
            </w:tcBorders>
            <w:shd w:val="clear" w:color="auto" w:fill="auto"/>
            <w:vAlign w:val="center"/>
          </w:tcPr>
          <w:p w14:paraId="00355638" w14:textId="77777777" w:rsidR="00FB130F" w:rsidRPr="00B148F9" w:rsidRDefault="00FB130F" w:rsidP="00D126DE">
            <w:pPr>
              <w:rPr>
                <w:rFonts w:cs="Calibri"/>
                <w:color w:val="000000"/>
                <w:lang w:eastAsia="en-GB"/>
              </w:rPr>
            </w:pPr>
            <w:r w:rsidRPr="00B148F9">
              <w:rPr>
                <w:rFonts w:cs="Calibri"/>
                <w:color w:val="000000"/>
                <w:lang w:eastAsia="en-GB"/>
              </w:rPr>
              <w:t>the Financial Reporting Council;</w:t>
            </w:r>
          </w:p>
        </w:tc>
      </w:tr>
      <w:tr w:rsidR="008A1A86" w:rsidRPr="00B148F9" w14:paraId="71BA6346" w14:textId="77777777" w:rsidTr="00617322">
        <w:trPr>
          <w:trHeight w:val="300"/>
        </w:trPr>
        <w:tc>
          <w:tcPr>
            <w:tcW w:w="2713" w:type="dxa"/>
            <w:tcBorders>
              <w:top w:val="nil"/>
              <w:left w:val="nil"/>
              <w:bottom w:val="nil"/>
              <w:right w:val="nil"/>
            </w:tcBorders>
            <w:shd w:val="clear" w:color="auto" w:fill="auto"/>
            <w:vAlign w:val="center"/>
          </w:tcPr>
          <w:p w14:paraId="0E145706"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3D5B46DD" w14:textId="77777777" w:rsidR="008A1A86" w:rsidRPr="00B148F9" w:rsidRDefault="008A1A86" w:rsidP="00D126DE">
            <w:pPr>
              <w:rPr>
                <w:rFonts w:cs="Calibri"/>
                <w:color w:val="000000"/>
                <w:lang w:eastAsia="en-GB"/>
              </w:rPr>
            </w:pPr>
          </w:p>
        </w:tc>
      </w:tr>
      <w:tr w:rsidR="008A1A86" w:rsidRPr="00B148F9" w14:paraId="7C370413" w14:textId="77777777" w:rsidTr="00617322">
        <w:trPr>
          <w:trHeight w:val="300"/>
        </w:trPr>
        <w:tc>
          <w:tcPr>
            <w:tcW w:w="2713" w:type="dxa"/>
            <w:tcBorders>
              <w:top w:val="nil"/>
              <w:left w:val="nil"/>
              <w:bottom w:val="nil"/>
              <w:right w:val="nil"/>
            </w:tcBorders>
            <w:shd w:val="clear" w:color="auto" w:fill="auto"/>
            <w:vAlign w:val="center"/>
          </w:tcPr>
          <w:p w14:paraId="040B985A" w14:textId="555A9F99" w:rsidR="008A1A86" w:rsidRPr="00B148F9" w:rsidRDefault="008A1A86" w:rsidP="00D126DE">
            <w:pPr>
              <w:rPr>
                <w:rFonts w:cs="Calibri"/>
                <w:b/>
                <w:bCs/>
                <w:color w:val="000000"/>
                <w:lang w:eastAsia="en-GB"/>
              </w:rPr>
            </w:pPr>
            <w:r w:rsidRPr="00B148F9">
              <w:rPr>
                <w:rFonts w:cs="Calibri"/>
                <w:b/>
                <w:bCs/>
                <w:color w:val="000000"/>
                <w:lang w:eastAsia="en-GB"/>
              </w:rPr>
              <w:t>“Frequency”</w:t>
            </w:r>
          </w:p>
        </w:tc>
        <w:tc>
          <w:tcPr>
            <w:tcW w:w="6580" w:type="dxa"/>
            <w:tcBorders>
              <w:top w:val="nil"/>
              <w:left w:val="nil"/>
              <w:bottom w:val="nil"/>
              <w:right w:val="nil"/>
            </w:tcBorders>
            <w:shd w:val="clear" w:color="auto" w:fill="auto"/>
            <w:vAlign w:val="center"/>
          </w:tcPr>
          <w:p w14:paraId="4BE0700A" w14:textId="44717CEF" w:rsidR="008A1A86" w:rsidRPr="00B148F9" w:rsidRDefault="008A1A86" w:rsidP="00D126DE">
            <w:pPr>
              <w:rPr>
                <w:rFonts w:cs="Calibri"/>
                <w:color w:val="000000"/>
                <w:lang w:eastAsia="en-GB"/>
              </w:rPr>
            </w:pPr>
            <w:r w:rsidRPr="00B148F9">
              <w:rPr>
                <w:rFonts w:cs="Calibri"/>
                <w:color w:val="000000"/>
              </w:rPr>
              <w:t>Frequency Therapeutics, Inc.;</w:t>
            </w:r>
          </w:p>
        </w:tc>
      </w:tr>
      <w:tr w:rsidR="008A1A86" w:rsidRPr="00B148F9" w14:paraId="509DA92A" w14:textId="77777777" w:rsidTr="00617322">
        <w:trPr>
          <w:trHeight w:val="300"/>
        </w:trPr>
        <w:tc>
          <w:tcPr>
            <w:tcW w:w="2713" w:type="dxa"/>
            <w:tcBorders>
              <w:top w:val="nil"/>
              <w:left w:val="nil"/>
              <w:bottom w:val="nil"/>
              <w:right w:val="nil"/>
            </w:tcBorders>
            <w:shd w:val="clear" w:color="auto" w:fill="auto"/>
            <w:vAlign w:val="center"/>
          </w:tcPr>
          <w:p w14:paraId="11DF60AF"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418CC63B" w14:textId="77777777" w:rsidR="008A1A86" w:rsidRPr="00B148F9" w:rsidRDefault="008A1A86" w:rsidP="00D126DE">
            <w:pPr>
              <w:rPr>
                <w:rFonts w:cs="Calibri"/>
                <w:color w:val="000000"/>
                <w:lang w:eastAsia="en-GB"/>
              </w:rPr>
            </w:pPr>
          </w:p>
        </w:tc>
      </w:tr>
      <w:tr w:rsidR="008A1A86" w:rsidRPr="00B148F9" w14:paraId="15D00F72" w14:textId="77777777" w:rsidTr="00617322">
        <w:trPr>
          <w:trHeight w:val="300"/>
        </w:trPr>
        <w:tc>
          <w:tcPr>
            <w:tcW w:w="2713" w:type="dxa"/>
            <w:tcBorders>
              <w:top w:val="nil"/>
              <w:left w:val="nil"/>
              <w:bottom w:val="nil"/>
              <w:right w:val="nil"/>
            </w:tcBorders>
            <w:shd w:val="clear" w:color="auto" w:fill="auto"/>
            <w:vAlign w:val="center"/>
          </w:tcPr>
          <w:p w14:paraId="202C365C" w14:textId="5EB74980" w:rsidR="008A1A86" w:rsidRPr="00B148F9" w:rsidRDefault="008A1A86" w:rsidP="00D126DE">
            <w:pPr>
              <w:rPr>
                <w:rFonts w:cs="Calibri"/>
                <w:b/>
                <w:bCs/>
                <w:color w:val="000000"/>
                <w:lang w:eastAsia="en-GB"/>
              </w:rPr>
            </w:pPr>
            <w:r w:rsidRPr="00B148F9">
              <w:rPr>
                <w:rFonts w:cs="Calibri"/>
                <w:b/>
                <w:bCs/>
                <w:color w:val="000000"/>
                <w:lang w:eastAsia="en-GB"/>
              </w:rPr>
              <w:t>“Gene therapy”</w:t>
            </w:r>
          </w:p>
        </w:tc>
        <w:tc>
          <w:tcPr>
            <w:tcW w:w="6580" w:type="dxa"/>
            <w:tcBorders>
              <w:top w:val="nil"/>
              <w:left w:val="nil"/>
              <w:bottom w:val="nil"/>
              <w:right w:val="nil"/>
            </w:tcBorders>
            <w:shd w:val="clear" w:color="auto" w:fill="auto"/>
            <w:vAlign w:val="center"/>
          </w:tcPr>
          <w:p w14:paraId="5B2E2F0E" w14:textId="3F367513" w:rsidR="008A1A86" w:rsidRPr="00B148F9" w:rsidRDefault="008A1A86" w:rsidP="00D126DE">
            <w:pPr>
              <w:rPr>
                <w:rFonts w:cs="Calibri"/>
                <w:color w:val="000000"/>
                <w:lang w:eastAsia="en-GB"/>
              </w:rPr>
            </w:pPr>
            <w:r w:rsidRPr="00B148F9">
              <w:rPr>
                <w:rFonts w:cs="Calibri"/>
                <w:color w:val="000000"/>
              </w:rPr>
              <w:t>a biotechnology that uses gene</w:t>
            </w:r>
            <w:r w:rsidR="000E3D4A" w:rsidRPr="00B148F9">
              <w:rPr>
                <w:rFonts w:cs="Calibri"/>
                <w:color w:val="000000"/>
              </w:rPr>
              <w:t xml:space="preserve"> delivery </w:t>
            </w:r>
            <w:r w:rsidRPr="00B148F9">
              <w:rPr>
                <w:rFonts w:cs="Calibri"/>
                <w:color w:val="000000"/>
              </w:rPr>
              <w:t>s</w:t>
            </w:r>
            <w:r w:rsidR="000E3D4A" w:rsidRPr="00B148F9">
              <w:rPr>
                <w:rFonts w:cs="Calibri"/>
                <w:color w:val="000000"/>
              </w:rPr>
              <w:t>ystems</w:t>
            </w:r>
            <w:r w:rsidRPr="00B148F9">
              <w:rPr>
                <w:rFonts w:cs="Calibri"/>
                <w:color w:val="000000"/>
              </w:rPr>
              <w:t xml:space="preserve"> to treat or prevent a disease;</w:t>
            </w:r>
          </w:p>
        </w:tc>
      </w:tr>
      <w:tr w:rsidR="008A1A86" w:rsidRPr="00B148F9" w14:paraId="3B778598" w14:textId="77777777" w:rsidTr="00617322">
        <w:trPr>
          <w:trHeight w:val="300"/>
        </w:trPr>
        <w:tc>
          <w:tcPr>
            <w:tcW w:w="2713" w:type="dxa"/>
            <w:tcBorders>
              <w:top w:val="nil"/>
              <w:left w:val="nil"/>
              <w:bottom w:val="nil"/>
              <w:right w:val="nil"/>
            </w:tcBorders>
            <w:shd w:val="clear" w:color="auto" w:fill="auto"/>
            <w:vAlign w:val="center"/>
          </w:tcPr>
          <w:p w14:paraId="7664EB04"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898DD89" w14:textId="77777777" w:rsidR="008A1A86" w:rsidRPr="00B148F9" w:rsidRDefault="008A1A86" w:rsidP="00D126DE">
            <w:pPr>
              <w:rPr>
                <w:rFonts w:cs="Calibri"/>
                <w:color w:val="000000"/>
                <w:lang w:eastAsia="en-GB"/>
              </w:rPr>
            </w:pPr>
          </w:p>
        </w:tc>
      </w:tr>
      <w:tr w:rsidR="008A1A86" w:rsidRPr="00B148F9" w14:paraId="5E81B61B" w14:textId="77777777" w:rsidTr="00617322">
        <w:trPr>
          <w:trHeight w:val="300"/>
        </w:trPr>
        <w:tc>
          <w:tcPr>
            <w:tcW w:w="2713" w:type="dxa"/>
            <w:tcBorders>
              <w:top w:val="nil"/>
              <w:left w:val="nil"/>
              <w:bottom w:val="nil"/>
              <w:right w:val="nil"/>
            </w:tcBorders>
            <w:shd w:val="clear" w:color="auto" w:fill="auto"/>
            <w:vAlign w:val="center"/>
          </w:tcPr>
          <w:p w14:paraId="09BAF5F9" w14:textId="2C7D2EB3" w:rsidR="008A1A86" w:rsidRPr="00B148F9" w:rsidRDefault="008A1A86" w:rsidP="00D126DE">
            <w:pPr>
              <w:rPr>
                <w:rFonts w:cs="Calibri"/>
                <w:b/>
                <w:bCs/>
                <w:color w:val="000000"/>
                <w:lang w:eastAsia="en-GB"/>
              </w:rPr>
            </w:pPr>
            <w:r w:rsidRPr="00B148F9">
              <w:rPr>
                <w:rFonts w:cs="Calibri"/>
                <w:b/>
                <w:bCs/>
                <w:color w:val="000000"/>
                <w:lang w:eastAsia="en-GB"/>
              </w:rPr>
              <w:t>“Genetic Medicine”</w:t>
            </w:r>
          </w:p>
        </w:tc>
        <w:tc>
          <w:tcPr>
            <w:tcW w:w="6580" w:type="dxa"/>
            <w:tcBorders>
              <w:top w:val="nil"/>
              <w:left w:val="nil"/>
              <w:bottom w:val="nil"/>
              <w:right w:val="nil"/>
            </w:tcBorders>
            <w:shd w:val="clear" w:color="auto" w:fill="auto"/>
            <w:vAlign w:val="center"/>
          </w:tcPr>
          <w:p w14:paraId="647B0528" w14:textId="46E5A654" w:rsidR="008A1A86" w:rsidRPr="00B148F9" w:rsidRDefault="008A1A86" w:rsidP="00D126DE">
            <w:pPr>
              <w:rPr>
                <w:rFonts w:cs="Calibri"/>
                <w:color w:val="000000"/>
                <w:lang w:eastAsia="en-GB"/>
              </w:rPr>
            </w:pPr>
            <w:r w:rsidRPr="00B148F9">
              <w:rPr>
                <w:rFonts w:cs="Calibri"/>
                <w:color w:val="000000"/>
              </w:rPr>
              <w:t xml:space="preserve">an approach to treat or prevent </w:t>
            </w:r>
            <w:r w:rsidR="00E03880" w:rsidRPr="00B148F9">
              <w:rPr>
                <w:rFonts w:cs="Calibri"/>
                <w:color w:val="000000"/>
              </w:rPr>
              <w:t xml:space="preserve">a </w:t>
            </w:r>
            <w:r w:rsidRPr="00B148F9">
              <w:rPr>
                <w:rFonts w:cs="Calibri"/>
                <w:color w:val="000000"/>
              </w:rPr>
              <w:t>disease using gene therapy or RNA medicines;</w:t>
            </w:r>
          </w:p>
        </w:tc>
      </w:tr>
      <w:tr w:rsidR="00FB130F" w:rsidRPr="00B148F9" w14:paraId="779E300A" w14:textId="77777777" w:rsidTr="00617322">
        <w:trPr>
          <w:trHeight w:val="300"/>
        </w:trPr>
        <w:tc>
          <w:tcPr>
            <w:tcW w:w="2713" w:type="dxa"/>
            <w:tcBorders>
              <w:top w:val="nil"/>
              <w:left w:val="nil"/>
              <w:bottom w:val="nil"/>
              <w:right w:val="nil"/>
            </w:tcBorders>
            <w:shd w:val="clear" w:color="auto" w:fill="auto"/>
            <w:vAlign w:val="center"/>
            <w:hideMark/>
          </w:tcPr>
          <w:p w14:paraId="67DE47B2"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55715386" w14:textId="77777777" w:rsidR="00FB130F" w:rsidRPr="00B148F9" w:rsidRDefault="00FB130F" w:rsidP="00D126DE">
            <w:pPr>
              <w:rPr>
                <w:rFonts w:cs="Calibri"/>
                <w:color w:val="000000"/>
                <w:lang w:eastAsia="en-GB"/>
              </w:rPr>
            </w:pPr>
          </w:p>
        </w:tc>
      </w:tr>
      <w:tr w:rsidR="00FB130F" w:rsidRPr="00B148F9" w14:paraId="353976FA" w14:textId="77777777" w:rsidTr="00617322">
        <w:trPr>
          <w:trHeight w:val="300"/>
        </w:trPr>
        <w:tc>
          <w:tcPr>
            <w:tcW w:w="2713" w:type="dxa"/>
            <w:tcBorders>
              <w:top w:val="nil"/>
              <w:left w:val="nil"/>
              <w:bottom w:val="nil"/>
              <w:right w:val="nil"/>
            </w:tcBorders>
            <w:shd w:val="clear" w:color="auto" w:fill="auto"/>
            <w:vAlign w:val="center"/>
            <w:hideMark/>
          </w:tcPr>
          <w:p w14:paraId="0AA5F336" w14:textId="77777777" w:rsidR="00FB130F" w:rsidRPr="00B148F9" w:rsidRDefault="00FB130F" w:rsidP="00D126DE">
            <w:pPr>
              <w:rPr>
                <w:rFonts w:cs="Calibri"/>
                <w:b/>
                <w:bCs/>
                <w:color w:val="000000"/>
                <w:lang w:eastAsia="en-GB"/>
              </w:rPr>
            </w:pPr>
            <w:r w:rsidRPr="00B148F9">
              <w:rPr>
                <w:rFonts w:cs="Calibri"/>
                <w:b/>
                <w:bCs/>
                <w:color w:val="000000"/>
                <w:lang w:eastAsia="en-GB"/>
              </w:rPr>
              <w:t>“GFSC</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1B701099" w14:textId="77777777" w:rsidR="00FB130F" w:rsidRPr="00B148F9" w:rsidRDefault="00FB130F" w:rsidP="00D126DE">
            <w:pPr>
              <w:rPr>
                <w:rFonts w:cs="Calibri"/>
                <w:color w:val="000000"/>
                <w:lang w:eastAsia="en-GB"/>
              </w:rPr>
            </w:pPr>
            <w:r w:rsidRPr="00B148F9">
              <w:rPr>
                <w:rFonts w:cs="Calibri"/>
                <w:color w:val="000000"/>
                <w:lang w:eastAsia="en-GB"/>
              </w:rPr>
              <w:t>the Guernsey Financial Services Commission;</w:t>
            </w:r>
          </w:p>
        </w:tc>
      </w:tr>
      <w:tr w:rsidR="00FB130F" w:rsidRPr="00B148F9" w14:paraId="2889E8EA" w14:textId="77777777" w:rsidTr="00617322">
        <w:trPr>
          <w:trHeight w:val="300"/>
        </w:trPr>
        <w:tc>
          <w:tcPr>
            <w:tcW w:w="2713" w:type="dxa"/>
            <w:tcBorders>
              <w:top w:val="nil"/>
              <w:left w:val="nil"/>
              <w:bottom w:val="nil"/>
              <w:right w:val="nil"/>
            </w:tcBorders>
            <w:shd w:val="clear" w:color="auto" w:fill="auto"/>
            <w:vAlign w:val="center"/>
            <w:hideMark/>
          </w:tcPr>
          <w:p w14:paraId="789633E7"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35521204" w14:textId="77777777" w:rsidR="00FB130F" w:rsidRPr="00B148F9" w:rsidRDefault="00FB130F" w:rsidP="00D126DE">
            <w:pPr>
              <w:rPr>
                <w:rFonts w:cs="Calibri"/>
                <w:color w:val="000000"/>
                <w:lang w:eastAsia="en-GB"/>
              </w:rPr>
            </w:pPr>
          </w:p>
        </w:tc>
      </w:tr>
      <w:tr w:rsidR="00FB130F" w:rsidRPr="00B148F9" w14:paraId="09E07191" w14:textId="77777777" w:rsidTr="00617322">
        <w:trPr>
          <w:trHeight w:val="300"/>
        </w:trPr>
        <w:tc>
          <w:tcPr>
            <w:tcW w:w="2713" w:type="dxa"/>
            <w:tcBorders>
              <w:top w:val="nil"/>
              <w:left w:val="nil"/>
              <w:bottom w:val="nil"/>
              <w:right w:val="nil"/>
            </w:tcBorders>
            <w:shd w:val="clear" w:color="auto" w:fill="auto"/>
            <w:vAlign w:val="center"/>
            <w:hideMark/>
          </w:tcPr>
          <w:p w14:paraId="4DB91B18" w14:textId="77777777" w:rsidR="00FB130F" w:rsidRPr="00B148F9" w:rsidRDefault="00FB130F" w:rsidP="00D126DE">
            <w:pPr>
              <w:rPr>
                <w:rFonts w:cs="Calibri"/>
                <w:b/>
                <w:bCs/>
                <w:color w:val="000000"/>
                <w:lang w:eastAsia="en-GB"/>
              </w:rPr>
            </w:pPr>
            <w:r w:rsidRPr="00B148F9">
              <w:rPr>
                <w:rFonts w:cs="Calibri"/>
                <w:b/>
                <w:bCs/>
                <w:color w:val="000000"/>
                <w:lang w:eastAsia="en-GB"/>
              </w:rPr>
              <w:t>"GFSC Code"</w:t>
            </w:r>
          </w:p>
          <w:p w14:paraId="51514980"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367D8EEA" w14:textId="77777777" w:rsidR="00FB130F" w:rsidRPr="00B148F9" w:rsidRDefault="00FB130F" w:rsidP="00D126DE">
            <w:pPr>
              <w:rPr>
                <w:rFonts w:cs="Calibri"/>
                <w:color w:val="000000"/>
                <w:lang w:eastAsia="en-GB"/>
              </w:rPr>
            </w:pPr>
            <w:r w:rsidRPr="00B148F9">
              <w:rPr>
                <w:rFonts w:cs="Calibri"/>
                <w:color w:val="000000"/>
                <w:lang w:eastAsia="en-GB"/>
              </w:rPr>
              <w:t>the GFSC Finance Sector Code of Corporate Governance as amended February 2016;</w:t>
            </w:r>
          </w:p>
        </w:tc>
      </w:tr>
      <w:tr w:rsidR="00FB130F" w:rsidRPr="00B148F9" w14:paraId="4799BEC4" w14:textId="77777777" w:rsidTr="00617322">
        <w:trPr>
          <w:trHeight w:val="300"/>
        </w:trPr>
        <w:tc>
          <w:tcPr>
            <w:tcW w:w="2713" w:type="dxa"/>
            <w:tcBorders>
              <w:top w:val="nil"/>
              <w:left w:val="nil"/>
              <w:bottom w:val="nil"/>
              <w:right w:val="nil"/>
            </w:tcBorders>
            <w:shd w:val="clear" w:color="auto" w:fill="auto"/>
            <w:vAlign w:val="center"/>
          </w:tcPr>
          <w:p w14:paraId="3A5A2E37" w14:textId="77777777" w:rsidR="00FB130F" w:rsidRPr="00B148F9" w:rsidRDefault="00FB130F"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30ABBDB6" w14:textId="77777777" w:rsidR="00FB130F" w:rsidRPr="00B148F9" w:rsidRDefault="00FB130F" w:rsidP="00D126DE">
            <w:pPr>
              <w:rPr>
                <w:rFonts w:cs="Calibri"/>
                <w:color w:val="000000"/>
                <w:lang w:eastAsia="en-GB"/>
              </w:rPr>
            </w:pPr>
          </w:p>
        </w:tc>
      </w:tr>
      <w:tr w:rsidR="008A1A86" w:rsidRPr="00B148F9" w14:paraId="531856D0" w14:textId="77777777" w:rsidTr="00617322">
        <w:trPr>
          <w:trHeight w:val="300"/>
        </w:trPr>
        <w:tc>
          <w:tcPr>
            <w:tcW w:w="2713" w:type="dxa"/>
            <w:tcBorders>
              <w:top w:val="nil"/>
              <w:left w:val="nil"/>
              <w:bottom w:val="nil"/>
              <w:right w:val="nil"/>
            </w:tcBorders>
            <w:shd w:val="clear" w:color="auto" w:fill="auto"/>
            <w:vAlign w:val="center"/>
          </w:tcPr>
          <w:p w14:paraId="3667DCF3" w14:textId="3CA3CAEA" w:rsidR="008A1A86" w:rsidRPr="00B148F9" w:rsidRDefault="008A1A86" w:rsidP="00D126DE">
            <w:pPr>
              <w:rPr>
                <w:rFonts w:cs="Calibri"/>
                <w:b/>
                <w:bCs/>
                <w:color w:val="000000"/>
                <w:lang w:eastAsia="en-GB"/>
              </w:rPr>
            </w:pPr>
            <w:r w:rsidRPr="00B148F9">
              <w:rPr>
                <w:rFonts w:cs="Calibri"/>
                <w:b/>
                <w:bCs/>
                <w:color w:val="000000"/>
                <w:lang w:eastAsia="en-GB"/>
              </w:rPr>
              <w:t>“ImmTAC®”</w:t>
            </w:r>
          </w:p>
        </w:tc>
        <w:tc>
          <w:tcPr>
            <w:tcW w:w="6580" w:type="dxa"/>
            <w:tcBorders>
              <w:top w:val="nil"/>
              <w:left w:val="nil"/>
              <w:bottom w:val="nil"/>
              <w:right w:val="nil"/>
            </w:tcBorders>
            <w:shd w:val="clear" w:color="auto" w:fill="auto"/>
            <w:vAlign w:val="center"/>
          </w:tcPr>
          <w:p w14:paraId="4994233A" w14:textId="548ED42D" w:rsidR="008A1A86" w:rsidRPr="00B148F9" w:rsidRDefault="008A1A86" w:rsidP="00D126DE">
            <w:pPr>
              <w:rPr>
                <w:rFonts w:cs="Calibri"/>
                <w:color w:val="000000"/>
                <w:lang w:eastAsia="en-GB"/>
              </w:rPr>
            </w:pPr>
            <w:r w:rsidRPr="00B148F9">
              <w:rPr>
                <w:rFonts w:cs="Calibri"/>
                <w:color w:val="000000"/>
              </w:rPr>
              <w:t>bi-specific biologic molecules design</w:t>
            </w:r>
            <w:r w:rsidR="000E3D4A" w:rsidRPr="00B148F9">
              <w:rPr>
                <w:rFonts w:cs="Calibri"/>
                <w:color w:val="000000"/>
              </w:rPr>
              <w:t>ed</w:t>
            </w:r>
            <w:r w:rsidRPr="00B148F9">
              <w:rPr>
                <w:rFonts w:cs="Calibri"/>
                <w:color w:val="000000"/>
              </w:rPr>
              <w:t xml:space="preserve"> to fight cancer or viral infections;</w:t>
            </w:r>
          </w:p>
        </w:tc>
      </w:tr>
      <w:tr w:rsidR="008A1A86" w:rsidRPr="00B148F9" w14:paraId="42F3C72F" w14:textId="77777777" w:rsidTr="00617322">
        <w:trPr>
          <w:trHeight w:val="300"/>
        </w:trPr>
        <w:tc>
          <w:tcPr>
            <w:tcW w:w="2713" w:type="dxa"/>
            <w:tcBorders>
              <w:top w:val="nil"/>
              <w:left w:val="nil"/>
              <w:bottom w:val="nil"/>
              <w:right w:val="nil"/>
            </w:tcBorders>
            <w:shd w:val="clear" w:color="auto" w:fill="auto"/>
            <w:vAlign w:val="center"/>
          </w:tcPr>
          <w:p w14:paraId="2D259172"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1549955D" w14:textId="77777777" w:rsidR="008A1A86" w:rsidRPr="00B148F9" w:rsidRDefault="008A1A86" w:rsidP="00D126DE">
            <w:pPr>
              <w:rPr>
                <w:rFonts w:cs="Calibri"/>
                <w:color w:val="000000"/>
                <w:lang w:eastAsia="en-GB"/>
              </w:rPr>
            </w:pPr>
          </w:p>
        </w:tc>
      </w:tr>
      <w:tr w:rsidR="008A1A86" w:rsidRPr="00B148F9" w14:paraId="0508903D" w14:textId="77777777" w:rsidTr="00617322">
        <w:trPr>
          <w:trHeight w:val="300"/>
        </w:trPr>
        <w:tc>
          <w:tcPr>
            <w:tcW w:w="2713" w:type="dxa"/>
            <w:tcBorders>
              <w:top w:val="nil"/>
              <w:left w:val="nil"/>
              <w:bottom w:val="nil"/>
              <w:right w:val="nil"/>
            </w:tcBorders>
            <w:shd w:val="clear" w:color="auto" w:fill="auto"/>
            <w:vAlign w:val="center"/>
          </w:tcPr>
          <w:p w14:paraId="18F7C9FD" w14:textId="139B5605" w:rsidR="008A1A86" w:rsidRPr="00B148F9" w:rsidRDefault="008A1A86" w:rsidP="00D126DE">
            <w:pPr>
              <w:rPr>
                <w:rFonts w:cs="Calibri"/>
                <w:b/>
                <w:bCs/>
                <w:color w:val="000000"/>
                <w:lang w:eastAsia="en-GB"/>
              </w:rPr>
            </w:pPr>
            <w:r w:rsidRPr="00B148F9">
              <w:rPr>
                <w:rFonts w:cs="Calibri"/>
                <w:b/>
                <w:bCs/>
                <w:color w:val="000000"/>
                <w:lang w:eastAsia="en-GB"/>
              </w:rPr>
              <w:t>“Immunocore”</w:t>
            </w:r>
          </w:p>
        </w:tc>
        <w:tc>
          <w:tcPr>
            <w:tcW w:w="6580" w:type="dxa"/>
            <w:tcBorders>
              <w:top w:val="nil"/>
              <w:left w:val="nil"/>
              <w:bottom w:val="nil"/>
              <w:right w:val="nil"/>
            </w:tcBorders>
            <w:shd w:val="clear" w:color="auto" w:fill="auto"/>
            <w:vAlign w:val="center"/>
          </w:tcPr>
          <w:p w14:paraId="750CBF01" w14:textId="3A662F0D" w:rsidR="008A1A86" w:rsidRPr="00B148F9" w:rsidRDefault="008A1A86" w:rsidP="00D126DE">
            <w:pPr>
              <w:rPr>
                <w:rFonts w:cs="Calibri"/>
                <w:color w:val="000000"/>
                <w:lang w:eastAsia="en-GB"/>
              </w:rPr>
            </w:pPr>
            <w:r w:rsidRPr="00B148F9">
              <w:rPr>
                <w:rFonts w:cs="Calibri"/>
                <w:color w:val="000000"/>
              </w:rPr>
              <w:t>Immunocore Limited;</w:t>
            </w:r>
          </w:p>
        </w:tc>
      </w:tr>
      <w:tr w:rsidR="008A1A86" w:rsidRPr="00B148F9" w14:paraId="287CA42F" w14:textId="77777777" w:rsidTr="00617322">
        <w:trPr>
          <w:trHeight w:val="300"/>
        </w:trPr>
        <w:tc>
          <w:tcPr>
            <w:tcW w:w="2713" w:type="dxa"/>
            <w:tcBorders>
              <w:top w:val="nil"/>
              <w:left w:val="nil"/>
              <w:bottom w:val="nil"/>
              <w:right w:val="nil"/>
            </w:tcBorders>
            <w:shd w:val="clear" w:color="auto" w:fill="auto"/>
            <w:vAlign w:val="center"/>
          </w:tcPr>
          <w:p w14:paraId="41AEC442" w14:textId="77777777" w:rsidR="008A1A86" w:rsidRPr="00B148F9" w:rsidRDefault="008A1A86" w:rsidP="00D126DE">
            <w:pPr>
              <w:rPr>
                <w:rFonts w:cs="Calibri"/>
                <w:b/>
                <w:bCs/>
                <w:color w:val="000000"/>
                <w:lang w:eastAsia="en-GB"/>
              </w:rPr>
            </w:pPr>
          </w:p>
        </w:tc>
        <w:tc>
          <w:tcPr>
            <w:tcW w:w="6580" w:type="dxa"/>
            <w:tcBorders>
              <w:top w:val="nil"/>
              <w:left w:val="nil"/>
              <w:bottom w:val="nil"/>
              <w:right w:val="nil"/>
            </w:tcBorders>
            <w:shd w:val="clear" w:color="auto" w:fill="auto"/>
            <w:vAlign w:val="center"/>
          </w:tcPr>
          <w:p w14:paraId="68ABF902" w14:textId="77777777" w:rsidR="008A1A86" w:rsidRPr="00B148F9" w:rsidRDefault="008A1A86" w:rsidP="00D126DE">
            <w:pPr>
              <w:rPr>
                <w:rFonts w:cs="Calibri"/>
                <w:color w:val="000000"/>
                <w:lang w:eastAsia="en-GB"/>
              </w:rPr>
            </w:pPr>
          </w:p>
        </w:tc>
      </w:tr>
      <w:tr w:rsidR="00A06B17" w:rsidRPr="00B148F9" w14:paraId="7D84951F" w14:textId="77777777" w:rsidTr="00617322">
        <w:trPr>
          <w:trHeight w:val="300"/>
        </w:trPr>
        <w:tc>
          <w:tcPr>
            <w:tcW w:w="2713" w:type="dxa"/>
            <w:tcBorders>
              <w:top w:val="nil"/>
              <w:left w:val="nil"/>
              <w:bottom w:val="nil"/>
              <w:right w:val="nil"/>
            </w:tcBorders>
            <w:shd w:val="clear" w:color="auto" w:fill="auto"/>
            <w:vAlign w:val="center"/>
          </w:tcPr>
          <w:p w14:paraId="58F8E38D" w14:textId="00B2DDB4" w:rsidR="00A06B17" w:rsidRPr="00B148F9" w:rsidRDefault="00A06B17" w:rsidP="00A06B17">
            <w:pPr>
              <w:rPr>
                <w:rFonts w:cs="Calibri"/>
                <w:b/>
                <w:bCs/>
                <w:color w:val="000000"/>
                <w:lang w:eastAsia="en-GB"/>
              </w:rPr>
            </w:pPr>
            <w:r w:rsidRPr="00B148F9">
              <w:rPr>
                <w:rFonts w:cs="Calibri"/>
                <w:b/>
                <w:bCs/>
                <w:color w:val="000000"/>
                <w:lang w:eastAsia="en-GB"/>
              </w:rPr>
              <w:lastRenderedPageBreak/>
              <w:t>“Independent Valuer”</w:t>
            </w:r>
          </w:p>
        </w:tc>
        <w:tc>
          <w:tcPr>
            <w:tcW w:w="6580" w:type="dxa"/>
            <w:tcBorders>
              <w:top w:val="nil"/>
              <w:left w:val="nil"/>
              <w:bottom w:val="nil"/>
              <w:right w:val="nil"/>
            </w:tcBorders>
            <w:shd w:val="clear" w:color="auto" w:fill="auto"/>
            <w:vAlign w:val="center"/>
          </w:tcPr>
          <w:p w14:paraId="5F3E8BC3" w14:textId="216EAB6C" w:rsidR="00A06B17" w:rsidRPr="00B148F9" w:rsidRDefault="00A06B17" w:rsidP="00A06B17">
            <w:pPr>
              <w:rPr>
                <w:rFonts w:cs="Calibri"/>
                <w:color w:val="000000"/>
              </w:rPr>
            </w:pPr>
            <w:r w:rsidRPr="00B148F9">
              <w:rPr>
                <w:rFonts w:cs="Calibri"/>
                <w:color w:val="000000"/>
                <w:lang w:eastAsia="en-GB"/>
              </w:rPr>
              <w:t>Alvarez &amp; Marsal Valuation Services, LLC;</w:t>
            </w:r>
          </w:p>
        </w:tc>
      </w:tr>
      <w:tr w:rsidR="00A06B17" w:rsidRPr="00B148F9" w14:paraId="0EDAE5DE" w14:textId="77777777" w:rsidTr="00617322">
        <w:trPr>
          <w:trHeight w:val="300"/>
        </w:trPr>
        <w:tc>
          <w:tcPr>
            <w:tcW w:w="2713" w:type="dxa"/>
            <w:tcBorders>
              <w:top w:val="nil"/>
              <w:left w:val="nil"/>
              <w:bottom w:val="nil"/>
              <w:right w:val="nil"/>
            </w:tcBorders>
            <w:shd w:val="clear" w:color="auto" w:fill="auto"/>
            <w:vAlign w:val="center"/>
          </w:tcPr>
          <w:p w14:paraId="0639FC44"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798F707A" w14:textId="77777777" w:rsidR="00A06B17" w:rsidRPr="00B148F9" w:rsidRDefault="00A06B17" w:rsidP="00A06B17">
            <w:pPr>
              <w:rPr>
                <w:rFonts w:cs="Calibri"/>
                <w:color w:val="000000"/>
              </w:rPr>
            </w:pPr>
          </w:p>
        </w:tc>
      </w:tr>
      <w:tr w:rsidR="00A06B17" w:rsidRPr="00B148F9" w14:paraId="4CA666D2" w14:textId="77777777" w:rsidTr="00617322">
        <w:trPr>
          <w:trHeight w:val="300"/>
        </w:trPr>
        <w:tc>
          <w:tcPr>
            <w:tcW w:w="2713" w:type="dxa"/>
            <w:tcBorders>
              <w:top w:val="nil"/>
              <w:left w:val="nil"/>
              <w:bottom w:val="nil"/>
              <w:right w:val="nil"/>
            </w:tcBorders>
            <w:shd w:val="clear" w:color="auto" w:fill="auto"/>
            <w:vAlign w:val="center"/>
          </w:tcPr>
          <w:p w14:paraId="60D8F678" w14:textId="5D9F5FDC" w:rsidR="00A06B17" w:rsidRPr="00B148F9" w:rsidRDefault="00A06B17" w:rsidP="00A06B17">
            <w:pPr>
              <w:rPr>
                <w:rFonts w:cs="Calibri"/>
                <w:b/>
                <w:bCs/>
                <w:color w:val="000000"/>
                <w:lang w:eastAsia="en-GB"/>
              </w:rPr>
            </w:pPr>
            <w:r w:rsidRPr="00B148F9">
              <w:rPr>
                <w:rFonts w:cs="Calibri"/>
                <w:b/>
                <w:bCs/>
                <w:color w:val="000000"/>
                <w:lang w:eastAsia="en-GB"/>
              </w:rPr>
              <w:t xml:space="preserve">“Infantile Malignant Osteoporosis” </w:t>
            </w:r>
            <w:r w:rsidRPr="00B148F9">
              <w:rPr>
                <w:rFonts w:cs="Calibri"/>
                <w:bCs/>
                <w:color w:val="000000"/>
                <w:lang w:eastAsia="en-GB"/>
              </w:rPr>
              <w:t>or</w:t>
            </w:r>
            <w:r w:rsidRPr="00B148F9">
              <w:rPr>
                <w:rFonts w:cs="Calibri"/>
                <w:b/>
                <w:bCs/>
                <w:color w:val="000000"/>
                <w:lang w:eastAsia="en-GB"/>
              </w:rPr>
              <w:t xml:space="preserve"> “IMO”</w:t>
            </w:r>
          </w:p>
        </w:tc>
        <w:tc>
          <w:tcPr>
            <w:tcW w:w="6580" w:type="dxa"/>
            <w:tcBorders>
              <w:top w:val="nil"/>
              <w:left w:val="nil"/>
              <w:bottom w:val="nil"/>
              <w:right w:val="nil"/>
            </w:tcBorders>
            <w:shd w:val="clear" w:color="auto" w:fill="auto"/>
            <w:vAlign w:val="center"/>
          </w:tcPr>
          <w:p w14:paraId="7E743F1E" w14:textId="05FB95D0" w:rsidR="00A06B17" w:rsidRPr="00B148F9" w:rsidRDefault="00A06B17">
            <w:pPr>
              <w:rPr>
                <w:rFonts w:cs="Calibri"/>
                <w:color w:val="000000"/>
                <w:lang w:eastAsia="en-GB"/>
              </w:rPr>
            </w:pPr>
            <w:r w:rsidRPr="00B148F9">
              <w:rPr>
                <w:rFonts w:cs="Calibri"/>
                <w:color w:val="000000"/>
              </w:rPr>
              <w:t>a rare genetic bone disease in you</w:t>
            </w:r>
            <w:r w:rsidR="00E03880" w:rsidRPr="00B148F9">
              <w:rPr>
                <w:rFonts w:cs="Calibri"/>
                <w:color w:val="000000"/>
              </w:rPr>
              <w:t>ng</w:t>
            </w:r>
            <w:r w:rsidRPr="00B148F9">
              <w:rPr>
                <w:rFonts w:cs="Calibri"/>
                <w:color w:val="000000"/>
              </w:rPr>
              <w:t xml:space="preserve"> children, manifesting in an increased bone density;</w:t>
            </w:r>
          </w:p>
        </w:tc>
      </w:tr>
      <w:tr w:rsidR="00A06B17" w:rsidRPr="00B148F9" w14:paraId="65B41CC1" w14:textId="77777777" w:rsidTr="00617322">
        <w:trPr>
          <w:trHeight w:val="300"/>
        </w:trPr>
        <w:tc>
          <w:tcPr>
            <w:tcW w:w="2713" w:type="dxa"/>
            <w:tcBorders>
              <w:top w:val="nil"/>
              <w:left w:val="nil"/>
              <w:bottom w:val="nil"/>
              <w:right w:val="nil"/>
            </w:tcBorders>
            <w:shd w:val="clear" w:color="auto" w:fill="auto"/>
            <w:vAlign w:val="center"/>
          </w:tcPr>
          <w:p w14:paraId="33D1744C"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0567444E" w14:textId="77777777" w:rsidR="00A06B17" w:rsidRPr="00B148F9" w:rsidRDefault="00A06B17" w:rsidP="00A06B17">
            <w:pPr>
              <w:rPr>
                <w:rFonts w:cs="Calibri"/>
                <w:color w:val="000000"/>
                <w:lang w:eastAsia="en-GB"/>
              </w:rPr>
            </w:pPr>
          </w:p>
        </w:tc>
      </w:tr>
      <w:tr w:rsidR="00A06B17" w:rsidRPr="00B148F9" w14:paraId="3E91F4E2" w14:textId="77777777" w:rsidTr="00617322">
        <w:trPr>
          <w:trHeight w:val="300"/>
        </w:trPr>
        <w:tc>
          <w:tcPr>
            <w:tcW w:w="2713" w:type="dxa"/>
            <w:tcBorders>
              <w:top w:val="nil"/>
              <w:left w:val="nil"/>
              <w:bottom w:val="nil"/>
              <w:right w:val="nil"/>
            </w:tcBorders>
            <w:shd w:val="clear" w:color="auto" w:fill="auto"/>
            <w:vAlign w:val="center"/>
          </w:tcPr>
          <w:p w14:paraId="70384243" w14:textId="77777777" w:rsidR="00A06B17" w:rsidRPr="00B148F9" w:rsidRDefault="00A06B17" w:rsidP="00A06B17">
            <w:pPr>
              <w:rPr>
                <w:rFonts w:cs="Calibri"/>
                <w:b/>
                <w:bCs/>
                <w:color w:val="000000"/>
                <w:lang w:eastAsia="en-GB"/>
              </w:rPr>
            </w:pPr>
            <w:r w:rsidRPr="00B148F9">
              <w:rPr>
                <w:rFonts w:cs="Calibri"/>
                <w:b/>
                <w:bCs/>
                <w:color w:val="000000"/>
                <w:lang w:eastAsia="en-GB"/>
              </w:rPr>
              <w:t>“Interim Report”</w:t>
            </w:r>
          </w:p>
        </w:tc>
        <w:tc>
          <w:tcPr>
            <w:tcW w:w="6580" w:type="dxa"/>
            <w:tcBorders>
              <w:top w:val="nil"/>
              <w:left w:val="nil"/>
              <w:bottom w:val="nil"/>
              <w:right w:val="nil"/>
            </w:tcBorders>
            <w:shd w:val="clear" w:color="auto" w:fill="auto"/>
            <w:vAlign w:val="center"/>
          </w:tcPr>
          <w:p w14:paraId="3952F51C" w14:textId="77777777" w:rsidR="00A06B17" w:rsidRPr="00B148F9" w:rsidRDefault="00A06B17" w:rsidP="00A06B17">
            <w:pPr>
              <w:rPr>
                <w:rFonts w:cs="Calibri"/>
                <w:color w:val="000000"/>
                <w:lang w:eastAsia="en-GB"/>
              </w:rPr>
            </w:pPr>
            <w:r w:rsidRPr="00B148F9">
              <w:rPr>
                <w:rFonts w:cs="Calibri"/>
                <w:color w:val="000000"/>
                <w:lang w:eastAsia="en-GB"/>
              </w:rPr>
              <w:t>the Interim Financial Report;</w:t>
            </w:r>
          </w:p>
        </w:tc>
      </w:tr>
      <w:tr w:rsidR="00A06B17" w:rsidRPr="00B148F9" w14:paraId="52D4EEFA" w14:textId="77777777" w:rsidTr="00617322">
        <w:trPr>
          <w:trHeight w:val="300"/>
        </w:trPr>
        <w:tc>
          <w:tcPr>
            <w:tcW w:w="2713" w:type="dxa"/>
            <w:tcBorders>
              <w:top w:val="nil"/>
              <w:left w:val="nil"/>
              <w:bottom w:val="nil"/>
              <w:right w:val="nil"/>
            </w:tcBorders>
            <w:shd w:val="clear" w:color="auto" w:fill="auto"/>
            <w:vAlign w:val="center"/>
          </w:tcPr>
          <w:p w14:paraId="16894F00"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2CA8626E" w14:textId="77777777" w:rsidR="00A06B17" w:rsidRPr="00B148F9" w:rsidRDefault="00A06B17" w:rsidP="00A06B17">
            <w:pPr>
              <w:rPr>
                <w:rFonts w:cs="Calibri"/>
                <w:color w:val="000000"/>
                <w:lang w:eastAsia="en-GB"/>
              </w:rPr>
            </w:pPr>
          </w:p>
        </w:tc>
      </w:tr>
      <w:tr w:rsidR="00A06B17" w:rsidRPr="00B148F9" w14:paraId="2D46705D" w14:textId="77777777" w:rsidTr="00617322">
        <w:trPr>
          <w:trHeight w:val="300"/>
        </w:trPr>
        <w:tc>
          <w:tcPr>
            <w:tcW w:w="2713" w:type="dxa"/>
            <w:tcBorders>
              <w:top w:val="nil"/>
              <w:left w:val="nil"/>
              <w:bottom w:val="nil"/>
              <w:right w:val="nil"/>
            </w:tcBorders>
            <w:shd w:val="clear" w:color="auto" w:fill="auto"/>
            <w:vAlign w:val="center"/>
          </w:tcPr>
          <w:p w14:paraId="1EA1342C" w14:textId="3C51B0DA" w:rsidR="00A06B17" w:rsidRPr="00B148F9" w:rsidRDefault="00A06B17" w:rsidP="00A06B17">
            <w:pPr>
              <w:rPr>
                <w:rFonts w:cs="Calibri"/>
                <w:b/>
                <w:bCs/>
                <w:color w:val="000000"/>
                <w:lang w:eastAsia="en-GB"/>
              </w:rPr>
            </w:pPr>
            <w:r w:rsidRPr="00B148F9">
              <w:rPr>
                <w:rFonts w:cs="Calibri"/>
                <w:b/>
                <w:bCs/>
                <w:color w:val="000000"/>
                <w:lang w:eastAsia="en-GB"/>
              </w:rPr>
              <w:t>“IPO”</w:t>
            </w:r>
          </w:p>
        </w:tc>
        <w:tc>
          <w:tcPr>
            <w:tcW w:w="6580" w:type="dxa"/>
            <w:tcBorders>
              <w:top w:val="nil"/>
              <w:left w:val="nil"/>
              <w:bottom w:val="nil"/>
              <w:right w:val="nil"/>
            </w:tcBorders>
            <w:shd w:val="clear" w:color="auto" w:fill="auto"/>
            <w:vAlign w:val="center"/>
          </w:tcPr>
          <w:p w14:paraId="295B43D8" w14:textId="5E03CBAB" w:rsidR="00A06B17" w:rsidRPr="00B148F9" w:rsidRDefault="00A06B17" w:rsidP="00A06B17">
            <w:pPr>
              <w:rPr>
                <w:rFonts w:cs="Calibri"/>
                <w:color w:val="000000"/>
                <w:lang w:eastAsia="en-GB"/>
              </w:rPr>
            </w:pPr>
            <w:r w:rsidRPr="00B148F9">
              <w:rPr>
                <w:rFonts w:cs="Calibri"/>
                <w:color w:val="000000"/>
              </w:rPr>
              <w:t>an initial public offering;</w:t>
            </w:r>
          </w:p>
        </w:tc>
      </w:tr>
      <w:tr w:rsidR="00A06B17" w:rsidRPr="00B148F9" w14:paraId="1C9A8AD4" w14:textId="77777777" w:rsidTr="00617322">
        <w:trPr>
          <w:trHeight w:val="300"/>
        </w:trPr>
        <w:tc>
          <w:tcPr>
            <w:tcW w:w="2713" w:type="dxa"/>
            <w:tcBorders>
              <w:top w:val="nil"/>
              <w:left w:val="nil"/>
              <w:bottom w:val="nil"/>
              <w:right w:val="nil"/>
            </w:tcBorders>
            <w:shd w:val="clear" w:color="auto" w:fill="auto"/>
            <w:vAlign w:val="center"/>
          </w:tcPr>
          <w:p w14:paraId="125053FD"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2EB2CE21" w14:textId="77777777" w:rsidR="00A06B17" w:rsidRPr="00B148F9" w:rsidRDefault="00A06B17" w:rsidP="00A06B17">
            <w:pPr>
              <w:rPr>
                <w:rFonts w:cs="Calibri"/>
                <w:color w:val="000000"/>
              </w:rPr>
            </w:pPr>
          </w:p>
        </w:tc>
      </w:tr>
      <w:tr w:rsidR="00A06B17" w:rsidRPr="00B148F9" w14:paraId="1B0C97B0" w14:textId="77777777" w:rsidTr="00617322">
        <w:trPr>
          <w:trHeight w:val="300"/>
        </w:trPr>
        <w:tc>
          <w:tcPr>
            <w:tcW w:w="2713" w:type="dxa"/>
            <w:tcBorders>
              <w:top w:val="nil"/>
              <w:left w:val="nil"/>
              <w:bottom w:val="nil"/>
              <w:right w:val="nil"/>
            </w:tcBorders>
            <w:shd w:val="clear" w:color="auto" w:fill="auto"/>
            <w:vAlign w:val="center"/>
          </w:tcPr>
          <w:p w14:paraId="72401467" w14:textId="6033C304" w:rsidR="00A06B17" w:rsidRPr="00B148F9" w:rsidRDefault="00A06B17" w:rsidP="00A06B17">
            <w:pPr>
              <w:rPr>
                <w:rFonts w:cs="Calibri"/>
                <w:b/>
                <w:bCs/>
                <w:color w:val="000000"/>
                <w:lang w:eastAsia="en-GB"/>
              </w:rPr>
            </w:pPr>
            <w:r w:rsidRPr="00B148F9">
              <w:rPr>
                <w:rFonts w:cs="Calibri"/>
                <w:b/>
                <w:bCs/>
                <w:color w:val="000000"/>
                <w:lang w:eastAsia="en-GB"/>
              </w:rPr>
              <w:t>“IRR”</w:t>
            </w:r>
          </w:p>
        </w:tc>
        <w:tc>
          <w:tcPr>
            <w:tcW w:w="6580" w:type="dxa"/>
            <w:tcBorders>
              <w:top w:val="nil"/>
              <w:left w:val="nil"/>
              <w:bottom w:val="nil"/>
              <w:right w:val="nil"/>
            </w:tcBorders>
            <w:shd w:val="clear" w:color="auto" w:fill="auto"/>
            <w:vAlign w:val="center"/>
          </w:tcPr>
          <w:p w14:paraId="1F5BAD1B" w14:textId="14D19C3A" w:rsidR="00A06B17" w:rsidRPr="00B148F9" w:rsidRDefault="00A06B17" w:rsidP="00A06B17">
            <w:pPr>
              <w:rPr>
                <w:rFonts w:cs="Calibri"/>
                <w:color w:val="000000"/>
              </w:rPr>
            </w:pPr>
            <w:r w:rsidRPr="00B148F9">
              <w:rPr>
                <w:rFonts w:cs="Calibri"/>
                <w:color w:val="000000"/>
              </w:rPr>
              <w:t>internal rate of return;</w:t>
            </w:r>
          </w:p>
        </w:tc>
      </w:tr>
      <w:tr w:rsidR="00A06B17" w:rsidRPr="00B148F9" w14:paraId="3C8C00B6" w14:textId="77777777" w:rsidTr="00617322">
        <w:trPr>
          <w:trHeight w:val="300"/>
        </w:trPr>
        <w:tc>
          <w:tcPr>
            <w:tcW w:w="2713" w:type="dxa"/>
            <w:tcBorders>
              <w:top w:val="nil"/>
              <w:left w:val="nil"/>
              <w:bottom w:val="nil"/>
              <w:right w:val="nil"/>
            </w:tcBorders>
            <w:shd w:val="clear" w:color="auto" w:fill="auto"/>
            <w:vAlign w:val="center"/>
          </w:tcPr>
          <w:p w14:paraId="181EB7D4"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6D7F0266" w14:textId="77777777" w:rsidR="00A06B17" w:rsidRPr="00B148F9" w:rsidRDefault="00A06B17" w:rsidP="00A06B17">
            <w:pPr>
              <w:rPr>
                <w:rFonts w:cs="Calibri"/>
                <w:color w:val="000000"/>
              </w:rPr>
            </w:pPr>
          </w:p>
        </w:tc>
      </w:tr>
      <w:tr w:rsidR="00A06B17" w:rsidRPr="00B148F9" w14:paraId="6F5E593C" w14:textId="77777777" w:rsidTr="00617322">
        <w:trPr>
          <w:trHeight w:val="300"/>
        </w:trPr>
        <w:tc>
          <w:tcPr>
            <w:tcW w:w="2713" w:type="dxa"/>
            <w:tcBorders>
              <w:top w:val="nil"/>
              <w:left w:val="nil"/>
              <w:bottom w:val="nil"/>
              <w:right w:val="nil"/>
            </w:tcBorders>
            <w:shd w:val="clear" w:color="auto" w:fill="auto"/>
            <w:vAlign w:val="center"/>
          </w:tcPr>
          <w:p w14:paraId="456B1E1C" w14:textId="48406799" w:rsidR="00A06B17" w:rsidRPr="00B148F9" w:rsidRDefault="00A06B17" w:rsidP="00A06B17">
            <w:pPr>
              <w:rPr>
                <w:rFonts w:cs="Calibri"/>
                <w:b/>
                <w:bCs/>
                <w:color w:val="000000"/>
                <w:lang w:eastAsia="en-GB"/>
              </w:rPr>
            </w:pPr>
            <w:r w:rsidRPr="00B148F9">
              <w:rPr>
                <w:rFonts w:cs="Calibri"/>
                <w:b/>
                <w:bCs/>
                <w:color w:val="000000"/>
                <w:lang w:eastAsia="en-GB"/>
              </w:rPr>
              <w:t>“Landos”</w:t>
            </w:r>
          </w:p>
        </w:tc>
        <w:tc>
          <w:tcPr>
            <w:tcW w:w="6580" w:type="dxa"/>
            <w:tcBorders>
              <w:top w:val="nil"/>
              <w:left w:val="nil"/>
              <w:bottom w:val="nil"/>
              <w:right w:val="nil"/>
            </w:tcBorders>
            <w:shd w:val="clear" w:color="auto" w:fill="auto"/>
            <w:vAlign w:val="center"/>
          </w:tcPr>
          <w:p w14:paraId="396EEBF1" w14:textId="6F69514B" w:rsidR="00A06B17" w:rsidRPr="00B148F9" w:rsidRDefault="00A06B17" w:rsidP="00A06B17">
            <w:pPr>
              <w:rPr>
                <w:rFonts w:cs="Calibri"/>
                <w:color w:val="000000"/>
              </w:rPr>
            </w:pPr>
            <w:r w:rsidRPr="00B148F9">
              <w:rPr>
                <w:rFonts w:cs="Calibri"/>
                <w:color w:val="000000"/>
              </w:rPr>
              <w:t>Landos Biopharma, Inc.;</w:t>
            </w:r>
          </w:p>
        </w:tc>
      </w:tr>
      <w:tr w:rsidR="00A06B17" w:rsidRPr="00B148F9" w14:paraId="22F0B947" w14:textId="77777777" w:rsidTr="00617322">
        <w:trPr>
          <w:trHeight w:val="300"/>
        </w:trPr>
        <w:tc>
          <w:tcPr>
            <w:tcW w:w="2713" w:type="dxa"/>
            <w:tcBorders>
              <w:top w:val="nil"/>
              <w:left w:val="nil"/>
              <w:bottom w:val="nil"/>
              <w:right w:val="nil"/>
            </w:tcBorders>
            <w:shd w:val="clear" w:color="auto" w:fill="auto"/>
            <w:vAlign w:val="center"/>
          </w:tcPr>
          <w:p w14:paraId="53D277C0"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C48E11B" w14:textId="77777777" w:rsidR="00A06B17" w:rsidRPr="00B148F9" w:rsidRDefault="00A06B17" w:rsidP="00A06B17">
            <w:pPr>
              <w:rPr>
                <w:rFonts w:cs="Calibri"/>
                <w:color w:val="000000"/>
              </w:rPr>
            </w:pPr>
          </w:p>
        </w:tc>
      </w:tr>
      <w:tr w:rsidR="00A06B17" w:rsidRPr="00B148F9" w14:paraId="411229CE" w14:textId="77777777" w:rsidTr="00617322">
        <w:trPr>
          <w:trHeight w:val="300"/>
        </w:trPr>
        <w:tc>
          <w:tcPr>
            <w:tcW w:w="2713" w:type="dxa"/>
            <w:tcBorders>
              <w:top w:val="nil"/>
              <w:left w:val="nil"/>
              <w:bottom w:val="nil"/>
              <w:right w:val="nil"/>
            </w:tcBorders>
            <w:shd w:val="clear" w:color="auto" w:fill="auto"/>
            <w:vAlign w:val="center"/>
          </w:tcPr>
          <w:p w14:paraId="2ED90962" w14:textId="7FB84182" w:rsidR="00A06B17" w:rsidRPr="00B148F9" w:rsidRDefault="00A06B17" w:rsidP="00A06B17">
            <w:pPr>
              <w:rPr>
                <w:rFonts w:cs="Calibri"/>
                <w:b/>
                <w:bCs/>
                <w:color w:val="000000"/>
                <w:lang w:eastAsia="en-GB"/>
              </w:rPr>
            </w:pPr>
            <w:r w:rsidRPr="00B148F9">
              <w:rPr>
                <w:rFonts w:cs="Calibri"/>
                <w:b/>
                <w:bCs/>
                <w:color w:val="000000"/>
                <w:lang w:eastAsia="en-GB"/>
              </w:rPr>
              <w:t>“Latest Practicable Date”</w:t>
            </w:r>
          </w:p>
        </w:tc>
        <w:tc>
          <w:tcPr>
            <w:tcW w:w="6580" w:type="dxa"/>
            <w:tcBorders>
              <w:top w:val="nil"/>
              <w:left w:val="nil"/>
              <w:bottom w:val="nil"/>
              <w:right w:val="nil"/>
            </w:tcBorders>
            <w:shd w:val="clear" w:color="auto" w:fill="auto"/>
            <w:vAlign w:val="center"/>
          </w:tcPr>
          <w:p w14:paraId="5749B0D8" w14:textId="0FB1DAA0" w:rsidR="00A06B17" w:rsidRPr="00B148F9" w:rsidRDefault="00A06B17" w:rsidP="00A06B17">
            <w:pPr>
              <w:rPr>
                <w:rFonts w:cs="Calibri"/>
                <w:color w:val="000000"/>
              </w:rPr>
            </w:pPr>
            <w:r w:rsidRPr="00B148F9">
              <w:rPr>
                <w:rFonts w:cs="Calibri"/>
                <w:color w:val="000000"/>
              </w:rPr>
              <w:t>31 December 2019, being the latest practicable date for valuing an asset for inclusion in this report;</w:t>
            </w:r>
          </w:p>
        </w:tc>
      </w:tr>
      <w:tr w:rsidR="00A06B17" w:rsidRPr="00B148F9" w14:paraId="27CC7248" w14:textId="77777777" w:rsidTr="00617322">
        <w:trPr>
          <w:trHeight w:val="300"/>
        </w:trPr>
        <w:tc>
          <w:tcPr>
            <w:tcW w:w="2713" w:type="dxa"/>
            <w:tcBorders>
              <w:top w:val="nil"/>
              <w:left w:val="nil"/>
              <w:bottom w:val="nil"/>
              <w:right w:val="nil"/>
            </w:tcBorders>
            <w:shd w:val="clear" w:color="auto" w:fill="auto"/>
            <w:vAlign w:val="center"/>
          </w:tcPr>
          <w:p w14:paraId="61FF3660"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16D5EC06" w14:textId="77777777" w:rsidR="00A06B17" w:rsidRPr="00B148F9" w:rsidRDefault="00A06B17" w:rsidP="00A06B17">
            <w:pPr>
              <w:rPr>
                <w:rFonts w:cs="Calibri"/>
                <w:color w:val="000000"/>
              </w:rPr>
            </w:pPr>
          </w:p>
        </w:tc>
      </w:tr>
      <w:tr w:rsidR="00A06B17" w:rsidRPr="00B148F9" w14:paraId="66025A50" w14:textId="77777777" w:rsidTr="00617322">
        <w:trPr>
          <w:trHeight w:val="300"/>
        </w:trPr>
        <w:tc>
          <w:tcPr>
            <w:tcW w:w="2713" w:type="dxa"/>
            <w:tcBorders>
              <w:top w:val="nil"/>
              <w:left w:val="nil"/>
              <w:bottom w:val="nil"/>
              <w:right w:val="nil"/>
            </w:tcBorders>
            <w:shd w:val="clear" w:color="auto" w:fill="auto"/>
            <w:vAlign w:val="center"/>
          </w:tcPr>
          <w:p w14:paraId="2B6803C7" w14:textId="4F622E16" w:rsidR="00A06B17" w:rsidRPr="00B148F9" w:rsidRDefault="00A06B17" w:rsidP="00A06B17">
            <w:pPr>
              <w:rPr>
                <w:rFonts w:cs="Calibri"/>
                <w:b/>
                <w:bCs/>
                <w:color w:val="000000"/>
                <w:lang w:eastAsia="en-GB"/>
              </w:rPr>
            </w:pPr>
            <w:r w:rsidRPr="00B148F9">
              <w:rPr>
                <w:rFonts w:cs="Calibri"/>
                <w:b/>
                <w:bCs/>
                <w:color w:val="000000"/>
                <w:lang w:eastAsia="en-GB"/>
              </w:rPr>
              <w:t xml:space="preserve">“Lentiviral vector </w:t>
            </w:r>
            <w:r w:rsidRPr="00B148F9">
              <w:rPr>
                <w:rFonts w:cs="Calibri"/>
                <w:bCs/>
                <w:color w:val="000000"/>
                <w:lang w:eastAsia="en-GB"/>
              </w:rPr>
              <w:t>or</w:t>
            </w:r>
            <w:r w:rsidRPr="00B148F9">
              <w:rPr>
                <w:rFonts w:cs="Calibri"/>
                <w:b/>
                <w:bCs/>
                <w:color w:val="000000"/>
                <w:lang w:eastAsia="en-GB"/>
              </w:rPr>
              <w:t xml:space="preserve"> “LVV”</w:t>
            </w:r>
          </w:p>
        </w:tc>
        <w:tc>
          <w:tcPr>
            <w:tcW w:w="6580" w:type="dxa"/>
            <w:tcBorders>
              <w:top w:val="nil"/>
              <w:left w:val="nil"/>
              <w:bottom w:val="nil"/>
              <w:right w:val="nil"/>
            </w:tcBorders>
            <w:shd w:val="clear" w:color="auto" w:fill="auto"/>
            <w:vAlign w:val="center"/>
          </w:tcPr>
          <w:p w14:paraId="5065A1F0" w14:textId="5658C46E" w:rsidR="00A06B17" w:rsidRPr="00B148F9" w:rsidRDefault="00A06B17" w:rsidP="00A06B17">
            <w:pPr>
              <w:rPr>
                <w:rFonts w:cs="Calibri"/>
                <w:color w:val="000000"/>
              </w:rPr>
            </w:pPr>
            <w:r w:rsidRPr="00B148F9">
              <w:rPr>
                <w:rFonts w:cs="Calibri"/>
                <w:color w:val="000000"/>
              </w:rPr>
              <w:t>based gene therapy - a type of viral vector used to deliver a gene;</w:t>
            </w:r>
          </w:p>
        </w:tc>
      </w:tr>
      <w:tr w:rsidR="00A06B17" w:rsidRPr="00B148F9" w14:paraId="40740F43" w14:textId="77777777" w:rsidTr="00617322">
        <w:trPr>
          <w:trHeight w:val="300"/>
        </w:trPr>
        <w:tc>
          <w:tcPr>
            <w:tcW w:w="2713" w:type="dxa"/>
            <w:tcBorders>
              <w:top w:val="nil"/>
              <w:left w:val="nil"/>
              <w:bottom w:val="nil"/>
              <w:right w:val="nil"/>
            </w:tcBorders>
            <w:shd w:val="clear" w:color="auto" w:fill="auto"/>
            <w:vAlign w:val="center"/>
          </w:tcPr>
          <w:p w14:paraId="0C6CF208"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A8DE416" w14:textId="77777777" w:rsidR="00A06B17" w:rsidRPr="00B148F9" w:rsidRDefault="00A06B17" w:rsidP="00A06B17">
            <w:pPr>
              <w:rPr>
                <w:rFonts w:cs="Calibri"/>
                <w:color w:val="000000"/>
              </w:rPr>
            </w:pPr>
          </w:p>
        </w:tc>
      </w:tr>
      <w:tr w:rsidR="00A06B17" w:rsidRPr="00B148F9" w14:paraId="4A967420" w14:textId="77777777" w:rsidTr="00617322">
        <w:trPr>
          <w:trHeight w:val="300"/>
        </w:trPr>
        <w:tc>
          <w:tcPr>
            <w:tcW w:w="2713" w:type="dxa"/>
            <w:tcBorders>
              <w:top w:val="nil"/>
              <w:left w:val="nil"/>
              <w:bottom w:val="nil"/>
              <w:right w:val="nil"/>
            </w:tcBorders>
            <w:shd w:val="clear" w:color="auto" w:fill="auto"/>
            <w:vAlign w:val="center"/>
          </w:tcPr>
          <w:p w14:paraId="2A9B268B" w14:textId="22FFC432" w:rsidR="00A06B17" w:rsidRPr="00B148F9" w:rsidRDefault="00A06B17" w:rsidP="00A06B17">
            <w:pPr>
              <w:rPr>
                <w:rFonts w:cs="Calibri"/>
                <w:b/>
                <w:bCs/>
                <w:color w:val="000000"/>
                <w:lang w:eastAsia="en-GB"/>
              </w:rPr>
            </w:pPr>
            <w:r w:rsidRPr="00B148F9">
              <w:rPr>
                <w:rFonts w:cs="Calibri"/>
                <w:b/>
                <w:bCs/>
                <w:color w:val="000000"/>
                <w:lang w:eastAsia="en-GB"/>
              </w:rPr>
              <w:t xml:space="preserve">“Leukocyte adhesion deficiency” </w:t>
            </w:r>
            <w:r w:rsidRPr="00B148F9">
              <w:rPr>
                <w:rFonts w:cs="Calibri"/>
                <w:bCs/>
                <w:color w:val="000000"/>
                <w:lang w:eastAsia="en-GB"/>
              </w:rPr>
              <w:t>or</w:t>
            </w:r>
            <w:r w:rsidRPr="00B148F9">
              <w:rPr>
                <w:rFonts w:cs="Calibri"/>
                <w:b/>
                <w:bCs/>
                <w:color w:val="000000"/>
                <w:lang w:eastAsia="en-GB"/>
              </w:rPr>
              <w:t xml:space="preserve"> “LAD-I”</w:t>
            </w:r>
          </w:p>
        </w:tc>
        <w:tc>
          <w:tcPr>
            <w:tcW w:w="6580" w:type="dxa"/>
            <w:tcBorders>
              <w:top w:val="nil"/>
              <w:left w:val="nil"/>
              <w:bottom w:val="nil"/>
              <w:right w:val="nil"/>
            </w:tcBorders>
            <w:shd w:val="clear" w:color="auto" w:fill="auto"/>
            <w:vAlign w:val="center"/>
          </w:tcPr>
          <w:p w14:paraId="1D225EAA" w14:textId="7619AFF9" w:rsidR="00A06B17" w:rsidRPr="00B148F9" w:rsidRDefault="00A06B17" w:rsidP="00A06B17">
            <w:pPr>
              <w:rPr>
                <w:rFonts w:cs="Calibri"/>
                <w:color w:val="000000"/>
              </w:rPr>
            </w:pPr>
            <w:r w:rsidRPr="00B148F9">
              <w:rPr>
                <w:rFonts w:cs="Calibri"/>
                <w:color w:val="000000"/>
              </w:rPr>
              <w:t>a rare genetic disorder of immunodeficiency in young children;</w:t>
            </w:r>
          </w:p>
        </w:tc>
      </w:tr>
      <w:tr w:rsidR="00A06B17" w:rsidRPr="00B148F9" w14:paraId="53799FED" w14:textId="77777777" w:rsidTr="00617322">
        <w:trPr>
          <w:trHeight w:val="300"/>
        </w:trPr>
        <w:tc>
          <w:tcPr>
            <w:tcW w:w="2713" w:type="dxa"/>
            <w:tcBorders>
              <w:top w:val="nil"/>
              <w:left w:val="nil"/>
              <w:bottom w:val="nil"/>
              <w:right w:val="nil"/>
            </w:tcBorders>
            <w:shd w:val="clear" w:color="auto" w:fill="auto"/>
            <w:vAlign w:val="center"/>
          </w:tcPr>
          <w:p w14:paraId="7CE80832"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6C8F6098" w14:textId="77777777" w:rsidR="00A06B17" w:rsidRPr="00B148F9" w:rsidRDefault="00A06B17" w:rsidP="00A06B17">
            <w:pPr>
              <w:rPr>
                <w:rFonts w:cs="Calibri"/>
                <w:color w:val="000000"/>
              </w:rPr>
            </w:pPr>
          </w:p>
        </w:tc>
      </w:tr>
      <w:tr w:rsidR="00A06B17" w:rsidRPr="00B148F9" w14:paraId="5115C231" w14:textId="77777777" w:rsidTr="00617322">
        <w:trPr>
          <w:trHeight w:val="300"/>
        </w:trPr>
        <w:tc>
          <w:tcPr>
            <w:tcW w:w="2713" w:type="dxa"/>
            <w:tcBorders>
              <w:top w:val="nil"/>
              <w:left w:val="nil"/>
              <w:bottom w:val="nil"/>
              <w:right w:val="nil"/>
            </w:tcBorders>
            <w:shd w:val="clear" w:color="auto" w:fill="auto"/>
            <w:vAlign w:val="center"/>
          </w:tcPr>
          <w:p w14:paraId="67075BEA" w14:textId="722085C8" w:rsidR="00A06B17" w:rsidRPr="00B148F9" w:rsidRDefault="00A06B17" w:rsidP="00A06B17">
            <w:pPr>
              <w:rPr>
                <w:rFonts w:cs="Calibri"/>
                <w:b/>
                <w:bCs/>
                <w:color w:val="000000"/>
                <w:lang w:eastAsia="en-GB"/>
              </w:rPr>
            </w:pPr>
            <w:r w:rsidRPr="00B148F9">
              <w:rPr>
                <w:rFonts w:cs="Calibri"/>
                <w:b/>
                <w:bCs/>
                <w:color w:val="000000"/>
                <w:lang w:eastAsia="en-GB"/>
              </w:rPr>
              <w:t>“LifeSci Companies”</w:t>
            </w:r>
          </w:p>
        </w:tc>
        <w:tc>
          <w:tcPr>
            <w:tcW w:w="6580" w:type="dxa"/>
            <w:tcBorders>
              <w:top w:val="nil"/>
              <w:left w:val="nil"/>
              <w:bottom w:val="nil"/>
              <w:right w:val="nil"/>
            </w:tcBorders>
            <w:shd w:val="clear" w:color="auto" w:fill="auto"/>
            <w:vAlign w:val="center"/>
          </w:tcPr>
          <w:p w14:paraId="205DFF3E" w14:textId="6224B055" w:rsidR="00A06B17" w:rsidRPr="00B148F9" w:rsidRDefault="00A06B17" w:rsidP="00A06B17">
            <w:pPr>
              <w:rPr>
                <w:rFonts w:cs="Calibri"/>
                <w:color w:val="000000"/>
              </w:rPr>
            </w:pPr>
            <w:r w:rsidRPr="00B148F9">
              <w:rPr>
                <w:rFonts w:cs="Calibri"/>
                <w:color w:val="000000"/>
              </w:rPr>
              <w:t>companies operating in the life sciences, biopharmaceutical, or medical technology industries;</w:t>
            </w:r>
          </w:p>
        </w:tc>
      </w:tr>
      <w:tr w:rsidR="00A06B17" w:rsidRPr="00B148F9" w14:paraId="629FA448" w14:textId="77777777" w:rsidTr="00617322">
        <w:trPr>
          <w:trHeight w:val="300"/>
        </w:trPr>
        <w:tc>
          <w:tcPr>
            <w:tcW w:w="2713" w:type="dxa"/>
            <w:tcBorders>
              <w:top w:val="nil"/>
              <w:left w:val="nil"/>
              <w:bottom w:val="nil"/>
              <w:right w:val="nil"/>
            </w:tcBorders>
            <w:shd w:val="clear" w:color="auto" w:fill="auto"/>
            <w:vAlign w:val="center"/>
          </w:tcPr>
          <w:p w14:paraId="1DE88FE7"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7DE5594C" w14:textId="77777777" w:rsidR="00A06B17" w:rsidRPr="00B148F9" w:rsidRDefault="00A06B17" w:rsidP="00A06B17">
            <w:pPr>
              <w:rPr>
                <w:rFonts w:cs="Calibri"/>
                <w:color w:val="000000"/>
              </w:rPr>
            </w:pPr>
          </w:p>
        </w:tc>
      </w:tr>
      <w:tr w:rsidR="00A06B17" w:rsidRPr="00B148F9" w14:paraId="23334BAB" w14:textId="77777777" w:rsidTr="00617322">
        <w:trPr>
          <w:trHeight w:val="570"/>
        </w:trPr>
        <w:tc>
          <w:tcPr>
            <w:tcW w:w="2713" w:type="dxa"/>
            <w:tcBorders>
              <w:top w:val="nil"/>
              <w:left w:val="nil"/>
              <w:bottom w:val="nil"/>
              <w:right w:val="nil"/>
            </w:tcBorders>
            <w:shd w:val="clear" w:color="auto" w:fill="auto"/>
            <w:vAlign w:val="center"/>
            <w:hideMark/>
          </w:tcPr>
          <w:p w14:paraId="4690FC95" w14:textId="77777777" w:rsidR="00A06B17" w:rsidRPr="00B148F9" w:rsidRDefault="00A06B17" w:rsidP="00A06B17">
            <w:pPr>
              <w:rPr>
                <w:rFonts w:cs="Calibri"/>
                <w:b/>
                <w:bCs/>
                <w:color w:val="000000"/>
                <w:lang w:eastAsia="en-GB"/>
              </w:rPr>
            </w:pPr>
            <w:r w:rsidRPr="00B148F9">
              <w:rPr>
                <w:rFonts w:cs="Calibri"/>
                <w:b/>
                <w:bCs/>
                <w:color w:val="000000"/>
                <w:lang w:eastAsia="en-GB"/>
              </w:rPr>
              <w:t>“Listing Rules</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4336AA62" w14:textId="77777777" w:rsidR="00A06B17" w:rsidRPr="00B148F9" w:rsidRDefault="00A06B17" w:rsidP="00A06B17">
            <w:pPr>
              <w:rPr>
                <w:rFonts w:cs="Calibri"/>
                <w:color w:val="000000"/>
                <w:lang w:eastAsia="en-GB"/>
              </w:rPr>
            </w:pPr>
            <w:r w:rsidRPr="00B148F9">
              <w:rPr>
                <w:rFonts w:cs="Calibri"/>
                <w:color w:val="000000"/>
                <w:lang w:eastAsia="en-GB"/>
              </w:rPr>
              <w:t>the listing rules made under section 73A of the Financial Services and Markets Act 2000 (as set out in the FCA Handbook), as amended;</w:t>
            </w:r>
          </w:p>
        </w:tc>
      </w:tr>
      <w:tr w:rsidR="00A06B17" w:rsidRPr="00B148F9" w14:paraId="1D25ED6C" w14:textId="77777777" w:rsidTr="00617322">
        <w:trPr>
          <w:trHeight w:val="300"/>
        </w:trPr>
        <w:tc>
          <w:tcPr>
            <w:tcW w:w="2713" w:type="dxa"/>
            <w:tcBorders>
              <w:top w:val="nil"/>
              <w:left w:val="nil"/>
              <w:bottom w:val="nil"/>
              <w:right w:val="nil"/>
            </w:tcBorders>
            <w:shd w:val="clear" w:color="auto" w:fill="auto"/>
            <w:vAlign w:val="center"/>
            <w:hideMark/>
          </w:tcPr>
          <w:p w14:paraId="01EA9F57"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20EF7345" w14:textId="77777777" w:rsidR="00A06B17" w:rsidRPr="00B148F9" w:rsidRDefault="00A06B17" w:rsidP="00A06B17">
            <w:pPr>
              <w:rPr>
                <w:rFonts w:cs="Calibri"/>
                <w:color w:val="000000"/>
                <w:lang w:eastAsia="en-GB"/>
              </w:rPr>
            </w:pPr>
          </w:p>
        </w:tc>
      </w:tr>
      <w:tr w:rsidR="00A06B17" w:rsidRPr="00B148F9" w14:paraId="3685732E" w14:textId="77777777" w:rsidTr="00617322">
        <w:trPr>
          <w:trHeight w:val="300"/>
        </w:trPr>
        <w:tc>
          <w:tcPr>
            <w:tcW w:w="2713" w:type="dxa"/>
            <w:tcBorders>
              <w:top w:val="nil"/>
              <w:left w:val="nil"/>
              <w:bottom w:val="nil"/>
              <w:right w:val="nil"/>
            </w:tcBorders>
            <w:shd w:val="clear" w:color="auto" w:fill="auto"/>
            <w:vAlign w:val="center"/>
            <w:hideMark/>
          </w:tcPr>
          <w:p w14:paraId="5311FA10" w14:textId="77777777" w:rsidR="00A06B17" w:rsidRPr="00B148F9" w:rsidRDefault="00A06B17" w:rsidP="00A06B17">
            <w:pPr>
              <w:rPr>
                <w:color w:val="000000"/>
              </w:rPr>
            </w:pPr>
            <w:r w:rsidRPr="00B148F9">
              <w:rPr>
                <w:rFonts w:cs="Calibri"/>
                <w:b/>
                <w:bCs/>
                <w:color w:val="000000"/>
                <w:lang w:eastAsia="en-GB"/>
              </w:rPr>
              <w:t>“London Stock Exchange</w:t>
            </w:r>
            <w:r w:rsidRPr="00B148F9">
              <w:rPr>
                <w:b/>
                <w:color w:val="000000"/>
              </w:rPr>
              <w:t>”</w:t>
            </w:r>
          </w:p>
        </w:tc>
        <w:tc>
          <w:tcPr>
            <w:tcW w:w="6580" w:type="dxa"/>
            <w:tcBorders>
              <w:top w:val="nil"/>
              <w:left w:val="nil"/>
              <w:bottom w:val="nil"/>
              <w:right w:val="nil"/>
            </w:tcBorders>
            <w:shd w:val="clear" w:color="auto" w:fill="auto"/>
            <w:vAlign w:val="center"/>
            <w:hideMark/>
          </w:tcPr>
          <w:p w14:paraId="73B309A2" w14:textId="77777777" w:rsidR="00A06B17" w:rsidRPr="00B148F9" w:rsidRDefault="00A06B17" w:rsidP="00A06B17">
            <w:pPr>
              <w:rPr>
                <w:rFonts w:cs="Calibri"/>
                <w:color w:val="000000"/>
                <w:lang w:eastAsia="en-GB"/>
              </w:rPr>
            </w:pPr>
            <w:r w:rsidRPr="00B148F9">
              <w:rPr>
                <w:rFonts w:cs="Calibri"/>
                <w:color w:val="000000"/>
                <w:lang w:eastAsia="en-GB"/>
              </w:rPr>
              <w:t>London Stock Exchange plc;</w:t>
            </w:r>
          </w:p>
        </w:tc>
      </w:tr>
      <w:tr w:rsidR="00A06B17" w:rsidRPr="00B148F9" w14:paraId="7B0C4E71" w14:textId="77777777" w:rsidTr="00617322">
        <w:trPr>
          <w:trHeight w:val="300"/>
        </w:trPr>
        <w:tc>
          <w:tcPr>
            <w:tcW w:w="2713" w:type="dxa"/>
            <w:tcBorders>
              <w:top w:val="nil"/>
              <w:left w:val="nil"/>
              <w:bottom w:val="nil"/>
              <w:right w:val="nil"/>
            </w:tcBorders>
            <w:shd w:val="clear" w:color="auto" w:fill="auto"/>
            <w:vAlign w:val="center"/>
            <w:hideMark/>
          </w:tcPr>
          <w:p w14:paraId="38A071C5"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7E396608" w14:textId="77777777" w:rsidR="00A06B17" w:rsidRPr="00B148F9" w:rsidRDefault="00A06B17" w:rsidP="00A06B17">
            <w:pPr>
              <w:rPr>
                <w:rFonts w:cs="Calibri"/>
                <w:color w:val="000000"/>
                <w:lang w:eastAsia="en-GB"/>
              </w:rPr>
            </w:pPr>
          </w:p>
        </w:tc>
      </w:tr>
      <w:tr w:rsidR="00A06B17" w:rsidRPr="00B148F9" w14:paraId="03B56F01" w14:textId="77777777" w:rsidTr="00617322">
        <w:trPr>
          <w:trHeight w:val="300"/>
        </w:trPr>
        <w:tc>
          <w:tcPr>
            <w:tcW w:w="2713" w:type="dxa"/>
            <w:tcBorders>
              <w:top w:val="nil"/>
              <w:left w:val="nil"/>
              <w:bottom w:val="nil"/>
              <w:right w:val="nil"/>
            </w:tcBorders>
            <w:shd w:val="clear" w:color="auto" w:fill="auto"/>
            <w:vAlign w:val="center"/>
          </w:tcPr>
          <w:p w14:paraId="222A49E7" w14:textId="77777777" w:rsidR="00A06B17" w:rsidRPr="00B148F9" w:rsidRDefault="00A06B17" w:rsidP="00A06B17">
            <w:pPr>
              <w:rPr>
                <w:rFonts w:cs="Calibri"/>
                <w:b/>
                <w:bCs/>
                <w:color w:val="000000"/>
                <w:lang w:eastAsia="en-GB"/>
              </w:rPr>
            </w:pPr>
            <w:r w:rsidRPr="00B148F9">
              <w:rPr>
                <w:rFonts w:cs="Calibri"/>
                <w:b/>
                <w:bCs/>
                <w:color w:val="000000"/>
                <w:lang w:eastAsia="en-GB"/>
              </w:rPr>
              <w:t>“LSE”</w:t>
            </w:r>
          </w:p>
        </w:tc>
        <w:tc>
          <w:tcPr>
            <w:tcW w:w="6580" w:type="dxa"/>
            <w:tcBorders>
              <w:top w:val="nil"/>
              <w:left w:val="nil"/>
              <w:bottom w:val="nil"/>
              <w:right w:val="nil"/>
            </w:tcBorders>
            <w:shd w:val="clear" w:color="auto" w:fill="auto"/>
            <w:vAlign w:val="center"/>
          </w:tcPr>
          <w:p w14:paraId="4B61D857" w14:textId="77777777" w:rsidR="00A06B17" w:rsidRPr="00B148F9" w:rsidRDefault="00A06B17" w:rsidP="00A06B17">
            <w:pPr>
              <w:rPr>
                <w:rFonts w:cs="Calibri"/>
                <w:color w:val="000000"/>
                <w:lang w:eastAsia="en-GB"/>
              </w:rPr>
            </w:pPr>
            <w:r w:rsidRPr="00B148F9">
              <w:rPr>
                <w:rFonts w:cs="Calibri"/>
                <w:color w:val="000000"/>
                <w:lang w:eastAsia="en-GB"/>
              </w:rPr>
              <w:t>London Stock Exchange’s main market for listed securities;</w:t>
            </w:r>
          </w:p>
        </w:tc>
      </w:tr>
      <w:tr w:rsidR="00A06B17" w:rsidRPr="00B148F9" w14:paraId="0CAFA632" w14:textId="77777777" w:rsidTr="00617322">
        <w:trPr>
          <w:trHeight w:val="300"/>
        </w:trPr>
        <w:tc>
          <w:tcPr>
            <w:tcW w:w="2713" w:type="dxa"/>
            <w:tcBorders>
              <w:top w:val="nil"/>
              <w:left w:val="nil"/>
              <w:bottom w:val="nil"/>
              <w:right w:val="nil"/>
            </w:tcBorders>
            <w:shd w:val="clear" w:color="auto" w:fill="auto"/>
            <w:vAlign w:val="center"/>
            <w:hideMark/>
          </w:tcPr>
          <w:p w14:paraId="1DAD8704"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252161BF" w14:textId="77777777" w:rsidR="00A06B17" w:rsidRPr="00B148F9" w:rsidRDefault="00A06B17" w:rsidP="00A06B17">
            <w:pPr>
              <w:rPr>
                <w:rFonts w:cs="Calibri"/>
                <w:color w:val="000000"/>
                <w:lang w:eastAsia="en-GB"/>
              </w:rPr>
            </w:pPr>
          </w:p>
        </w:tc>
      </w:tr>
      <w:tr w:rsidR="00A06B17" w:rsidRPr="00B148F9" w14:paraId="183B36C0" w14:textId="77777777" w:rsidTr="00617322">
        <w:trPr>
          <w:trHeight w:val="300"/>
        </w:trPr>
        <w:tc>
          <w:tcPr>
            <w:tcW w:w="2713" w:type="dxa"/>
            <w:tcBorders>
              <w:top w:val="nil"/>
              <w:left w:val="nil"/>
              <w:bottom w:val="nil"/>
              <w:right w:val="nil"/>
            </w:tcBorders>
            <w:shd w:val="clear" w:color="auto" w:fill="auto"/>
            <w:vAlign w:val="center"/>
          </w:tcPr>
          <w:p w14:paraId="5436A482" w14:textId="78B500D3" w:rsidR="00A06B17" w:rsidRPr="00B148F9" w:rsidRDefault="00A06B17" w:rsidP="00A06B17">
            <w:pPr>
              <w:rPr>
                <w:rFonts w:cs="Calibri"/>
                <w:b/>
                <w:bCs/>
                <w:color w:val="000000"/>
                <w:lang w:eastAsia="en-GB"/>
              </w:rPr>
            </w:pPr>
            <w:r w:rsidRPr="00B148F9">
              <w:rPr>
                <w:rFonts w:cs="Calibri"/>
                <w:b/>
                <w:bCs/>
                <w:color w:val="000000"/>
                <w:lang w:eastAsia="en-GB"/>
              </w:rPr>
              <w:t>“MAGE-A4”</w:t>
            </w:r>
          </w:p>
        </w:tc>
        <w:tc>
          <w:tcPr>
            <w:tcW w:w="6580" w:type="dxa"/>
            <w:tcBorders>
              <w:top w:val="nil"/>
              <w:left w:val="nil"/>
              <w:bottom w:val="nil"/>
              <w:right w:val="nil"/>
            </w:tcBorders>
            <w:shd w:val="clear" w:color="auto" w:fill="auto"/>
            <w:vAlign w:val="center"/>
          </w:tcPr>
          <w:p w14:paraId="4F52029E" w14:textId="038690B2" w:rsidR="00A06B17" w:rsidRPr="00B148F9" w:rsidRDefault="00A06B17" w:rsidP="00A06B17">
            <w:pPr>
              <w:rPr>
                <w:rFonts w:cs="Calibri"/>
                <w:color w:val="000000"/>
                <w:lang w:eastAsia="en-GB"/>
              </w:rPr>
            </w:pPr>
            <w:r w:rsidRPr="00B148F9">
              <w:rPr>
                <w:rFonts w:cs="Calibri"/>
                <w:color w:val="000000"/>
                <w:lang w:eastAsia="en-GB"/>
              </w:rPr>
              <w:t>a protein expressed on certain types of tumours;</w:t>
            </w:r>
          </w:p>
        </w:tc>
      </w:tr>
      <w:tr w:rsidR="00A06B17" w:rsidRPr="00B148F9" w14:paraId="31CF183A" w14:textId="77777777" w:rsidTr="00617322">
        <w:trPr>
          <w:trHeight w:val="300"/>
        </w:trPr>
        <w:tc>
          <w:tcPr>
            <w:tcW w:w="2713" w:type="dxa"/>
            <w:tcBorders>
              <w:top w:val="nil"/>
              <w:left w:val="nil"/>
              <w:bottom w:val="nil"/>
              <w:right w:val="nil"/>
            </w:tcBorders>
            <w:shd w:val="clear" w:color="auto" w:fill="auto"/>
            <w:vAlign w:val="center"/>
          </w:tcPr>
          <w:p w14:paraId="3B69BEC3"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62C81B60" w14:textId="77777777" w:rsidR="00A06B17" w:rsidRPr="00B148F9" w:rsidRDefault="00A06B17" w:rsidP="00A06B17">
            <w:pPr>
              <w:rPr>
                <w:rFonts w:cs="Calibri"/>
                <w:color w:val="000000"/>
                <w:lang w:eastAsia="en-GB"/>
              </w:rPr>
            </w:pPr>
          </w:p>
        </w:tc>
      </w:tr>
      <w:tr w:rsidR="00A06B17" w:rsidRPr="00B148F9" w14:paraId="58B9858A" w14:textId="77777777" w:rsidTr="00617322">
        <w:trPr>
          <w:trHeight w:val="300"/>
        </w:trPr>
        <w:tc>
          <w:tcPr>
            <w:tcW w:w="2713" w:type="dxa"/>
            <w:tcBorders>
              <w:top w:val="nil"/>
              <w:left w:val="nil"/>
              <w:bottom w:val="nil"/>
              <w:right w:val="nil"/>
            </w:tcBorders>
            <w:shd w:val="clear" w:color="auto" w:fill="auto"/>
            <w:vAlign w:val="center"/>
          </w:tcPr>
          <w:p w14:paraId="3CC8464C" w14:textId="196C3852" w:rsidR="00A06B17" w:rsidRPr="00B148F9" w:rsidRDefault="00A06B17" w:rsidP="00A06B17">
            <w:pPr>
              <w:rPr>
                <w:rFonts w:cs="Calibri"/>
                <w:b/>
                <w:bCs/>
                <w:color w:val="000000"/>
                <w:lang w:eastAsia="en-GB"/>
              </w:rPr>
            </w:pPr>
            <w:r w:rsidRPr="00B148F9">
              <w:rPr>
                <w:rFonts w:cs="Calibri"/>
                <w:b/>
                <w:bCs/>
                <w:color w:val="000000"/>
                <w:lang w:eastAsia="en-GB"/>
              </w:rPr>
              <w:t>“Medtech”</w:t>
            </w:r>
          </w:p>
        </w:tc>
        <w:tc>
          <w:tcPr>
            <w:tcW w:w="6580" w:type="dxa"/>
            <w:tcBorders>
              <w:top w:val="nil"/>
              <w:left w:val="nil"/>
              <w:bottom w:val="nil"/>
              <w:right w:val="nil"/>
            </w:tcBorders>
            <w:shd w:val="clear" w:color="auto" w:fill="auto"/>
            <w:vAlign w:val="center"/>
          </w:tcPr>
          <w:p w14:paraId="6A3D9CE9" w14:textId="06F80B9F" w:rsidR="00A06B17" w:rsidRPr="00B148F9" w:rsidRDefault="00A06B17" w:rsidP="00A06B17">
            <w:pPr>
              <w:rPr>
                <w:rFonts w:cs="Calibri"/>
                <w:color w:val="000000"/>
                <w:lang w:eastAsia="en-GB"/>
              </w:rPr>
            </w:pPr>
            <w:r w:rsidRPr="00B148F9">
              <w:rPr>
                <w:rFonts w:cs="Calibri"/>
                <w:color w:val="000000"/>
              </w:rPr>
              <w:t>medical technology sector within healthcare;</w:t>
            </w:r>
          </w:p>
        </w:tc>
      </w:tr>
      <w:tr w:rsidR="00A06B17" w:rsidRPr="00B148F9" w14:paraId="645BBE32" w14:textId="77777777" w:rsidTr="00617322">
        <w:trPr>
          <w:trHeight w:val="300"/>
        </w:trPr>
        <w:tc>
          <w:tcPr>
            <w:tcW w:w="2713" w:type="dxa"/>
            <w:tcBorders>
              <w:top w:val="nil"/>
              <w:left w:val="nil"/>
              <w:bottom w:val="nil"/>
              <w:right w:val="nil"/>
            </w:tcBorders>
            <w:shd w:val="clear" w:color="auto" w:fill="auto"/>
            <w:vAlign w:val="center"/>
          </w:tcPr>
          <w:p w14:paraId="0C060B6E"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5EF1266B" w14:textId="77777777" w:rsidR="00A06B17" w:rsidRPr="00B148F9" w:rsidRDefault="00A06B17" w:rsidP="00A06B17">
            <w:pPr>
              <w:rPr>
                <w:rFonts w:cs="Calibri"/>
                <w:color w:val="000000"/>
                <w:lang w:eastAsia="en-GB"/>
              </w:rPr>
            </w:pPr>
          </w:p>
        </w:tc>
      </w:tr>
      <w:tr w:rsidR="00011B57" w:rsidRPr="00B148F9" w14:paraId="3F879A7F" w14:textId="77777777" w:rsidTr="00617322">
        <w:trPr>
          <w:trHeight w:val="300"/>
        </w:trPr>
        <w:tc>
          <w:tcPr>
            <w:tcW w:w="2713" w:type="dxa"/>
            <w:tcBorders>
              <w:top w:val="nil"/>
              <w:left w:val="nil"/>
              <w:bottom w:val="nil"/>
              <w:right w:val="nil"/>
            </w:tcBorders>
            <w:shd w:val="clear" w:color="auto" w:fill="auto"/>
            <w:vAlign w:val="center"/>
          </w:tcPr>
          <w:p w14:paraId="5871CB9B" w14:textId="20830056" w:rsidR="00011B57" w:rsidRPr="00B148F9" w:rsidRDefault="00011B57" w:rsidP="00A06B17">
            <w:pPr>
              <w:rPr>
                <w:rFonts w:cs="Calibri"/>
                <w:b/>
                <w:bCs/>
                <w:color w:val="000000"/>
                <w:lang w:eastAsia="en-GB"/>
              </w:rPr>
            </w:pPr>
            <w:r w:rsidRPr="00B148F9">
              <w:rPr>
                <w:rFonts w:cs="Calibri"/>
                <w:b/>
                <w:bCs/>
                <w:color w:val="000000"/>
                <w:lang w:eastAsia="en-GB"/>
              </w:rPr>
              <w:t>MOC</w:t>
            </w:r>
          </w:p>
        </w:tc>
        <w:tc>
          <w:tcPr>
            <w:tcW w:w="6580" w:type="dxa"/>
            <w:tcBorders>
              <w:top w:val="nil"/>
              <w:left w:val="nil"/>
              <w:bottom w:val="nil"/>
              <w:right w:val="nil"/>
            </w:tcBorders>
            <w:shd w:val="clear" w:color="auto" w:fill="auto"/>
            <w:vAlign w:val="center"/>
          </w:tcPr>
          <w:p w14:paraId="209CEEF3" w14:textId="656CFAA5" w:rsidR="00011B57" w:rsidRPr="00B148F9" w:rsidRDefault="00011B57" w:rsidP="00A06B17">
            <w:pPr>
              <w:rPr>
                <w:rFonts w:cs="Calibri"/>
                <w:color w:val="000000"/>
              </w:rPr>
            </w:pPr>
            <w:r w:rsidRPr="00B148F9">
              <w:rPr>
                <w:rFonts w:cs="Calibri"/>
                <w:color w:val="000000"/>
              </w:rPr>
              <w:t>Multiple on capital is the ratio of realised and unrealised gains divided by the acquisition cost of an investment</w:t>
            </w:r>
            <w:r w:rsidR="002F67EB" w:rsidRPr="00B148F9">
              <w:rPr>
                <w:rFonts w:cs="Calibri"/>
                <w:color w:val="000000"/>
              </w:rPr>
              <w:t>;</w:t>
            </w:r>
          </w:p>
        </w:tc>
      </w:tr>
      <w:tr w:rsidR="00FE4734" w:rsidRPr="00B148F9" w14:paraId="6B0607D2" w14:textId="77777777" w:rsidTr="00617322">
        <w:trPr>
          <w:trHeight w:val="300"/>
        </w:trPr>
        <w:tc>
          <w:tcPr>
            <w:tcW w:w="2713" w:type="dxa"/>
            <w:tcBorders>
              <w:top w:val="nil"/>
              <w:left w:val="nil"/>
              <w:bottom w:val="nil"/>
              <w:right w:val="nil"/>
            </w:tcBorders>
            <w:shd w:val="clear" w:color="auto" w:fill="auto"/>
            <w:vAlign w:val="center"/>
          </w:tcPr>
          <w:p w14:paraId="1A77D8BA" w14:textId="77777777" w:rsidR="00FE4734" w:rsidRPr="00B148F9" w:rsidRDefault="00FE4734"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02C21757" w14:textId="77777777" w:rsidR="00FE4734" w:rsidRPr="00B148F9" w:rsidRDefault="00FE4734" w:rsidP="00A06B17">
            <w:pPr>
              <w:rPr>
                <w:rFonts w:cs="Calibri"/>
                <w:color w:val="000000"/>
              </w:rPr>
            </w:pPr>
          </w:p>
        </w:tc>
      </w:tr>
      <w:tr w:rsidR="00A06B17" w:rsidRPr="00B148F9" w14:paraId="6EC8B7DE" w14:textId="77777777" w:rsidTr="00617322">
        <w:trPr>
          <w:trHeight w:val="300"/>
        </w:trPr>
        <w:tc>
          <w:tcPr>
            <w:tcW w:w="2713" w:type="dxa"/>
            <w:tcBorders>
              <w:top w:val="nil"/>
              <w:left w:val="nil"/>
              <w:bottom w:val="nil"/>
              <w:right w:val="nil"/>
            </w:tcBorders>
            <w:shd w:val="clear" w:color="auto" w:fill="auto"/>
            <w:vAlign w:val="center"/>
          </w:tcPr>
          <w:p w14:paraId="3D386CEC" w14:textId="272BB45B" w:rsidR="00A06B17" w:rsidRPr="00B148F9" w:rsidRDefault="00A06B17" w:rsidP="00A06B17">
            <w:pPr>
              <w:rPr>
                <w:rFonts w:cs="Calibri"/>
                <w:b/>
                <w:bCs/>
                <w:color w:val="000000"/>
                <w:lang w:eastAsia="en-GB"/>
              </w:rPr>
            </w:pPr>
            <w:r w:rsidRPr="00B148F9">
              <w:rPr>
                <w:rFonts w:cs="Calibri"/>
                <w:b/>
                <w:bCs/>
                <w:color w:val="000000"/>
                <w:lang w:eastAsia="en-GB"/>
              </w:rPr>
              <w:t>“Multiple sclerosis”</w:t>
            </w:r>
          </w:p>
        </w:tc>
        <w:tc>
          <w:tcPr>
            <w:tcW w:w="6580" w:type="dxa"/>
            <w:tcBorders>
              <w:top w:val="nil"/>
              <w:left w:val="nil"/>
              <w:bottom w:val="nil"/>
              <w:right w:val="nil"/>
            </w:tcBorders>
            <w:shd w:val="clear" w:color="auto" w:fill="auto"/>
            <w:vAlign w:val="center"/>
          </w:tcPr>
          <w:p w14:paraId="38B765CA" w14:textId="221ECF0D" w:rsidR="00A06B17" w:rsidRPr="00B148F9" w:rsidRDefault="00A06B17" w:rsidP="00A06B17">
            <w:pPr>
              <w:rPr>
                <w:rFonts w:cs="Calibri"/>
                <w:color w:val="000000"/>
                <w:lang w:eastAsia="en-GB"/>
              </w:rPr>
            </w:pPr>
            <w:r w:rsidRPr="00B148F9">
              <w:rPr>
                <w:rFonts w:cs="Calibri"/>
                <w:color w:val="000000"/>
              </w:rPr>
              <w:t xml:space="preserve">a condition, in which </w:t>
            </w:r>
            <w:r w:rsidRPr="00B148F9">
              <w:rPr>
                <w:rFonts w:cs="Calibri"/>
                <w:color w:val="000000" w:themeColor="text1"/>
              </w:rPr>
              <w:t>the immune system attacks the protective sheath (myelin) that covers nerve fibres and causes miscommunication between the brain and the body;</w:t>
            </w:r>
          </w:p>
        </w:tc>
      </w:tr>
      <w:tr w:rsidR="00A06B17" w:rsidRPr="00B148F9" w14:paraId="3D4188DA" w14:textId="77777777" w:rsidTr="00617322">
        <w:trPr>
          <w:trHeight w:val="300"/>
        </w:trPr>
        <w:tc>
          <w:tcPr>
            <w:tcW w:w="2713" w:type="dxa"/>
            <w:tcBorders>
              <w:top w:val="nil"/>
              <w:left w:val="nil"/>
              <w:bottom w:val="nil"/>
              <w:right w:val="nil"/>
            </w:tcBorders>
            <w:shd w:val="clear" w:color="auto" w:fill="auto"/>
            <w:vAlign w:val="center"/>
          </w:tcPr>
          <w:p w14:paraId="3277AEE3"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347D12A8" w14:textId="77777777" w:rsidR="00A06B17" w:rsidRPr="00B148F9" w:rsidRDefault="00A06B17" w:rsidP="00A06B17">
            <w:pPr>
              <w:rPr>
                <w:rFonts w:cs="Calibri"/>
                <w:color w:val="000000"/>
                <w:lang w:eastAsia="en-GB"/>
              </w:rPr>
            </w:pPr>
          </w:p>
        </w:tc>
      </w:tr>
      <w:tr w:rsidR="00A06B17" w:rsidRPr="00B148F9" w14:paraId="0C0C4768" w14:textId="77777777" w:rsidTr="00617322">
        <w:trPr>
          <w:trHeight w:val="300"/>
        </w:trPr>
        <w:tc>
          <w:tcPr>
            <w:tcW w:w="2713" w:type="dxa"/>
            <w:tcBorders>
              <w:top w:val="nil"/>
              <w:left w:val="nil"/>
              <w:bottom w:val="nil"/>
              <w:right w:val="nil"/>
            </w:tcBorders>
            <w:shd w:val="clear" w:color="auto" w:fill="auto"/>
            <w:vAlign w:val="center"/>
          </w:tcPr>
          <w:p w14:paraId="1D2B0B68" w14:textId="6E69C6E0" w:rsidR="00A06B17" w:rsidRPr="00B148F9" w:rsidRDefault="00A06B17" w:rsidP="00A06B17">
            <w:pPr>
              <w:rPr>
                <w:rFonts w:cs="Calibri"/>
                <w:b/>
                <w:bCs/>
                <w:color w:val="000000"/>
                <w:lang w:eastAsia="en-GB"/>
              </w:rPr>
            </w:pPr>
            <w:r w:rsidRPr="00B148F9">
              <w:rPr>
                <w:rFonts w:cs="Calibri"/>
                <w:b/>
                <w:bCs/>
                <w:color w:val="000000"/>
                <w:lang w:eastAsia="en-GB"/>
              </w:rPr>
              <w:t>“Myotonic Dystrophy”</w:t>
            </w:r>
          </w:p>
        </w:tc>
        <w:tc>
          <w:tcPr>
            <w:tcW w:w="6580" w:type="dxa"/>
            <w:tcBorders>
              <w:top w:val="nil"/>
              <w:left w:val="nil"/>
              <w:bottom w:val="nil"/>
              <w:right w:val="nil"/>
            </w:tcBorders>
            <w:shd w:val="clear" w:color="auto" w:fill="auto"/>
            <w:vAlign w:val="center"/>
          </w:tcPr>
          <w:p w14:paraId="17615526" w14:textId="3124E630" w:rsidR="00A06B17" w:rsidRPr="00B148F9" w:rsidRDefault="00A06B17" w:rsidP="00A06B17">
            <w:pPr>
              <w:rPr>
                <w:rFonts w:cs="Calibri"/>
                <w:color w:val="000000"/>
                <w:lang w:eastAsia="en-GB"/>
              </w:rPr>
            </w:pPr>
            <w:r w:rsidRPr="00B148F9">
              <w:rPr>
                <w:rFonts w:cs="Calibri"/>
                <w:color w:val="000000"/>
              </w:rPr>
              <w:t>a genetic condition that affect muscle function;</w:t>
            </w:r>
          </w:p>
        </w:tc>
      </w:tr>
      <w:tr w:rsidR="00A06B17" w:rsidRPr="00B148F9" w14:paraId="32CC48C3" w14:textId="77777777" w:rsidTr="00617322">
        <w:trPr>
          <w:trHeight w:val="300"/>
        </w:trPr>
        <w:tc>
          <w:tcPr>
            <w:tcW w:w="2713" w:type="dxa"/>
            <w:tcBorders>
              <w:top w:val="nil"/>
              <w:left w:val="nil"/>
              <w:bottom w:val="nil"/>
              <w:right w:val="nil"/>
            </w:tcBorders>
            <w:shd w:val="clear" w:color="auto" w:fill="auto"/>
            <w:vAlign w:val="center"/>
          </w:tcPr>
          <w:p w14:paraId="674D50C7"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1C20D65C" w14:textId="77777777" w:rsidR="00A06B17" w:rsidRPr="00B148F9" w:rsidRDefault="00A06B17" w:rsidP="00A06B17">
            <w:pPr>
              <w:rPr>
                <w:rFonts w:cs="Calibri"/>
                <w:color w:val="000000"/>
                <w:lang w:eastAsia="en-GB"/>
              </w:rPr>
            </w:pPr>
          </w:p>
        </w:tc>
      </w:tr>
      <w:tr w:rsidR="00A06B17" w:rsidRPr="00B148F9" w14:paraId="51324E0E" w14:textId="77777777" w:rsidTr="00617322">
        <w:trPr>
          <w:trHeight w:val="300"/>
        </w:trPr>
        <w:tc>
          <w:tcPr>
            <w:tcW w:w="2713" w:type="dxa"/>
            <w:tcBorders>
              <w:top w:val="nil"/>
              <w:left w:val="nil"/>
              <w:bottom w:val="nil"/>
              <w:right w:val="nil"/>
            </w:tcBorders>
            <w:shd w:val="clear" w:color="auto" w:fill="auto"/>
            <w:vAlign w:val="center"/>
          </w:tcPr>
          <w:p w14:paraId="38204F32" w14:textId="6C8B35D9" w:rsidR="00A06B17" w:rsidRPr="00B148F9" w:rsidRDefault="00A06B17" w:rsidP="00A06B17">
            <w:pPr>
              <w:rPr>
                <w:rFonts w:cs="Calibri"/>
                <w:b/>
                <w:bCs/>
                <w:color w:val="000000"/>
                <w:lang w:eastAsia="en-GB"/>
              </w:rPr>
            </w:pPr>
            <w:r w:rsidRPr="00B148F9">
              <w:rPr>
                <w:rFonts w:cs="Calibri"/>
                <w:b/>
                <w:bCs/>
                <w:color w:val="000000"/>
                <w:lang w:eastAsia="en-GB"/>
              </w:rPr>
              <w:t>“NASDAQ Biotech”</w:t>
            </w:r>
          </w:p>
        </w:tc>
        <w:tc>
          <w:tcPr>
            <w:tcW w:w="6580" w:type="dxa"/>
            <w:tcBorders>
              <w:top w:val="nil"/>
              <w:left w:val="nil"/>
              <w:bottom w:val="nil"/>
              <w:right w:val="nil"/>
            </w:tcBorders>
            <w:shd w:val="clear" w:color="auto" w:fill="auto"/>
            <w:vAlign w:val="center"/>
          </w:tcPr>
          <w:p w14:paraId="4A8AFDAA" w14:textId="162BD2E6" w:rsidR="00A06B17" w:rsidRPr="00B148F9" w:rsidRDefault="00A06B17" w:rsidP="00A06B17">
            <w:pPr>
              <w:rPr>
                <w:rFonts w:cs="Calibri"/>
                <w:color w:val="000000"/>
                <w:lang w:eastAsia="en-GB"/>
              </w:rPr>
            </w:pPr>
            <w:r w:rsidRPr="00B148F9">
              <w:rPr>
                <w:rFonts w:cs="Calibri"/>
                <w:color w:val="000000"/>
              </w:rPr>
              <w:t>a stock market index made up of securities of NASDAQ-listed companies classified according to the Industry Classification Benchmark as either the Biotechnology or the Pharmaceutical industry;</w:t>
            </w:r>
          </w:p>
        </w:tc>
      </w:tr>
      <w:tr w:rsidR="00A06B17" w:rsidRPr="00B148F9" w14:paraId="001B9173" w14:textId="77777777" w:rsidTr="00617322">
        <w:trPr>
          <w:trHeight w:val="300"/>
        </w:trPr>
        <w:tc>
          <w:tcPr>
            <w:tcW w:w="2713" w:type="dxa"/>
            <w:tcBorders>
              <w:top w:val="nil"/>
              <w:left w:val="nil"/>
              <w:bottom w:val="nil"/>
              <w:right w:val="nil"/>
            </w:tcBorders>
            <w:shd w:val="clear" w:color="auto" w:fill="auto"/>
            <w:vAlign w:val="center"/>
          </w:tcPr>
          <w:p w14:paraId="707EA363"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54EEE5F" w14:textId="77777777" w:rsidR="00A06B17" w:rsidRPr="00B148F9" w:rsidRDefault="00A06B17" w:rsidP="00A06B17">
            <w:pPr>
              <w:rPr>
                <w:rFonts w:cs="Calibri"/>
                <w:color w:val="000000"/>
                <w:lang w:eastAsia="en-GB"/>
              </w:rPr>
            </w:pPr>
          </w:p>
        </w:tc>
      </w:tr>
      <w:tr w:rsidR="00A06B17" w:rsidRPr="00B148F9" w14:paraId="03FC0F58" w14:textId="77777777" w:rsidTr="00617322">
        <w:trPr>
          <w:trHeight w:val="570"/>
        </w:trPr>
        <w:tc>
          <w:tcPr>
            <w:tcW w:w="2713" w:type="dxa"/>
            <w:tcBorders>
              <w:top w:val="nil"/>
              <w:left w:val="nil"/>
              <w:bottom w:val="nil"/>
              <w:right w:val="nil"/>
            </w:tcBorders>
            <w:shd w:val="clear" w:color="auto" w:fill="auto"/>
            <w:vAlign w:val="center"/>
            <w:hideMark/>
          </w:tcPr>
          <w:p w14:paraId="49877C6B" w14:textId="77777777" w:rsidR="00A06B17" w:rsidRPr="00B148F9" w:rsidRDefault="00A06B17" w:rsidP="00A06B17">
            <w:pPr>
              <w:rPr>
                <w:rFonts w:cs="Calibri"/>
                <w:b/>
                <w:bCs/>
                <w:color w:val="000000"/>
                <w:lang w:eastAsia="en-GB"/>
              </w:rPr>
            </w:pPr>
            <w:r w:rsidRPr="00B148F9">
              <w:rPr>
                <w:rFonts w:cs="Calibri"/>
                <w:b/>
                <w:bCs/>
                <w:color w:val="000000"/>
                <w:lang w:eastAsia="en-GB"/>
              </w:rPr>
              <w:t>“Net Asset Value</w:t>
            </w:r>
            <w:r w:rsidRPr="00B148F9">
              <w:rPr>
                <w:rFonts w:cs="Calibri"/>
                <w:b/>
                <w:color w:val="000000"/>
                <w:lang w:eastAsia="en-GB"/>
              </w:rPr>
              <w:t>”</w:t>
            </w:r>
            <w:r w:rsidRPr="00B148F9">
              <w:rPr>
                <w:rFonts w:cs="Calibri"/>
                <w:color w:val="000000"/>
                <w:lang w:eastAsia="en-GB"/>
              </w:rPr>
              <w:t xml:space="preserve"> or </w:t>
            </w:r>
            <w:r w:rsidRPr="00B148F9">
              <w:rPr>
                <w:rFonts w:cs="Calibri"/>
                <w:b/>
                <w:color w:val="000000"/>
                <w:lang w:eastAsia="en-GB"/>
              </w:rPr>
              <w:t>“NAV”</w:t>
            </w:r>
          </w:p>
        </w:tc>
        <w:tc>
          <w:tcPr>
            <w:tcW w:w="6580" w:type="dxa"/>
            <w:tcBorders>
              <w:top w:val="nil"/>
              <w:left w:val="nil"/>
              <w:bottom w:val="nil"/>
              <w:right w:val="nil"/>
            </w:tcBorders>
            <w:shd w:val="clear" w:color="auto" w:fill="auto"/>
            <w:vAlign w:val="center"/>
            <w:hideMark/>
          </w:tcPr>
          <w:p w14:paraId="6DBCEDCF" w14:textId="490F89B1" w:rsidR="00A06B17" w:rsidRPr="00B148F9" w:rsidRDefault="00A06B17" w:rsidP="00A06B17">
            <w:pPr>
              <w:rPr>
                <w:rFonts w:cs="Calibri"/>
                <w:color w:val="000000"/>
                <w:lang w:eastAsia="en-GB"/>
              </w:rPr>
            </w:pPr>
            <w:r w:rsidRPr="00B148F9">
              <w:rPr>
                <w:rFonts w:cs="Calibri"/>
                <w:color w:val="000000"/>
                <w:lang w:eastAsia="en-GB"/>
              </w:rPr>
              <w:t>the value of the assets of the Company less its liabilities, calculated in accordance with the valuation guidelines laid down by the Board;</w:t>
            </w:r>
          </w:p>
        </w:tc>
      </w:tr>
      <w:tr w:rsidR="00A06B17" w:rsidRPr="00B148F9" w14:paraId="0A6126CA" w14:textId="77777777" w:rsidTr="00617322">
        <w:trPr>
          <w:trHeight w:val="300"/>
        </w:trPr>
        <w:tc>
          <w:tcPr>
            <w:tcW w:w="2713" w:type="dxa"/>
            <w:tcBorders>
              <w:top w:val="nil"/>
              <w:left w:val="nil"/>
              <w:bottom w:val="nil"/>
              <w:right w:val="nil"/>
            </w:tcBorders>
            <w:shd w:val="clear" w:color="auto" w:fill="auto"/>
            <w:vAlign w:val="center"/>
          </w:tcPr>
          <w:p w14:paraId="77E5613B"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35D01277" w14:textId="77777777" w:rsidR="00A06B17" w:rsidRPr="00B148F9" w:rsidRDefault="00A06B17" w:rsidP="00A06B17">
            <w:pPr>
              <w:rPr>
                <w:rFonts w:cs="Calibri"/>
                <w:color w:val="000000"/>
                <w:lang w:eastAsia="en-GB"/>
              </w:rPr>
            </w:pPr>
          </w:p>
        </w:tc>
      </w:tr>
      <w:tr w:rsidR="00A06B17" w:rsidRPr="00B148F9" w14:paraId="715CF9D2" w14:textId="77777777" w:rsidTr="00617322">
        <w:trPr>
          <w:trHeight w:val="300"/>
        </w:trPr>
        <w:tc>
          <w:tcPr>
            <w:tcW w:w="2713" w:type="dxa"/>
            <w:tcBorders>
              <w:top w:val="nil"/>
              <w:left w:val="nil"/>
              <w:bottom w:val="nil"/>
              <w:right w:val="nil"/>
            </w:tcBorders>
            <w:shd w:val="clear" w:color="auto" w:fill="auto"/>
            <w:vAlign w:val="center"/>
          </w:tcPr>
          <w:p w14:paraId="50196E53" w14:textId="7FB136DF" w:rsidR="00A06B17" w:rsidRPr="00B148F9" w:rsidRDefault="00A06B17" w:rsidP="00A06B17">
            <w:pPr>
              <w:rPr>
                <w:rFonts w:cs="Calibri"/>
                <w:b/>
                <w:bCs/>
                <w:color w:val="000000"/>
                <w:lang w:eastAsia="en-GB"/>
              </w:rPr>
            </w:pPr>
            <w:r w:rsidRPr="00B148F9">
              <w:rPr>
                <w:rFonts w:cs="Calibri"/>
                <w:b/>
                <w:bCs/>
                <w:color w:val="000000"/>
                <w:lang w:eastAsia="en-GB"/>
              </w:rPr>
              <w:t>“NewCo”</w:t>
            </w:r>
          </w:p>
        </w:tc>
        <w:tc>
          <w:tcPr>
            <w:tcW w:w="6580" w:type="dxa"/>
            <w:tcBorders>
              <w:top w:val="nil"/>
              <w:left w:val="nil"/>
              <w:bottom w:val="nil"/>
              <w:right w:val="nil"/>
            </w:tcBorders>
            <w:shd w:val="clear" w:color="auto" w:fill="auto"/>
            <w:vAlign w:val="center"/>
          </w:tcPr>
          <w:p w14:paraId="7AAA466F" w14:textId="7964555F" w:rsidR="00A06B17" w:rsidRPr="00B148F9" w:rsidRDefault="00A06B17" w:rsidP="00A06B17">
            <w:pPr>
              <w:rPr>
                <w:rFonts w:cs="Calibri"/>
                <w:color w:val="000000"/>
                <w:lang w:eastAsia="en-GB"/>
              </w:rPr>
            </w:pPr>
            <w:r w:rsidRPr="00B148F9">
              <w:rPr>
                <w:rFonts w:cs="Calibri"/>
                <w:color w:val="000000"/>
                <w:lang w:eastAsia="en-GB"/>
              </w:rPr>
              <w:t>a new company;</w:t>
            </w:r>
          </w:p>
        </w:tc>
      </w:tr>
      <w:tr w:rsidR="00A06B17" w:rsidRPr="00B148F9" w14:paraId="559EFD9E" w14:textId="77777777" w:rsidTr="00617322">
        <w:trPr>
          <w:trHeight w:val="300"/>
        </w:trPr>
        <w:tc>
          <w:tcPr>
            <w:tcW w:w="2713" w:type="dxa"/>
            <w:tcBorders>
              <w:top w:val="nil"/>
              <w:left w:val="nil"/>
              <w:bottom w:val="nil"/>
              <w:right w:val="nil"/>
            </w:tcBorders>
            <w:shd w:val="clear" w:color="auto" w:fill="auto"/>
            <w:vAlign w:val="center"/>
          </w:tcPr>
          <w:p w14:paraId="175ACA6C"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11145F76" w14:textId="77777777" w:rsidR="00A06B17" w:rsidRPr="00B148F9" w:rsidRDefault="00A06B17" w:rsidP="00A06B17">
            <w:pPr>
              <w:rPr>
                <w:rFonts w:cs="Calibri"/>
                <w:color w:val="000000"/>
                <w:lang w:eastAsia="en-GB"/>
              </w:rPr>
            </w:pPr>
          </w:p>
        </w:tc>
      </w:tr>
      <w:tr w:rsidR="00A06B17" w:rsidRPr="00B148F9" w14:paraId="2A62A41E" w14:textId="77777777" w:rsidTr="00617322">
        <w:trPr>
          <w:trHeight w:val="300"/>
        </w:trPr>
        <w:tc>
          <w:tcPr>
            <w:tcW w:w="2713" w:type="dxa"/>
            <w:tcBorders>
              <w:top w:val="nil"/>
              <w:left w:val="nil"/>
              <w:bottom w:val="nil"/>
              <w:right w:val="nil"/>
            </w:tcBorders>
            <w:shd w:val="clear" w:color="auto" w:fill="auto"/>
            <w:vAlign w:val="center"/>
            <w:hideMark/>
          </w:tcPr>
          <w:p w14:paraId="19467161" w14:textId="77777777" w:rsidR="00A06B17" w:rsidRPr="00B148F9" w:rsidRDefault="00A06B17" w:rsidP="00A06B17">
            <w:pPr>
              <w:rPr>
                <w:rFonts w:cs="Calibri"/>
                <w:b/>
                <w:bCs/>
                <w:color w:val="000000"/>
                <w:lang w:eastAsia="en-GB"/>
              </w:rPr>
            </w:pPr>
            <w:r w:rsidRPr="00B148F9">
              <w:rPr>
                <w:rFonts w:cs="Calibri"/>
                <w:b/>
                <w:bCs/>
                <w:color w:val="000000"/>
                <w:lang w:eastAsia="en-GB"/>
              </w:rPr>
              <w:t>“Official List</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3E785BB2" w14:textId="77777777" w:rsidR="00A06B17" w:rsidRPr="00B148F9" w:rsidRDefault="00A06B17" w:rsidP="00A06B17">
            <w:pPr>
              <w:rPr>
                <w:rFonts w:cs="Calibri"/>
                <w:color w:val="000000"/>
                <w:lang w:eastAsia="en-GB"/>
              </w:rPr>
            </w:pPr>
            <w:r w:rsidRPr="00B148F9">
              <w:rPr>
                <w:rFonts w:cs="Calibri"/>
                <w:color w:val="000000"/>
                <w:lang w:eastAsia="en-GB"/>
              </w:rPr>
              <w:t>the official list of the UK Listing Authority;</w:t>
            </w:r>
          </w:p>
        </w:tc>
      </w:tr>
      <w:tr w:rsidR="00A06B17" w:rsidRPr="00B148F9" w14:paraId="3971B3A7" w14:textId="77777777" w:rsidTr="00617322">
        <w:trPr>
          <w:trHeight w:val="300"/>
        </w:trPr>
        <w:tc>
          <w:tcPr>
            <w:tcW w:w="2713" w:type="dxa"/>
            <w:tcBorders>
              <w:top w:val="nil"/>
              <w:left w:val="nil"/>
              <w:bottom w:val="nil"/>
              <w:right w:val="nil"/>
            </w:tcBorders>
            <w:shd w:val="clear" w:color="auto" w:fill="auto"/>
            <w:vAlign w:val="center"/>
          </w:tcPr>
          <w:p w14:paraId="16E732DB"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3E96C789" w14:textId="77777777" w:rsidR="00A06B17" w:rsidRPr="00B148F9" w:rsidRDefault="00A06B17" w:rsidP="00A06B17">
            <w:pPr>
              <w:rPr>
                <w:rFonts w:cs="Calibri"/>
                <w:color w:val="000000"/>
                <w:lang w:eastAsia="en-GB"/>
              </w:rPr>
            </w:pPr>
          </w:p>
        </w:tc>
      </w:tr>
      <w:tr w:rsidR="00A06B17" w:rsidRPr="00B148F9" w14:paraId="48290680" w14:textId="77777777" w:rsidTr="00617322">
        <w:trPr>
          <w:trHeight w:val="300"/>
        </w:trPr>
        <w:tc>
          <w:tcPr>
            <w:tcW w:w="2713" w:type="dxa"/>
            <w:tcBorders>
              <w:top w:val="nil"/>
              <w:left w:val="nil"/>
              <w:bottom w:val="nil"/>
              <w:right w:val="nil"/>
            </w:tcBorders>
            <w:shd w:val="clear" w:color="auto" w:fill="auto"/>
            <w:vAlign w:val="center"/>
          </w:tcPr>
          <w:p w14:paraId="07056D5E" w14:textId="19592BC8" w:rsidR="00A06B17" w:rsidRPr="00B148F9" w:rsidRDefault="00A06B17" w:rsidP="00A06B17">
            <w:pPr>
              <w:rPr>
                <w:rFonts w:cs="Calibri"/>
                <w:b/>
                <w:bCs/>
                <w:color w:val="000000"/>
                <w:lang w:eastAsia="en-GB"/>
              </w:rPr>
            </w:pPr>
            <w:r w:rsidRPr="00B148F9">
              <w:rPr>
                <w:rFonts w:cs="Calibri"/>
                <w:b/>
                <w:bCs/>
                <w:color w:val="000000"/>
                <w:lang w:eastAsia="en-GB"/>
              </w:rPr>
              <w:t xml:space="preserve">“Oligonucleotides” </w:t>
            </w:r>
            <w:r w:rsidRPr="00B148F9">
              <w:rPr>
                <w:rFonts w:cs="Calibri"/>
                <w:bCs/>
                <w:color w:val="000000"/>
                <w:lang w:eastAsia="en-GB"/>
              </w:rPr>
              <w:t>or</w:t>
            </w:r>
            <w:r w:rsidRPr="00B148F9">
              <w:rPr>
                <w:rFonts w:cs="Calibri"/>
                <w:b/>
                <w:bCs/>
                <w:color w:val="000000"/>
                <w:lang w:eastAsia="en-GB"/>
              </w:rPr>
              <w:t xml:space="preserve"> “Oligos”</w:t>
            </w:r>
          </w:p>
        </w:tc>
        <w:tc>
          <w:tcPr>
            <w:tcW w:w="6580" w:type="dxa"/>
            <w:tcBorders>
              <w:top w:val="nil"/>
              <w:left w:val="nil"/>
              <w:bottom w:val="nil"/>
              <w:right w:val="nil"/>
            </w:tcBorders>
            <w:shd w:val="clear" w:color="auto" w:fill="auto"/>
            <w:vAlign w:val="center"/>
          </w:tcPr>
          <w:p w14:paraId="764174C1" w14:textId="7803E7EC" w:rsidR="00A06B17" w:rsidRPr="00B148F9" w:rsidRDefault="00A06B17" w:rsidP="00A06B17">
            <w:pPr>
              <w:rPr>
                <w:rFonts w:cs="Calibri"/>
                <w:color w:val="000000"/>
                <w:lang w:eastAsia="en-GB"/>
              </w:rPr>
            </w:pPr>
            <w:r w:rsidRPr="00B148F9">
              <w:rPr>
                <w:rFonts w:cs="Calibri"/>
                <w:color w:val="000000"/>
              </w:rPr>
              <w:t>a short DNA or RNA molecules that have a wide range of applications in genetic testing and research;</w:t>
            </w:r>
          </w:p>
        </w:tc>
      </w:tr>
      <w:tr w:rsidR="00A06B17" w:rsidRPr="00B148F9" w14:paraId="2AA109A9" w14:textId="77777777" w:rsidTr="00617322">
        <w:trPr>
          <w:trHeight w:val="300"/>
        </w:trPr>
        <w:tc>
          <w:tcPr>
            <w:tcW w:w="2713" w:type="dxa"/>
            <w:tcBorders>
              <w:top w:val="nil"/>
              <w:left w:val="nil"/>
              <w:bottom w:val="nil"/>
              <w:right w:val="nil"/>
            </w:tcBorders>
            <w:shd w:val="clear" w:color="auto" w:fill="auto"/>
            <w:vAlign w:val="center"/>
          </w:tcPr>
          <w:p w14:paraId="79D353D2"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3B439467" w14:textId="77777777" w:rsidR="00A06B17" w:rsidRPr="00B148F9" w:rsidRDefault="00A06B17" w:rsidP="00A06B17">
            <w:pPr>
              <w:rPr>
                <w:rFonts w:cs="Calibri"/>
                <w:color w:val="000000"/>
                <w:lang w:eastAsia="en-GB"/>
              </w:rPr>
            </w:pPr>
          </w:p>
        </w:tc>
      </w:tr>
      <w:tr w:rsidR="00A06B17" w:rsidRPr="00B148F9" w14:paraId="3167213A" w14:textId="77777777" w:rsidTr="00617322">
        <w:trPr>
          <w:trHeight w:val="300"/>
        </w:trPr>
        <w:tc>
          <w:tcPr>
            <w:tcW w:w="2713" w:type="dxa"/>
            <w:tcBorders>
              <w:top w:val="nil"/>
              <w:left w:val="nil"/>
              <w:bottom w:val="nil"/>
              <w:right w:val="nil"/>
            </w:tcBorders>
            <w:shd w:val="clear" w:color="auto" w:fill="auto"/>
            <w:vAlign w:val="center"/>
          </w:tcPr>
          <w:p w14:paraId="265A035C" w14:textId="3196FC5D" w:rsidR="00A06B17" w:rsidRPr="00B148F9" w:rsidRDefault="00A06B17" w:rsidP="00A06B17">
            <w:pPr>
              <w:rPr>
                <w:rFonts w:cs="Calibri"/>
                <w:b/>
                <w:bCs/>
                <w:color w:val="000000"/>
                <w:lang w:eastAsia="en-GB"/>
              </w:rPr>
            </w:pPr>
            <w:r w:rsidRPr="00B148F9">
              <w:rPr>
                <w:rFonts w:cs="Calibri"/>
                <w:b/>
                <w:bCs/>
                <w:color w:val="000000"/>
                <w:lang w:eastAsia="en-GB"/>
              </w:rPr>
              <w:t>“Oncology”</w:t>
            </w:r>
          </w:p>
        </w:tc>
        <w:tc>
          <w:tcPr>
            <w:tcW w:w="6580" w:type="dxa"/>
            <w:tcBorders>
              <w:top w:val="nil"/>
              <w:left w:val="nil"/>
              <w:bottom w:val="nil"/>
              <w:right w:val="nil"/>
            </w:tcBorders>
            <w:shd w:val="clear" w:color="auto" w:fill="auto"/>
            <w:vAlign w:val="center"/>
          </w:tcPr>
          <w:p w14:paraId="663F9C96" w14:textId="7448AE7B" w:rsidR="00A06B17" w:rsidRPr="00B148F9" w:rsidRDefault="00A06B17" w:rsidP="00A06B17">
            <w:pPr>
              <w:rPr>
                <w:rFonts w:cs="Calibri"/>
                <w:color w:val="000000"/>
                <w:lang w:eastAsia="en-GB"/>
              </w:rPr>
            </w:pPr>
            <w:r w:rsidRPr="00B148F9">
              <w:rPr>
                <w:rFonts w:cs="Calibri"/>
                <w:color w:val="000000"/>
              </w:rPr>
              <w:t>a therapeutic area focused on diagnosis, prevention and treatment of cancer;</w:t>
            </w:r>
          </w:p>
        </w:tc>
      </w:tr>
      <w:tr w:rsidR="00A06B17" w:rsidRPr="00B148F9" w14:paraId="491B71AB" w14:textId="77777777" w:rsidTr="00617322">
        <w:trPr>
          <w:trHeight w:val="300"/>
        </w:trPr>
        <w:tc>
          <w:tcPr>
            <w:tcW w:w="2713" w:type="dxa"/>
            <w:tcBorders>
              <w:top w:val="nil"/>
              <w:left w:val="nil"/>
              <w:bottom w:val="nil"/>
              <w:right w:val="nil"/>
            </w:tcBorders>
            <w:shd w:val="clear" w:color="auto" w:fill="auto"/>
            <w:vAlign w:val="center"/>
          </w:tcPr>
          <w:p w14:paraId="758BB41F"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0B8A062C" w14:textId="77777777" w:rsidR="00A06B17" w:rsidRPr="00B148F9" w:rsidRDefault="00A06B17" w:rsidP="00A06B17">
            <w:pPr>
              <w:rPr>
                <w:rFonts w:cs="Calibri"/>
                <w:color w:val="000000"/>
                <w:lang w:eastAsia="en-GB"/>
              </w:rPr>
            </w:pPr>
          </w:p>
        </w:tc>
      </w:tr>
      <w:tr w:rsidR="00A06B17" w:rsidRPr="00B148F9" w14:paraId="62C548B7" w14:textId="77777777" w:rsidTr="00617322">
        <w:trPr>
          <w:trHeight w:val="300"/>
        </w:trPr>
        <w:tc>
          <w:tcPr>
            <w:tcW w:w="2713" w:type="dxa"/>
            <w:tcBorders>
              <w:top w:val="nil"/>
              <w:left w:val="nil"/>
              <w:bottom w:val="nil"/>
              <w:right w:val="nil"/>
            </w:tcBorders>
            <w:shd w:val="clear" w:color="auto" w:fill="auto"/>
            <w:vAlign w:val="center"/>
          </w:tcPr>
          <w:p w14:paraId="01BB2D6D" w14:textId="1CF46B84" w:rsidR="00A06B17" w:rsidRPr="00B148F9" w:rsidRDefault="00A06B17" w:rsidP="00A06B17">
            <w:pPr>
              <w:rPr>
                <w:rFonts w:cs="Calibri"/>
                <w:b/>
                <w:bCs/>
                <w:color w:val="000000"/>
                <w:lang w:eastAsia="en-GB"/>
              </w:rPr>
            </w:pPr>
            <w:r w:rsidRPr="00B148F9">
              <w:rPr>
                <w:rFonts w:cs="Calibri"/>
                <w:b/>
                <w:bCs/>
                <w:color w:val="000000"/>
                <w:lang w:eastAsia="en-GB"/>
              </w:rPr>
              <w:t>“Orchestra BioMed”</w:t>
            </w:r>
          </w:p>
        </w:tc>
        <w:tc>
          <w:tcPr>
            <w:tcW w:w="6580" w:type="dxa"/>
            <w:tcBorders>
              <w:top w:val="nil"/>
              <w:left w:val="nil"/>
              <w:bottom w:val="nil"/>
              <w:right w:val="nil"/>
            </w:tcBorders>
            <w:shd w:val="clear" w:color="auto" w:fill="auto"/>
            <w:vAlign w:val="center"/>
          </w:tcPr>
          <w:p w14:paraId="04CA5FAE" w14:textId="27CD2CE8" w:rsidR="00A06B17" w:rsidRPr="00B148F9" w:rsidRDefault="00A06B17" w:rsidP="00A06B17">
            <w:pPr>
              <w:rPr>
                <w:rFonts w:cs="Calibri"/>
                <w:color w:val="000000"/>
                <w:lang w:eastAsia="en-GB"/>
              </w:rPr>
            </w:pPr>
            <w:r w:rsidRPr="00B148F9">
              <w:rPr>
                <w:rFonts w:cs="Calibri"/>
                <w:color w:val="000000"/>
              </w:rPr>
              <w:t>Orchestra BioMed, Inc.:</w:t>
            </w:r>
          </w:p>
        </w:tc>
      </w:tr>
      <w:tr w:rsidR="00A06B17" w:rsidRPr="00B148F9" w14:paraId="1C9B37F7" w14:textId="77777777" w:rsidTr="00617322">
        <w:trPr>
          <w:trHeight w:val="300"/>
        </w:trPr>
        <w:tc>
          <w:tcPr>
            <w:tcW w:w="2713" w:type="dxa"/>
            <w:tcBorders>
              <w:top w:val="nil"/>
              <w:left w:val="nil"/>
              <w:bottom w:val="nil"/>
              <w:right w:val="nil"/>
            </w:tcBorders>
            <w:shd w:val="clear" w:color="auto" w:fill="auto"/>
            <w:vAlign w:val="center"/>
          </w:tcPr>
          <w:p w14:paraId="4E0492FE"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20880101" w14:textId="77777777" w:rsidR="00A06B17" w:rsidRPr="00B148F9" w:rsidRDefault="00A06B17" w:rsidP="00A06B17">
            <w:pPr>
              <w:rPr>
                <w:rFonts w:cs="Calibri"/>
                <w:color w:val="000000"/>
                <w:lang w:eastAsia="en-GB"/>
              </w:rPr>
            </w:pPr>
          </w:p>
        </w:tc>
      </w:tr>
      <w:tr w:rsidR="00A06B17" w:rsidRPr="00B148F9" w14:paraId="5FAD9D50" w14:textId="77777777" w:rsidTr="00617322">
        <w:trPr>
          <w:trHeight w:val="300"/>
        </w:trPr>
        <w:tc>
          <w:tcPr>
            <w:tcW w:w="2713" w:type="dxa"/>
            <w:tcBorders>
              <w:top w:val="nil"/>
              <w:left w:val="nil"/>
              <w:bottom w:val="nil"/>
              <w:right w:val="nil"/>
            </w:tcBorders>
            <w:shd w:val="clear" w:color="auto" w:fill="auto"/>
            <w:vAlign w:val="center"/>
          </w:tcPr>
          <w:p w14:paraId="1548DBFC" w14:textId="24CB46D2" w:rsidR="00A06B17" w:rsidRPr="00B148F9" w:rsidRDefault="00A06B17" w:rsidP="00A06B17">
            <w:pPr>
              <w:rPr>
                <w:rFonts w:cs="Calibri"/>
                <w:b/>
                <w:bCs/>
                <w:color w:val="000000"/>
                <w:lang w:eastAsia="en-GB"/>
              </w:rPr>
            </w:pPr>
            <w:r w:rsidRPr="00B148F9">
              <w:rPr>
                <w:rFonts w:cs="Calibri"/>
                <w:b/>
                <w:bCs/>
                <w:color w:val="000000"/>
                <w:lang w:eastAsia="en-GB"/>
              </w:rPr>
              <w:t>“Ordinary Shares”</w:t>
            </w:r>
          </w:p>
        </w:tc>
        <w:tc>
          <w:tcPr>
            <w:tcW w:w="6580" w:type="dxa"/>
            <w:tcBorders>
              <w:top w:val="nil"/>
              <w:left w:val="nil"/>
              <w:bottom w:val="nil"/>
              <w:right w:val="nil"/>
            </w:tcBorders>
            <w:shd w:val="clear" w:color="auto" w:fill="auto"/>
            <w:vAlign w:val="center"/>
          </w:tcPr>
          <w:p w14:paraId="272C0AF8" w14:textId="491CE5CD" w:rsidR="00A06B17" w:rsidRPr="00B148F9" w:rsidRDefault="00A06B17" w:rsidP="00A06B17">
            <w:pPr>
              <w:rPr>
                <w:rFonts w:cs="Calibri"/>
                <w:color w:val="000000"/>
                <w:lang w:eastAsia="en-GB"/>
              </w:rPr>
            </w:pPr>
            <w:r w:rsidRPr="00B148F9">
              <w:rPr>
                <w:rFonts w:cs="Calibri"/>
                <w:color w:val="000000"/>
                <w:lang w:eastAsia="en-GB"/>
              </w:rPr>
              <w:t>the Ordinary Shares of the Company;</w:t>
            </w:r>
          </w:p>
        </w:tc>
      </w:tr>
      <w:tr w:rsidR="00A06B17" w:rsidRPr="00B148F9" w14:paraId="4277A49C" w14:textId="77777777" w:rsidTr="00617322">
        <w:trPr>
          <w:trHeight w:val="300"/>
        </w:trPr>
        <w:tc>
          <w:tcPr>
            <w:tcW w:w="2713" w:type="dxa"/>
            <w:tcBorders>
              <w:top w:val="nil"/>
              <w:left w:val="nil"/>
              <w:bottom w:val="nil"/>
              <w:right w:val="nil"/>
            </w:tcBorders>
            <w:shd w:val="clear" w:color="auto" w:fill="auto"/>
            <w:vAlign w:val="center"/>
          </w:tcPr>
          <w:p w14:paraId="30394793"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207BA50D" w14:textId="77777777" w:rsidR="00A06B17" w:rsidRPr="00B148F9" w:rsidRDefault="00A06B17" w:rsidP="00A06B17">
            <w:pPr>
              <w:rPr>
                <w:rFonts w:cs="Calibri"/>
                <w:color w:val="000000"/>
                <w:lang w:eastAsia="en-GB"/>
              </w:rPr>
            </w:pPr>
          </w:p>
        </w:tc>
      </w:tr>
      <w:tr w:rsidR="00A06B17" w:rsidRPr="00B148F9" w14:paraId="7C9BAA85" w14:textId="77777777" w:rsidTr="00617322">
        <w:trPr>
          <w:trHeight w:val="570"/>
        </w:trPr>
        <w:tc>
          <w:tcPr>
            <w:tcW w:w="2713" w:type="dxa"/>
            <w:tcBorders>
              <w:top w:val="nil"/>
              <w:left w:val="nil"/>
              <w:bottom w:val="nil"/>
              <w:right w:val="nil"/>
            </w:tcBorders>
            <w:shd w:val="clear" w:color="auto" w:fill="auto"/>
            <w:vAlign w:val="center"/>
          </w:tcPr>
          <w:p w14:paraId="4AA3C9B9" w14:textId="599C1CE5" w:rsidR="00A06B17" w:rsidRPr="00B148F9" w:rsidRDefault="00A06B17" w:rsidP="00A06B17">
            <w:pPr>
              <w:rPr>
                <w:b/>
                <w:color w:val="000000"/>
              </w:rPr>
            </w:pPr>
            <w:r w:rsidRPr="00B148F9">
              <w:rPr>
                <w:b/>
                <w:color w:val="000000"/>
              </w:rPr>
              <w:t>“Performance Allocation Amount”</w:t>
            </w:r>
          </w:p>
        </w:tc>
        <w:tc>
          <w:tcPr>
            <w:tcW w:w="6580" w:type="dxa"/>
            <w:tcBorders>
              <w:top w:val="nil"/>
              <w:left w:val="nil"/>
              <w:bottom w:val="nil"/>
              <w:right w:val="nil"/>
            </w:tcBorders>
            <w:shd w:val="clear" w:color="auto" w:fill="auto"/>
            <w:vAlign w:val="center"/>
          </w:tcPr>
          <w:p w14:paraId="087E9EB8" w14:textId="3AEF4960" w:rsidR="00A06B17" w:rsidRPr="00B148F9" w:rsidRDefault="00A06B17" w:rsidP="00A06B17">
            <w:pPr>
              <w:rPr>
                <w:color w:val="000000"/>
              </w:rPr>
            </w:pPr>
            <w:r w:rsidRPr="00B148F9">
              <w:rPr>
                <w:color w:val="000000"/>
              </w:rPr>
              <w:t>an allocation connected with the performance of the Company to be allocated to the Performance Allocation Share Class Fund in such amounts and as such times as shall be determined by the Board;</w:t>
            </w:r>
          </w:p>
        </w:tc>
      </w:tr>
      <w:tr w:rsidR="00A06B17" w:rsidRPr="00B148F9" w14:paraId="34F1B16C" w14:textId="77777777" w:rsidTr="00617322">
        <w:trPr>
          <w:trHeight w:val="300"/>
        </w:trPr>
        <w:tc>
          <w:tcPr>
            <w:tcW w:w="2713" w:type="dxa"/>
            <w:tcBorders>
              <w:top w:val="nil"/>
              <w:left w:val="nil"/>
              <w:bottom w:val="nil"/>
              <w:right w:val="nil"/>
            </w:tcBorders>
            <w:shd w:val="clear" w:color="auto" w:fill="auto"/>
            <w:vAlign w:val="center"/>
          </w:tcPr>
          <w:p w14:paraId="1FA1272B" w14:textId="7777777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04686B86" w14:textId="77777777" w:rsidR="00A06B17" w:rsidRPr="00B148F9" w:rsidRDefault="00A06B17" w:rsidP="00A06B17">
            <w:pPr>
              <w:rPr>
                <w:color w:val="000000"/>
              </w:rPr>
            </w:pPr>
          </w:p>
        </w:tc>
      </w:tr>
      <w:tr w:rsidR="00A06B17" w:rsidRPr="00B148F9" w14:paraId="74231E35" w14:textId="77777777" w:rsidTr="00617322">
        <w:trPr>
          <w:trHeight w:val="570"/>
        </w:trPr>
        <w:tc>
          <w:tcPr>
            <w:tcW w:w="2713" w:type="dxa"/>
            <w:tcBorders>
              <w:top w:val="nil"/>
              <w:left w:val="nil"/>
              <w:bottom w:val="nil"/>
              <w:right w:val="nil"/>
            </w:tcBorders>
            <w:shd w:val="clear" w:color="auto" w:fill="auto"/>
            <w:vAlign w:val="center"/>
          </w:tcPr>
          <w:p w14:paraId="282EDCEE" w14:textId="435EC479" w:rsidR="00A06B17" w:rsidRPr="00B148F9" w:rsidRDefault="00A06B17" w:rsidP="00A06B17">
            <w:pPr>
              <w:rPr>
                <w:b/>
                <w:color w:val="000000"/>
              </w:rPr>
            </w:pPr>
            <w:r w:rsidRPr="00B148F9">
              <w:rPr>
                <w:b/>
                <w:color w:val="000000"/>
              </w:rPr>
              <w:t>“Performance Allocation Period”</w:t>
            </w:r>
          </w:p>
        </w:tc>
        <w:tc>
          <w:tcPr>
            <w:tcW w:w="6580" w:type="dxa"/>
            <w:tcBorders>
              <w:top w:val="nil"/>
              <w:left w:val="nil"/>
              <w:bottom w:val="nil"/>
              <w:right w:val="nil"/>
            </w:tcBorders>
            <w:shd w:val="clear" w:color="auto" w:fill="auto"/>
            <w:vAlign w:val="center"/>
          </w:tcPr>
          <w:p w14:paraId="28DE5301" w14:textId="23E9F5BD" w:rsidR="00A06B17" w:rsidRPr="00B148F9" w:rsidRDefault="00A06B17" w:rsidP="00A06B17">
            <w:pPr>
              <w:rPr>
                <w:color w:val="000000"/>
              </w:rPr>
            </w:pPr>
            <w:r w:rsidRPr="00B148F9">
              <w:rPr>
                <w:color w:val="000000"/>
              </w:rPr>
              <w:t>the First Performance Allocation Period and/or a subsequent Performance Allocation Period, as the context so requires;</w:t>
            </w:r>
          </w:p>
        </w:tc>
      </w:tr>
      <w:tr w:rsidR="00A06B17" w:rsidRPr="00B148F9" w14:paraId="3BE1D06A" w14:textId="77777777" w:rsidTr="00617322">
        <w:trPr>
          <w:trHeight w:val="300"/>
        </w:trPr>
        <w:tc>
          <w:tcPr>
            <w:tcW w:w="2713" w:type="dxa"/>
            <w:tcBorders>
              <w:top w:val="nil"/>
              <w:left w:val="nil"/>
              <w:bottom w:val="nil"/>
              <w:right w:val="nil"/>
            </w:tcBorders>
            <w:shd w:val="clear" w:color="auto" w:fill="auto"/>
            <w:vAlign w:val="center"/>
          </w:tcPr>
          <w:p w14:paraId="309A7C4A" w14:textId="7777777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319F0078" w14:textId="77777777" w:rsidR="00A06B17" w:rsidRPr="00B148F9" w:rsidRDefault="00A06B17" w:rsidP="00A06B17">
            <w:pPr>
              <w:rPr>
                <w:color w:val="000000"/>
              </w:rPr>
            </w:pPr>
          </w:p>
        </w:tc>
      </w:tr>
      <w:tr w:rsidR="00A06B17" w:rsidRPr="00B148F9" w14:paraId="658055E2" w14:textId="77777777" w:rsidTr="00617322">
        <w:trPr>
          <w:trHeight w:val="570"/>
        </w:trPr>
        <w:tc>
          <w:tcPr>
            <w:tcW w:w="2713" w:type="dxa"/>
            <w:tcBorders>
              <w:top w:val="nil"/>
              <w:left w:val="nil"/>
              <w:bottom w:val="nil"/>
              <w:right w:val="nil"/>
            </w:tcBorders>
            <w:shd w:val="clear" w:color="auto" w:fill="auto"/>
            <w:vAlign w:val="center"/>
          </w:tcPr>
          <w:p w14:paraId="48C0379B" w14:textId="547A634E" w:rsidR="00A06B17" w:rsidRPr="00B148F9" w:rsidRDefault="00A06B17" w:rsidP="00A06B17">
            <w:pPr>
              <w:rPr>
                <w:b/>
                <w:color w:val="000000"/>
              </w:rPr>
            </w:pPr>
            <w:r w:rsidRPr="00B148F9">
              <w:rPr>
                <w:b/>
                <w:color w:val="000000"/>
              </w:rPr>
              <w:t>“Performance Allocation Share Class Fund”</w:t>
            </w:r>
          </w:p>
        </w:tc>
        <w:tc>
          <w:tcPr>
            <w:tcW w:w="6580" w:type="dxa"/>
            <w:tcBorders>
              <w:top w:val="nil"/>
              <w:left w:val="nil"/>
              <w:bottom w:val="nil"/>
              <w:right w:val="nil"/>
            </w:tcBorders>
            <w:shd w:val="clear" w:color="auto" w:fill="auto"/>
            <w:vAlign w:val="center"/>
          </w:tcPr>
          <w:p w14:paraId="11222208" w14:textId="37B471F8" w:rsidR="00A06B17" w:rsidRPr="00B148F9" w:rsidRDefault="00A06B17" w:rsidP="00A06B17">
            <w:pPr>
              <w:rPr>
                <w:color w:val="000000"/>
              </w:rPr>
            </w:pPr>
            <w:r w:rsidRPr="00B148F9">
              <w:rPr>
                <w:color w:val="000000"/>
              </w:rPr>
              <w:t xml:space="preserve">a class fund for the Performance Allocation Shares to which the Performance Allocation will be allocated; </w:t>
            </w:r>
          </w:p>
        </w:tc>
      </w:tr>
      <w:tr w:rsidR="00A06B17" w:rsidRPr="00B148F9" w14:paraId="54E5A0CC" w14:textId="77777777" w:rsidTr="00617322">
        <w:trPr>
          <w:trHeight w:val="300"/>
        </w:trPr>
        <w:tc>
          <w:tcPr>
            <w:tcW w:w="2713" w:type="dxa"/>
            <w:tcBorders>
              <w:top w:val="nil"/>
              <w:left w:val="nil"/>
              <w:bottom w:val="nil"/>
              <w:right w:val="nil"/>
            </w:tcBorders>
            <w:shd w:val="clear" w:color="auto" w:fill="auto"/>
            <w:vAlign w:val="center"/>
          </w:tcPr>
          <w:p w14:paraId="60A08D80" w14:textId="7777777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0A61617D" w14:textId="77777777" w:rsidR="00A06B17" w:rsidRPr="00B148F9" w:rsidRDefault="00A06B17" w:rsidP="00A06B17">
            <w:pPr>
              <w:rPr>
                <w:color w:val="000000"/>
              </w:rPr>
            </w:pPr>
          </w:p>
        </w:tc>
      </w:tr>
      <w:tr w:rsidR="00A06B17" w:rsidRPr="00B148F9" w14:paraId="47F2B40F" w14:textId="77777777" w:rsidTr="00617322">
        <w:trPr>
          <w:trHeight w:val="570"/>
        </w:trPr>
        <w:tc>
          <w:tcPr>
            <w:tcW w:w="2713" w:type="dxa"/>
            <w:tcBorders>
              <w:top w:val="nil"/>
              <w:left w:val="nil"/>
              <w:bottom w:val="nil"/>
              <w:right w:val="nil"/>
            </w:tcBorders>
            <w:shd w:val="clear" w:color="auto" w:fill="auto"/>
            <w:vAlign w:val="center"/>
          </w:tcPr>
          <w:p w14:paraId="71C339F3" w14:textId="3C1302C1" w:rsidR="00A06B17" w:rsidRPr="00B148F9" w:rsidRDefault="00A06B17" w:rsidP="00A06B17">
            <w:pPr>
              <w:rPr>
                <w:b/>
                <w:color w:val="000000"/>
              </w:rPr>
            </w:pPr>
            <w:r w:rsidRPr="00B148F9">
              <w:rPr>
                <w:b/>
                <w:color w:val="000000"/>
              </w:rPr>
              <w:t>“Performance Allocation Shares”</w:t>
            </w:r>
          </w:p>
        </w:tc>
        <w:tc>
          <w:tcPr>
            <w:tcW w:w="6580" w:type="dxa"/>
            <w:tcBorders>
              <w:top w:val="nil"/>
              <w:left w:val="nil"/>
              <w:bottom w:val="nil"/>
              <w:right w:val="nil"/>
            </w:tcBorders>
            <w:shd w:val="clear" w:color="auto" w:fill="auto"/>
            <w:vAlign w:val="center"/>
          </w:tcPr>
          <w:p w14:paraId="6993034E" w14:textId="34E0A57C" w:rsidR="00A06B17" w:rsidRPr="00B148F9" w:rsidRDefault="00A06B17" w:rsidP="00A06B17">
            <w:pPr>
              <w:rPr>
                <w:color w:val="000000"/>
              </w:rPr>
            </w:pPr>
            <w:r w:rsidRPr="00B148F9">
              <w:rPr>
                <w:color w:val="000000"/>
              </w:rPr>
              <w:t xml:space="preserve">performance allocation shares of no par value in the capital of the Company; </w:t>
            </w:r>
          </w:p>
        </w:tc>
      </w:tr>
      <w:tr w:rsidR="00A06B17" w:rsidRPr="00B148F9" w14:paraId="34CB7895" w14:textId="77777777" w:rsidTr="00617322">
        <w:trPr>
          <w:trHeight w:val="300"/>
        </w:trPr>
        <w:tc>
          <w:tcPr>
            <w:tcW w:w="2713" w:type="dxa"/>
            <w:tcBorders>
              <w:top w:val="nil"/>
              <w:left w:val="nil"/>
              <w:bottom w:val="nil"/>
              <w:right w:val="nil"/>
            </w:tcBorders>
            <w:shd w:val="clear" w:color="auto" w:fill="auto"/>
            <w:vAlign w:val="center"/>
          </w:tcPr>
          <w:p w14:paraId="2CC61672" w14:textId="7777777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4657E3D0" w14:textId="77777777" w:rsidR="00A06B17" w:rsidRPr="00B148F9" w:rsidRDefault="00A06B17" w:rsidP="00A06B17">
            <w:pPr>
              <w:rPr>
                <w:color w:val="000000"/>
              </w:rPr>
            </w:pPr>
          </w:p>
        </w:tc>
      </w:tr>
      <w:tr w:rsidR="00A06B17" w:rsidRPr="00B148F9" w14:paraId="3B112856" w14:textId="77777777" w:rsidTr="00617322">
        <w:trPr>
          <w:trHeight w:val="300"/>
        </w:trPr>
        <w:tc>
          <w:tcPr>
            <w:tcW w:w="2713" w:type="dxa"/>
            <w:tcBorders>
              <w:top w:val="nil"/>
              <w:left w:val="nil"/>
              <w:bottom w:val="nil"/>
              <w:right w:val="nil"/>
            </w:tcBorders>
            <w:shd w:val="clear" w:color="auto" w:fill="auto"/>
            <w:vAlign w:val="center"/>
          </w:tcPr>
          <w:p w14:paraId="1438A4EE" w14:textId="35B65A5D" w:rsidR="00A06B17" w:rsidRPr="00B148F9" w:rsidRDefault="00A06B17" w:rsidP="00A06B17">
            <w:pPr>
              <w:rPr>
                <w:b/>
                <w:color w:val="000000"/>
              </w:rPr>
            </w:pPr>
            <w:r w:rsidRPr="00B148F9">
              <w:rPr>
                <w:b/>
                <w:color w:val="000000"/>
              </w:rPr>
              <w:t>“Pilot study”</w:t>
            </w:r>
          </w:p>
        </w:tc>
        <w:tc>
          <w:tcPr>
            <w:tcW w:w="6580" w:type="dxa"/>
            <w:tcBorders>
              <w:top w:val="nil"/>
              <w:left w:val="nil"/>
              <w:bottom w:val="nil"/>
              <w:right w:val="nil"/>
            </w:tcBorders>
            <w:shd w:val="clear" w:color="auto" w:fill="auto"/>
            <w:vAlign w:val="center"/>
          </w:tcPr>
          <w:p w14:paraId="5C1C0C4F" w14:textId="3F00BE86" w:rsidR="00A06B17" w:rsidRPr="00B148F9" w:rsidRDefault="00A06B17" w:rsidP="00A06B17">
            <w:pPr>
              <w:rPr>
                <w:color w:val="000000"/>
              </w:rPr>
            </w:pPr>
            <w:r w:rsidRPr="00B148F9">
              <w:rPr>
                <w:rFonts w:cs="Calibri"/>
                <w:color w:val="000000"/>
              </w:rPr>
              <w:t>a small scale study;</w:t>
            </w:r>
          </w:p>
        </w:tc>
      </w:tr>
      <w:tr w:rsidR="00A06B17" w:rsidRPr="00B148F9" w14:paraId="1F7E4299" w14:textId="77777777" w:rsidTr="00617322">
        <w:trPr>
          <w:trHeight w:val="300"/>
        </w:trPr>
        <w:tc>
          <w:tcPr>
            <w:tcW w:w="2713" w:type="dxa"/>
            <w:tcBorders>
              <w:top w:val="nil"/>
              <w:left w:val="nil"/>
              <w:bottom w:val="nil"/>
              <w:right w:val="nil"/>
            </w:tcBorders>
            <w:shd w:val="clear" w:color="auto" w:fill="auto"/>
            <w:vAlign w:val="center"/>
          </w:tcPr>
          <w:p w14:paraId="3FB1FD74" w14:textId="7777777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2A552522" w14:textId="77777777" w:rsidR="00A06B17" w:rsidRPr="00B148F9" w:rsidRDefault="00A06B17" w:rsidP="00A06B17">
            <w:pPr>
              <w:rPr>
                <w:color w:val="000000"/>
              </w:rPr>
            </w:pPr>
          </w:p>
        </w:tc>
      </w:tr>
      <w:tr w:rsidR="00A06B17" w:rsidRPr="00B148F9" w14:paraId="0ED8EDB6" w14:textId="77777777" w:rsidTr="00617322">
        <w:trPr>
          <w:trHeight w:val="570"/>
        </w:trPr>
        <w:tc>
          <w:tcPr>
            <w:tcW w:w="2713" w:type="dxa"/>
            <w:tcBorders>
              <w:top w:val="nil"/>
              <w:left w:val="nil"/>
              <w:bottom w:val="nil"/>
              <w:right w:val="nil"/>
            </w:tcBorders>
            <w:shd w:val="clear" w:color="auto" w:fill="auto"/>
            <w:vAlign w:val="center"/>
            <w:hideMark/>
          </w:tcPr>
          <w:p w14:paraId="5A05E230" w14:textId="77777777" w:rsidR="00A06B17" w:rsidRPr="00B148F9" w:rsidRDefault="00A06B17" w:rsidP="00A06B17">
            <w:pPr>
              <w:rPr>
                <w:b/>
                <w:color w:val="000000"/>
              </w:rPr>
            </w:pPr>
            <w:r w:rsidRPr="00B148F9">
              <w:rPr>
                <w:b/>
                <w:color w:val="000000"/>
              </w:rPr>
              <w:t>“POI Law</w:t>
            </w:r>
            <w:r w:rsidRPr="00B148F9">
              <w:rPr>
                <w:color w:val="000000"/>
              </w:rPr>
              <w:t>”</w:t>
            </w:r>
          </w:p>
        </w:tc>
        <w:tc>
          <w:tcPr>
            <w:tcW w:w="6580" w:type="dxa"/>
            <w:tcBorders>
              <w:top w:val="nil"/>
              <w:left w:val="nil"/>
              <w:bottom w:val="nil"/>
              <w:right w:val="nil"/>
            </w:tcBorders>
            <w:shd w:val="clear" w:color="auto" w:fill="auto"/>
            <w:vAlign w:val="center"/>
            <w:hideMark/>
          </w:tcPr>
          <w:p w14:paraId="2EC32115" w14:textId="77777777" w:rsidR="00A06B17" w:rsidRPr="00B148F9" w:rsidRDefault="00A06B17" w:rsidP="00A06B17">
            <w:pPr>
              <w:rPr>
                <w:color w:val="000000"/>
              </w:rPr>
            </w:pPr>
            <w:r w:rsidRPr="00B148F9">
              <w:rPr>
                <w:color w:val="000000"/>
              </w:rPr>
              <w:t>The Protection of Investors (Bailiwick of Guernsey) Law, 1987, as amended;</w:t>
            </w:r>
          </w:p>
        </w:tc>
      </w:tr>
      <w:tr w:rsidR="00A06B17" w:rsidRPr="00B148F9" w14:paraId="1A48D1D2" w14:textId="77777777" w:rsidTr="00617322">
        <w:trPr>
          <w:trHeight w:val="300"/>
        </w:trPr>
        <w:tc>
          <w:tcPr>
            <w:tcW w:w="2713" w:type="dxa"/>
            <w:tcBorders>
              <w:top w:val="nil"/>
              <w:left w:val="nil"/>
              <w:bottom w:val="nil"/>
              <w:right w:val="nil"/>
            </w:tcBorders>
            <w:shd w:val="clear" w:color="auto" w:fill="auto"/>
            <w:vAlign w:val="center"/>
          </w:tcPr>
          <w:p w14:paraId="3898B945" w14:textId="7777777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56085F9C" w14:textId="77777777" w:rsidR="00A06B17" w:rsidRPr="00B148F9" w:rsidRDefault="00A06B17" w:rsidP="00A06B17">
            <w:pPr>
              <w:rPr>
                <w:color w:val="000000"/>
              </w:rPr>
            </w:pPr>
          </w:p>
        </w:tc>
      </w:tr>
      <w:tr w:rsidR="00A06B17" w:rsidRPr="00B148F9" w14:paraId="2A071A3C" w14:textId="77777777" w:rsidTr="00617322">
        <w:trPr>
          <w:trHeight w:val="300"/>
        </w:trPr>
        <w:tc>
          <w:tcPr>
            <w:tcW w:w="2713" w:type="dxa"/>
            <w:tcBorders>
              <w:top w:val="nil"/>
              <w:left w:val="nil"/>
              <w:bottom w:val="nil"/>
              <w:right w:val="nil"/>
            </w:tcBorders>
            <w:shd w:val="clear" w:color="auto" w:fill="auto"/>
            <w:vAlign w:val="center"/>
          </w:tcPr>
          <w:p w14:paraId="4F803EC7" w14:textId="2512B6F1" w:rsidR="00A06B17" w:rsidRPr="00B148F9" w:rsidRDefault="00A06B17" w:rsidP="00A06B17">
            <w:pPr>
              <w:rPr>
                <w:b/>
                <w:color w:val="000000"/>
              </w:rPr>
            </w:pPr>
            <w:r w:rsidRPr="00B148F9">
              <w:rPr>
                <w:b/>
                <w:color w:val="000000"/>
              </w:rPr>
              <w:t>“Portfolio Companies”</w:t>
            </w:r>
          </w:p>
        </w:tc>
        <w:tc>
          <w:tcPr>
            <w:tcW w:w="6580" w:type="dxa"/>
            <w:tcBorders>
              <w:top w:val="nil"/>
              <w:left w:val="nil"/>
              <w:bottom w:val="nil"/>
              <w:right w:val="nil"/>
            </w:tcBorders>
            <w:shd w:val="clear" w:color="auto" w:fill="auto"/>
            <w:vAlign w:val="center"/>
          </w:tcPr>
          <w:p w14:paraId="05F52E8A" w14:textId="7C22B739" w:rsidR="00A06B17" w:rsidRPr="00B148F9" w:rsidRDefault="002F67EB" w:rsidP="00A06B17">
            <w:pPr>
              <w:rPr>
                <w:color w:val="000000"/>
              </w:rPr>
            </w:pPr>
            <w:r w:rsidRPr="00B148F9">
              <w:rPr>
                <w:rFonts w:cs="Calibri"/>
                <w:color w:val="000000"/>
              </w:rPr>
              <w:t xml:space="preserve">Private and public </w:t>
            </w:r>
            <w:r w:rsidR="00A06B17" w:rsidRPr="00B148F9">
              <w:rPr>
                <w:rFonts w:cs="Calibri"/>
                <w:color w:val="000000"/>
              </w:rPr>
              <w:t>companies included into the portfolio;</w:t>
            </w:r>
          </w:p>
        </w:tc>
      </w:tr>
      <w:tr w:rsidR="00A06B17" w:rsidRPr="00B148F9" w14:paraId="22070FBE" w14:textId="77777777" w:rsidTr="00617322">
        <w:trPr>
          <w:trHeight w:val="300"/>
        </w:trPr>
        <w:tc>
          <w:tcPr>
            <w:tcW w:w="2713" w:type="dxa"/>
            <w:tcBorders>
              <w:top w:val="nil"/>
              <w:left w:val="nil"/>
              <w:bottom w:val="nil"/>
              <w:right w:val="nil"/>
            </w:tcBorders>
            <w:shd w:val="clear" w:color="auto" w:fill="auto"/>
            <w:vAlign w:val="center"/>
          </w:tcPr>
          <w:p w14:paraId="1A1F562C" w14:textId="7777777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3F39A8A1" w14:textId="77777777" w:rsidR="00A06B17" w:rsidRPr="00B148F9" w:rsidRDefault="00A06B17" w:rsidP="00A06B17">
            <w:pPr>
              <w:rPr>
                <w:rFonts w:cs="Calibri"/>
                <w:color w:val="000000"/>
              </w:rPr>
            </w:pPr>
          </w:p>
        </w:tc>
      </w:tr>
      <w:tr w:rsidR="00A06B17" w:rsidRPr="00B148F9" w14:paraId="080BD5D2" w14:textId="77777777" w:rsidTr="00617322">
        <w:trPr>
          <w:trHeight w:val="300"/>
        </w:trPr>
        <w:tc>
          <w:tcPr>
            <w:tcW w:w="2713" w:type="dxa"/>
            <w:tcBorders>
              <w:top w:val="nil"/>
              <w:left w:val="nil"/>
              <w:bottom w:val="nil"/>
              <w:right w:val="nil"/>
            </w:tcBorders>
            <w:shd w:val="clear" w:color="auto" w:fill="auto"/>
            <w:vAlign w:val="center"/>
          </w:tcPr>
          <w:p w14:paraId="04D9C149" w14:textId="41AACC26" w:rsidR="00A06B17" w:rsidRPr="00B148F9" w:rsidRDefault="00A06B17" w:rsidP="00A06B17">
            <w:pPr>
              <w:rPr>
                <w:b/>
                <w:color w:val="000000"/>
              </w:rPr>
            </w:pPr>
            <w:r w:rsidRPr="00B148F9">
              <w:rPr>
                <w:b/>
                <w:color w:val="000000"/>
              </w:rPr>
              <w:t xml:space="preserve">“PRIority Medicines” </w:t>
            </w:r>
            <w:r w:rsidRPr="00B148F9">
              <w:rPr>
                <w:color w:val="000000"/>
              </w:rPr>
              <w:t>or</w:t>
            </w:r>
            <w:r w:rsidRPr="00B148F9">
              <w:rPr>
                <w:b/>
                <w:color w:val="000000"/>
              </w:rPr>
              <w:t xml:space="preserve"> “PRIME”</w:t>
            </w:r>
          </w:p>
        </w:tc>
        <w:tc>
          <w:tcPr>
            <w:tcW w:w="6580" w:type="dxa"/>
            <w:tcBorders>
              <w:top w:val="nil"/>
              <w:left w:val="nil"/>
              <w:bottom w:val="nil"/>
              <w:right w:val="nil"/>
            </w:tcBorders>
            <w:shd w:val="clear" w:color="auto" w:fill="auto"/>
            <w:vAlign w:val="center"/>
          </w:tcPr>
          <w:p w14:paraId="30D8CBB6" w14:textId="07D5602F" w:rsidR="00A06B17" w:rsidRPr="00B148F9" w:rsidRDefault="00A06B17" w:rsidP="00A06B17">
            <w:pPr>
              <w:rPr>
                <w:rFonts w:cs="Calibri"/>
                <w:color w:val="000000"/>
              </w:rPr>
            </w:pPr>
            <w:r w:rsidRPr="00B148F9">
              <w:rPr>
                <w:rFonts w:cs="Calibri"/>
                <w:color w:val="000000"/>
              </w:rPr>
              <w:t>to be accepted for PRIME, a medicine has to show its potential to benefit patients with unmet medical needs based on early clinical data;</w:t>
            </w:r>
          </w:p>
        </w:tc>
      </w:tr>
      <w:tr w:rsidR="00A06B17" w:rsidRPr="00B148F9" w14:paraId="6F93934C" w14:textId="77777777" w:rsidTr="00617322">
        <w:trPr>
          <w:trHeight w:val="300"/>
        </w:trPr>
        <w:tc>
          <w:tcPr>
            <w:tcW w:w="2713" w:type="dxa"/>
            <w:tcBorders>
              <w:top w:val="nil"/>
              <w:left w:val="nil"/>
              <w:bottom w:val="nil"/>
              <w:right w:val="nil"/>
            </w:tcBorders>
            <w:shd w:val="clear" w:color="auto" w:fill="auto"/>
            <w:vAlign w:val="center"/>
          </w:tcPr>
          <w:p w14:paraId="6600BF83" w14:textId="18C0B627" w:rsidR="00A06B17" w:rsidRPr="00B148F9" w:rsidRDefault="00A06B17" w:rsidP="00A06B17">
            <w:pPr>
              <w:rPr>
                <w:b/>
                <w:color w:val="000000"/>
              </w:rPr>
            </w:pPr>
          </w:p>
        </w:tc>
        <w:tc>
          <w:tcPr>
            <w:tcW w:w="6580" w:type="dxa"/>
            <w:tcBorders>
              <w:top w:val="nil"/>
              <w:left w:val="nil"/>
              <w:bottom w:val="nil"/>
              <w:right w:val="nil"/>
            </w:tcBorders>
            <w:shd w:val="clear" w:color="auto" w:fill="auto"/>
            <w:vAlign w:val="center"/>
          </w:tcPr>
          <w:p w14:paraId="45BFF129" w14:textId="2175BA40" w:rsidR="00A06B17" w:rsidRPr="00B148F9" w:rsidRDefault="00A06B17" w:rsidP="00A06B17">
            <w:pPr>
              <w:rPr>
                <w:color w:val="000000"/>
              </w:rPr>
            </w:pPr>
          </w:p>
        </w:tc>
      </w:tr>
      <w:tr w:rsidR="00A06B17" w:rsidRPr="00B148F9" w14:paraId="02692E1D" w14:textId="77777777" w:rsidTr="00617322">
        <w:trPr>
          <w:trHeight w:val="300"/>
        </w:trPr>
        <w:tc>
          <w:tcPr>
            <w:tcW w:w="2713" w:type="dxa"/>
            <w:tcBorders>
              <w:top w:val="nil"/>
              <w:left w:val="nil"/>
              <w:bottom w:val="nil"/>
              <w:right w:val="nil"/>
            </w:tcBorders>
            <w:shd w:val="clear" w:color="auto" w:fill="auto"/>
            <w:vAlign w:val="center"/>
          </w:tcPr>
          <w:p w14:paraId="76A61936" w14:textId="77777777" w:rsidR="00A06B17" w:rsidRPr="00B148F9" w:rsidRDefault="00A06B17" w:rsidP="00A06B17">
            <w:pPr>
              <w:rPr>
                <w:rFonts w:cs="Calibri"/>
                <w:b/>
                <w:bCs/>
                <w:color w:val="000000"/>
                <w:lang w:eastAsia="en-GB"/>
              </w:rPr>
            </w:pPr>
            <w:r w:rsidRPr="00B148F9">
              <w:rPr>
                <w:rFonts w:cs="Calibri"/>
                <w:b/>
                <w:bCs/>
                <w:color w:val="000000"/>
                <w:lang w:eastAsia="en-GB"/>
              </w:rPr>
              <w:t>“Prospectus”</w:t>
            </w:r>
          </w:p>
        </w:tc>
        <w:tc>
          <w:tcPr>
            <w:tcW w:w="6580" w:type="dxa"/>
            <w:tcBorders>
              <w:top w:val="nil"/>
              <w:left w:val="nil"/>
              <w:bottom w:val="nil"/>
              <w:right w:val="nil"/>
            </w:tcBorders>
            <w:shd w:val="clear" w:color="auto" w:fill="auto"/>
            <w:vAlign w:val="center"/>
          </w:tcPr>
          <w:p w14:paraId="5191CD4A" w14:textId="1695587A" w:rsidR="00A06B17" w:rsidRPr="00251CF4" w:rsidRDefault="00A06B17" w:rsidP="00A06B17">
            <w:r w:rsidRPr="00B148F9">
              <w:rPr>
                <w:rFonts w:cs="Calibri"/>
                <w:color w:val="000000"/>
                <w:lang w:eastAsia="en-GB"/>
              </w:rPr>
              <w:t xml:space="preserve">the prospectus of the Company, most recently updated on 14 October 2019 and available on the Company’s website </w:t>
            </w:r>
            <w:r w:rsidRPr="00B148F9">
              <w:t>(</w:t>
            </w:r>
            <w:hyperlink r:id="rId349" w:history="1">
              <w:r w:rsidR="00D00483" w:rsidRPr="00B148F9">
                <w:rPr>
                  <w:rStyle w:val="Hyperlink"/>
                </w:rPr>
                <w:t>www.rtwfunds.com/venture-fund</w:t>
              </w:r>
            </w:hyperlink>
            <w:r w:rsidRPr="00251CF4">
              <w:t>);</w:t>
            </w:r>
          </w:p>
          <w:p w14:paraId="5D222819" w14:textId="39406340" w:rsidR="00A06B17" w:rsidRPr="00B148F9" w:rsidRDefault="00A06B17" w:rsidP="00A06B17">
            <w:pPr>
              <w:rPr>
                <w:rFonts w:cs="Calibri"/>
                <w:color w:val="000000"/>
                <w:lang w:eastAsia="en-GB"/>
              </w:rPr>
            </w:pPr>
          </w:p>
        </w:tc>
      </w:tr>
      <w:tr w:rsidR="00A06B17" w:rsidRPr="00B148F9" w14:paraId="7AEE7AE5" w14:textId="77777777" w:rsidTr="00617322">
        <w:trPr>
          <w:trHeight w:val="300"/>
        </w:trPr>
        <w:tc>
          <w:tcPr>
            <w:tcW w:w="2713" w:type="dxa"/>
            <w:tcBorders>
              <w:top w:val="nil"/>
              <w:left w:val="nil"/>
              <w:bottom w:val="nil"/>
              <w:right w:val="nil"/>
            </w:tcBorders>
            <w:shd w:val="clear" w:color="auto" w:fill="auto"/>
            <w:vAlign w:val="center"/>
            <w:hideMark/>
          </w:tcPr>
          <w:p w14:paraId="181AB8A6"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hideMark/>
          </w:tcPr>
          <w:p w14:paraId="542A6EEE" w14:textId="77777777" w:rsidR="00A06B17" w:rsidRPr="00B148F9" w:rsidRDefault="00A06B17" w:rsidP="00A06B17">
            <w:pPr>
              <w:rPr>
                <w:rFonts w:cs="Calibri"/>
                <w:color w:val="000000"/>
                <w:lang w:eastAsia="en-GB"/>
              </w:rPr>
            </w:pPr>
          </w:p>
        </w:tc>
      </w:tr>
      <w:tr w:rsidR="00D00483" w:rsidRPr="00B148F9" w14:paraId="2425F1C7" w14:textId="77777777" w:rsidTr="00617322">
        <w:trPr>
          <w:trHeight w:val="300"/>
        </w:trPr>
        <w:tc>
          <w:tcPr>
            <w:tcW w:w="2713" w:type="dxa"/>
            <w:tcBorders>
              <w:top w:val="nil"/>
              <w:left w:val="nil"/>
              <w:bottom w:val="nil"/>
              <w:right w:val="nil"/>
            </w:tcBorders>
            <w:shd w:val="clear" w:color="auto" w:fill="auto"/>
            <w:vAlign w:val="center"/>
          </w:tcPr>
          <w:p w14:paraId="379EF8A7" w14:textId="1D29D3FE" w:rsidR="00D00483" w:rsidRPr="00B148F9" w:rsidRDefault="00D00483"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68B5DE81" w14:textId="1CF8FF59" w:rsidR="00D00483" w:rsidRPr="00B148F9" w:rsidRDefault="00D00483" w:rsidP="00A06B17">
            <w:pPr>
              <w:rPr>
                <w:rFonts w:cs="Calibri"/>
                <w:color w:val="000000"/>
              </w:rPr>
            </w:pPr>
          </w:p>
        </w:tc>
      </w:tr>
      <w:tr w:rsidR="00A06B17" w:rsidRPr="00B148F9" w14:paraId="417AE0BE" w14:textId="77777777" w:rsidTr="00617322">
        <w:trPr>
          <w:trHeight w:val="300"/>
        </w:trPr>
        <w:tc>
          <w:tcPr>
            <w:tcW w:w="2713" w:type="dxa"/>
            <w:tcBorders>
              <w:top w:val="nil"/>
              <w:left w:val="nil"/>
              <w:bottom w:val="nil"/>
              <w:right w:val="nil"/>
            </w:tcBorders>
            <w:shd w:val="clear" w:color="auto" w:fill="auto"/>
            <w:vAlign w:val="center"/>
          </w:tcPr>
          <w:p w14:paraId="3640F95D" w14:textId="6E64059A" w:rsidR="00A06B17" w:rsidRPr="00B148F9" w:rsidRDefault="00A06B17" w:rsidP="00A06B17">
            <w:pPr>
              <w:rPr>
                <w:rFonts w:cs="Calibri"/>
                <w:b/>
                <w:bCs/>
                <w:color w:val="000000"/>
                <w:lang w:eastAsia="en-GB"/>
              </w:rPr>
            </w:pPr>
            <w:r w:rsidRPr="00B148F9">
              <w:rPr>
                <w:rFonts w:cs="Calibri"/>
                <w:b/>
                <w:bCs/>
                <w:color w:val="000000"/>
                <w:lang w:eastAsia="en-GB"/>
              </w:rPr>
              <w:lastRenderedPageBreak/>
              <w:t>“Pulmonary conditions”</w:t>
            </w:r>
          </w:p>
        </w:tc>
        <w:tc>
          <w:tcPr>
            <w:tcW w:w="6580" w:type="dxa"/>
            <w:tcBorders>
              <w:top w:val="nil"/>
              <w:left w:val="nil"/>
              <w:bottom w:val="nil"/>
              <w:right w:val="nil"/>
            </w:tcBorders>
            <w:shd w:val="clear" w:color="auto" w:fill="auto"/>
            <w:vAlign w:val="center"/>
          </w:tcPr>
          <w:p w14:paraId="75AB236C" w14:textId="67475E57" w:rsidR="00A06B17" w:rsidRPr="00B148F9" w:rsidRDefault="00A06B17" w:rsidP="00A06B17">
            <w:pPr>
              <w:rPr>
                <w:rFonts w:cs="Calibri"/>
                <w:color w:val="000000"/>
                <w:lang w:eastAsia="en-GB"/>
              </w:rPr>
            </w:pPr>
            <w:r w:rsidRPr="00B148F9">
              <w:rPr>
                <w:rFonts w:cs="Calibri"/>
                <w:color w:val="000000"/>
              </w:rPr>
              <w:t>conditions that affect lungs;</w:t>
            </w:r>
          </w:p>
        </w:tc>
      </w:tr>
      <w:tr w:rsidR="00A06B17" w:rsidRPr="00B148F9" w14:paraId="7DF4ADCB" w14:textId="77777777" w:rsidTr="00617322">
        <w:trPr>
          <w:trHeight w:val="300"/>
        </w:trPr>
        <w:tc>
          <w:tcPr>
            <w:tcW w:w="2713" w:type="dxa"/>
            <w:tcBorders>
              <w:top w:val="nil"/>
              <w:left w:val="nil"/>
              <w:bottom w:val="nil"/>
              <w:right w:val="nil"/>
            </w:tcBorders>
            <w:shd w:val="clear" w:color="auto" w:fill="auto"/>
            <w:vAlign w:val="center"/>
          </w:tcPr>
          <w:p w14:paraId="24C825F1"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2D645A9B" w14:textId="77777777" w:rsidR="00A06B17" w:rsidRPr="00B148F9" w:rsidRDefault="00A06B17" w:rsidP="00A06B17">
            <w:pPr>
              <w:rPr>
                <w:rFonts w:cs="Calibri"/>
                <w:color w:val="000000"/>
                <w:lang w:eastAsia="en-GB"/>
              </w:rPr>
            </w:pPr>
          </w:p>
        </w:tc>
      </w:tr>
      <w:tr w:rsidR="00A06B17" w:rsidRPr="00B148F9" w14:paraId="64848733" w14:textId="77777777" w:rsidTr="00617322">
        <w:trPr>
          <w:trHeight w:val="300"/>
        </w:trPr>
        <w:tc>
          <w:tcPr>
            <w:tcW w:w="2713" w:type="dxa"/>
            <w:tcBorders>
              <w:top w:val="nil"/>
              <w:left w:val="nil"/>
              <w:bottom w:val="nil"/>
              <w:right w:val="nil"/>
            </w:tcBorders>
            <w:shd w:val="clear" w:color="auto" w:fill="auto"/>
            <w:vAlign w:val="center"/>
          </w:tcPr>
          <w:p w14:paraId="6B08CE7D" w14:textId="535472B5" w:rsidR="00A06B17" w:rsidRPr="00B148F9" w:rsidRDefault="00A06B17" w:rsidP="00A06B17">
            <w:pPr>
              <w:rPr>
                <w:rFonts w:cs="Calibri"/>
                <w:b/>
                <w:bCs/>
                <w:color w:val="000000"/>
                <w:lang w:eastAsia="en-GB"/>
              </w:rPr>
            </w:pPr>
            <w:r w:rsidRPr="00B148F9">
              <w:rPr>
                <w:rFonts w:cs="Calibri"/>
                <w:b/>
                <w:bCs/>
                <w:color w:val="000000"/>
                <w:lang w:eastAsia="en-GB"/>
              </w:rPr>
              <w:t xml:space="preserve">“Pyruvate Kinase Deficiency” </w:t>
            </w:r>
            <w:r w:rsidRPr="00B148F9">
              <w:rPr>
                <w:rFonts w:cs="Calibri"/>
                <w:bCs/>
                <w:color w:val="000000"/>
                <w:lang w:eastAsia="en-GB"/>
              </w:rPr>
              <w:t>or</w:t>
            </w:r>
            <w:r w:rsidRPr="00B148F9">
              <w:rPr>
                <w:rFonts w:cs="Calibri"/>
                <w:b/>
                <w:bCs/>
                <w:color w:val="000000"/>
                <w:lang w:eastAsia="en-GB"/>
              </w:rPr>
              <w:t xml:space="preserve"> “PKU”</w:t>
            </w:r>
          </w:p>
        </w:tc>
        <w:tc>
          <w:tcPr>
            <w:tcW w:w="6580" w:type="dxa"/>
            <w:tcBorders>
              <w:top w:val="nil"/>
              <w:left w:val="nil"/>
              <w:bottom w:val="nil"/>
              <w:right w:val="nil"/>
            </w:tcBorders>
            <w:shd w:val="clear" w:color="auto" w:fill="auto"/>
            <w:vAlign w:val="center"/>
          </w:tcPr>
          <w:p w14:paraId="4BE67E35" w14:textId="009C102E" w:rsidR="00A06B17" w:rsidRPr="00B148F9" w:rsidRDefault="00A06B17" w:rsidP="00A06B17">
            <w:pPr>
              <w:rPr>
                <w:rFonts w:cs="Calibri"/>
                <w:color w:val="000000"/>
                <w:lang w:eastAsia="en-GB"/>
              </w:rPr>
            </w:pPr>
            <w:r w:rsidRPr="00B148F9">
              <w:rPr>
                <w:rFonts w:cs="Calibri"/>
                <w:color w:val="000000"/>
              </w:rPr>
              <w:t>a rare genetic disorder affecting red blood cells;</w:t>
            </w:r>
          </w:p>
        </w:tc>
      </w:tr>
      <w:tr w:rsidR="00A06B17" w:rsidRPr="00B148F9" w14:paraId="54A97353" w14:textId="77777777" w:rsidTr="00617322">
        <w:trPr>
          <w:trHeight w:val="300"/>
        </w:trPr>
        <w:tc>
          <w:tcPr>
            <w:tcW w:w="2713" w:type="dxa"/>
            <w:tcBorders>
              <w:top w:val="nil"/>
              <w:left w:val="nil"/>
              <w:bottom w:val="nil"/>
              <w:right w:val="nil"/>
            </w:tcBorders>
            <w:shd w:val="clear" w:color="auto" w:fill="auto"/>
            <w:vAlign w:val="center"/>
          </w:tcPr>
          <w:p w14:paraId="255C35CB"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5D886577" w14:textId="77777777" w:rsidR="00A06B17" w:rsidRPr="00B148F9" w:rsidRDefault="00A06B17" w:rsidP="00A06B17">
            <w:pPr>
              <w:rPr>
                <w:rFonts w:cs="Calibri"/>
                <w:color w:val="000000"/>
                <w:lang w:eastAsia="en-GB"/>
              </w:rPr>
            </w:pPr>
          </w:p>
        </w:tc>
      </w:tr>
      <w:tr w:rsidR="00A06B17" w:rsidRPr="00B148F9" w14:paraId="3BCDF79E" w14:textId="77777777" w:rsidTr="00617322">
        <w:trPr>
          <w:trHeight w:val="300"/>
        </w:trPr>
        <w:tc>
          <w:tcPr>
            <w:tcW w:w="2713" w:type="dxa"/>
            <w:tcBorders>
              <w:top w:val="nil"/>
              <w:left w:val="nil"/>
              <w:bottom w:val="nil"/>
              <w:right w:val="nil"/>
            </w:tcBorders>
            <w:shd w:val="clear" w:color="auto" w:fill="auto"/>
            <w:vAlign w:val="center"/>
          </w:tcPr>
          <w:p w14:paraId="5195B322" w14:textId="44BF6350" w:rsidR="00A06B17" w:rsidRPr="00B148F9" w:rsidRDefault="00A06B17" w:rsidP="00A06B17">
            <w:pPr>
              <w:rPr>
                <w:rFonts w:cs="Calibri"/>
                <w:b/>
                <w:bCs/>
                <w:color w:val="000000"/>
                <w:lang w:eastAsia="en-GB"/>
              </w:rPr>
            </w:pPr>
            <w:r w:rsidRPr="00B148F9">
              <w:rPr>
                <w:rFonts w:cs="Calibri"/>
                <w:b/>
                <w:bCs/>
                <w:color w:val="000000"/>
                <w:lang w:eastAsia="en-GB"/>
              </w:rPr>
              <w:t>“Rare disease”</w:t>
            </w:r>
          </w:p>
        </w:tc>
        <w:tc>
          <w:tcPr>
            <w:tcW w:w="6580" w:type="dxa"/>
            <w:tcBorders>
              <w:top w:val="nil"/>
              <w:left w:val="nil"/>
              <w:bottom w:val="nil"/>
              <w:right w:val="nil"/>
            </w:tcBorders>
            <w:shd w:val="clear" w:color="auto" w:fill="auto"/>
            <w:vAlign w:val="center"/>
          </w:tcPr>
          <w:p w14:paraId="7705FD29" w14:textId="50C2959D" w:rsidR="00A06B17" w:rsidRPr="00B148F9" w:rsidRDefault="00A06B17" w:rsidP="00A06B17">
            <w:pPr>
              <w:rPr>
                <w:rFonts w:cs="Calibri"/>
                <w:color w:val="000000"/>
                <w:lang w:eastAsia="en-GB"/>
              </w:rPr>
            </w:pPr>
            <w:r w:rsidRPr="00B148F9">
              <w:rPr>
                <w:rFonts w:cs="Calibri"/>
                <w:color w:val="000000"/>
              </w:rPr>
              <w:t>a disease that affect</w:t>
            </w:r>
            <w:r w:rsidR="001E61D7" w:rsidRPr="00B148F9">
              <w:rPr>
                <w:rFonts w:cs="Calibri"/>
                <w:color w:val="000000"/>
              </w:rPr>
              <w:t>s</w:t>
            </w:r>
            <w:r w:rsidRPr="00B148F9">
              <w:rPr>
                <w:rFonts w:cs="Calibri"/>
                <w:color w:val="000000"/>
              </w:rPr>
              <w:t xml:space="preserve"> a small percentage of the population;</w:t>
            </w:r>
          </w:p>
        </w:tc>
      </w:tr>
      <w:tr w:rsidR="00A06B17" w:rsidRPr="00B148F9" w14:paraId="37E43911" w14:textId="77777777" w:rsidTr="00617322">
        <w:trPr>
          <w:trHeight w:val="300"/>
        </w:trPr>
        <w:tc>
          <w:tcPr>
            <w:tcW w:w="2713" w:type="dxa"/>
            <w:tcBorders>
              <w:top w:val="nil"/>
              <w:left w:val="nil"/>
              <w:bottom w:val="nil"/>
              <w:right w:val="nil"/>
            </w:tcBorders>
            <w:shd w:val="clear" w:color="auto" w:fill="auto"/>
            <w:vAlign w:val="center"/>
          </w:tcPr>
          <w:p w14:paraId="4E9F43E2"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EFC15FC" w14:textId="77777777" w:rsidR="00A06B17" w:rsidRPr="00B148F9" w:rsidRDefault="00A06B17" w:rsidP="00A06B17">
            <w:pPr>
              <w:rPr>
                <w:rFonts w:cs="Calibri"/>
                <w:color w:val="000000"/>
                <w:lang w:eastAsia="en-GB"/>
              </w:rPr>
            </w:pPr>
          </w:p>
        </w:tc>
      </w:tr>
      <w:tr w:rsidR="00A06B17" w:rsidRPr="00B148F9" w14:paraId="10410879" w14:textId="77777777" w:rsidTr="00617322">
        <w:trPr>
          <w:trHeight w:val="300"/>
        </w:trPr>
        <w:tc>
          <w:tcPr>
            <w:tcW w:w="2713" w:type="dxa"/>
            <w:tcBorders>
              <w:top w:val="nil"/>
              <w:left w:val="nil"/>
              <w:bottom w:val="nil"/>
              <w:right w:val="nil"/>
            </w:tcBorders>
            <w:shd w:val="clear" w:color="auto" w:fill="auto"/>
            <w:vAlign w:val="center"/>
            <w:hideMark/>
          </w:tcPr>
          <w:p w14:paraId="29EDAC9D" w14:textId="77777777" w:rsidR="00A06B17" w:rsidRPr="00B148F9" w:rsidRDefault="00A06B17" w:rsidP="00A06B17">
            <w:pPr>
              <w:rPr>
                <w:rFonts w:cs="Calibri"/>
                <w:b/>
                <w:bCs/>
                <w:color w:val="000000"/>
                <w:lang w:eastAsia="en-GB"/>
              </w:rPr>
            </w:pPr>
            <w:r w:rsidRPr="00B148F9">
              <w:rPr>
                <w:rFonts w:cs="Calibri"/>
                <w:b/>
                <w:bCs/>
                <w:color w:val="000000"/>
                <w:lang w:eastAsia="en-GB"/>
              </w:rPr>
              <w:t>“Registrar</w:t>
            </w:r>
            <w:r w:rsidRPr="00B148F9">
              <w:rPr>
                <w:rFonts w:cs="Calibri"/>
                <w:color w:val="000000"/>
                <w:lang w:eastAsia="en-GB"/>
              </w:rPr>
              <w:t>”</w:t>
            </w:r>
          </w:p>
        </w:tc>
        <w:tc>
          <w:tcPr>
            <w:tcW w:w="6580" w:type="dxa"/>
            <w:tcBorders>
              <w:top w:val="nil"/>
              <w:left w:val="nil"/>
              <w:bottom w:val="nil"/>
              <w:right w:val="nil"/>
            </w:tcBorders>
            <w:shd w:val="clear" w:color="auto" w:fill="auto"/>
            <w:vAlign w:val="center"/>
            <w:hideMark/>
          </w:tcPr>
          <w:p w14:paraId="1E03BB9C" w14:textId="77777777" w:rsidR="00A06B17" w:rsidRPr="00B148F9" w:rsidRDefault="00A06B17" w:rsidP="00A06B17">
            <w:pPr>
              <w:rPr>
                <w:rFonts w:cs="Calibri"/>
                <w:color w:val="000000"/>
                <w:lang w:eastAsia="en-GB"/>
              </w:rPr>
            </w:pPr>
            <w:r w:rsidRPr="00B148F9">
              <w:rPr>
                <w:rFonts w:cs="Calibri"/>
                <w:color w:val="000000"/>
                <w:lang w:eastAsia="en-GB"/>
              </w:rPr>
              <w:t>Link Market Services (Guernsey) Limited;</w:t>
            </w:r>
          </w:p>
        </w:tc>
      </w:tr>
      <w:tr w:rsidR="00A06B17" w:rsidRPr="00B148F9" w14:paraId="67F8000F" w14:textId="77777777" w:rsidTr="00617322">
        <w:trPr>
          <w:trHeight w:val="87"/>
        </w:trPr>
        <w:tc>
          <w:tcPr>
            <w:tcW w:w="2713" w:type="dxa"/>
            <w:tcBorders>
              <w:top w:val="nil"/>
              <w:left w:val="nil"/>
              <w:bottom w:val="nil"/>
              <w:right w:val="nil"/>
            </w:tcBorders>
            <w:shd w:val="clear" w:color="auto" w:fill="auto"/>
            <w:vAlign w:val="center"/>
          </w:tcPr>
          <w:p w14:paraId="3D190A33"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04A924DE" w14:textId="77777777" w:rsidR="00A06B17" w:rsidRPr="00B148F9" w:rsidRDefault="00A06B17" w:rsidP="00A06B17">
            <w:pPr>
              <w:rPr>
                <w:rFonts w:cs="Calibri"/>
                <w:color w:val="000000"/>
                <w:lang w:eastAsia="en-GB"/>
              </w:rPr>
            </w:pPr>
          </w:p>
        </w:tc>
      </w:tr>
      <w:tr w:rsidR="00A06B17" w:rsidRPr="00B148F9" w14:paraId="113B61E1" w14:textId="77777777" w:rsidTr="00617322">
        <w:trPr>
          <w:trHeight w:val="87"/>
        </w:trPr>
        <w:tc>
          <w:tcPr>
            <w:tcW w:w="2713" w:type="dxa"/>
            <w:tcBorders>
              <w:top w:val="nil"/>
              <w:left w:val="nil"/>
              <w:bottom w:val="nil"/>
              <w:right w:val="nil"/>
            </w:tcBorders>
            <w:shd w:val="clear" w:color="auto" w:fill="auto"/>
            <w:vAlign w:val="center"/>
          </w:tcPr>
          <w:p w14:paraId="7ADAD539" w14:textId="0106125D" w:rsidR="00A06B17" w:rsidRPr="00B148F9" w:rsidRDefault="00A06B17" w:rsidP="00A06B17">
            <w:pPr>
              <w:rPr>
                <w:rFonts w:cs="Calibri"/>
                <w:b/>
                <w:bCs/>
                <w:color w:val="000000"/>
                <w:lang w:eastAsia="en-GB"/>
              </w:rPr>
            </w:pPr>
            <w:r w:rsidRPr="00B148F9">
              <w:rPr>
                <w:rFonts w:cs="Calibri"/>
                <w:b/>
                <w:bCs/>
                <w:color w:val="000000"/>
                <w:lang w:eastAsia="en-GB"/>
              </w:rPr>
              <w:t>“RNA medicines”</w:t>
            </w:r>
          </w:p>
        </w:tc>
        <w:tc>
          <w:tcPr>
            <w:tcW w:w="6580" w:type="dxa"/>
            <w:tcBorders>
              <w:top w:val="nil"/>
              <w:left w:val="nil"/>
              <w:bottom w:val="nil"/>
              <w:right w:val="nil"/>
            </w:tcBorders>
            <w:shd w:val="clear" w:color="auto" w:fill="auto"/>
            <w:vAlign w:val="center"/>
          </w:tcPr>
          <w:p w14:paraId="3832D5A8" w14:textId="71CDF1C9" w:rsidR="00A06B17" w:rsidRPr="00B148F9" w:rsidRDefault="00A06B17" w:rsidP="00A06B17">
            <w:pPr>
              <w:rPr>
                <w:rFonts w:cs="Calibri"/>
                <w:color w:val="000000"/>
                <w:lang w:eastAsia="en-GB"/>
              </w:rPr>
            </w:pPr>
            <w:r w:rsidRPr="00B148F9">
              <w:rPr>
                <w:rFonts w:cs="Calibri"/>
                <w:color w:val="000000"/>
              </w:rPr>
              <w:t>a type of biotechnology that uses RNA to treat a disease;</w:t>
            </w:r>
          </w:p>
        </w:tc>
      </w:tr>
      <w:tr w:rsidR="00A06B17" w:rsidRPr="00B148F9" w14:paraId="167D477D" w14:textId="77777777" w:rsidTr="00617322">
        <w:trPr>
          <w:trHeight w:val="87"/>
        </w:trPr>
        <w:tc>
          <w:tcPr>
            <w:tcW w:w="2713" w:type="dxa"/>
            <w:tcBorders>
              <w:top w:val="nil"/>
              <w:left w:val="nil"/>
              <w:bottom w:val="nil"/>
              <w:right w:val="nil"/>
            </w:tcBorders>
            <w:shd w:val="clear" w:color="auto" w:fill="auto"/>
            <w:vAlign w:val="center"/>
          </w:tcPr>
          <w:p w14:paraId="1D1FE185"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6B1B6EF9" w14:textId="77777777" w:rsidR="00A06B17" w:rsidRPr="00B148F9" w:rsidRDefault="00A06B17" w:rsidP="00A06B17">
            <w:pPr>
              <w:rPr>
                <w:rFonts w:cs="Calibri"/>
                <w:color w:val="000000"/>
                <w:lang w:eastAsia="en-GB"/>
              </w:rPr>
            </w:pPr>
          </w:p>
        </w:tc>
      </w:tr>
      <w:tr w:rsidR="00A06B17" w:rsidRPr="00B148F9" w14:paraId="5C40842F" w14:textId="77777777" w:rsidTr="00617322">
        <w:trPr>
          <w:trHeight w:val="87"/>
        </w:trPr>
        <w:tc>
          <w:tcPr>
            <w:tcW w:w="2713" w:type="dxa"/>
            <w:tcBorders>
              <w:top w:val="nil"/>
              <w:left w:val="nil"/>
              <w:bottom w:val="nil"/>
              <w:right w:val="nil"/>
            </w:tcBorders>
            <w:shd w:val="clear" w:color="auto" w:fill="auto"/>
            <w:vAlign w:val="center"/>
          </w:tcPr>
          <w:p w14:paraId="64B41167" w14:textId="261CC1AD" w:rsidR="00A06B17" w:rsidRPr="00B148F9" w:rsidRDefault="00A06B17" w:rsidP="00A06B17">
            <w:pPr>
              <w:rPr>
                <w:rFonts w:cs="Calibri"/>
                <w:b/>
                <w:bCs/>
                <w:color w:val="000000"/>
                <w:lang w:eastAsia="en-GB"/>
              </w:rPr>
            </w:pPr>
            <w:r w:rsidRPr="00B148F9">
              <w:rPr>
                <w:rFonts w:cs="Calibri"/>
                <w:b/>
                <w:bCs/>
                <w:color w:val="000000"/>
                <w:lang w:eastAsia="en-GB"/>
              </w:rPr>
              <w:t xml:space="preserve">“Rocket Pharmaceuticals” </w:t>
            </w:r>
            <w:r w:rsidRPr="00B148F9">
              <w:rPr>
                <w:rFonts w:cs="Calibri"/>
                <w:bCs/>
                <w:color w:val="000000"/>
                <w:lang w:eastAsia="en-GB"/>
              </w:rPr>
              <w:t>or</w:t>
            </w:r>
            <w:r w:rsidRPr="00B148F9">
              <w:rPr>
                <w:rFonts w:cs="Calibri"/>
                <w:b/>
                <w:bCs/>
                <w:color w:val="000000"/>
                <w:lang w:eastAsia="en-GB"/>
              </w:rPr>
              <w:t xml:space="preserve"> “Rocket”</w:t>
            </w:r>
          </w:p>
        </w:tc>
        <w:tc>
          <w:tcPr>
            <w:tcW w:w="6580" w:type="dxa"/>
            <w:tcBorders>
              <w:top w:val="nil"/>
              <w:left w:val="nil"/>
              <w:bottom w:val="nil"/>
              <w:right w:val="nil"/>
            </w:tcBorders>
            <w:shd w:val="clear" w:color="auto" w:fill="auto"/>
            <w:vAlign w:val="center"/>
          </w:tcPr>
          <w:p w14:paraId="6B0C91C1" w14:textId="38899B80" w:rsidR="00A06B17" w:rsidRPr="00B148F9" w:rsidRDefault="00A06B17" w:rsidP="00A06B17">
            <w:pPr>
              <w:rPr>
                <w:rFonts w:cs="Calibri"/>
                <w:color w:val="000000"/>
                <w:lang w:eastAsia="en-GB"/>
              </w:rPr>
            </w:pPr>
            <w:r w:rsidRPr="00B148F9">
              <w:rPr>
                <w:rFonts w:cs="Calibri"/>
                <w:color w:val="000000"/>
              </w:rPr>
              <w:t>Rocket Pharmaceuticals, Inc.;</w:t>
            </w:r>
          </w:p>
        </w:tc>
      </w:tr>
      <w:tr w:rsidR="00A06B17" w:rsidRPr="00B148F9" w14:paraId="4E8B0C2F" w14:textId="77777777" w:rsidTr="00617322">
        <w:trPr>
          <w:trHeight w:val="87"/>
        </w:trPr>
        <w:tc>
          <w:tcPr>
            <w:tcW w:w="2713" w:type="dxa"/>
            <w:tcBorders>
              <w:top w:val="nil"/>
              <w:left w:val="nil"/>
              <w:bottom w:val="nil"/>
              <w:right w:val="nil"/>
            </w:tcBorders>
            <w:shd w:val="clear" w:color="auto" w:fill="auto"/>
            <w:vAlign w:val="center"/>
          </w:tcPr>
          <w:p w14:paraId="42EB702E"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5D3B7F2F" w14:textId="77777777" w:rsidR="00A06B17" w:rsidRPr="00B148F9" w:rsidRDefault="00A06B17" w:rsidP="00A06B17">
            <w:pPr>
              <w:rPr>
                <w:rFonts w:cs="Calibri"/>
                <w:color w:val="000000"/>
                <w:lang w:eastAsia="en-GB"/>
              </w:rPr>
            </w:pPr>
          </w:p>
        </w:tc>
      </w:tr>
      <w:tr w:rsidR="00A06B17" w:rsidRPr="00B148F9" w14:paraId="23535834" w14:textId="77777777" w:rsidTr="00617322">
        <w:trPr>
          <w:trHeight w:val="87"/>
        </w:trPr>
        <w:tc>
          <w:tcPr>
            <w:tcW w:w="2713" w:type="dxa"/>
            <w:tcBorders>
              <w:top w:val="nil"/>
              <w:left w:val="nil"/>
              <w:bottom w:val="nil"/>
              <w:right w:val="nil"/>
            </w:tcBorders>
            <w:shd w:val="clear" w:color="auto" w:fill="auto"/>
            <w:vAlign w:val="center"/>
          </w:tcPr>
          <w:p w14:paraId="6A4B4139" w14:textId="655C48D5" w:rsidR="00A06B17" w:rsidRPr="00B148F9" w:rsidRDefault="00A06B17" w:rsidP="00A06B17">
            <w:pPr>
              <w:rPr>
                <w:rFonts w:cs="Calibri"/>
                <w:b/>
                <w:bCs/>
                <w:color w:val="000000"/>
                <w:lang w:eastAsia="en-GB"/>
              </w:rPr>
            </w:pPr>
            <w:r w:rsidRPr="00B148F9">
              <w:rPr>
                <w:rFonts w:cs="Calibri"/>
                <w:b/>
                <w:bCs/>
                <w:color w:val="000000"/>
                <w:lang w:eastAsia="en-GB"/>
              </w:rPr>
              <w:t>“Russell 2000 Biotech”</w:t>
            </w:r>
          </w:p>
        </w:tc>
        <w:tc>
          <w:tcPr>
            <w:tcW w:w="6580" w:type="dxa"/>
            <w:tcBorders>
              <w:top w:val="nil"/>
              <w:left w:val="nil"/>
              <w:bottom w:val="nil"/>
              <w:right w:val="nil"/>
            </w:tcBorders>
            <w:shd w:val="clear" w:color="auto" w:fill="auto"/>
            <w:vAlign w:val="center"/>
          </w:tcPr>
          <w:p w14:paraId="64120B96" w14:textId="470ABA86" w:rsidR="00A06B17" w:rsidRPr="00B148F9" w:rsidRDefault="00A06B17" w:rsidP="00A06B17">
            <w:pPr>
              <w:rPr>
                <w:rFonts w:cs="Calibri"/>
                <w:color w:val="000000"/>
                <w:lang w:eastAsia="en-GB"/>
              </w:rPr>
            </w:pPr>
            <w:r w:rsidRPr="00B148F9">
              <w:rPr>
                <w:rFonts w:cs="Calibri"/>
                <w:color w:val="000000"/>
              </w:rPr>
              <w:t>a stock index of small cap biotechnology and pharmaceutical companies;</w:t>
            </w:r>
          </w:p>
        </w:tc>
      </w:tr>
      <w:tr w:rsidR="00A06B17" w:rsidRPr="00B148F9" w14:paraId="3C6439BD" w14:textId="77777777" w:rsidTr="00617322">
        <w:trPr>
          <w:trHeight w:val="87"/>
        </w:trPr>
        <w:tc>
          <w:tcPr>
            <w:tcW w:w="2713" w:type="dxa"/>
            <w:tcBorders>
              <w:top w:val="nil"/>
              <w:left w:val="nil"/>
              <w:bottom w:val="nil"/>
              <w:right w:val="nil"/>
            </w:tcBorders>
            <w:shd w:val="clear" w:color="auto" w:fill="auto"/>
            <w:vAlign w:val="center"/>
          </w:tcPr>
          <w:p w14:paraId="29EEB14C"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51471F2" w14:textId="77777777" w:rsidR="00A06B17" w:rsidRPr="00B148F9" w:rsidRDefault="00A06B17" w:rsidP="00A06B17">
            <w:pPr>
              <w:rPr>
                <w:rFonts w:cs="Calibri"/>
                <w:color w:val="000000"/>
                <w:lang w:eastAsia="en-GB"/>
              </w:rPr>
            </w:pPr>
          </w:p>
        </w:tc>
      </w:tr>
      <w:tr w:rsidR="00A06B17" w:rsidRPr="00B148F9" w14:paraId="43AF7085" w14:textId="77777777" w:rsidTr="00617322">
        <w:trPr>
          <w:trHeight w:val="300"/>
        </w:trPr>
        <w:tc>
          <w:tcPr>
            <w:tcW w:w="2713" w:type="dxa"/>
            <w:tcBorders>
              <w:top w:val="nil"/>
              <w:left w:val="nil"/>
              <w:bottom w:val="nil"/>
              <w:right w:val="nil"/>
            </w:tcBorders>
            <w:shd w:val="clear" w:color="auto" w:fill="auto"/>
            <w:vAlign w:val="center"/>
          </w:tcPr>
          <w:p w14:paraId="372FE9F0" w14:textId="3DFDAEDA" w:rsidR="00A06B17" w:rsidRPr="00B148F9" w:rsidRDefault="00A06B17" w:rsidP="00A06B17">
            <w:pPr>
              <w:rPr>
                <w:rFonts w:cs="Calibri"/>
                <w:b/>
                <w:bCs/>
                <w:color w:val="000000"/>
                <w:lang w:eastAsia="en-GB"/>
              </w:rPr>
            </w:pPr>
            <w:r w:rsidRPr="00B148F9">
              <w:rPr>
                <w:rFonts w:cs="Calibri"/>
                <w:b/>
                <w:bCs/>
                <w:color w:val="000000"/>
                <w:lang w:eastAsia="en-GB"/>
              </w:rPr>
              <w:t>“Seed Assets”</w:t>
            </w:r>
          </w:p>
        </w:tc>
        <w:tc>
          <w:tcPr>
            <w:tcW w:w="6580" w:type="dxa"/>
            <w:tcBorders>
              <w:top w:val="nil"/>
              <w:left w:val="nil"/>
              <w:bottom w:val="nil"/>
              <w:right w:val="nil"/>
            </w:tcBorders>
            <w:shd w:val="clear" w:color="auto" w:fill="auto"/>
            <w:vAlign w:val="center"/>
          </w:tcPr>
          <w:p w14:paraId="442E6A43" w14:textId="6AFE38AB" w:rsidR="00A06B17" w:rsidRPr="00B148F9" w:rsidRDefault="00A06B17" w:rsidP="00B746FC">
            <w:pPr>
              <w:rPr>
                <w:rFonts w:cs="Calibri"/>
                <w:color w:val="000000"/>
                <w:lang w:eastAsia="en-GB"/>
              </w:rPr>
            </w:pPr>
            <w:r w:rsidRPr="00B148F9">
              <w:rPr>
                <w:rFonts w:cs="Calibri"/>
                <w:color w:val="000000"/>
                <w:lang w:eastAsia="en-GB"/>
              </w:rPr>
              <w:t>the initial portfolio of the Company, consisting of: Beta Bionics, Frequency, Immunocore, Landos, Orchestra BioMed and Rocket;</w:t>
            </w:r>
          </w:p>
        </w:tc>
      </w:tr>
      <w:tr w:rsidR="00A06B17" w:rsidRPr="00B148F9" w14:paraId="37F9CEA3" w14:textId="77777777" w:rsidTr="00617322">
        <w:trPr>
          <w:trHeight w:val="300"/>
        </w:trPr>
        <w:tc>
          <w:tcPr>
            <w:tcW w:w="2713" w:type="dxa"/>
            <w:tcBorders>
              <w:top w:val="nil"/>
              <w:left w:val="nil"/>
              <w:bottom w:val="nil"/>
              <w:right w:val="nil"/>
            </w:tcBorders>
            <w:shd w:val="clear" w:color="auto" w:fill="auto"/>
            <w:vAlign w:val="center"/>
          </w:tcPr>
          <w:p w14:paraId="100A5459"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7752A110" w14:textId="77777777" w:rsidR="00A06B17" w:rsidRPr="00B148F9" w:rsidRDefault="00A06B17" w:rsidP="00A06B17">
            <w:pPr>
              <w:rPr>
                <w:rFonts w:cs="Calibri"/>
                <w:color w:val="000000"/>
                <w:lang w:eastAsia="en-GB"/>
              </w:rPr>
            </w:pPr>
          </w:p>
        </w:tc>
      </w:tr>
      <w:tr w:rsidR="00A06B17" w:rsidRPr="00B148F9" w14:paraId="03414C28" w14:textId="77777777" w:rsidTr="00617322">
        <w:trPr>
          <w:trHeight w:val="300"/>
        </w:trPr>
        <w:tc>
          <w:tcPr>
            <w:tcW w:w="2713" w:type="dxa"/>
            <w:tcBorders>
              <w:top w:val="nil"/>
              <w:left w:val="nil"/>
              <w:bottom w:val="nil"/>
              <w:right w:val="nil"/>
            </w:tcBorders>
            <w:shd w:val="clear" w:color="auto" w:fill="auto"/>
            <w:vAlign w:val="center"/>
          </w:tcPr>
          <w:p w14:paraId="2BB92E3B" w14:textId="1C27E4A4" w:rsidR="00A06B17" w:rsidRPr="00B148F9" w:rsidRDefault="00A06B17" w:rsidP="00A06B17">
            <w:pPr>
              <w:rPr>
                <w:rFonts w:cs="Calibri"/>
                <w:b/>
                <w:bCs/>
                <w:color w:val="000000"/>
                <w:lang w:eastAsia="en-GB"/>
              </w:rPr>
            </w:pPr>
            <w:r w:rsidRPr="00B148F9">
              <w:rPr>
                <w:rFonts w:cs="Calibri"/>
                <w:b/>
                <w:bCs/>
                <w:color w:val="000000"/>
                <w:lang w:eastAsia="en-GB"/>
              </w:rPr>
              <w:t>“SFS”</w:t>
            </w:r>
          </w:p>
        </w:tc>
        <w:tc>
          <w:tcPr>
            <w:tcW w:w="6580" w:type="dxa"/>
            <w:tcBorders>
              <w:top w:val="nil"/>
              <w:left w:val="nil"/>
              <w:bottom w:val="nil"/>
              <w:right w:val="nil"/>
            </w:tcBorders>
            <w:shd w:val="clear" w:color="auto" w:fill="auto"/>
            <w:vAlign w:val="center"/>
          </w:tcPr>
          <w:p w14:paraId="7A2F4A46" w14:textId="78584329" w:rsidR="00A06B17" w:rsidRPr="00B148F9" w:rsidRDefault="00A06B17" w:rsidP="00A06B17">
            <w:pPr>
              <w:rPr>
                <w:rFonts w:cs="Calibri"/>
                <w:color w:val="000000"/>
                <w:lang w:eastAsia="en-GB"/>
              </w:rPr>
            </w:pPr>
            <w:r w:rsidRPr="00B148F9">
              <w:rPr>
                <w:rFonts w:cs="Calibri"/>
                <w:color w:val="000000"/>
                <w:lang w:eastAsia="en-GB"/>
              </w:rPr>
              <w:t>Specialist Fund Segment of the London Stock Exchange;</w:t>
            </w:r>
          </w:p>
        </w:tc>
      </w:tr>
      <w:tr w:rsidR="00A06B17" w:rsidRPr="00B148F9" w14:paraId="1A69B396" w14:textId="77777777" w:rsidTr="00617322">
        <w:trPr>
          <w:trHeight w:val="87"/>
        </w:trPr>
        <w:tc>
          <w:tcPr>
            <w:tcW w:w="2713" w:type="dxa"/>
            <w:tcBorders>
              <w:top w:val="nil"/>
              <w:left w:val="nil"/>
              <w:bottom w:val="nil"/>
              <w:right w:val="nil"/>
            </w:tcBorders>
            <w:shd w:val="clear" w:color="auto" w:fill="auto"/>
            <w:vAlign w:val="center"/>
          </w:tcPr>
          <w:p w14:paraId="0F0ED83C"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78A2992" w14:textId="77777777" w:rsidR="00A06B17" w:rsidRPr="00B148F9" w:rsidRDefault="00A06B17" w:rsidP="00A06B17">
            <w:pPr>
              <w:rPr>
                <w:rFonts w:cs="Calibri"/>
                <w:color w:val="000000"/>
                <w:lang w:eastAsia="en-GB"/>
              </w:rPr>
            </w:pPr>
          </w:p>
        </w:tc>
      </w:tr>
      <w:tr w:rsidR="00A06B17" w:rsidRPr="00B148F9" w14:paraId="005E208F" w14:textId="77777777" w:rsidTr="00617322">
        <w:trPr>
          <w:trHeight w:val="87"/>
        </w:trPr>
        <w:tc>
          <w:tcPr>
            <w:tcW w:w="2713" w:type="dxa"/>
            <w:tcBorders>
              <w:top w:val="nil"/>
              <w:left w:val="nil"/>
              <w:bottom w:val="nil"/>
              <w:right w:val="nil"/>
            </w:tcBorders>
            <w:shd w:val="clear" w:color="auto" w:fill="auto"/>
            <w:vAlign w:val="center"/>
          </w:tcPr>
          <w:p w14:paraId="6A2B9D57" w14:textId="79B6CCF8" w:rsidR="00A06B17" w:rsidRPr="00B148F9" w:rsidRDefault="00A06B17" w:rsidP="00A06B17">
            <w:pPr>
              <w:rPr>
                <w:rFonts w:cs="Calibri"/>
                <w:b/>
                <w:bCs/>
                <w:color w:val="000000"/>
                <w:lang w:eastAsia="en-GB"/>
              </w:rPr>
            </w:pPr>
            <w:r w:rsidRPr="00B148F9">
              <w:rPr>
                <w:rFonts w:cs="Calibri"/>
                <w:b/>
                <w:bCs/>
                <w:color w:val="000000"/>
                <w:lang w:eastAsia="en-GB"/>
              </w:rPr>
              <w:t>“Small molecule”</w:t>
            </w:r>
          </w:p>
        </w:tc>
        <w:tc>
          <w:tcPr>
            <w:tcW w:w="6580" w:type="dxa"/>
            <w:tcBorders>
              <w:top w:val="nil"/>
              <w:left w:val="nil"/>
              <w:bottom w:val="nil"/>
              <w:right w:val="nil"/>
            </w:tcBorders>
            <w:shd w:val="clear" w:color="auto" w:fill="auto"/>
            <w:vAlign w:val="center"/>
          </w:tcPr>
          <w:p w14:paraId="26400074" w14:textId="1A066F36" w:rsidR="00A06B17" w:rsidRPr="00B148F9" w:rsidRDefault="00A06B17" w:rsidP="00A06B17">
            <w:pPr>
              <w:rPr>
                <w:rFonts w:cs="Calibri"/>
                <w:color w:val="000000"/>
                <w:lang w:eastAsia="en-GB"/>
              </w:rPr>
            </w:pPr>
            <w:r w:rsidRPr="00B148F9">
              <w:rPr>
                <w:rFonts w:cs="Calibri"/>
                <w:color w:val="000000"/>
              </w:rPr>
              <w:t>a compound that can regulate a biologic activity;</w:t>
            </w:r>
          </w:p>
        </w:tc>
      </w:tr>
      <w:tr w:rsidR="00A06B17" w:rsidRPr="00B148F9" w14:paraId="54BD2521" w14:textId="77777777" w:rsidTr="00617322">
        <w:trPr>
          <w:trHeight w:val="87"/>
        </w:trPr>
        <w:tc>
          <w:tcPr>
            <w:tcW w:w="2713" w:type="dxa"/>
            <w:tcBorders>
              <w:top w:val="nil"/>
              <w:left w:val="nil"/>
              <w:bottom w:val="nil"/>
              <w:right w:val="nil"/>
            </w:tcBorders>
            <w:shd w:val="clear" w:color="auto" w:fill="auto"/>
            <w:vAlign w:val="center"/>
          </w:tcPr>
          <w:p w14:paraId="3D2C44E1"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665B3996" w14:textId="77777777" w:rsidR="00A06B17" w:rsidRPr="00B148F9" w:rsidRDefault="00A06B17" w:rsidP="00A06B17">
            <w:pPr>
              <w:rPr>
                <w:rFonts w:cs="Calibri"/>
                <w:color w:val="000000"/>
                <w:lang w:eastAsia="en-GB"/>
              </w:rPr>
            </w:pPr>
          </w:p>
        </w:tc>
      </w:tr>
      <w:tr w:rsidR="00A06B17" w:rsidRPr="00B148F9" w14:paraId="16E98F6E" w14:textId="77777777" w:rsidTr="00617322">
        <w:trPr>
          <w:trHeight w:val="87"/>
        </w:trPr>
        <w:tc>
          <w:tcPr>
            <w:tcW w:w="2713" w:type="dxa"/>
            <w:tcBorders>
              <w:top w:val="nil"/>
              <w:left w:val="nil"/>
              <w:bottom w:val="nil"/>
              <w:right w:val="nil"/>
            </w:tcBorders>
            <w:shd w:val="clear" w:color="auto" w:fill="auto"/>
            <w:vAlign w:val="center"/>
          </w:tcPr>
          <w:p w14:paraId="328AC6DA" w14:textId="26B0B7BD" w:rsidR="00A06B17" w:rsidRPr="00B148F9" w:rsidRDefault="00A06B17" w:rsidP="00A06B17">
            <w:pPr>
              <w:rPr>
                <w:rFonts w:cs="Calibri"/>
                <w:b/>
                <w:bCs/>
                <w:color w:val="000000"/>
                <w:lang w:eastAsia="en-GB"/>
              </w:rPr>
            </w:pPr>
            <w:r w:rsidRPr="00B148F9">
              <w:rPr>
                <w:rFonts w:cs="Calibri"/>
                <w:b/>
                <w:bCs/>
                <w:color w:val="000000"/>
                <w:lang w:eastAsia="en-GB"/>
              </w:rPr>
              <w:t>“Sensorineural hearing loss”</w:t>
            </w:r>
          </w:p>
        </w:tc>
        <w:tc>
          <w:tcPr>
            <w:tcW w:w="6580" w:type="dxa"/>
            <w:tcBorders>
              <w:top w:val="nil"/>
              <w:left w:val="nil"/>
              <w:bottom w:val="nil"/>
              <w:right w:val="nil"/>
            </w:tcBorders>
            <w:shd w:val="clear" w:color="auto" w:fill="auto"/>
            <w:vAlign w:val="center"/>
          </w:tcPr>
          <w:p w14:paraId="10FB61F4" w14:textId="6090840C" w:rsidR="00A06B17" w:rsidRPr="00B148F9" w:rsidRDefault="00A06B17" w:rsidP="00A06B17">
            <w:pPr>
              <w:rPr>
                <w:rFonts w:cs="Calibri"/>
                <w:color w:val="000000"/>
                <w:lang w:eastAsia="en-GB"/>
              </w:rPr>
            </w:pPr>
            <w:r w:rsidRPr="00B148F9">
              <w:rPr>
                <w:rFonts w:cs="Calibri"/>
                <w:color w:val="000000"/>
              </w:rPr>
              <w:t>a type of hearing loss caused by damage to the inner ear;</w:t>
            </w:r>
          </w:p>
        </w:tc>
      </w:tr>
      <w:tr w:rsidR="00A06B17" w:rsidRPr="00B148F9" w14:paraId="3E652185" w14:textId="77777777" w:rsidTr="00617322">
        <w:trPr>
          <w:trHeight w:val="87"/>
        </w:trPr>
        <w:tc>
          <w:tcPr>
            <w:tcW w:w="2713" w:type="dxa"/>
            <w:tcBorders>
              <w:top w:val="nil"/>
              <w:left w:val="nil"/>
              <w:bottom w:val="nil"/>
              <w:right w:val="nil"/>
            </w:tcBorders>
            <w:shd w:val="clear" w:color="auto" w:fill="auto"/>
            <w:vAlign w:val="center"/>
          </w:tcPr>
          <w:p w14:paraId="042EDF1D"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15321BE7" w14:textId="77777777" w:rsidR="00A06B17" w:rsidRPr="00B148F9" w:rsidRDefault="00A06B17" w:rsidP="00A06B17">
            <w:pPr>
              <w:rPr>
                <w:rFonts w:cs="Calibri"/>
                <w:color w:val="000000"/>
                <w:lang w:eastAsia="en-GB"/>
              </w:rPr>
            </w:pPr>
          </w:p>
        </w:tc>
      </w:tr>
      <w:tr w:rsidR="00A06B17" w:rsidRPr="00B148F9" w14:paraId="2E8CCFFC" w14:textId="77777777" w:rsidTr="00617322">
        <w:trPr>
          <w:trHeight w:val="87"/>
        </w:trPr>
        <w:tc>
          <w:tcPr>
            <w:tcW w:w="2713" w:type="dxa"/>
            <w:tcBorders>
              <w:top w:val="nil"/>
              <w:left w:val="nil"/>
              <w:bottom w:val="nil"/>
              <w:right w:val="nil"/>
            </w:tcBorders>
            <w:shd w:val="clear" w:color="auto" w:fill="auto"/>
            <w:vAlign w:val="center"/>
          </w:tcPr>
          <w:p w14:paraId="0D5B6BF7" w14:textId="2FCCCE11" w:rsidR="00A06B17" w:rsidRPr="00B148F9" w:rsidRDefault="00A06B17" w:rsidP="00A06B17">
            <w:pPr>
              <w:rPr>
                <w:rFonts w:cs="Calibri"/>
                <w:b/>
                <w:bCs/>
                <w:color w:val="000000"/>
                <w:lang w:eastAsia="en-GB"/>
              </w:rPr>
            </w:pPr>
            <w:r w:rsidRPr="00B148F9">
              <w:rPr>
                <w:rFonts w:cs="Calibri"/>
                <w:b/>
                <w:bCs/>
                <w:color w:val="000000"/>
                <w:lang w:eastAsia="en-GB"/>
              </w:rPr>
              <w:t>“SPAC”</w:t>
            </w:r>
          </w:p>
        </w:tc>
        <w:tc>
          <w:tcPr>
            <w:tcW w:w="6580" w:type="dxa"/>
            <w:tcBorders>
              <w:top w:val="nil"/>
              <w:left w:val="nil"/>
              <w:bottom w:val="nil"/>
              <w:right w:val="nil"/>
            </w:tcBorders>
            <w:shd w:val="clear" w:color="auto" w:fill="auto"/>
            <w:vAlign w:val="center"/>
          </w:tcPr>
          <w:p w14:paraId="0749A007" w14:textId="258EE1A0" w:rsidR="00A06B17" w:rsidRPr="00B148F9" w:rsidRDefault="00A06B17" w:rsidP="00A06B17">
            <w:pPr>
              <w:rPr>
                <w:rFonts w:cs="Calibri"/>
                <w:color w:val="000000"/>
              </w:rPr>
            </w:pPr>
            <w:r w:rsidRPr="00B148F9">
              <w:rPr>
                <w:rFonts w:cs="Calibri"/>
                <w:color w:val="000000"/>
              </w:rPr>
              <w:t>Special Purpose Acquisition Company;</w:t>
            </w:r>
          </w:p>
        </w:tc>
      </w:tr>
      <w:tr w:rsidR="00A06B17" w:rsidRPr="00B148F9" w14:paraId="23981178" w14:textId="77777777" w:rsidTr="00617322">
        <w:trPr>
          <w:trHeight w:val="87"/>
        </w:trPr>
        <w:tc>
          <w:tcPr>
            <w:tcW w:w="2713" w:type="dxa"/>
            <w:tcBorders>
              <w:top w:val="nil"/>
              <w:left w:val="nil"/>
              <w:bottom w:val="nil"/>
              <w:right w:val="nil"/>
            </w:tcBorders>
            <w:shd w:val="clear" w:color="auto" w:fill="auto"/>
            <w:vAlign w:val="center"/>
          </w:tcPr>
          <w:p w14:paraId="007966FF"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C70EF45" w14:textId="77777777" w:rsidR="00A06B17" w:rsidRPr="00B148F9" w:rsidRDefault="00A06B17" w:rsidP="00A06B17">
            <w:pPr>
              <w:rPr>
                <w:rFonts w:cs="Calibri"/>
                <w:color w:val="000000"/>
              </w:rPr>
            </w:pPr>
          </w:p>
        </w:tc>
      </w:tr>
      <w:tr w:rsidR="00A06B17" w:rsidRPr="00B148F9" w14:paraId="77B5F911" w14:textId="77777777" w:rsidTr="00617322">
        <w:trPr>
          <w:trHeight w:val="87"/>
        </w:trPr>
        <w:tc>
          <w:tcPr>
            <w:tcW w:w="2713" w:type="dxa"/>
            <w:tcBorders>
              <w:top w:val="nil"/>
              <w:left w:val="nil"/>
              <w:bottom w:val="nil"/>
              <w:right w:val="nil"/>
            </w:tcBorders>
            <w:shd w:val="clear" w:color="auto" w:fill="auto"/>
            <w:vAlign w:val="center"/>
          </w:tcPr>
          <w:p w14:paraId="72A62289" w14:textId="239607EA" w:rsidR="00A06B17" w:rsidRPr="00B148F9" w:rsidRDefault="00A06B17" w:rsidP="00A06B17">
            <w:pPr>
              <w:rPr>
                <w:rFonts w:cs="Calibri"/>
                <w:b/>
                <w:bCs/>
                <w:color w:val="000000"/>
                <w:lang w:eastAsia="en-GB"/>
              </w:rPr>
            </w:pPr>
            <w:r w:rsidRPr="00B148F9">
              <w:rPr>
                <w:rFonts w:cs="Calibri"/>
                <w:b/>
                <w:bCs/>
                <w:color w:val="000000"/>
                <w:lang w:eastAsia="en-GB"/>
              </w:rPr>
              <w:t>“Spec pharma”</w:t>
            </w:r>
          </w:p>
        </w:tc>
        <w:tc>
          <w:tcPr>
            <w:tcW w:w="6580" w:type="dxa"/>
            <w:tcBorders>
              <w:top w:val="nil"/>
              <w:left w:val="nil"/>
              <w:bottom w:val="nil"/>
              <w:right w:val="nil"/>
            </w:tcBorders>
            <w:shd w:val="clear" w:color="auto" w:fill="auto"/>
            <w:vAlign w:val="center"/>
          </w:tcPr>
          <w:p w14:paraId="6A87D2FC" w14:textId="0A88CA92" w:rsidR="00A06B17" w:rsidRPr="00B148F9" w:rsidRDefault="00A06B17" w:rsidP="00A06B17">
            <w:pPr>
              <w:rPr>
                <w:rFonts w:cs="Calibri"/>
                <w:color w:val="000000"/>
                <w:lang w:eastAsia="en-GB"/>
              </w:rPr>
            </w:pPr>
            <w:r w:rsidRPr="00B148F9">
              <w:rPr>
                <w:rFonts w:cs="Calibri"/>
                <w:color w:val="000000"/>
              </w:rPr>
              <w:t>a pharmaceutical company focused on specialty therapies;</w:t>
            </w:r>
          </w:p>
        </w:tc>
      </w:tr>
      <w:tr w:rsidR="00FE4734" w:rsidRPr="00B148F9" w14:paraId="5D5476C3" w14:textId="77777777" w:rsidTr="00DF1E64">
        <w:trPr>
          <w:trHeight w:val="87"/>
        </w:trPr>
        <w:tc>
          <w:tcPr>
            <w:tcW w:w="2713" w:type="dxa"/>
            <w:tcBorders>
              <w:top w:val="nil"/>
              <w:left w:val="nil"/>
              <w:bottom w:val="nil"/>
              <w:right w:val="nil"/>
            </w:tcBorders>
            <w:shd w:val="clear" w:color="auto" w:fill="auto"/>
            <w:vAlign w:val="center"/>
          </w:tcPr>
          <w:p w14:paraId="1EF49B00" w14:textId="77777777" w:rsidR="00FE4734" w:rsidRPr="00B148F9" w:rsidRDefault="00FE4734" w:rsidP="00617322">
            <w:pPr>
              <w:jc w:val="left"/>
              <w:rPr>
                <w:rFonts w:cs="Calibri"/>
                <w:b/>
                <w:bCs/>
                <w:color w:val="000000"/>
                <w:lang w:eastAsia="en-GB"/>
              </w:rPr>
            </w:pPr>
          </w:p>
        </w:tc>
        <w:tc>
          <w:tcPr>
            <w:tcW w:w="6580" w:type="dxa"/>
            <w:tcBorders>
              <w:top w:val="nil"/>
              <w:left w:val="nil"/>
              <w:bottom w:val="nil"/>
              <w:right w:val="nil"/>
            </w:tcBorders>
            <w:shd w:val="clear" w:color="auto" w:fill="auto"/>
            <w:vAlign w:val="center"/>
          </w:tcPr>
          <w:p w14:paraId="28EB1369" w14:textId="77777777" w:rsidR="00FE4734" w:rsidRPr="00B148F9" w:rsidRDefault="00FE4734" w:rsidP="00A06B17">
            <w:pPr>
              <w:rPr>
                <w:rFonts w:cs="Calibri"/>
                <w:color w:val="000000"/>
              </w:rPr>
            </w:pPr>
          </w:p>
        </w:tc>
      </w:tr>
      <w:tr w:rsidR="00274968" w:rsidRPr="00B148F9" w14:paraId="2086686C" w14:textId="77777777" w:rsidTr="00DF1E64">
        <w:trPr>
          <w:trHeight w:val="87"/>
        </w:trPr>
        <w:tc>
          <w:tcPr>
            <w:tcW w:w="2713" w:type="dxa"/>
            <w:tcBorders>
              <w:top w:val="nil"/>
              <w:left w:val="nil"/>
              <w:bottom w:val="nil"/>
              <w:right w:val="nil"/>
            </w:tcBorders>
            <w:shd w:val="clear" w:color="auto" w:fill="auto"/>
            <w:vAlign w:val="center"/>
          </w:tcPr>
          <w:p w14:paraId="67D48BB8" w14:textId="131F479A" w:rsidR="00274968" w:rsidRPr="00B148F9" w:rsidRDefault="00274968" w:rsidP="00617322">
            <w:pPr>
              <w:jc w:val="left"/>
              <w:rPr>
                <w:rFonts w:cs="Calibri"/>
                <w:b/>
                <w:bCs/>
                <w:color w:val="000000"/>
                <w:lang w:eastAsia="en-GB"/>
              </w:rPr>
            </w:pPr>
            <w:r w:rsidRPr="00B148F9">
              <w:rPr>
                <w:rFonts w:cs="Calibri"/>
                <w:b/>
                <w:bCs/>
                <w:color w:val="000000"/>
                <w:lang w:eastAsia="en-GB"/>
              </w:rPr>
              <w:t>“Temporary Public Investments”</w:t>
            </w:r>
          </w:p>
        </w:tc>
        <w:tc>
          <w:tcPr>
            <w:tcW w:w="6580" w:type="dxa"/>
            <w:tcBorders>
              <w:top w:val="nil"/>
              <w:left w:val="nil"/>
              <w:bottom w:val="nil"/>
              <w:right w:val="nil"/>
            </w:tcBorders>
            <w:shd w:val="clear" w:color="auto" w:fill="auto"/>
            <w:vAlign w:val="center"/>
          </w:tcPr>
          <w:p w14:paraId="6000FA12" w14:textId="1893EA0E" w:rsidR="00274968" w:rsidRPr="00B148F9" w:rsidRDefault="00274968" w:rsidP="00A06B17">
            <w:pPr>
              <w:rPr>
                <w:rFonts w:cs="Calibri"/>
                <w:color w:val="000000"/>
              </w:rPr>
            </w:pPr>
            <w:r w:rsidRPr="00B148F9">
              <w:rPr>
                <w:rFonts w:cs="Calibri"/>
                <w:color w:val="000000"/>
              </w:rPr>
              <w:t xml:space="preserve">Investments made in public companies </w:t>
            </w:r>
            <w:r w:rsidR="00A3234E" w:rsidRPr="00B148F9">
              <w:rPr>
                <w:rFonts w:cs="Calibri"/>
                <w:color w:val="000000"/>
              </w:rPr>
              <w:t>as a part of cash management strategy</w:t>
            </w:r>
            <w:r w:rsidR="005B0510" w:rsidRPr="00B148F9">
              <w:rPr>
                <w:rFonts w:cs="Calibri"/>
                <w:color w:val="000000"/>
              </w:rPr>
              <w:t>;</w:t>
            </w:r>
          </w:p>
        </w:tc>
      </w:tr>
      <w:tr w:rsidR="00A06B17" w:rsidRPr="00B148F9" w14:paraId="3CDA5BF3" w14:textId="77777777" w:rsidTr="00617322">
        <w:trPr>
          <w:trHeight w:val="87"/>
        </w:trPr>
        <w:tc>
          <w:tcPr>
            <w:tcW w:w="2713" w:type="dxa"/>
            <w:tcBorders>
              <w:top w:val="nil"/>
              <w:left w:val="nil"/>
              <w:bottom w:val="nil"/>
              <w:right w:val="nil"/>
            </w:tcBorders>
            <w:shd w:val="clear" w:color="auto" w:fill="auto"/>
            <w:vAlign w:val="center"/>
          </w:tcPr>
          <w:p w14:paraId="1E03A545"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0CE80A28" w14:textId="77777777" w:rsidR="00A06B17" w:rsidRPr="00B148F9" w:rsidRDefault="00A06B17" w:rsidP="00A06B17">
            <w:pPr>
              <w:rPr>
                <w:rFonts w:cs="Calibri"/>
                <w:color w:val="000000"/>
                <w:lang w:eastAsia="en-GB"/>
              </w:rPr>
            </w:pPr>
          </w:p>
        </w:tc>
      </w:tr>
      <w:tr w:rsidR="00A06B17" w:rsidRPr="00B148F9" w14:paraId="6F33340B" w14:textId="77777777" w:rsidTr="00617322">
        <w:trPr>
          <w:trHeight w:val="87"/>
        </w:trPr>
        <w:tc>
          <w:tcPr>
            <w:tcW w:w="2713" w:type="dxa"/>
            <w:tcBorders>
              <w:top w:val="nil"/>
              <w:left w:val="nil"/>
              <w:bottom w:val="nil"/>
              <w:right w:val="nil"/>
            </w:tcBorders>
            <w:shd w:val="clear" w:color="auto" w:fill="auto"/>
            <w:vAlign w:val="center"/>
          </w:tcPr>
          <w:p w14:paraId="1F43496C" w14:textId="743789D3" w:rsidR="00A06B17" w:rsidRPr="00B148F9" w:rsidRDefault="00A06B17" w:rsidP="00A06B17">
            <w:pPr>
              <w:rPr>
                <w:rFonts w:cs="Calibri"/>
                <w:b/>
                <w:bCs/>
                <w:color w:val="000000"/>
                <w:lang w:eastAsia="en-GB"/>
              </w:rPr>
            </w:pPr>
            <w:r w:rsidRPr="00B148F9">
              <w:rPr>
                <w:rFonts w:cs="Calibri"/>
                <w:b/>
                <w:bCs/>
                <w:color w:val="000000"/>
                <w:lang w:eastAsia="en-GB"/>
              </w:rPr>
              <w:t>“Type 1 Diabetes”</w:t>
            </w:r>
            <w:r w:rsidR="00F06068" w:rsidRPr="00B148F9">
              <w:rPr>
                <w:rFonts w:cs="Calibri"/>
                <w:b/>
                <w:bCs/>
                <w:color w:val="000000"/>
                <w:lang w:eastAsia="en-GB"/>
              </w:rPr>
              <w:t xml:space="preserve"> </w:t>
            </w:r>
            <w:r w:rsidR="00F06068" w:rsidRPr="00C60076">
              <w:rPr>
                <w:rFonts w:cs="Calibri"/>
                <w:bCs/>
                <w:color w:val="000000"/>
                <w:lang w:eastAsia="en-GB"/>
              </w:rPr>
              <w:t>or</w:t>
            </w:r>
            <w:r w:rsidR="00F06068" w:rsidRPr="00251CF4">
              <w:rPr>
                <w:rFonts w:cs="Calibri"/>
                <w:b/>
                <w:bCs/>
                <w:color w:val="000000"/>
                <w:lang w:eastAsia="en-GB"/>
              </w:rPr>
              <w:t xml:space="preserve"> “TD1”</w:t>
            </w:r>
          </w:p>
        </w:tc>
        <w:tc>
          <w:tcPr>
            <w:tcW w:w="6580" w:type="dxa"/>
            <w:tcBorders>
              <w:top w:val="nil"/>
              <w:left w:val="nil"/>
              <w:bottom w:val="nil"/>
              <w:right w:val="nil"/>
            </w:tcBorders>
            <w:shd w:val="clear" w:color="auto" w:fill="auto"/>
            <w:vAlign w:val="center"/>
          </w:tcPr>
          <w:p w14:paraId="73647040" w14:textId="09DFD4EF" w:rsidR="00A06B17" w:rsidRPr="00B148F9" w:rsidRDefault="00A06B17" w:rsidP="00A06B17">
            <w:pPr>
              <w:rPr>
                <w:rFonts w:cs="Calibri"/>
                <w:color w:val="000000"/>
                <w:lang w:eastAsia="en-GB"/>
              </w:rPr>
            </w:pPr>
            <w:r w:rsidRPr="00B148F9">
              <w:rPr>
                <w:rFonts w:cs="Calibri"/>
                <w:color w:val="000000"/>
              </w:rPr>
              <w:t>a type of insulin resistance;</w:t>
            </w:r>
          </w:p>
        </w:tc>
      </w:tr>
      <w:tr w:rsidR="00A06B17" w:rsidRPr="00B148F9" w14:paraId="60232C63" w14:textId="77777777" w:rsidTr="00617322">
        <w:trPr>
          <w:trHeight w:val="87"/>
        </w:trPr>
        <w:tc>
          <w:tcPr>
            <w:tcW w:w="2713" w:type="dxa"/>
            <w:tcBorders>
              <w:top w:val="nil"/>
              <w:left w:val="nil"/>
              <w:bottom w:val="nil"/>
              <w:right w:val="nil"/>
            </w:tcBorders>
            <w:shd w:val="clear" w:color="auto" w:fill="auto"/>
            <w:vAlign w:val="center"/>
          </w:tcPr>
          <w:p w14:paraId="302D222E"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4E850525" w14:textId="77777777" w:rsidR="00A06B17" w:rsidRPr="00B148F9" w:rsidRDefault="00A06B17" w:rsidP="00A06B17">
            <w:pPr>
              <w:rPr>
                <w:rFonts w:cs="Calibri"/>
                <w:color w:val="000000"/>
                <w:lang w:eastAsia="en-GB"/>
              </w:rPr>
            </w:pPr>
          </w:p>
        </w:tc>
      </w:tr>
      <w:tr w:rsidR="00A06B17" w:rsidRPr="00B148F9" w14:paraId="2B75B32F" w14:textId="77777777" w:rsidTr="00617322">
        <w:trPr>
          <w:trHeight w:val="87"/>
        </w:trPr>
        <w:tc>
          <w:tcPr>
            <w:tcW w:w="2713" w:type="dxa"/>
            <w:tcBorders>
              <w:top w:val="nil"/>
              <w:left w:val="nil"/>
              <w:bottom w:val="nil"/>
              <w:right w:val="nil"/>
            </w:tcBorders>
            <w:shd w:val="clear" w:color="auto" w:fill="auto"/>
            <w:vAlign w:val="center"/>
          </w:tcPr>
          <w:p w14:paraId="5AE5C13B" w14:textId="0438A3EF" w:rsidR="00A06B17" w:rsidRPr="00B148F9" w:rsidRDefault="00A06B17" w:rsidP="00A06B17">
            <w:pPr>
              <w:rPr>
                <w:rFonts w:cs="Calibri"/>
                <w:b/>
                <w:bCs/>
                <w:color w:val="000000"/>
                <w:lang w:eastAsia="en-GB"/>
              </w:rPr>
            </w:pPr>
            <w:r w:rsidRPr="00B148F9">
              <w:rPr>
                <w:rFonts w:cs="Calibri"/>
                <w:b/>
                <w:bCs/>
                <w:color w:val="000000"/>
                <w:lang w:eastAsia="en-GB"/>
              </w:rPr>
              <w:t>“Total shareholder return”</w:t>
            </w:r>
          </w:p>
        </w:tc>
        <w:tc>
          <w:tcPr>
            <w:tcW w:w="6580" w:type="dxa"/>
            <w:tcBorders>
              <w:top w:val="nil"/>
              <w:left w:val="nil"/>
              <w:bottom w:val="nil"/>
              <w:right w:val="nil"/>
            </w:tcBorders>
            <w:shd w:val="clear" w:color="auto" w:fill="auto"/>
            <w:vAlign w:val="center"/>
          </w:tcPr>
          <w:p w14:paraId="3B32EB32" w14:textId="65B196F7" w:rsidR="00A06B17" w:rsidRPr="00B148F9" w:rsidRDefault="00A06B17" w:rsidP="00A06B17">
            <w:pPr>
              <w:rPr>
                <w:rFonts w:cs="Calibri"/>
                <w:color w:val="000000"/>
                <w:lang w:eastAsia="en-GB"/>
              </w:rPr>
            </w:pPr>
            <w:r w:rsidRPr="00B148F9">
              <w:rPr>
                <w:rFonts w:cs="Calibri"/>
                <w:color w:val="000000"/>
              </w:rPr>
              <w:t xml:space="preserve">a measure of </w:t>
            </w:r>
            <w:r w:rsidR="001E61D7" w:rsidRPr="00B148F9">
              <w:rPr>
                <w:rFonts w:cs="Calibri"/>
                <w:color w:val="000000"/>
              </w:rPr>
              <w:t>shareholders’ investment in a company with reference to movements in share price and dividends paid over time</w:t>
            </w:r>
            <w:r w:rsidRPr="00B148F9">
              <w:rPr>
                <w:rFonts w:cs="Calibri"/>
                <w:color w:val="000000"/>
              </w:rPr>
              <w:t>;</w:t>
            </w:r>
          </w:p>
        </w:tc>
      </w:tr>
      <w:tr w:rsidR="00A06B17" w:rsidRPr="00B148F9" w14:paraId="632BCD37" w14:textId="77777777" w:rsidTr="00617322">
        <w:trPr>
          <w:trHeight w:val="87"/>
        </w:trPr>
        <w:tc>
          <w:tcPr>
            <w:tcW w:w="2713" w:type="dxa"/>
            <w:tcBorders>
              <w:top w:val="nil"/>
              <w:left w:val="nil"/>
              <w:bottom w:val="nil"/>
              <w:right w:val="nil"/>
            </w:tcBorders>
            <w:shd w:val="clear" w:color="auto" w:fill="auto"/>
            <w:vAlign w:val="center"/>
          </w:tcPr>
          <w:p w14:paraId="05F6655F"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589B918E" w14:textId="77777777" w:rsidR="00A06B17" w:rsidRPr="00B148F9" w:rsidRDefault="00A06B17" w:rsidP="00A06B17">
            <w:pPr>
              <w:rPr>
                <w:rFonts w:cs="Calibri"/>
                <w:color w:val="000000"/>
                <w:lang w:eastAsia="en-GB"/>
              </w:rPr>
            </w:pPr>
          </w:p>
        </w:tc>
      </w:tr>
      <w:tr w:rsidR="00A06B17" w:rsidRPr="00B148F9" w14:paraId="00DBFA6F" w14:textId="77777777" w:rsidTr="00617322">
        <w:trPr>
          <w:trHeight w:val="300"/>
        </w:trPr>
        <w:tc>
          <w:tcPr>
            <w:tcW w:w="2713" w:type="dxa"/>
            <w:tcBorders>
              <w:top w:val="nil"/>
              <w:left w:val="nil"/>
              <w:bottom w:val="nil"/>
              <w:right w:val="nil"/>
            </w:tcBorders>
            <w:shd w:val="clear" w:color="auto" w:fill="auto"/>
            <w:vAlign w:val="center"/>
          </w:tcPr>
          <w:p w14:paraId="19B4BD5B" w14:textId="77777777" w:rsidR="00A06B17" w:rsidRPr="00B148F9" w:rsidRDefault="00A06B17" w:rsidP="00A06B17">
            <w:pPr>
              <w:rPr>
                <w:rFonts w:cs="Calibri"/>
                <w:b/>
                <w:bCs/>
                <w:color w:val="000000"/>
                <w:lang w:eastAsia="en-GB"/>
              </w:rPr>
            </w:pPr>
            <w:r w:rsidRPr="00B148F9">
              <w:rPr>
                <w:rFonts w:cs="Calibri"/>
                <w:b/>
                <w:bCs/>
                <w:color w:val="000000"/>
                <w:lang w:eastAsia="en-GB"/>
              </w:rPr>
              <w:t>“UK”</w:t>
            </w:r>
          </w:p>
        </w:tc>
        <w:tc>
          <w:tcPr>
            <w:tcW w:w="6580" w:type="dxa"/>
            <w:tcBorders>
              <w:top w:val="nil"/>
              <w:left w:val="nil"/>
              <w:bottom w:val="nil"/>
              <w:right w:val="nil"/>
            </w:tcBorders>
            <w:shd w:val="clear" w:color="auto" w:fill="auto"/>
            <w:vAlign w:val="center"/>
          </w:tcPr>
          <w:p w14:paraId="45D1133E" w14:textId="77777777" w:rsidR="00A06B17" w:rsidRPr="00B148F9" w:rsidRDefault="00A06B17" w:rsidP="00A06B17">
            <w:pPr>
              <w:rPr>
                <w:rFonts w:cs="Calibri"/>
                <w:color w:val="000000"/>
                <w:lang w:eastAsia="en-GB"/>
              </w:rPr>
            </w:pPr>
            <w:r w:rsidRPr="00B148F9">
              <w:rPr>
                <w:rFonts w:cs="Calibri"/>
                <w:color w:val="000000"/>
                <w:lang w:eastAsia="en-GB"/>
              </w:rPr>
              <w:t>United Kingdom;</w:t>
            </w:r>
          </w:p>
        </w:tc>
      </w:tr>
      <w:tr w:rsidR="00A06B17" w:rsidRPr="00B148F9" w14:paraId="13A25A19" w14:textId="77777777" w:rsidTr="00617322">
        <w:trPr>
          <w:trHeight w:val="223"/>
        </w:trPr>
        <w:tc>
          <w:tcPr>
            <w:tcW w:w="2713" w:type="dxa"/>
            <w:tcBorders>
              <w:top w:val="nil"/>
              <w:left w:val="nil"/>
              <w:bottom w:val="nil"/>
              <w:right w:val="nil"/>
            </w:tcBorders>
            <w:shd w:val="clear" w:color="auto" w:fill="auto"/>
            <w:vAlign w:val="center"/>
          </w:tcPr>
          <w:p w14:paraId="12231DB0"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6836A69A" w14:textId="77777777" w:rsidR="00A06B17" w:rsidRPr="00B148F9" w:rsidRDefault="00A06B17" w:rsidP="00A06B17">
            <w:pPr>
              <w:rPr>
                <w:rFonts w:cs="Calibri"/>
                <w:color w:val="000000"/>
                <w:lang w:eastAsia="en-GB"/>
              </w:rPr>
            </w:pPr>
          </w:p>
        </w:tc>
      </w:tr>
      <w:tr w:rsidR="00A06B17" w:rsidRPr="00B148F9" w14:paraId="68A9F399" w14:textId="77777777" w:rsidTr="00617322">
        <w:trPr>
          <w:trHeight w:val="570"/>
        </w:trPr>
        <w:tc>
          <w:tcPr>
            <w:tcW w:w="2713" w:type="dxa"/>
            <w:tcBorders>
              <w:top w:val="nil"/>
              <w:left w:val="nil"/>
              <w:bottom w:val="nil"/>
              <w:right w:val="nil"/>
            </w:tcBorders>
            <w:shd w:val="clear" w:color="auto" w:fill="auto"/>
            <w:vAlign w:val="center"/>
            <w:hideMark/>
          </w:tcPr>
          <w:p w14:paraId="56671B57" w14:textId="77777777" w:rsidR="00A06B17" w:rsidRPr="00B148F9" w:rsidRDefault="00A06B17" w:rsidP="00A06B17">
            <w:pPr>
              <w:rPr>
                <w:rFonts w:cs="Calibri"/>
                <w:b/>
                <w:bCs/>
                <w:color w:val="000000"/>
                <w:lang w:eastAsia="en-GB"/>
              </w:rPr>
            </w:pPr>
            <w:r w:rsidRPr="00B148F9">
              <w:rPr>
                <w:rFonts w:cs="Calibri"/>
                <w:b/>
                <w:bCs/>
                <w:color w:val="000000"/>
                <w:lang w:eastAsia="en-GB"/>
              </w:rPr>
              <w:t>"UK Code"</w:t>
            </w:r>
          </w:p>
        </w:tc>
        <w:tc>
          <w:tcPr>
            <w:tcW w:w="6580" w:type="dxa"/>
            <w:tcBorders>
              <w:top w:val="nil"/>
              <w:left w:val="nil"/>
              <w:bottom w:val="nil"/>
              <w:right w:val="nil"/>
            </w:tcBorders>
            <w:shd w:val="clear" w:color="auto" w:fill="auto"/>
            <w:vAlign w:val="center"/>
            <w:hideMark/>
          </w:tcPr>
          <w:p w14:paraId="4C90C387" w14:textId="42F021F7" w:rsidR="00A06B17" w:rsidRPr="00B148F9" w:rsidRDefault="00A06B17" w:rsidP="00A06B17">
            <w:pPr>
              <w:rPr>
                <w:rFonts w:cs="Calibri"/>
                <w:color w:val="000000"/>
                <w:lang w:eastAsia="en-GB"/>
              </w:rPr>
            </w:pPr>
            <w:r w:rsidRPr="00B148F9">
              <w:rPr>
                <w:rFonts w:cs="Calibri"/>
                <w:color w:val="000000"/>
                <w:lang w:eastAsia="en-GB"/>
              </w:rPr>
              <w:t>the UK Corporate Governance Code 2018 published by the Financial Reporting Council in July 2018;</w:t>
            </w:r>
          </w:p>
        </w:tc>
      </w:tr>
      <w:tr w:rsidR="00A06B17" w:rsidRPr="00B148F9" w14:paraId="78C1ABE5" w14:textId="77777777" w:rsidTr="00617322">
        <w:trPr>
          <w:trHeight w:val="249"/>
        </w:trPr>
        <w:tc>
          <w:tcPr>
            <w:tcW w:w="2713" w:type="dxa"/>
            <w:tcBorders>
              <w:top w:val="nil"/>
              <w:left w:val="nil"/>
              <w:bottom w:val="nil"/>
              <w:right w:val="nil"/>
            </w:tcBorders>
            <w:shd w:val="clear" w:color="auto" w:fill="auto"/>
            <w:vAlign w:val="center"/>
          </w:tcPr>
          <w:p w14:paraId="5AF32174"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3C57360F" w14:textId="77777777" w:rsidR="00A06B17" w:rsidRPr="00B148F9" w:rsidRDefault="00A06B17" w:rsidP="00A06B17">
            <w:pPr>
              <w:rPr>
                <w:rFonts w:cs="Calibri"/>
                <w:b/>
                <w:bCs/>
                <w:color w:val="000000"/>
                <w:lang w:eastAsia="en-GB"/>
              </w:rPr>
            </w:pPr>
          </w:p>
        </w:tc>
      </w:tr>
      <w:tr w:rsidR="00A06B17" w:rsidRPr="00B148F9" w14:paraId="4E3D69A6" w14:textId="77777777" w:rsidTr="00617322">
        <w:trPr>
          <w:trHeight w:val="249"/>
        </w:trPr>
        <w:tc>
          <w:tcPr>
            <w:tcW w:w="2713" w:type="dxa"/>
            <w:tcBorders>
              <w:top w:val="nil"/>
              <w:left w:val="nil"/>
              <w:bottom w:val="nil"/>
              <w:right w:val="nil"/>
            </w:tcBorders>
            <w:shd w:val="clear" w:color="auto" w:fill="auto"/>
            <w:vAlign w:val="center"/>
          </w:tcPr>
          <w:p w14:paraId="5F6B9D9A" w14:textId="7E5312A6" w:rsidR="00A06B17" w:rsidRPr="00B148F9" w:rsidRDefault="00A06B17" w:rsidP="00A06B17">
            <w:pPr>
              <w:rPr>
                <w:rFonts w:cs="Calibri"/>
                <w:b/>
                <w:bCs/>
                <w:color w:val="000000"/>
                <w:lang w:eastAsia="en-GB"/>
              </w:rPr>
            </w:pPr>
            <w:r w:rsidRPr="00B148F9">
              <w:rPr>
                <w:rFonts w:cs="Calibri"/>
                <w:b/>
                <w:bCs/>
                <w:color w:val="000000"/>
                <w:lang w:eastAsia="en-GB"/>
              </w:rPr>
              <w:t>“Ulcerative Colitis”</w:t>
            </w:r>
          </w:p>
        </w:tc>
        <w:tc>
          <w:tcPr>
            <w:tcW w:w="6580" w:type="dxa"/>
            <w:tcBorders>
              <w:top w:val="nil"/>
              <w:left w:val="nil"/>
              <w:bottom w:val="nil"/>
              <w:right w:val="nil"/>
            </w:tcBorders>
            <w:shd w:val="clear" w:color="auto" w:fill="auto"/>
            <w:vAlign w:val="center"/>
          </w:tcPr>
          <w:p w14:paraId="3E89F9B5" w14:textId="08FB3266" w:rsidR="00A06B17" w:rsidRPr="00B148F9" w:rsidRDefault="00A06B17" w:rsidP="00A06B17">
            <w:pPr>
              <w:rPr>
                <w:rFonts w:cs="Calibri"/>
                <w:b/>
                <w:bCs/>
                <w:color w:val="000000"/>
                <w:lang w:eastAsia="en-GB"/>
              </w:rPr>
            </w:pPr>
            <w:r w:rsidRPr="00B148F9">
              <w:rPr>
                <w:rFonts w:cs="Calibri"/>
                <w:color w:val="000000"/>
              </w:rPr>
              <w:t>an inflammatory bowel disease that causes sores in the digestive tract;</w:t>
            </w:r>
          </w:p>
        </w:tc>
      </w:tr>
      <w:tr w:rsidR="00A06B17" w:rsidRPr="00B148F9" w14:paraId="7BB45FD2" w14:textId="77777777" w:rsidTr="00617322">
        <w:trPr>
          <w:trHeight w:val="249"/>
        </w:trPr>
        <w:tc>
          <w:tcPr>
            <w:tcW w:w="2713" w:type="dxa"/>
            <w:tcBorders>
              <w:top w:val="nil"/>
              <w:left w:val="nil"/>
              <w:bottom w:val="nil"/>
              <w:right w:val="nil"/>
            </w:tcBorders>
            <w:shd w:val="clear" w:color="auto" w:fill="auto"/>
            <w:vAlign w:val="center"/>
          </w:tcPr>
          <w:p w14:paraId="7738D681"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5A8A037B" w14:textId="77777777" w:rsidR="00A06B17" w:rsidRPr="00B148F9" w:rsidRDefault="00A06B17" w:rsidP="00A06B17">
            <w:pPr>
              <w:rPr>
                <w:rFonts w:cs="Calibri"/>
                <w:b/>
                <w:bCs/>
                <w:color w:val="000000"/>
                <w:lang w:eastAsia="en-GB"/>
              </w:rPr>
            </w:pPr>
          </w:p>
        </w:tc>
      </w:tr>
      <w:tr w:rsidR="00A06B17" w:rsidRPr="00B148F9" w14:paraId="1DDBC0F8" w14:textId="77777777" w:rsidTr="00617322">
        <w:trPr>
          <w:trHeight w:val="300"/>
        </w:trPr>
        <w:tc>
          <w:tcPr>
            <w:tcW w:w="2713" w:type="dxa"/>
            <w:tcBorders>
              <w:top w:val="nil"/>
              <w:left w:val="nil"/>
              <w:bottom w:val="nil"/>
              <w:right w:val="nil"/>
            </w:tcBorders>
            <w:shd w:val="clear" w:color="auto" w:fill="auto"/>
            <w:vAlign w:val="center"/>
          </w:tcPr>
          <w:p w14:paraId="38EC7737" w14:textId="77777777" w:rsidR="00A06B17" w:rsidRPr="00B148F9" w:rsidRDefault="00A06B17" w:rsidP="00A06B17">
            <w:pPr>
              <w:rPr>
                <w:rFonts w:cs="Calibri"/>
                <w:b/>
                <w:bCs/>
                <w:color w:val="000000"/>
                <w:lang w:eastAsia="en-GB"/>
              </w:rPr>
            </w:pPr>
            <w:r w:rsidRPr="00B148F9">
              <w:rPr>
                <w:rFonts w:cs="Calibri"/>
                <w:b/>
                <w:bCs/>
                <w:color w:val="000000"/>
                <w:lang w:eastAsia="en-GB"/>
              </w:rPr>
              <w:t>“US”</w:t>
            </w:r>
          </w:p>
        </w:tc>
        <w:tc>
          <w:tcPr>
            <w:tcW w:w="6580" w:type="dxa"/>
            <w:tcBorders>
              <w:top w:val="nil"/>
              <w:left w:val="nil"/>
              <w:bottom w:val="nil"/>
              <w:right w:val="nil"/>
            </w:tcBorders>
            <w:shd w:val="clear" w:color="auto" w:fill="auto"/>
            <w:vAlign w:val="center"/>
          </w:tcPr>
          <w:p w14:paraId="62A638BE" w14:textId="6D55DD20" w:rsidR="00A06B17" w:rsidRPr="00B148F9" w:rsidRDefault="00A06B17" w:rsidP="00A06B17">
            <w:pPr>
              <w:rPr>
                <w:rFonts w:cs="Calibri"/>
                <w:color w:val="000000"/>
                <w:lang w:eastAsia="en-GB"/>
              </w:rPr>
            </w:pPr>
            <w:r w:rsidRPr="00B148F9">
              <w:rPr>
                <w:rFonts w:cs="Calibri"/>
                <w:color w:val="000000"/>
                <w:lang w:eastAsia="en-GB"/>
              </w:rPr>
              <w:t>the United States of America;</w:t>
            </w:r>
          </w:p>
        </w:tc>
      </w:tr>
      <w:tr w:rsidR="00A06B17" w:rsidRPr="00B148F9" w14:paraId="66C6E97C" w14:textId="77777777" w:rsidTr="00617322">
        <w:trPr>
          <w:trHeight w:val="300"/>
        </w:trPr>
        <w:tc>
          <w:tcPr>
            <w:tcW w:w="2713" w:type="dxa"/>
            <w:tcBorders>
              <w:top w:val="nil"/>
              <w:left w:val="nil"/>
              <w:bottom w:val="nil"/>
              <w:right w:val="nil"/>
            </w:tcBorders>
            <w:shd w:val="clear" w:color="auto" w:fill="auto"/>
            <w:vAlign w:val="center"/>
          </w:tcPr>
          <w:p w14:paraId="12D297A3"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34100CC6" w14:textId="77777777" w:rsidR="00A06B17" w:rsidRPr="00B148F9" w:rsidRDefault="00A06B17" w:rsidP="00A06B17">
            <w:pPr>
              <w:rPr>
                <w:rFonts w:cs="Calibri"/>
                <w:color w:val="000000"/>
                <w:lang w:eastAsia="en-GB"/>
              </w:rPr>
            </w:pPr>
          </w:p>
        </w:tc>
      </w:tr>
      <w:tr w:rsidR="00A06B17" w:rsidRPr="00B148F9" w14:paraId="5C0374A7" w14:textId="77777777" w:rsidTr="00617322">
        <w:trPr>
          <w:trHeight w:val="300"/>
        </w:trPr>
        <w:tc>
          <w:tcPr>
            <w:tcW w:w="2713" w:type="dxa"/>
            <w:tcBorders>
              <w:top w:val="nil"/>
              <w:left w:val="nil"/>
              <w:bottom w:val="nil"/>
              <w:right w:val="nil"/>
            </w:tcBorders>
            <w:shd w:val="clear" w:color="auto" w:fill="auto"/>
            <w:vAlign w:val="center"/>
          </w:tcPr>
          <w:p w14:paraId="04FE3B82" w14:textId="7C756DC4" w:rsidR="00A06B17" w:rsidRPr="00B148F9" w:rsidRDefault="00A06B17" w:rsidP="00A06B17">
            <w:pPr>
              <w:rPr>
                <w:rFonts w:cs="Calibri"/>
                <w:b/>
                <w:bCs/>
                <w:color w:val="000000"/>
                <w:lang w:eastAsia="en-GB"/>
              </w:rPr>
            </w:pPr>
            <w:r w:rsidRPr="00B148F9">
              <w:rPr>
                <w:rFonts w:cs="Calibri"/>
                <w:b/>
                <w:bCs/>
                <w:color w:val="000000"/>
                <w:lang w:eastAsia="en-GB"/>
              </w:rPr>
              <w:t>“US GAAP”</w:t>
            </w:r>
          </w:p>
        </w:tc>
        <w:tc>
          <w:tcPr>
            <w:tcW w:w="6580" w:type="dxa"/>
            <w:tcBorders>
              <w:top w:val="nil"/>
              <w:left w:val="nil"/>
              <w:bottom w:val="nil"/>
              <w:right w:val="nil"/>
            </w:tcBorders>
            <w:shd w:val="clear" w:color="auto" w:fill="auto"/>
            <w:vAlign w:val="center"/>
          </w:tcPr>
          <w:p w14:paraId="283D8AD2" w14:textId="79FC299E" w:rsidR="00A06B17" w:rsidRPr="00B148F9" w:rsidRDefault="00A06B17" w:rsidP="00B746FC">
            <w:pPr>
              <w:rPr>
                <w:rFonts w:cs="Calibri"/>
                <w:color w:val="000000"/>
                <w:lang w:eastAsia="en-GB"/>
              </w:rPr>
            </w:pPr>
            <w:r w:rsidRPr="00B148F9">
              <w:rPr>
                <w:rFonts w:cs="Calibri"/>
                <w:color w:val="000000"/>
                <w:lang w:eastAsia="en-GB"/>
              </w:rPr>
              <w:t>US Generally Accepted Accounting Principles;</w:t>
            </w:r>
          </w:p>
        </w:tc>
      </w:tr>
      <w:tr w:rsidR="00A06B17" w:rsidRPr="00B148F9" w14:paraId="6F2FEB9A" w14:textId="77777777" w:rsidTr="00617322">
        <w:trPr>
          <w:trHeight w:val="300"/>
        </w:trPr>
        <w:tc>
          <w:tcPr>
            <w:tcW w:w="2713" w:type="dxa"/>
            <w:tcBorders>
              <w:top w:val="nil"/>
              <w:left w:val="nil"/>
              <w:bottom w:val="nil"/>
              <w:right w:val="nil"/>
            </w:tcBorders>
            <w:shd w:val="clear" w:color="auto" w:fill="auto"/>
            <w:vAlign w:val="center"/>
          </w:tcPr>
          <w:p w14:paraId="458245C2" w14:textId="77777777" w:rsidR="00A06B17" w:rsidRPr="00B148F9" w:rsidRDefault="00A06B17"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31BB0808" w14:textId="77777777" w:rsidR="00A06B17" w:rsidRPr="00B148F9" w:rsidRDefault="00A06B17" w:rsidP="00A06B17">
            <w:pPr>
              <w:rPr>
                <w:rFonts w:cs="Calibri"/>
                <w:color w:val="000000"/>
                <w:lang w:eastAsia="en-GB"/>
              </w:rPr>
            </w:pPr>
          </w:p>
        </w:tc>
      </w:tr>
      <w:tr w:rsidR="00A06B17" w:rsidRPr="00B148F9" w14:paraId="72E9BC1A" w14:textId="77777777" w:rsidTr="00617322">
        <w:trPr>
          <w:trHeight w:val="300"/>
        </w:trPr>
        <w:tc>
          <w:tcPr>
            <w:tcW w:w="2713" w:type="dxa"/>
            <w:tcBorders>
              <w:top w:val="nil"/>
              <w:left w:val="nil"/>
              <w:bottom w:val="nil"/>
              <w:right w:val="nil"/>
            </w:tcBorders>
            <w:shd w:val="clear" w:color="auto" w:fill="auto"/>
            <w:vAlign w:val="center"/>
          </w:tcPr>
          <w:p w14:paraId="06C50975" w14:textId="1BF29F63" w:rsidR="00A06B17" w:rsidRPr="00B148F9" w:rsidRDefault="00A06B17" w:rsidP="00A06B17">
            <w:pPr>
              <w:rPr>
                <w:rFonts w:cs="Calibri"/>
                <w:b/>
                <w:bCs/>
                <w:color w:val="000000"/>
                <w:lang w:eastAsia="en-GB"/>
              </w:rPr>
            </w:pPr>
            <w:r w:rsidRPr="00B148F9">
              <w:rPr>
                <w:rFonts w:cs="Calibri"/>
                <w:b/>
                <w:bCs/>
                <w:color w:val="000000"/>
                <w:lang w:eastAsia="en-GB"/>
              </w:rPr>
              <w:t>“Uveal melanoma”</w:t>
            </w:r>
          </w:p>
        </w:tc>
        <w:tc>
          <w:tcPr>
            <w:tcW w:w="6580" w:type="dxa"/>
            <w:tcBorders>
              <w:top w:val="nil"/>
              <w:left w:val="nil"/>
              <w:bottom w:val="nil"/>
              <w:right w:val="nil"/>
            </w:tcBorders>
            <w:shd w:val="clear" w:color="auto" w:fill="auto"/>
            <w:vAlign w:val="center"/>
          </w:tcPr>
          <w:p w14:paraId="50088BD8" w14:textId="1768C46A" w:rsidR="00A06B17" w:rsidRPr="00B148F9" w:rsidRDefault="00A06B17" w:rsidP="00A06B17">
            <w:pPr>
              <w:rPr>
                <w:rFonts w:cs="Calibri"/>
                <w:color w:val="000000"/>
                <w:lang w:eastAsia="en-GB"/>
              </w:rPr>
            </w:pPr>
            <w:r w:rsidRPr="00B148F9">
              <w:rPr>
                <w:rFonts w:cs="Calibri"/>
                <w:color w:val="000000"/>
              </w:rPr>
              <w:t>a type cancer in the eye</w:t>
            </w:r>
            <w:r w:rsidR="005B0510" w:rsidRPr="00B148F9">
              <w:rPr>
                <w:rFonts w:cs="Calibri"/>
                <w:color w:val="000000"/>
              </w:rPr>
              <w:t>;</w:t>
            </w:r>
          </w:p>
        </w:tc>
      </w:tr>
      <w:tr w:rsidR="00FE4734" w:rsidRPr="00B148F9" w14:paraId="3483D341" w14:textId="77777777" w:rsidTr="00617322">
        <w:trPr>
          <w:trHeight w:val="300"/>
        </w:trPr>
        <w:tc>
          <w:tcPr>
            <w:tcW w:w="2713" w:type="dxa"/>
            <w:tcBorders>
              <w:top w:val="nil"/>
              <w:left w:val="nil"/>
              <w:bottom w:val="nil"/>
              <w:right w:val="nil"/>
            </w:tcBorders>
            <w:shd w:val="clear" w:color="auto" w:fill="auto"/>
            <w:vAlign w:val="center"/>
          </w:tcPr>
          <w:p w14:paraId="6393500A" w14:textId="77777777" w:rsidR="00FE4734" w:rsidRPr="00B148F9" w:rsidRDefault="00FE4734" w:rsidP="00A06B17">
            <w:pPr>
              <w:rPr>
                <w:rFonts w:cs="Calibri"/>
                <w:b/>
                <w:bCs/>
                <w:color w:val="000000"/>
                <w:lang w:eastAsia="en-GB"/>
              </w:rPr>
            </w:pPr>
          </w:p>
        </w:tc>
        <w:tc>
          <w:tcPr>
            <w:tcW w:w="6580" w:type="dxa"/>
            <w:tcBorders>
              <w:top w:val="nil"/>
              <w:left w:val="nil"/>
              <w:bottom w:val="nil"/>
              <w:right w:val="nil"/>
            </w:tcBorders>
            <w:shd w:val="clear" w:color="auto" w:fill="auto"/>
            <w:vAlign w:val="center"/>
          </w:tcPr>
          <w:p w14:paraId="25727F21" w14:textId="77777777" w:rsidR="00FE4734" w:rsidRPr="00B148F9" w:rsidRDefault="00FE4734" w:rsidP="00A06B17">
            <w:pPr>
              <w:rPr>
                <w:rFonts w:cs="Calibri"/>
                <w:color w:val="000000"/>
              </w:rPr>
            </w:pPr>
          </w:p>
        </w:tc>
      </w:tr>
      <w:tr w:rsidR="00AC6CC3" w:rsidRPr="00B148F9" w14:paraId="545C31CB" w14:textId="77777777" w:rsidTr="00617322">
        <w:trPr>
          <w:trHeight w:val="300"/>
        </w:trPr>
        <w:tc>
          <w:tcPr>
            <w:tcW w:w="2713" w:type="dxa"/>
            <w:tcBorders>
              <w:top w:val="nil"/>
              <w:left w:val="nil"/>
              <w:bottom w:val="nil"/>
              <w:right w:val="nil"/>
            </w:tcBorders>
            <w:shd w:val="clear" w:color="auto" w:fill="auto"/>
            <w:vAlign w:val="center"/>
          </w:tcPr>
          <w:p w14:paraId="669F9C1E" w14:textId="1E41C958" w:rsidR="00AC6CC3" w:rsidRPr="00B148F9" w:rsidRDefault="008D5138" w:rsidP="00A06B17">
            <w:pPr>
              <w:rPr>
                <w:rFonts w:cs="Calibri"/>
                <w:b/>
                <w:bCs/>
                <w:color w:val="000000"/>
                <w:lang w:eastAsia="en-GB"/>
              </w:rPr>
            </w:pPr>
            <w:r w:rsidRPr="00B148F9">
              <w:rPr>
                <w:rFonts w:cs="Calibri"/>
                <w:b/>
                <w:bCs/>
                <w:color w:val="000000"/>
                <w:lang w:eastAsia="en-GB"/>
              </w:rPr>
              <w:t>“</w:t>
            </w:r>
            <w:r w:rsidR="00AC6CC3" w:rsidRPr="00B148F9">
              <w:rPr>
                <w:rFonts w:cs="Calibri"/>
                <w:b/>
                <w:bCs/>
                <w:color w:val="000000"/>
                <w:lang w:eastAsia="en-GB"/>
              </w:rPr>
              <w:t>XIRR</w:t>
            </w:r>
            <w:r w:rsidRPr="00B148F9">
              <w:rPr>
                <w:rFonts w:cs="Calibri"/>
                <w:b/>
                <w:bCs/>
                <w:color w:val="000000"/>
                <w:lang w:eastAsia="en-GB"/>
              </w:rPr>
              <w:t>”</w:t>
            </w:r>
          </w:p>
        </w:tc>
        <w:tc>
          <w:tcPr>
            <w:tcW w:w="6580" w:type="dxa"/>
            <w:tcBorders>
              <w:top w:val="nil"/>
              <w:left w:val="nil"/>
              <w:bottom w:val="nil"/>
              <w:right w:val="nil"/>
            </w:tcBorders>
            <w:shd w:val="clear" w:color="auto" w:fill="auto"/>
            <w:vAlign w:val="center"/>
          </w:tcPr>
          <w:p w14:paraId="14351B12" w14:textId="56D2E549" w:rsidR="00AC6CC3" w:rsidRPr="00B148F9" w:rsidRDefault="00AC6CC3" w:rsidP="00A06B17">
            <w:pPr>
              <w:rPr>
                <w:rFonts w:cs="Calibri"/>
                <w:color w:val="000000"/>
              </w:rPr>
            </w:pPr>
            <w:r w:rsidRPr="00B148F9">
              <w:rPr>
                <w:rFonts w:cs="Calibri"/>
                <w:color w:val="000000"/>
              </w:rPr>
              <w:t>An internal rate of return calculated using irregular time intervals.</w:t>
            </w:r>
          </w:p>
        </w:tc>
      </w:tr>
    </w:tbl>
    <w:p w14:paraId="0884669D" w14:textId="07D6179E" w:rsidR="00FB130F" w:rsidRPr="00B148F9" w:rsidRDefault="00FB130F" w:rsidP="00FB130F">
      <w:pPr>
        <w:pStyle w:val="Title"/>
        <w:spacing w:line="240" w:lineRule="auto"/>
        <w:jc w:val="left"/>
        <w:rPr>
          <w:rFonts w:ascii="Century Gothic" w:hAnsi="Century Gothic"/>
          <w:sz w:val="20"/>
          <w:szCs w:val="20"/>
        </w:rPr>
      </w:pPr>
    </w:p>
    <w:p w14:paraId="438E3C49" w14:textId="77777777" w:rsidR="009E4CA7" w:rsidRDefault="009E4CA7" w:rsidP="00FB130F">
      <w:pPr>
        <w:pStyle w:val="Title"/>
        <w:spacing w:line="240" w:lineRule="auto"/>
        <w:jc w:val="left"/>
        <w:rPr>
          <w:rFonts w:ascii="Century Gothic" w:hAnsi="Century Gothic"/>
          <w:b/>
          <w:sz w:val="20"/>
          <w:szCs w:val="20"/>
        </w:rPr>
      </w:pPr>
    </w:p>
    <w:p w14:paraId="77498CEF" w14:textId="738B56CF" w:rsidR="000B5B71" w:rsidRPr="00C60076" w:rsidRDefault="0069634F" w:rsidP="00FB130F">
      <w:pPr>
        <w:pStyle w:val="Title"/>
        <w:spacing w:line="240" w:lineRule="auto"/>
        <w:jc w:val="left"/>
        <w:rPr>
          <w:rFonts w:ascii="Century Gothic" w:hAnsi="Century Gothic"/>
          <w:b/>
          <w:sz w:val="20"/>
          <w:szCs w:val="20"/>
          <w:vertAlign w:val="superscript"/>
        </w:rPr>
      </w:pPr>
      <w:r w:rsidRPr="00B148F9">
        <w:rPr>
          <w:rFonts w:ascii="Century Gothic" w:hAnsi="Century Gothic"/>
          <w:b/>
          <w:sz w:val="20"/>
          <w:szCs w:val="20"/>
        </w:rPr>
        <w:t xml:space="preserve">Alternative Performance </w:t>
      </w:r>
      <w:r w:rsidR="00DF1E64" w:rsidRPr="00B148F9">
        <w:rPr>
          <w:rFonts w:ascii="Century Gothic" w:hAnsi="Century Gothic"/>
          <w:b/>
          <w:sz w:val="20"/>
          <w:szCs w:val="20"/>
        </w:rPr>
        <w:t>Measures</w:t>
      </w:r>
      <w:r w:rsidR="004451C2" w:rsidRPr="00B148F9">
        <w:rPr>
          <w:rFonts w:ascii="Century Gothic" w:hAnsi="Century Gothic"/>
          <w:b/>
          <w:sz w:val="20"/>
          <w:szCs w:val="20"/>
        </w:rPr>
        <w:t xml:space="preserve"> </w:t>
      </w:r>
      <w:r w:rsidR="004451C2" w:rsidRPr="00B148F9">
        <w:rPr>
          <w:rFonts w:ascii="Century Gothic" w:hAnsi="Century Gothic"/>
          <w:b/>
          <w:sz w:val="20"/>
          <w:szCs w:val="20"/>
          <w:vertAlign w:val="superscript"/>
        </w:rPr>
        <w:t>unaudited</w:t>
      </w:r>
    </w:p>
    <w:p w14:paraId="07018C41" w14:textId="616E4020" w:rsidR="0069634F" w:rsidRPr="00251CF4" w:rsidRDefault="0069634F" w:rsidP="00FB130F">
      <w:pPr>
        <w:pStyle w:val="Title"/>
        <w:spacing w:line="240" w:lineRule="auto"/>
        <w:jc w:val="left"/>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1555"/>
        <w:gridCol w:w="2409"/>
        <w:gridCol w:w="2268"/>
        <w:gridCol w:w="2784"/>
      </w:tblGrid>
      <w:tr w:rsidR="0069634F" w:rsidRPr="00B148F9" w14:paraId="4C7AEB07" w14:textId="77777777" w:rsidTr="00A23418">
        <w:tc>
          <w:tcPr>
            <w:tcW w:w="1555" w:type="dxa"/>
          </w:tcPr>
          <w:p w14:paraId="74DF9DEE" w14:textId="376B3942" w:rsidR="0069634F" w:rsidRPr="00B148F9" w:rsidRDefault="0069634F" w:rsidP="00FB130F">
            <w:pPr>
              <w:pStyle w:val="Title"/>
              <w:spacing w:line="240" w:lineRule="auto"/>
              <w:jc w:val="left"/>
              <w:rPr>
                <w:rFonts w:ascii="Century Gothic" w:hAnsi="Century Gothic"/>
                <w:b/>
                <w:sz w:val="20"/>
                <w:szCs w:val="20"/>
              </w:rPr>
            </w:pPr>
            <w:r w:rsidRPr="00B148F9">
              <w:rPr>
                <w:rFonts w:ascii="Century Gothic" w:hAnsi="Century Gothic"/>
                <w:b/>
                <w:sz w:val="20"/>
                <w:szCs w:val="20"/>
              </w:rPr>
              <w:t>APM</w:t>
            </w:r>
          </w:p>
        </w:tc>
        <w:tc>
          <w:tcPr>
            <w:tcW w:w="2409" w:type="dxa"/>
          </w:tcPr>
          <w:p w14:paraId="41BAA0DB" w14:textId="0E89A0AF" w:rsidR="0069634F" w:rsidRPr="00B148F9" w:rsidRDefault="0069634F" w:rsidP="00FB130F">
            <w:pPr>
              <w:pStyle w:val="Title"/>
              <w:spacing w:line="240" w:lineRule="auto"/>
              <w:jc w:val="left"/>
              <w:rPr>
                <w:rFonts w:ascii="Century Gothic" w:hAnsi="Century Gothic"/>
                <w:b/>
                <w:sz w:val="20"/>
                <w:szCs w:val="20"/>
              </w:rPr>
            </w:pPr>
            <w:r w:rsidRPr="00B148F9">
              <w:rPr>
                <w:rFonts w:ascii="Century Gothic" w:hAnsi="Century Gothic"/>
                <w:b/>
                <w:sz w:val="20"/>
                <w:szCs w:val="20"/>
              </w:rPr>
              <w:t>Definition</w:t>
            </w:r>
          </w:p>
        </w:tc>
        <w:tc>
          <w:tcPr>
            <w:tcW w:w="2268" w:type="dxa"/>
          </w:tcPr>
          <w:p w14:paraId="2FB9D2E4" w14:textId="706D045A" w:rsidR="0069634F" w:rsidRPr="00B148F9" w:rsidRDefault="0069634F" w:rsidP="00FB130F">
            <w:pPr>
              <w:pStyle w:val="Title"/>
              <w:spacing w:line="240" w:lineRule="auto"/>
              <w:jc w:val="left"/>
              <w:rPr>
                <w:rFonts w:ascii="Century Gothic" w:hAnsi="Century Gothic"/>
                <w:b/>
                <w:sz w:val="20"/>
                <w:szCs w:val="20"/>
              </w:rPr>
            </w:pPr>
            <w:r w:rsidRPr="00B148F9">
              <w:rPr>
                <w:rFonts w:ascii="Century Gothic" w:hAnsi="Century Gothic"/>
                <w:b/>
                <w:sz w:val="20"/>
                <w:szCs w:val="20"/>
              </w:rPr>
              <w:t>Purpose</w:t>
            </w:r>
          </w:p>
        </w:tc>
        <w:tc>
          <w:tcPr>
            <w:tcW w:w="2784" w:type="dxa"/>
          </w:tcPr>
          <w:p w14:paraId="06DC4CCC" w14:textId="1206E50D" w:rsidR="0069634F" w:rsidRPr="00B148F9" w:rsidRDefault="0069634F" w:rsidP="00FB130F">
            <w:pPr>
              <w:pStyle w:val="Title"/>
              <w:spacing w:line="240" w:lineRule="auto"/>
              <w:jc w:val="left"/>
              <w:rPr>
                <w:rFonts w:ascii="Century Gothic" w:hAnsi="Century Gothic"/>
                <w:b/>
                <w:sz w:val="20"/>
                <w:szCs w:val="20"/>
              </w:rPr>
            </w:pPr>
            <w:r w:rsidRPr="00B148F9">
              <w:rPr>
                <w:rFonts w:ascii="Century Gothic" w:hAnsi="Century Gothic"/>
                <w:b/>
                <w:sz w:val="20"/>
                <w:szCs w:val="20"/>
              </w:rPr>
              <w:t>Calculation</w:t>
            </w:r>
          </w:p>
        </w:tc>
      </w:tr>
      <w:tr w:rsidR="0069634F" w:rsidRPr="00B148F9" w14:paraId="7511E328" w14:textId="77777777" w:rsidTr="00A23418">
        <w:tc>
          <w:tcPr>
            <w:tcW w:w="1555" w:type="dxa"/>
          </w:tcPr>
          <w:p w14:paraId="229738DF" w14:textId="01A5BB13" w:rsidR="0069634F" w:rsidRPr="00B148F9" w:rsidRDefault="00FD2327" w:rsidP="00FB130F">
            <w:pPr>
              <w:pStyle w:val="Title"/>
              <w:spacing w:line="240" w:lineRule="auto"/>
              <w:jc w:val="left"/>
              <w:rPr>
                <w:rFonts w:ascii="Century Gothic" w:hAnsi="Century Gothic"/>
                <w:sz w:val="20"/>
                <w:szCs w:val="20"/>
              </w:rPr>
            </w:pPr>
            <w:r w:rsidRPr="00B148F9">
              <w:rPr>
                <w:rFonts w:ascii="Century Gothic" w:hAnsi="Century Gothic"/>
                <w:sz w:val="20"/>
                <w:szCs w:val="20"/>
              </w:rPr>
              <w:t>Capital pool</w:t>
            </w:r>
          </w:p>
        </w:tc>
        <w:tc>
          <w:tcPr>
            <w:tcW w:w="2409" w:type="dxa"/>
          </w:tcPr>
          <w:p w14:paraId="1E6D87E0" w14:textId="1FAF0549" w:rsidR="0069634F" w:rsidRPr="00B148F9" w:rsidRDefault="00FD2327">
            <w:pPr>
              <w:pStyle w:val="Title"/>
              <w:spacing w:line="240" w:lineRule="auto"/>
              <w:jc w:val="left"/>
              <w:rPr>
                <w:rFonts w:ascii="Century Gothic" w:hAnsi="Century Gothic"/>
                <w:sz w:val="20"/>
                <w:szCs w:val="20"/>
              </w:rPr>
            </w:pPr>
            <w:r w:rsidRPr="00B148F9">
              <w:rPr>
                <w:rFonts w:ascii="Century Gothic" w:hAnsi="Century Gothic"/>
                <w:sz w:val="20"/>
                <w:szCs w:val="20"/>
              </w:rPr>
              <w:t>Cash held by the Company’s Bankers</w:t>
            </w:r>
            <w:r w:rsidR="007A761A" w:rsidRPr="00B148F9">
              <w:rPr>
                <w:rFonts w:ascii="Century Gothic" w:hAnsi="Century Gothic"/>
                <w:sz w:val="20"/>
                <w:szCs w:val="20"/>
              </w:rPr>
              <w:t xml:space="preserve">, </w:t>
            </w:r>
            <w:r w:rsidRPr="00B148F9">
              <w:rPr>
                <w:rFonts w:ascii="Century Gothic" w:hAnsi="Century Gothic"/>
                <w:sz w:val="20"/>
                <w:szCs w:val="20"/>
              </w:rPr>
              <w:t>Prime Broker</w:t>
            </w:r>
            <w:r w:rsidR="007A761A" w:rsidRPr="00B148F9">
              <w:rPr>
                <w:rFonts w:ascii="Century Gothic" w:hAnsi="Century Gothic"/>
                <w:sz w:val="20"/>
                <w:szCs w:val="20"/>
              </w:rPr>
              <w:t xml:space="preserve"> and an ISDA counterparty</w:t>
            </w:r>
            <w:r w:rsidRPr="00B148F9">
              <w:rPr>
                <w:rFonts w:ascii="Century Gothic" w:hAnsi="Century Gothic"/>
                <w:sz w:val="20"/>
                <w:szCs w:val="20"/>
              </w:rPr>
              <w:t>.</w:t>
            </w:r>
          </w:p>
        </w:tc>
        <w:tc>
          <w:tcPr>
            <w:tcW w:w="2268" w:type="dxa"/>
          </w:tcPr>
          <w:p w14:paraId="6B024D13" w14:textId="480E801D" w:rsidR="0069634F" w:rsidRPr="00B148F9" w:rsidRDefault="00FD2327" w:rsidP="00FE4734">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A measure of the </w:t>
            </w:r>
            <w:r w:rsidR="00FE4734" w:rsidRPr="00B148F9">
              <w:rPr>
                <w:rFonts w:ascii="Century Gothic" w:hAnsi="Century Gothic"/>
                <w:sz w:val="20"/>
                <w:szCs w:val="20"/>
              </w:rPr>
              <w:t>C</w:t>
            </w:r>
            <w:r w:rsidRPr="00B148F9">
              <w:rPr>
                <w:rFonts w:ascii="Century Gothic" w:hAnsi="Century Gothic"/>
                <w:sz w:val="20"/>
                <w:szCs w:val="20"/>
              </w:rPr>
              <w:t xml:space="preserve">ompany’s </w:t>
            </w:r>
            <w:r w:rsidR="009813FA" w:rsidRPr="00B148F9">
              <w:rPr>
                <w:rFonts w:ascii="Century Gothic" w:hAnsi="Century Gothic"/>
                <w:sz w:val="20"/>
                <w:szCs w:val="20"/>
              </w:rPr>
              <w:t xml:space="preserve">liquidity, </w:t>
            </w:r>
            <w:r w:rsidRPr="00B148F9">
              <w:rPr>
                <w:rFonts w:ascii="Century Gothic" w:hAnsi="Century Gothic"/>
                <w:sz w:val="20"/>
                <w:szCs w:val="20"/>
              </w:rPr>
              <w:t>working capital and investment level.</w:t>
            </w:r>
          </w:p>
        </w:tc>
        <w:tc>
          <w:tcPr>
            <w:tcW w:w="2784" w:type="dxa"/>
          </w:tcPr>
          <w:p w14:paraId="5253D4A7" w14:textId="355BA9F9" w:rsidR="0069634F" w:rsidRPr="00B148F9" w:rsidRDefault="00FD2327" w:rsidP="00FB130F">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Cash and cash equivalents </w:t>
            </w:r>
            <w:r w:rsidR="00B54CBD" w:rsidRPr="00B148F9">
              <w:rPr>
                <w:rFonts w:ascii="Century Gothic" w:hAnsi="Century Gothic"/>
                <w:sz w:val="20"/>
                <w:szCs w:val="20"/>
              </w:rPr>
              <w:t xml:space="preserve">($10.7m) </w:t>
            </w:r>
            <w:r w:rsidRPr="00B148F9">
              <w:rPr>
                <w:rFonts w:ascii="Century Gothic" w:hAnsi="Century Gothic"/>
                <w:sz w:val="20"/>
                <w:szCs w:val="20"/>
              </w:rPr>
              <w:t xml:space="preserve">+ Due from brokers </w:t>
            </w:r>
            <w:r w:rsidR="00B54CBD" w:rsidRPr="00B148F9">
              <w:rPr>
                <w:rFonts w:ascii="Century Gothic" w:hAnsi="Century Gothic"/>
                <w:sz w:val="20"/>
                <w:szCs w:val="20"/>
              </w:rPr>
              <w:t xml:space="preserve">($33.1m) </w:t>
            </w:r>
            <w:r w:rsidRPr="00B148F9">
              <w:rPr>
                <w:rFonts w:ascii="Century Gothic" w:hAnsi="Century Gothic"/>
                <w:sz w:val="20"/>
                <w:szCs w:val="20"/>
              </w:rPr>
              <w:t>on the Statement of Assets &amp; Liabilities.</w:t>
            </w:r>
          </w:p>
        </w:tc>
      </w:tr>
      <w:tr w:rsidR="0069634F" w:rsidRPr="00B148F9" w14:paraId="1DE7450B" w14:textId="77777777" w:rsidTr="00A23418">
        <w:tc>
          <w:tcPr>
            <w:tcW w:w="1555" w:type="dxa"/>
          </w:tcPr>
          <w:p w14:paraId="4A44633A" w14:textId="47991420" w:rsidR="0069634F" w:rsidRPr="00B148F9" w:rsidRDefault="00FD2327" w:rsidP="00FB130F">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NAV per </w:t>
            </w:r>
            <w:r w:rsidR="004808B2" w:rsidRPr="00B148F9">
              <w:rPr>
                <w:rFonts w:ascii="Century Gothic" w:hAnsi="Century Gothic"/>
                <w:sz w:val="20"/>
                <w:szCs w:val="20"/>
              </w:rPr>
              <w:t xml:space="preserve">Ordinary </w:t>
            </w:r>
            <w:r w:rsidRPr="00B148F9">
              <w:rPr>
                <w:rFonts w:ascii="Century Gothic" w:hAnsi="Century Gothic"/>
                <w:sz w:val="20"/>
                <w:szCs w:val="20"/>
              </w:rPr>
              <w:t>share</w:t>
            </w:r>
          </w:p>
        </w:tc>
        <w:tc>
          <w:tcPr>
            <w:tcW w:w="2409" w:type="dxa"/>
          </w:tcPr>
          <w:p w14:paraId="3C9F7EEA" w14:textId="0543D9D0" w:rsidR="0069634F" w:rsidRPr="00B148F9" w:rsidRDefault="00B54CBD" w:rsidP="00FB130F">
            <w:pPr>
              <w:pStyle w:val="Title"/>
              <w:spacing w:line="240" w:lineRule="auto"/>
              <w:jc w:val="left"/>
              <w:rPr>
                <w:rFonts w:ascii="Century Gothic" w:hAnsi="Century Gothic"/>
                <w:sz w:val="20"/>
                <w:szCs w:val="20"/>
              </w:rPr>
            </w:pPr>
            <w:r w:rsidRPr="00B148F9">
              <w:rPr>
                <w:rFonts w:ascii="Century Gothic" w:hAnsi="Century Gothic"/>
                <w:sz w:val="20"/>
                <w:szCs w:val="20"/>
              </w:rPr>
              <w:t>The Company's NAV divided by the number of ordinary shares.</w:t>
            </w:r>
          </w:p>
        </w:tc>
        <w:tc>
          <w:tcPr>
            <w:tcW w:w="2268" w:type="dxa"/>
          </w:tcPr>
          <w:p w14:paraId="4DD49E7D" w14:textId="664560D6" w:rsidR="0069634F" w:rsidRPr="00B148F9" w:rsidRDefault="00B54CBD" w:rsidP="00FB130F">
            <w:pPr>
              <w:pStyle w:val="Title"/>
              <w:spacing w:line="240" w:lineRule="auto"/>
              <w:jc w:val="left"/>
              <w:rPr>
                <w:rFonts w:ascii="Century Gothic" w:hAnsi="Century Gothic"/>
                <w:sz w:val="20"/>
                <w:szCs w:val="20"/>
              </w:rPr>
            </w:pPr>
            <w:r w:rsidRPr="00B148F9">
              <w:rPr>
                <w:rFonts w:ascii="Century Gothic" w:hAnsi="Century Gothic"/>
                <w:sz w:val="20"/>
                <w:szCs w:val="20"/>
              </w:rPr>
              <w:t>A measure of the value of one ordinary share.</w:t>
            </w:r>
          </w:p>
        </w:tc>
        <w:tc>
          <w:tcPr>
            <w:tcW w:w="2784" w:type="dxa"/>
          </w:tcPr>
          <w:p w14:paraId="70D10630" w14:textId="4B2A6B1A" w:rsidR="0069634F" w:rsidRPr="00B148F9" w:rsidRDefault="00B54CBD" w:rsidP="00FB130F">
            <w:pPr>
              <w:pStyle w:val="Title"/>
              <w:spacing w:line="240" w:lineRule="auto"/>
              <w:jc w:val="left"/>
              <w:rPr>
                <w:rFonts w:ascii="Century Gothic" w:hAnsi="Century Gothic"/>
                <w:sz w:val="20"/>
                <w:szCs w:val="20"/>
              </w:rPr>
            </w:pPr>
            <w:r w:rsidRPr="00B148F9">
              <w:rPr>
                <w:rFonts w:ascii="Century Gothic" w:hAnsi="Century Gothic"/>
                <w:sz w:val="20"/>
                <w:szCs w:val="20"/>
              </w:rPr>
              <w:t>The net assets attributable to ordinary shares on the statement of financial position ($205.7m) divided by the number of ordinary shares in issue (161,544,695) as at the calculation date.</w:t>
            </w:r>
          </w:p>
        </w:tc>
      </w:tr>
      <w:tr w:rsidR="0069634F" w:rsidRPr="00B148F9" w14:paraId="3675280C" w14:textId="77777777" w:rsidTr="00A23418">
        <w:tc>
          <w:tcPr>
            <w:tcW w:w="1555" w:type="dxa"/>
          </w:tcPr>
          <w:p w14:paraId="4C507629" w14:textId="5DEBBD94" w:rsidR="0069634F" w:rsidRPr="00B148F9" w:rsidRDefault="00B90116" w:rsidP="00C63261">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Price </w:t>
            </w:r>
            <w:r w:rsidR="00C63261" w:rsidRPr="00B148F9">
              <w:rPr>
                <w:rFonts w:ascii="Century Gothic" w:hAnsi="Century Gothic"/>
                <w:sz w:val="20"/>
                <w:szCs w:val="20"/>
              </w:rPr>
              <w:t>per</w:t>
            </w:r>
            <w:r w:rsidRPr="00B148F9">
              <w:rPr>
                <w:rFonts w:ascii="Century Gothic" w:hAnsi="Century Gothic"/>
                <w:sz w:val="20"/>
                <w:szCs w:val="20"/>
              </w:rPr>
              <w:t xml:space="preserve"> </w:t>
            </w:r>
            <w:r w:rsidR="00C63261" w:rsidRPr="00B148F9">
              <w:rPr>
                <w:rFonts w:ascii="Century Gothic" w:hAnsi="Century Gothic"/>
                <w:sz w:val="20"/>
                <w:szCs w:val="20"/>
              </w:rPr>
              <w:t>s</w:t>
            </w:r>
            <w:r w:rsidRPr="00B148F9">
              <w:rPr>
                <w:rFonts w:ascii="Century Gothic" w:hAnsi="Century Gothic"/>
                <w:sz w:val="20"/>
                <w:szCs w:val="20"/>
              </w:rPr>
              <w:t>hare</w:t>
            </w:r>
          </w:p>
        </w:tc>
        <w:tc>
          <w:tcPr>
            <w:tcW w:w="2409" w:type="dxa"/>
          </w:tcPr>
          <w:p w14:paraId="45D1E174" w14:textId="069F29ED" w:rsidR="0069634F" w:rsidRPr="00B148F9" w:rsidRDefault="00B90116" w:rsidP="00FB130F">
            <w:pPr>
              <w:pStyle w:val="Title"/>
              <w:spacing w:line="240" w:lineRule="auto"/>
              <w:jc w:val="left"/>
              <w:rPr>
                <w:rFonts w:ascii="Century Gothic" w:hAnsi="Century Gothic"/>
                <w:sz w:val="20"/>
                <w:szCs w:val="20"/>
              </w:rPr>
            </w:pPr>
            <w:r w:rsidRPr="00B148F9">
              <w:rPr>
                <w:rFonts w:ascii="Century Gothic" w:hAnsi="Century Gothic"/>
                <w:sz w:val="20"/>
                <w:szCs w:val="20"/>
              </w:rPr>
              <w:t>The Company’s closing share price on the London Stock Exchange</w:t>
            </w:r>
            <w:r w:rsidR="00767BFF" w:rsidRPr="00B148F9">
              <w:rPr>
                <w:rFonts w:ascii="Century Gothic" w:hAnsi="Century Gothic"/>
                <w:sz w:val="20"/>
                <w:szCs w:val="20"/>
              </w:rPr>
              <w:t xml:space="preserve"> for a specified date</w:t>
            </w:r>
            <w:r w:rsidRPr="00B148F9">
              <w:rPr>
                <w:rFonts w:ascii="Century Gothic" w:hAnsi="Century Gothic"/>
                <w:sz w:val="20"/>
                <w:szCs w:val="20"/>
              </w:rPr>
              <w:t>.</w:t>
            </w:r>
          </w:p>
        </w:tc>
        <w:tc>
          <w:tcPr>
            <w:tcW w:w="2268" w:type="dxa"/>
          </w:tcPr>
          <w:p w14:paraId="1FC301D3" w14:textId="3489F9E4" w:rsidR="0069634F" w:rsidRPr="00B148F9" w:rsidRDefault="00B90116" w:rsidP="00FB130F">
            <w:pPr>
              <w:pStyle w:val="Title"/>
              <w:spacing w:line="240" w:lineRule="auto"/>
              <w:jc w:val="left"/>
              <w:rPr>
                <w:rFonts w:ascii="Century Gothic" w:hAnsi="Century Gothic"/>
                <w:sz w:val="20"/>
                <w:szCs w:val="20"/>
              </w:rPr>
            </w:pPr>
            <w:r w:rsidRPr="00B148F9">
              <w:rPr>
                <w:rFonts w:ascii="Century Gothic" w:hAnsi="Century Gothic"/>
                <w:sz w:val="20"/>
                <w:szCs w:val="20"/>
              </w:rPr>
              <w:t>A measure of the supply and demand for the Company’s shares.</w:t>
            </w:r>
          </w:p>
        </w:tc>
        <w:tc>
          <w:tcPr>
            <w:tcW w:w="2784" w:type="dxa"/>
          </w:tcPr>
          <w:p w14:paraId="1729B799" w14:textId="3E25361E" w:rsidR="0069634F" w:rsidRPr="00B148F9" w:rsidRDefault="00B90116" w:rsidP="00FB130F">
            <w:pPr>
              <w:pStyle w:val="Title"/>
              <w:spacing w:line="240" w:lineRule="auto"/>
              <w:jc w:val="left"/>
              <w:rPr>
                <w:rFonts w:ascii="Century Gothic" w:hAnsi="Century Gothic"/>
                <w:sz w:val="20"/>
                <w:szCs w:val="20"/>
              </w:rPr>
            </w:pPr>
            <w:r w:rsidRPr="00B148F9">
              <w:rPr>
                <w:rFonts w:ascii="Century Gothic" w:hAnsi="Century Gothic"/>
                <w:sz w:val="20"/>
                <w:szCs w:val="20"/>
              </w:rPr>
              <w:t>Extracted from the official list of the London Stock Ex</w:t>
            </w:r>
            <w:r w:rsidR="009B7895" w:rsidRPr="00B148F9">
              <w:rPr>
                <w:rFonts w:ascii="Century Gothic" w:hAnsi="Century Gothic"/>
                <w:sz w:val="20"/>
                <w:szCs w:val="20"/>
              </w:rPr>
              <w:t>c</w:t>
            </w:r>
            <w:r w:rsidRPr="00B148F9">
              <w:rPr>
                <w:rFonts w:ascii="Century Gothic" w:hAnsi="Century Gothic"/>
                <w:sz w:val="20"/>
                <w:szCs w:val="20"/>
              </w:rPr>
              <w:t>hange</w:t>
            </w:r>
          </w:p>
        </w:tc>
      </w:tr>
      <w:tr w:rsidR="0069634F" w:rsidRPr="00B148F9" w14:paraId="697DC3EB" w14:textId="77777777" w:rsidTr="00A23418">
        <w:tc>
          <w:tcPr>
            <w:tcW w:w="1555" w:type="dxa"/>
          </w:tcPr>
          <w:p w14:paraId="478E286E" w14:textId="741839D3" w:rsidR="0069634F" w:rsidRPr="00B148F9" w:rsidRDefault="00C63261" w:rsidP="00FB130F">
            <w:pPr>
              <w:pStyle w:val="Title"/>
              <w:spacing w:line="240" w:lineRule="auto"/>
              <w:jc w:val="left"/>
              <w:rPr>
                <w:rFonts w:ascii="Century Gothic" w:hAnsi="Century Gothic"/>
                <w:sz w:val="20"/>
                <w:szCs w:val="20"/>
              </w:rPr>
            </w:pPr>
            <w:r w:rsidRPr="00B148F9">
              <w:rPr>
                <w:rFonts w:ascii="Century Gothic" w:hAnsi="Century Gothic"/>
                <w:sz w:val="20"/>
                <w:szCs w:val="20"/>
              </w:rPr>
              <w:t>NAV G</w:t>
            </w:r>
            <w:r w:rsidR="0015618E" w:rsidRPr="00B148F9">
              <w:rPr>
                <w:rFonts w:ascii="Century Gothic" w:hAnsi="Century Gothic"/>
                <w:sz w:val="20"/>
                <w:szCs w:val="20"/>
              </w:rPr>
              <w:t>rowth</w:t>
            </w:r>
          </w:p>
        </w:tc>
        <w:tc>
          <w:tcPr>
            <w:tcW w:w="2409" w:type="dxa"/>
          </w:tcPr>
          <w:p w14:paraId="33B1D629" w14:textId="371278EF" w:rsidR="0069634F" w:rsidRPr="00B148F9" w:rsidRDefault="009813FA" w:rsidP="00FB130F">
            <w:pPr>
              <w:pStyle w:val="Title"/>
              <w:spacing w:line="240" w:lineRule="auto"/>
              <w:jc w:val="left"/>
              <w:rPr>
                <w:rFonts w:ascii="Century Gothic" w:hAnsi="Century Gothic"/>
                <w:sz w:val="20"/>
                <w:szCs w:val="20"/>
              </w:rPr>
            </w:pPr>
            <w:r w:rsidRPr="00B148F9">
              <w:rPr>
                <w:rFonts w:ascii="Century Gothic" w:hAnsi="Century Gothic"/>
                <w:sz w:val="20"/>
                <w:szCs w:val="20"/>
              </w:rPr>
              <w:t>The percentage increase</w:t>
            </w:r>
            <w:r w:rsidR="00403747" w:rsidRPr="00B148F9">
              <w:rPr>
                <w:rFonts w:ascii="Century Gothic" w:hAnsi="Century Gothic"/>
                <w:sz w:val="20"/>
                <w:szCs w:val="20"/>
              </w:rPr>
              <w:t xml:space="preserve">(decrease) </w:t>
            </w:r>
            <w:r w:rsidRPr="00B148F9">
              <w:rPr>
                <w:rFonts w:ascii="Century Gothic" w:hAnsi="Century Gothic"/>
                <w:sz w:val="20"/>
                <w:szCs w:val="20"/>
              </w:rPr>
              <w:t xml:space="preserve"> in the NAV per</w:t>
            </w:r>
            <w:r w:rsidR="004808B2" w:rsidRPr="00B148F9">
              <w:rPr>
                <w:rFonts w:ascii="Century Gothic" w:hAnsi="Century Gothic"/>
                <w:sz w:val="20"/>
                <w:szCs w:val="20"/>
              </w:rPr>
              <w:t xml:space="preserve"> Ordinary</w:t>
            </w:r>
            <w:r w:rsidRPr="00B148F9">
              <w:rPr>
                <w:rFonts w:ascii="Century Gothic" w:hAnsi="Century Gothic"/>
                <w:sz w:val="20"/>
                <w:szCs w:val="20"/>
              </w:rPr>
              <w:t xml:space="preserve"> share during the reporting period.</w:t>
            </w:r>
          </w:p>
        </w:tc>
        <w:tc>
          <w:tcPr>
            <w:tcW w:w="2268" w:type="dxa"/>
          </w:tcPr>
          <w:p w14:paraId="4871A056" w14:textId="5A2EF8CA" w:rsidR="0069634F" w:rsidRPr="00B148F9" w:rsidRDefault="009813FA" w:rsidP="00A23418">
            <w:pPr>
              <w:pStyle w:val="Title"/>
              <w:spacing w:line="240" w:lineRule="auto"/>
              <w:jc w:val="left"/>
              <w:rPr>
                <w:rFonts w:ascii="Century Gothic" w:hAnsi="Century Gothic"/>
                <w:sz w:val="20"/>
                <w:szCs w:val="20"/>
              </w:rPr>
            </w:pPr>
            <w:r w:rsidRPr="00B148F9">
              <w:rPr>
                <w:rFonts w:ascii="Century Gothic" w:hAnsi="Century Gothic"/>
                <w:sz w:val="20"/>
                <w:szCs w:val="20"/>
              </w:rPr>
              <w:t>A key measure of the success of the Investment Manager’s investment strategy.</w:t>
            </w:r>
          </w:p>
        </w:tc>
        <w:tc>
          <w:tcPr>
            <w:tcW w:w="2784" w:type="dxa"/>
          </w:tcPr>
          <w:p w14:paraId="4A20DAFC" w14:textId="60911E33" w:rsidR="0069634F" w:rsidRPr="00B148F9" w:rsidRDefault="009813FA" w:rsidP="00FB130F">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The quotient of the NAV per share at the end of the period ($1.27) and the NAV per share at the beginning of the period ($1.04) minus </w:t>
            </w:r>
            <w:r w:rsidR="00403747" w:rsidRPr="00B148F9">
              <w:rPr>
                <w:rFonts w:ascii="Century Gothic" w:hAnsi="Century Gothic"/>
                <w:sz w:val="20"/>
                <w:szCs w:val="20"/>
              </w:rPr>
              <w:t>one</w:t>
            </w:r>
            <w:r w:rsidRPr="00B148F9">
              <w:rPr>
                <w:rFonts w:ascii="Century Gothic" w:hAnsi="Century Gothic"/>
                <w:sz w:val="20"/>
                <w:szCs w:val="20"/>
              </w:rPr>
              <w:t xml:space="preserve"> expressed as a percentage.</w:t>
            </w:r>
          </w:p>
        </w:tc>
      </w:tr>
      <w:tr w:rsidR="0069634F" w:rsidRPr="00B148F9" w14:paraId="3E4DAAF9" w14:textId="77777777" w:rsidTr="00A23418">
        <w:tc>
          <w:tcPr>
            <w:tcW w:w="1555" w:type="dxa"/>
          </w:tcPr>
          <w:p w14:paraId="18D20E6D" w14:textId="5B7351AE" w:rsidR="0069634F" w:rsidRPr="00B148F9" w:rsidRDefault="0015618E" w:rsidP="00C63261">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Share </w:t>
            </w:r>
            <w:r w:rsidR="00C63261" w:rsidRPr="00B148F9">
              <w:rPr>
                <w:rFonts w:ascii="Century Gothic" w:hAnsi="Century Gothic"/>
                <w:sz w:val="20"/>
                <w:szCs w:val="20"/>
              </w:rPr>
              <w:t>price g</w:t>
            </w:r>
            <w:r w:rsidRPr="00B148F9">
              <w:rPr>
                <w:rFonts w:ascii="Century Gothic" w:hAnsi="Century Gothic"/>
                <w:sz w:val="20"/>
                <w:szCs w:val="20"/>
              </w:rPr>
              <w:t>rowth</w:t>
            </w:r>
            <w:r w:rsidR="00767BFF" w:rsidRPr="00B148F9">
              <w:rPr>
                <w:rFonts w:ascii="Century Gothic" w:hAnsi="Century Gothic"/>
                <w:sz w:val="20"/>
                <w:szCs w:val="20"/>
              </w:rPr>
              <w:t>/Total Shareholder Return</w:t>
            </w:r>
          </w:p>
        </w:tc>
        <w:tc>
          <w:tcPr>
            <w:tcW w:w="2409" w:type="dxa"/>
          </w:tcPr>
          <w:p w14:paraId="4D802F55" w14:textId="0BD73B6A" w:rsidR="0069634F" w:rsidRPr="00B148F9" w:rsidRDefault="00403747" w:rsidP="00FB130F">
            <w:pPr>
              <w:pStyle w:val="Title"/>
              <w:spacing w:line="240" w:lineRule="auto"/>
              <w:jc w:val="left"/>
              <w:rPr>
                <w:rFonts w:ascii="Century Gothic" w:hAnsi="Century Gothic"/>
                <w:sz w:val="20"/>
                <w:szCs w:val="20"/>
              </w:rPr>
            </w:pPr>
            <w:r w:rsidRPr="00B148F9">
              <w:rPr>
                <w:rFonts w:ascii="Century Gothic" w:hAnsi="Century Gothic"/>
                <w:sz w:val="20"/>
                <w:szCs w:val="20"/>
              </w:rPr>
              <w:t>The percentage increase(decrease)  in the price per share during the reporting period.</w:t>
            </w:r>
          </w:p>
        </w:tc>
        <w:tc>
          <w:tcPr>
            <w:tcW w:w="2268" w:type="dxa"/>
          </w:tcPr>
          <w:p w14:paraId="49A4B183" w14:textId="147BE4AD" w:rsidR="0069634F" w:rsidRPr="00B148F9" w:rsidRDefault="00403747" w:rsidP="00FB130F">
            <w:pPr>
              <w:pStyle w:val="Title"/>
              <w:spacing w:line="240" w:lineRule="auto"/>
              <w:jc w:val="left"/>
              <w:rPr>
                <w:rFonts w:ascii="Century Gothic" w:hAnsi="Century Gothic"/>
                <w:sz w:val="20"/>
                <w:szCs w:val="20"/>
              </w:rPr>
            </w:pPr>
            <w:r w:rsidRPr="00B148F9">
              <w:rPr>
                <w:rFonts w:ascii="Century Gothic" w:hAnsi="Century Gothic"/>
                <w:sz w:val="20"/>
                <w:szCs w:val="20"/>
              </w:rPr>
              <w:t>A measure of the return that could have been obtained by holding a share over the reporting period.</w:t>
            </w:r>
          </w:p>
        </w:tc>
        <w:tc>
          <w:tcPr>
            <w:tcW w:w="2784" w:type="dxa"/>
          </w:tcPr>
          <w:p w14:paraId="4E3ABC11" w14:textId="2F59D1CC" w:rsidR="0069634F" w:rsidRPr="00B148F9" w:rsidRDefault="00403747" w:rsidP="00FB130F">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The quotient of the price per share at the end of the period ($1.37) and the </w:t>
            </w:r>
            <w:r w:rsidR="00654FCC" w:rsidRPr="00B148F9">
              <w:rPr>
                <w:rFonts w:ascii="Century Gothic" w:hAnsi="Century Gothic"/>
                <w:sz w:val="20"/>
                <w:szCs w:val="20"/>
              </w:rPr>
              <w:t>price</w:t>
            </w:r>
            <w:r w:rsidRPr="00B148F9">
              <w:rPr>
                <w:rFonts w:ascii="Century Gothic" w:hAnsi="Century Gothic"/>
                <w:sz w:val="20"/>
                <w:szCs w:val="20"/>
              </w:rPr>
              <w:t xml:space="preserve"> per share at the beginning of the period ($1.04) minus one expressed as a percentage.  The measure excludes transaction costs.</w:t>
            </w:r>
          </w:p>
        </w:tc>
      </w:tr>
      <w:tr w:rsidR="0069634F" w:rsidRPr="00B148F9" w14:paraId="07302195" w14:textId="77777777" w:rsidTr="00A23418">
        <w:tc>
          <w:tcPr>
            <w:tcW w:w="1555" w:type="dxa"/>
          </w:tcPr>
          <w:p w14:paraId="44A4E148" w14:textId="68709C5D" w:rsidR="0069634F" w:rsidRPr="00B148F9" w:rsidRDefault="0015618E" w:rsidP="00FB130F">
            <w:pPr>
              <w:pStyle w:val="Title"/>
              <w:spacing w:line="240" w:lineRule="auto"/>
              <w:jc w:val="left"/>
              <w:rPr>
                <w:rFonts w:ascii="Century Gothic" w:hAnsi="Century Gothic"/>
                <w:sz w:val="20"/>
                <w:szCs w:val="20"/>
              </w:rPr>
            </w:pPr>
            <w:r w:rsidRPr="00B148F9">
              <w:rPr>
                <w:rFonts w:ascii="Century Gothic" w:hAnsi="Century Gothic"/>
                <w:sz w:val="20"/>
                <w:szCs w:val="20"/>
              </w:rPr>
              <w:t>Share Price Premium</w:t>
            </w:r>
            <w:r w:rsidR="00767BFF" w:rsidRPr="00B148F9">
              <w:rPr>
                <w:rFonts w:ascii="Century Gothic" w:hAnsi="Century Gothic"/>
                <w:sz w:val="20"/>
                <w:szCs w:val="20"/>
              </w:rPr>
              <w:t xml:space="preserve"> (Discount)</w:t>
            </w:r>
          </w:p>
        </w:tc>
        <w:tc>
          <w:tcPr>
            <w:tcW w:w="2409" w:type="dxa"/>
          </w:tcPr>
          <w:p w14:paraId="0463644C" w14:textId="2E4F3320" w:rsidR="0069634F" w:rsidRPr="00B148F9" w:rsidRDefault="008E3BCD" w:rsidP="00FB130F">
            <w:pPr>
              <w:pStyle w:val="Title"/>
              <w:spacing w:line="240" w:lineRule="auto"/>
              <w:jc w:val="left"/>
              <w:rPr>
                <w:rFonts w:ascii="Century Gothic" w:hAnsi="Century Gothic"/>
                <w:sz w:val="20"/>
                <w:szCs w:val="20"/>
              </w:rPr>
            </w:pPr>
            <w:r w:rsidRPr="00B148F9">
              <w:rPr>
                <w:rFonts w:ascii="Century Gothic" w:hAnsi="Century Gothic"/>
                <w:sz w:val="20"/>
                <w:szCs w:val="20"/>
              </w:rPr>
              <w:t>The amount by which the ordinary share price is higher/lower than the NAV per ordinary share, expressed as a percentage of the NAV per ordinary share.</w:t>
            </w:r>
          </w:p>
        </w:tc>
        <w:tc>
          <w:tcPr>
            <w:tcW w:w="2268" w:type="dxa"/>
          </w:tcPr>
          <w:p w14:paraId="740B629E" w14:textId="2EC9BD3C" w:rsidR="0069634F" w:rsidRPr="00B148F9" w:rsidRDefault="008E3BCD" w:rsidP="00FB130F">
            <w:pPr>
              <w:pStyle w:val="Title"/>
              <w:spacing w:line="240" w:lineRule="auto"/>
              <w:jc w:val="left"/>
              <w:rPr>
                <w:rFonts w:ascii="Century Gothic" w:hAnsi="Century Gothic"/>
                <w:sz w:val="20"/>
                <w:szCs w:val="20"/>
              </w:rPr>
            </w:pPr>
            <w:r w:rsidRPr="00B148F9">
              <w:rPr>
                <w:rFonts w:ascii="Century Gothic" w:hAnsi="Century Gothic"/>
                <w:sz w:val="20"/>
                <w:szCs w:val="20"/>
              </w:rPr>
              <w:t>A key measure of supply and demand for the Company’s shares.  A premium implies excess demand versus supply and vice versa.</w:t>
            </w:r>
          </w:p>
        </w:tc>
        <w:tc>
          <w:tcPr>
            <w:tcW w:w="2784" w:type="dxa"/>
          </w:tcPr>
          <w:p w14:paraId="73D32B46" w14:textId="4D655BA9" w:rsidR="0069634F" w:rsidRPr="00B148F9" w:rsidRDefault="008E3BCD" w:rsidP="00FB130F">
            <w:pPr>
              <w:pStyle w:val="Title"/>
              <w:spacing w:line="240" w:lineRule="auto"/>
              <w:jc w:val="left"/>
              <w:rPr>
                <w:rFonts w:ascii="Century Gothic" w:hAnsi="Century Gothic"/>
                <w:sz w:val="20"/>
                <w:szCs w:val="20"/>
              </w:rPr>
            </w:pPr>
            <w:r w:rsidRPr="00B148F9">
              <w:rPr>
                <w:rFonts w:ascii="Century Gothic" w:hAnsi="Century Gothic"/>
                <w:sz w:val="20"/>
                <w:szCs w:val="20"/>
              </w:rPr>
              <w:t>The quotient of the price per share at the end of the period ($1.37) and the NAV per share at the end of the period ($1.27) minus one expressed as a percentage.</w:t>
            </w:r>
          </w:p>
        </w:tc>
      </w:tr>
      <w:tr w:rsidR="0069634F" w:rsidRPr="00B148F9" w14:paraId="230A660C" w14:textId="77777777" w:rsidTr="00A23418">
        <w:tc>
          <w:tcPr>
            <w:tcW w:w="1555" w:type="dxa"/>
          </w:tcPr>
          <w:p w14:paraId="5C84FC10" w14:textId="7272AE3B" w:rsidR="0069634F" w:rsidRPr="00B148F9" w:rsidRDefault="00AB0A11" w:rsidP="00FB130F">
            <w:pPr>
              <w:pStyle w:val="Title"/>
              <w:spacing w:line="240" w:lineRule="auto"/>
              <w:jc w:val="left"/>
              <w:rPr>
                <w:rFonts w:ascii="Century Gothic" w:hAnsi="Century Gothic"/>
                <w:sz w:val="20"/>
                <w:szCs w:val="20"/>
              </w:rPr>
            </w:pPr>
            <w:r w:rsidRPr="00B148F9">
              <w:rPr>
                <w:rFonts w:ascii="Century Gothic" w:hAnsi="Century Gothic"/>
                <w:sz w:val="20"/>
                <w:szCs w:val="20"/>
              </w:rPr>
              <w:lastRenderedPageBreak/>
              <w:t>Ongoing charges ratio</w:t>
            </w:r>
          </w:p>
        </w:tc>
        <w:tc>
          <w:tcPr>
            <w:tcW w:w="2409" w:type="dxa"/>
          </w:tcPr>
          <w:p w14:paraId="74C6CEB8" w14:textId="26F4B24F" w:rsidR="0069634F" w:rsidRPr="00B148F9" w:rsidRDefault="00AB0A11" w:rsidP="00FB130F">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The recurring costs that </w:t>
            </w:r>
            <w:r w:rsidR="0091625E" w:rsidRPr="00B148F9">
              <w:rPr>
                <w:rFonts w:ascii="Century Gothic" w:hAnsi="Century Gothic"/>
                <w:sz w:val="20"/>
                <w:szCs w:val="20"/>
              </w:rPr>
              <w:t>the Company</w:t>
            </w:r>
            <w:r w:rsidRPr="00B148F9">
              <w:rPr>
                <w:rFonts w:ascii="Century Gothic" w:hAnsi="Century Gothic"/>
                <w:sz w:val="20"/>
                <w:szCs w:val="20"/>
              </w:rPr>
              <w:t xml:space="preserve"> has incurred during the period excluding performance fees and one off legal and professional fees expressed as a percentage of the Company’s average NAV for the period.</w:t>
            </w:r>
          </w:p>
        </w:tc>
        <w:tc>
          <w:tcPr>
            <w:tcW w:w="2268" w:type="dxa"/>
          </w:tcPr>
          <w:p w14:paraId="09F5720B" w14:textId="3FCB0B0A" w:rsidR="0069634F" w:rsidRPr="00B148F9" w:rsidRDefault="00AB0A11" w:rsidP="00FB130F">
            <w:pPr>
              <w:pStyle w:val="Title"/>
              <w:spacing w:line="240" w:lineRule="auto"/>
              <w:jc w:val="left"/>
              <w:rPr>
                <w:rFonts w:ascii="Century Gothic" w:hAnsi="Century Gothic"/>
                <w:sz w:val="20"/>
                <w:szCs w:val="20"/>
              </w:rPr>
            </w:pPr>
            <w:r w:rsidRPr="00B148F9">
              <w:rPr>
                <w:rFonts w:ascii="Century Gothic" w:hAnsi="Century Gothic"/>
                <w:sz w:val="20"/>
                <w:szCs w:val="20"/>
              </w:rPr>
              <w:t xml:space="preserve">A measure of the minimum gross profit that the Company needs to produce to make a positive return for shareholders. </w:t>
            </w:r>
          </w:p>
        </w:tc>
        <w:tc>
          <w:tcPr>
            <w:tcW w:w="2784" w:type="dxa"/>
          </w:tcPr>
          <w:p w14:paraId="72B48868" w14:textId="6FD36A25" w:rsidR="0069634F" w:rsidRPr="00B148F9" w:rsidRDefault="00AB0A11" w:rsidP="00FB130F">
            <w:pPr>
              <w:pStyle w:val="Title"/>
              <w:spacing w:line="240" w:lineRule="auto"/>
              <w:jc w:val="left"/>
              <w:rPr>
                <w:rFonts w:ascii="Century Gothic" w:hAnsi="Century Gothic"/>
                <w:sz w:val="20"/>
                <w:szCs w:val="20"/>
              </w:rPr>
            </w:pPr>
            <w:r w:rsidRPr="00B148F9">
              <w:rPr>
                <w:rFonts w:ascii="Century Gothic" w:hAnsi="Century Gothic"/>
                <w:sz w:val="20"/>
                <w:szCs w:val="20"/>
              </w:rPr>
              <w:t>Calculated in accordance with the AIC methodology</w:t>
            </w:r>
            <w:r w:rsidR="00D00483" w:rsidRPr="00B148F9">
              <w:rPr>
                <w:rFonts w:ascii="Century Gothic" w:hAnsi="Century Gothic"/>
                <w:sz w:val="20"/>
                <w:szCs w:val="20"/>
              </w:rPr>
              <w:t xml:space="preserve"> detailed on the web link below.</w:t>
            </w:r>
          </w:p>
          <w:p w14:paraId="7EC32D5D" w14:textId="77777777" w:rsidR="00AB0A11" w:rsidRPr="00B148F9" w:rsidRDefault="00AB0A11" w:rsidP="00FB130F">
            <w:pPr>
              <w:pStyle w:val="Title"/>
              <w:spacing w:line="240" w:lineRule="auto"/>
              <w:jc w:val="left"/>
              <w:rPr>
                <w:rFonts w:ascii="Century Gothic" w:hAnsi="Century Gothic"/>
                <w:sz w:val="20"/>
                <w:szCs w:val="20"/>
              </w:rPr>
            </w:pPr>
          </w:p>
          <w:p w14:paraId="072DE5B8" w14:textId="77777777" w:rsidR="00AB0A11" w:rsidRPr="00251CF4" w:rsidRDefault="001A53BF" w:rsidP="00FB130F">
            <w:pPr>
              <w:pStyle w:val="Title"/>
              <w:spacing w:line="240" w:lineRule="auto"/>
              <w:jc w:val="left"/>
              <w:rPr>
                <w:rFonts w:ascii="Century Gothic" w:hAnsi="Century Gothic"/>
                <w:sz w:val="20"/>
                <w:szCs w:val="20"/>
              </w:rPr>
            </w:pPr>
            <w:hyperlink r:id="rId350" w:history="1">
              <w:r w:rsidR="00D00483" w:rsidRPr="00B148F9">
                <w:rPr>
                  <w:rStyle w:val="Hyperlink"/>
                  <w:rFonts w:ascii="Century Gothic" w:hAnsi="Century Gothic"/>
                  <w:sz w:val="20"/>
                  <w:szCs w:val="20"/>
                </w:rPr>
                <w:t>https://www.theaic.co.uk/sites/default/files/hidden-files/AICOngoingChargesCalculationMay12.pdf</w:t>
              </w:r>
            </w:hyperlink>
          </w:p>
          <w:p w14:paraId="53DF25F4" w14:textId="77777777" w:rsidR="00D00483" w:rsidRPr="00B148F9" w:rsidRDefault="00D00483" w:rsidP="00FB130F">
            <w:pPr>
              <w:pStyle w:val="Title"/>
              <w:spacing w:line="240" w:lineRule="auto"/>
              <w:jc w:val="left"/>
              <w:rPr>
                <w:rFonts w:ascii="Century Gothic" w:hAnsi="Century Gothic"/>
                <w:sz w:val="20"/>
                <w:szCs w:val="20"/>
              </w:rPr>
            </w:pPr>
          </w:p>
          <w:p w14:paraId="2824B397" w14:textId="06D27BAC" w:rsidR="00D00483" w:rsidRPr="00B148F9" w:rsidRDefault="00D00483" w:rsidP="00FB130F">
            <w:pPr>
              <w:pStyle w:val="Title"/>
              <w:spacing w:line="240" w:lineRule="auto"/>
              <w:jc w:val="left"/>
              <w:rPr>
                <w:rFonts w:ascii="Century Gothic" w:hAnsi="Century Gothic"/>
                <w:sz w:val="20"/>
                <w:szCs w:val="20"/>
              </w:rPr>
            </w:pPr>
          </w:p>
        </w:tc>
      </w:tr>
    </w:tbl>
    <w:p w14:paraId="5D9EF366" w14:textId="1319D169" w:rsidR="0069634F" w:rsidRPr="00B148F9" w:rsidRDefault="0069634F" w:rsidP="00FB130F">
      <w:pPr>
        <w:pStyle w:val="Title"/>
        <w:spacing w:line="240" w:lineRule="auto"/>
        <w:jc w:val="left"/>
        <w:rPr>
          <w:rFonts w:ascii="Century Gothic" w:hAnsi="Century Gothic"/>
          <w:sz w:val="20"/>
          <w:szCs w:val="20"/>
        </w:rPr>
      </w:pPr>
    </w:p>
    <w:p w14:paraId="324D7093" w14:textId="77777777" w:rsidR="009E4CA7" w:rsidRDefault="009E4CA7" w:rsidP="00FB130F">
      <w:pPr>
        <w:pStyle w:val="Title"/>
        <w:spacing w:line="240" w:lineRule="auto"/>
        <w:jc w:val="left"/>
        <w:rPr>
          <w:rFonts w:ascii="Century Gothic" w:hAnsi="Century Gothic"/>
          <w:b/>
          <w:sz w:val="20"/>
          <w:szCs w:val="20"/>
        </w:rPr>
      </w:pPr>
    </w:p>
    <w:p w14:paraId="672BB7C8" w14:textId="5BF071DF" w:rsidR="00BB7B8E" w:rsidRPr="00C60076" w:rsidRDefault="00BB7B8E" w:rsidP="00FB130F">
      <w:pPr>
        <w:pStyle w:val="Title"/>
        <w:spacing w:line="240" w:lineRule="auto"/>
        <w:jc w:val="left"/>
        <w:rPr>
          <w:rFonts w:ascii="Century Gothic" w:hAnsi="Century Gothic"/>
          <w:b/>
          <w:sz w:val="20"/>
          <w:szCs w:val="20"/>
          <w:vertAlign w:val="superscript"/>
        </w:rPr>
      </w:pPr>
      <w:r w:rsidRPr="00B148F9">
        <w:rPr>
          <w:rFonts w:ascii="Century Gothic" w:hAnsi="Century Gothic"/>
          <w:b/>
          <w:sz w:val="20"/>
          <w:szCs w:val="20"/>
        </w:rPr>
        <w:t>AIFMD Disclosures</w:t>
      </w:r>
      <w:r w:rsidR="004451C2" w:rsidRPr="00B148F9">
        <w:rPr>
          <w:rFonts w:ascii="Century Gothic" w:hAnsi="Century Gothic"/>
          <w:b/>
          <w:sz w:val="20"/>
          <w:szCs w:val="20"/>
        </w:rPr>
        <w:t xml:space="preserve"> </w:t>
      </w:r>
      <w:r w:rsidR="004451C2" w:rsidRPr="00B148F9">
        <w:rPr>
          <w:rFonts w:ascii="Century Gothic" w:hAnsi="Century Gothic"/>
          <w:b/>
          <w:sz w:val="20"/>
          <w:szCs w:val="20"/>
          <w:vertAlign w:val="superscript"/>
        </w:rPr>
        <w:t>unaudited</w:t>
      </w:r>
    </w:p>
    <w:p w14:paraId="259F210D" w14:textId="6C1DC873" w:rsidR="00BB7B8E" w:rsidRPr="00251CF4" w:rsidRDefault="00BB7B8E" w:rsidP="00FB130F">
      <w:pPr>
        <w:pStyle w:val="Title"/>
        <w:spacing w:line="240" w:lineRule="auto"/>
        <w:jc w:val="left"/>
        <w:rPr>
          <w:rFonts w:ascii="Century Gothic" w:hAnsi="Century Gothic"/>
          <w:sz w:val="20"/>
          <w:szCs w:val="20"/>
        </w:rPr>
      </w:pPr>
    </w:p>
    <w:p w14:paraId="69924C5C" w14:textId="77777777" w:rsidR="00BB7B8E" w:rsidRPr="00B148F9" w:rsidRDefault="00BB7B8E" w:rsidP="00BB7B8E">
      <w:pPr>
        <w:autoSpaceDE w:val="0"/>
        <w:autoSpaceDN w:val="0"/>
        <w:adjustRightInd w:val="0"/>
        <w:rPr>
          <w:rFonts w:cs="HelveticaNeueLTStd-Bd"/>
          <w:b/>
        </w:rPr>
      </w:pPr>
      <w:r w:rsidRPr="00B148F9">
        <w:rPr>
          <w:rFonts w:cs="HelveticaNeueLTStd-Bd"/>
          <w:b/>
        </w:rPr>
        <w:t>Report on remuneration and quantitative remuneration disclosure</w:t>
      </w:r>
    </w:p>
    <w:p w14:paraId="2C885930" w14:textId="77777777" w:rsidR="00BB7B8E" w:rsidRPr="00B148F9" w:rsidRDefault="00BB7B8E" w:rsidP="00BB7B8E">
      <w:pPr>
        <w:autoSpaceDE w:val="0"/>
        <w:autoSpaceDN w:val="0"/>
        <w:adjustRightInd w:val="0"/>
        <w:rPr>
          <w:rFonts w:cs="HelveticaNeueLTStd-Lt"/>
        </w:rPr>
      </w:pPr>
      <w:r w:rsidRPr="00B148F9">
        <w:rPr>
          <w:rFonts w:cs="HelveticaNeueLTStd-Lt"/>
        </w:rPr>
        <w:t>Under the Alternative Investment Fund Managers Directive (‘AIFMD’), we are required to make disclosures relating to remuneration of staff working for the Investment Manager for the year to 31 December 2019.</w:t>
      </w:r>
    </w:p>
    <w:p w14:paraId="05D25245" w14:textId="77777777" w:rsidR="00BB7B8E" w:rsidRPr="00B148F9" w:rsidRDefault="00BB7B8E" w:rsidP="00BB7B8E">
      <w:pPr>
        <w:autoSpaceDE w:val="0"/>
        <w:autoSpaceDN w:val="0"/>
        <w:adjustRightInd w:val="0"/>
        <w:rPr>
          <w:rFonts w:cs="HelveticaNeueLTStd-Lt"/>
        </w:rPr>
      </w:pPr>
    </w:p>
    <w:p w14:paraId="70AACDA5" w14:textId="77777777" w:rsidR="00BB7B8E" w:rsidRPr="00B148F9" w:rsidRDefault="00BB7B8E" w:rsidP="00BB7B8E">
      <w:pPr>
        <w:autoSpaceDE w:val="0"/>
        <w:autoSpaceDN w:val="0"/>
        <w:adjustRightInd w:val="0"/>
        <w:rPr>
          <w:rFonts w:cs="HelveticaNeueLTStd-Bd"/>
          <w:b/>
        </w:rPr>
      </w:pPr>
      <w:r w:rsidRPr="00B148F9">
        <w:rPr>
          <w:rFonts w:cs="HelveticaNeueLTStd-Bd"/>
          <w:b/>
        </w:rPr>
        <w:t>Amount of remuneration paid</w:t>
      </w:r>
    </w:p>
    <w:p w14:paraId="63A03610" w14:textId="11876062" w:rsidR="00BB7B8E" w:rsidRPr="00B148F9" w:rsidRDefault="00BB7B8E" w:rsidP="00BB7B8E">
      <w:pPr>
        <w:autoSpaceDE w:val="0"/>
        <w:autoSpaceDN w:val="0"/>
        <w:adjustRightInd w:val="0"/>
        <w:rPr>
          <w:rFonts w:cs="HelveticaNeueLTStd-Lt"/>
        </w:rPr>
      </w:pPr>
      <w:r w:rsidRPr="00B148F9">
        <w:rPr>
          <w:rFonts w:cs="HelveticaNeueLTStd-Lt"/>
        </w:rPr>
        <w:t>The Investment Manager paid the following remuneration to staff in respect of the financial year ending on 31 December 2019 in relation to work on the Company.</w:t>
      </w:r>
    </w:p>
    <w:p w14:paraId="1446FF39" w14:textId="77777777" w:rsidR="00BB7B8E" w:rsidRPr="00B148F9" w:rsidRDefault="00BB7B8E" w:rsidP="00BB7B8E">
      <w:pPr>
        <w:autoSpaceDE w:val="0"/>
        <w:autoSpaceDN w:val="0"/>
        <w:adjustRightInd w:val="0"/>
        <w:rPr>
          <w:rFonts w:cs="HelveticaNeueLTStd-Lt"/>
        </w:rPr>
      </w:pPr>
    </w:p>
    <w:tbl>
      <w:tblPr>
        <w:tblStyle w:val="TableGrid"/>
        <w:tblW w:w="0" w:type="auto"/>
        <w:jc w:val="center"/>
        <w:tblLook w:val="04A0" w:firstRow="1" w:lastRow="0" w:firstColumn="1" w:lastColumn="0" w:noHBand="0" w:noVBand="1"/>
      </w:tblPr>
      <w:tblGrid>
        <w:gridCol w:w="4621"/>
        <w:gridCol w:w="2291"/>
      </w:tblGrid>
      <w:tr w:rsidR="00BB7B8E" w:rsidRPr="00B148F9" w14:paraId="62EB62B4" w14:textId="77777777" w:rsidTr="00184CF4">
        <w:trPr>
          <w:jc w:val="center"/>
        </w:trPr>
        <w:tc>
          <w:tcPr>
            <w:tcW w:w="4621" w:type="dxa"/>
          </w:tcPr>
          <w:p w14:paraId="02B9E768" w14:textId="77777777" w:rsidR="00BB7B8E" w:rsidRPr="00B148F9" w:rsidRDefault="00BB7B8E" w:rsidP="00184CF4">
            <w:pPr>
              <w:autoSpaceDE w:val="0"/>
              <w:autoSpaceDN w:val="0"/>
              <w:adjustRightInd w:val="0"/>
              <w:rPr>
                <w:rFonts w:cs="HelveticaNeueLTStd-Md"/>
              </w:rPr>
            </w:pPr>
          </w:p>
        </w:tc>
        <w:tc>
          <w:tcPr>
            <w:tcW w:w="2291" w:type="dxa"/>
          </w:tcPr>
          <w:p w14:paraId="30EF2F03" w14:textId="24C8D4D3" w:rsidR="00BB7B8E" w:rsidRPr="00B148F9" w:rsidRDefault="00BB7B8E">
            <w:pPr>
              <w:autoSpaceDE w:val="0"/>
              <w:autoSpaceDN w:val="0"/>
              <w:adjustRightInd w:val="0"/>
              <w:rPr>
                <w:rFonts w:cs="HelveticaNeueLTStd-Md"/>
              </w:rPr>
            </w:pPr>
            <w:r w:rsidRPr="00B148F9">
              <w:rPr>
                <w:rFonts w:cs="HelveticaNeueLTStd-Md"/>
              </w:rPr>
              <w:t>US$</w:t>
            </w:r>
            <w:r w:rsidR="001D0A80" w:rsidRPr="00B148F9">
              <w:rPr>
                <w:rFonts w:cs="HelveticaNeueLTStd-Md"/>
              </w:rPr>
              <w:t>’000</w:t>
            </w:r>
          </w:p>
        </w:tc>
      </w:tr>
      <w:tr w:rsidR="00BB7B8E" w:rsidRPr="00B148F9" w14:paraId="195A9F43" w14:textId="77777777" w:rsidTr="00184CF4">
        <w:trPr>
          <w:jc w:val="center"/>
        </w:trPr>
        <w:tc>
          <w:tcPr>
            <w:tcW w:w="4621" w:type="dxa"/>
          </w:tcPr>
          <w:p w14:paraId="7B367159" w14:textId="77777777" w:rsidR="00BB7B8E" w:rsidRPr="00B148F9" w:rsidRDefault="00BB7B8E" w:rsidP="00184CF4">
            <w:pPr>
              <w:autoSpaceDE w:val="0"/>
              <w:autoSpaceDN w:val="0"/>
              <w:adjustRightInd w:val="0"/>
              <w:rPr>
                <w:rFonts w:cs="HelveticaNeueLTStd-Md"/>
              </w:rPr>
            </w:pPr>
            <w:r w:rsidRPr="00B148F9">
              <w:rPr>
                <w:rFonts w:cs="HelveticaNeueLTStd-Lt"/>
              </w:rPr>
              <w:t>Fixed remuneration</w:t>
            </w:r>
          </w:p>
        </w:tc>
        <w:tc>
          <w:tcPr>
            <w:tcW w:w="2291" w:type="dxa"/>
          </w:tcPr>
          <w:p w14:paraId="72A75AFD" w14:textId="7B40A070" w:rsidR="00BB7B8E" w:rsidRPr="00B148F9" w:rsidRDefault="001D0A80" w:rsidP="00184CF4">
            <w:pPr>
              <w:autoSpaceDE w:val="0"/>
              <w:autoSpaceDN w:val="0"/>
              <w:adjustRightInd w:val="0"/>
              <w:rPr>
                <w:rFonts w:cs="HelveticaNeueLTStd-Md"/>
              </w:rPr>
            </w:pPr>
            <w:r w:rsidRPr="00B148F9">
              <w:rPr>
                <w:rFonts w:cs="HelveticaNeueLTStd-Md"/>
              </w:rPr>
              <w:t>156</w:t>
            </w:r>
          </w:p>
        </w:tc>
      </w:tr>
      <w:tr w:rsidR="00BB7B8E" w:rsidRPr="00B148F9" w14:paraId="1F9B8293" w14:textId="77777777" w:rsidTr="00184CF4">
        <w:trPr>
          <w:jc w:val="center"/>
        </w:trPr>
        <w:tc>
          <w:tcPr>
            <w:tcW w:w="4621" w:type="dxa"/>
          </w:tcPr>
          <w:p w14:paraId="449C90DA" w14:textId="77777777" w:rsidR="00BB7B8E" w:rsidRPr="00B148F9" w:rsidRDefault="00BB7B8E" w:rsidP="00184CF4">
            <w:pPr>
              <w:autoSpaceDE w:val="0"/>
              <w:autoSpaceDN w:val="0"/>
              <w:adjustRightInd w:val="0"/>
              <w:rPr>
                <w:rFonts w:cs="HelveticaNeueLTStd-Md"/>
              </w:rPr>
            </w:pPr>
            <w:r w:rsidRPr="00B148F9">
              <w:rPr>
                <w:rFonts w:cs="HelveticaNeueLTStd-Lt"/>
              </w:rPr>
              <w:t>Variable remuneration</w:t>
            </w:r>
          </w:p>
        </w:tc>
        <w:tc>
          <w:tcPr>
            <w:tcW w:w="2291" w:type="dxa"/>
          </w:tcPr>
          <w:p w14:paraId="456DC7EC" w14:textId="488DF2BE" w:rsidR="00BB7B8E" w:rsidRPr="00B148F9" w:rsidRDefault="001D0A80" w:rsidP="00184CF4">
            <w:pPr>
              <w:autoSpaceDE w:val="0"/>
              <w:autoSpaceDN w:val="0"/>
              <w:adjustRightInd w:val="0"/>
              <w:rPr>
                <w:rFonts w:cs="HelveticaNeueLTStd-Md"/>
              </w:rPr>
            </w:pPr>
            <w:r w:rsidRPr="00B148F9">
              <w:rPr>
                <w:rFonts w:cs="HelveticaNeueLTStd-Md"/>
              </w:rPr>
              <w:t>362</w:t>
            </w:r>
          </w:p>
        </w:tc>
      </w:tr>
      <w:tr w:rsidR="00BB7B8E" w:rsidRPr="00B148F9" w14:paraId="7562A078" w14:textId="77777777" w:rsidTr="00184CF4">
        <w:trPr>
          <w:jc w:val="center"/>
        </w:trPr>
        <w:tc>
          <w:tcPr>
            <w:tcW w:w="4621" w:type="dxa"/>
          </w:tcPr>
          <w:p w14:paraId="2BED1313" w14:textId="77777777" w:rsidR="00BB7B8E" w:rsidRPr="00B148F9" w:rsidRDefault="00BB7B8E" w:rsidP="00184CF4">
            <w:pPr>
              <w:autoSpaceDE w:val="0"/>
              <w:autoSpaceDN w:val="0"/>
              <w:adjustRightInd w:val="0"/>
              <w:rPr>
                <w:rFonts w:cs="HelveticaNeueLTStd-Md"/>
              </w:rPr>
            </w:pPr>
            <w:r w:rsidRPr="00B148F9">
              <w:rPr>
                <w:rFonts w:cs="HelveticaNeueLTStd-Lt"/>
              </w:rPr>
              <w:t>Total remuneration</w:t>
            </w:r>
          </w:p>
        </w:tc>
        <w:tc>
          <w:tcPr>
            <w:tcW w:w="2291" w:type="dxa"/>
          </w:tcPr>
          <w:p w14:paraId="4101994B" w14:textId="147B49A3" w:rsidR="00BB7B8E" w:rsidRPr="00B148F9" w:rsidRDefault="001D0A80" w:rsidP="00184CF4">
            <w:pPr>
              <w:autoSpaceDE w:val="0"/>
              <w:autoSpaceDN w:val="0"/>
              <w:adjustRightInd w:val="0"/>
              <w:rPr>
                <w:rFonts w:cs="HelveticaNeueLTStd-Md"/>
              </w:rPr>
            </w:pPr>
            <w:r w:rsidRPr="00B148F9">
              <w:rPr>
                <w:rFonts w:cs="HelveticaNeueLTStd-Md"/>
              </w:rPr>
              <w:t>518</w:t>
            </w:r>
          </w:p>
        </w:tc>
      </w:tr>
      <w:tr w:rsidR="00BB7B8E" w:rsidRPr="00B148F9" w14:paraId="167C1879" w14:textId="77777777" w:rsidTr="00184CF4">
        <w:trPr>
          <w:jc w:val="center"/>
        </w:trPr>
        <w:tc>
          <w:tcPr>
            <w:tcW w:w="4621" w:type="dxa"/>
          </w:tcPr>
          <w:p w14:paraId="63B30DB5" w14:textId="77777777" w:rsidR="00BB7B8E" w:rsidRPr="00B148F9" w:rsidRDefault="00BB7B8E" w:rsidP="00184CF4">
            <w:pPr>
              <w:autoSpaceDE w:val="0"/>
              <w:autoSpaceDN w:val="0"/>
              <w:adjustRightInd w:val="0"/>
              <w:rPr>
                <w:rFonts w:cs="HelveticaNeueLTStd-Md"/>
              </w:rPr>
            </w:pPr>
            <w:r w:rsidRPr="00B148F9">
              <w:rPr>
                <w:rFonts w:cs="HelveticaNeueLTStd-Lt"/>
              </w:rPr>
              <w:t>Number of beneficiaries</w:t>
            </w:r>
          </w:p>
        </w:tc>
        <w:tc>
          <w:tcPr>
            <w:tcW w:w="2291" w:type="dxa"/>
          </w:tcPr>
          <w:p w14:paraId="6721CB2B" w14:textId="0F500CF7" w:rsidR="00BB7B8E" w:rsidRPr="00B148F9" w:rsidRDefault="001D0A80" w:rsidP="00184CF4">
            <w:pPr>
              <w:autoSpaceDE w:val="0"/>
              <w:autoSpaceDN w:val="0"/>
              <w:adjustRightInd w:val="0"/>
              <w:rPr>
                <w:rFonts w:cs="HelveticaNeueLTStd-Md"/>
              </w:rPr>
            </w:pPr>
            <w:r w:rsidRPr="00B148F9">
              <w:rPr>
                <w:rFonts w:cs="HelveticaNeueLTStd-Md"/>
              </w:rPr>
              <w:t>23</w:t>
            </w:r>
          </w:p>
        </w:tc>
      </w:tr>
    </w:tbl>
    <w:p w14:paraId="31C3AA5B" w14:textId="0D4C1A2D" w:rsidR="00BB7B8E" w:rsidRPr="00B148F9" w:rsidRDefault="00BB7B8E" w:rsidP="00BB7B8E">
      <w:pPr>
        <w:autoSpaceDE w:val="0"/>
        <w:autoSpaceDN w:val="0"/>
        <w:adjustRightInd w:val="0"/>
        <w:rPr>
          <w:rFonts w:cs="HelveticaNeueLTStd-Bd"/>
        </w:rPr>
      </w:pPr>
    </w:p>
    <w:p w14:paraId="3B94F2CF" w14:textId="344CA9E9" w:rsidR="001D0A80" w:rsidRPr="00B148F9" w:rsidRDefault="001D0A80" w:rsidP="00BB7B8E">
      <w:pPr>
        <w:autoSpaceDE w:val="0"/>
        <w:autoSpaceDN w:val="0"/>
        <w:adjustRightInd w:val="0"/>
        <w:rPr>
          <w:rFonts w:cs="HelveticaNeueLTStd-Bd"/>
        </w:rPr>
      </w:pPr>
      <w:r w:rsidRPr="00B148F9">
        <w:rPr>
          <w:rFonts w:cs="HelveticaNeueLTStd-Bd"/>
        </w:rPr>
        <w:t>The amount of the aggregate remuneration paid (or to be paid) by the Investment Manager to its partners which has been attributed to the Company in respect of the financial year ending on 31 December 2019 was US$10.6 million. The amount of the total remuneration paid by the Investment Manager to members of its staff whose actions have a material impact on the risk profile of the Company which has been attributed to the Company in respect of financial year ending on 31 December 2019 was $9.6 million.</w:t>
      </w:r>
    </w:p>
    <w:p w14:paraId="0654F805" w14:textId="77777777" w:rsidR="001D0A80" w:rsidRPr="00B148F9" w:rsidRDefault="001D0A80" w:rsidP="00BB7B8E">
      <w:pPr>
        <w:autoSpaceDE w:val="0"/>
        <w:autoSpaceDN w:val="0"/>
        <w:adjustRightInd w:val="0"/>
        <w:rPr>
          <w:rFonts w:cs="HelveticaNeueLTStd-Bd"/>
        </w:rPr>
      </w:pPr>
    </w:p>
    <w:p w14:paraId="3A6B3B14" w14:textId="77777777" w:rsidR="00BB7B8E" w:rsidRPr="00B148F9" w:rsidRDefault="00BB7B8E" w:rsidP="00BB7B8E">
      <w:pPr>
        <w:autoSpaceDE w:val="0"/>
        <w:autoSpaceDN w:val="0"/>
        <w:adjustRightInd w:val="0"/>
        <w:rPr>
          <w:rFonts w:cs="HelveticaNeueLTStd-Bd"/>
          <w:b/>
        </w:rPr>
      </w:pPr>
      <w:r w:rsidRPr="00B148F9">
        <w:rPr>
          <w:rFonts w:cs="HelveticaNeueLTStd-Bd"/>
          <w:b/>
        </w:rPr>
        <w:t>Leverage</w:t>
      </w:r>
    </w:p>
    <w:p w14:paraId="3EC635D3" w14:textId="494EAA69" w:rsidR="00BB7B8E" w:rsidRPr="00B148F9" w:rsidRDefault="00BB7B8E" w:rsidP="00BB7B8E">
      <w:pPr>
        <w:autoSpaceDE w:val="0"/>
        <w:autoSpaceDN w:val="0"/>
        <w:adjustRightInd w:val="0"/>
        <w:rPr>
          <w:rFonts w:cs="HelveticaNeueLTStd-Lt"/>
        </w:rPr>
      </w:pPr>
      <w:r w:rsidRPr="00B148F9">
        <w:rPr>
          <w:rFonts w:cs="HelveticaNeueLTStd-Lt"/>
        </w:rPr>
        <w:t xml:space="preserve">The Company may employ leverage and borrow cash, up to a maximum of </w:t>
      </w:r>
      <w:r w:rsidR="004B5D7A" w:rsidRPr="00B148F9">
        <w:rPr>
          <w:rFonts w:cs="HelveticaNeueLTStd-Lt"/>
        </w:rPr>
        <w:t>5</w:t>
      </w:r>
      <w:r w:rsidRPr="00B148F9">
        <w:rPr>
          <w:rFonts w:cs="HelveticaNeueLTStd-Lt"/>
        </w:rPr>
        <w:t>0 per cent. of the NAV at the time of incurrence, in accordance with its stated investment policy. The use of borrowings and leverage has attendant risks and can, in certain circumstances, substantially increase the adverse impact to which the Company’s investment portfolio may be subject. For the purposes of this disclosure, leverage is any method by which the Company’s exposure is increased, whether through borrowing of cash or securities, or leverage embedded in foreign exchange forward contracts or by any other means. AIFMD requires that each leverage ratio be expressed as the ratio between a Company’s exposure and its net asset value, and prescribes two required methodologies, the gross methodology and the commitment methodology (as set out in AIFMD Level 2 Implementation Guidance), for calculating such exposure. Using the methodologies prescribed under AIFMD, the leverage of the Company is detailed in the table below:</w:t>
      </w:r>
    </w:p>
    <w:p w14:paraId="550BA509" w14:textId="77777777" w:rsidR="00BB7B8E" w:rsidRPr="00B148F9" w:rsidRDefault="00BB7B8E" w:rsidP="00BB7B8E">
      <w:pPr>
        <w:autoSpaceDE w:val="0"/>
        <w:autoSpaceDN w:val="0"/>
        <w:adjustRightInd w:val="0"/>
        <w:rPr>
          <w:rFonts w:cs="HelveticaNeueLTStd-Lt"/>
        </w:rPr>
      </w:pPr>
    </w:p>
    <w:tbl>
      <w:tblPr>
        <w:tblStyle w:val="TableGrid"/>
        <w:tblW w:w="0" w:type="auto"/>
        <w:tblLook w:val="04A0" w:firstRow="1" w:lastRow="0" w:firstColumn="1" w:lastColumn="0" w:noHBand="0" w:noVBand="1"/>
      </w:tblPr>
      <w:tblGrid>
        <w:gridCol w:w="3001"/>
        <w:gridCol w:w="3016"/>
        <w:gridCol w:w="2999"/>
      </w:tblGrid>
      <w:tr w:rsidR="00BB7B8E" w:rsidRPr="00B148F9" w14:paraId="0788B829" w14:textId="77777777" w:rsidTr="00BB7B8E">
        <w:tc>
          <w:tcPr>
            <w:tcW w:w="3001" w:type="dxa"/>
          </w:tcPr>
          <w:p w14:paraId="3AC72BC0" w14:textId="77777777" w:rsidR="00BB7B8E" w:rsidRPr="00B148F9" w:rsidRDefault="00BB7B8E" w:rsidP="00184CF4">
            <w:pPr>
              <w:autoSpaceDE w:val="0"/>
              <w:autoSpaceDN w:val="0"/>
              <w:adjustRightInd w:val="0"/>
              <w:rPr>
                <w:rFonts w:cs="HelveticaNeueLTStd-Lt"/>
              </w:rPr>
            </w:pPr>
          </w:p>
        </w:tc>
        <w:tc>
          <w:tcPr>
            <w:tcW w:w="3016" w:type="dxa"/>
          </w:tcPr>
          <w:p w14:paraId="05E64AA8" w14:textId="77777777" w:rsidR="00BB7B8E" w:rsidRPr="00B148F9" w:rsidRDefault="00BB7B8E" w:rsidP="00184CF4">
            <w:pPr>
              <w:autoSpaceDE w:val="0"/>
              <w:autoSpaceDN w:val="0"/>
              <w:adjustRightInd w:val="0"/>
              <w:rPr>
                <w:rFonts w:cs="HelveticaNeueLTStd-Md"/>
              </w:rPr>
            </w:pPr>
            <w:r w:rsidRPr="00B148F9">
              <w:rPr>
                <w:rFonts w:cs="HelveticaNeueLTStd-Md"/>
              </w:rPr>
              <w:t>Commitment leverage as at</w:t>
            </w:r>
          </w:p>
          <w:p w14:paraId="6ECAC3B4" w14:textId="47996A5C" w:rsidR="00BB7B8E" w:rsidRPr="00B148F9" w:rsidRDefault="00BB7B8E" w:rsidP="00184CF4">
            <w:pPr>
              <w:autoSpaceDE w:val="0"/>
              <w:autoSpaceDN w:val="0"/>
              <w:adjustRightInd w:val="0"/>
              <w:rPr>
                <w:rFonts w:cs="HelveticaNeueLTStd-Md"/>
              </w:rPr>
            </w:pPr>
            <w:r w:rsidRPr="00B148F9">
              <w:rPr>
                <w:rFonts w:cs="HelveticaNeueLTStd-Md"/>
              </w:rPr>
              <w:t xml:space="preserve">31 </w:t>
            </w:r>
            <w:r w:rsidR="00CE173C" w:rsidRPr="00B148F9">
              <w:rPr>
                <w:rFonts w:cs="HelveticaNeueLTStd-Md"/>
              </w:rPr>
              <w:t xml:space="preserve">December </w:t>
            </w:r>
            <w:r w:rsidRPr="00B148F9">
              <w:rPr>
                <w:rFonts w:cs="HelveticaNeueLTStd-Md"/>
              </w:rPr>
              <w:t>2019</w:t>
            </w:r>
          </w:p>
          <w:p w14:paraId="73C2C4D4" w14:textId="77777777" w:rsidR="00BB7B8E" w:rsidRPr="00B148F9" w:rsidRDefault="00BB7B8E" w:rsidP="00184CF4">
            <w:pPr>
              <w:autoSpaceDE w:val="0"/>
              <w:autoSpaceDN w:val="0"/>
              <w:adjustRightInd w:val="0"/>
              <w:rPr>
                <w:rFonts w:cs="HelveticaNeueLTStd-Lt"/>
              </w:rPr>
            </w:pPr>
          </w:p>
        </w:tc>
        <w:tc>
          <w:tcPr>
            <w:tcW w:w="2999" w:type="dxa"/>
          </w:tcPr>
          <w:p w14:paraId="06095B34" w14:textId="77B23843" w:rsidR="00BB7B8E" w:rsidRPr="00B148F9" w:rsidRDefault="00BB7B8E" w:rsidP="00184CF4">
            <w:pPr>
              <w:autoSpaceDE w:val="0"/>
              <w:autoSpaceDN w:val="0"/>
              <w:adjustRightInd w:val="0"/>
              <w:rPr>
                <w:rFonts w:cs="HelveticaNeueLTStd-Md"/>
              </w:rPr>
            </w:pPr>
            <w:r w:rsidRPr="00B148F9">
              <w:rPr>
                <w:rFonts w:cs="HelveticaNeueLTStd-Md"/>
              </w:rPr>
              <w:t xml:space="preserve">Gross leverage as at 31 </w:t>
            </w:r>
            <w:r w:rsidR="00CE173C" w:rsidRPr="00B148F9">
              <w:rPr>
                <w:rFonts w:cs="HelveticaNeueLTStd-Md"/>
              </w:rPr>
              <w:t xml:space="preserve">December </w:t>
            </w:r>
            <w:r w:rsidRPr="00B148F9">
              <w:rPr>
                <w:rFonts w:cs="HelveticaNeueLTStd-Md"/>
              </w:rPr>
              <w:t>2019</w:t>
            </w:r>
          </w:p>
          <w:p w14:paraId="2FFC9263" w14:textId="77777777" w:rsidR="00BB7B8E" w:rsidRPr="00B148F9" w:rsidRDefault="00BB7B8E" w:rsidP="00184CF4">
            <w:pPr>
              <w:autoSpaceDE w:val="0"/>
              <w:autoSpaceDN w:val="0"/>
              <w:adjustRightInd w:val="0"/>
              <w:rPr>
                <w:rFonts w:cs="HelveticaNeueLTStd-Lt"/>
              </w:rPr>
            </w:pPr>
          </w:p>
        </w:tc>
      </w:tr>
      <w:tr w:rsidR="00BB7B8E" w:rsidRPr="00B148F9" w14:paraId="28A35FC3" w14:textId="77777777" w:rsidTr="00BB7B8E">
        <w:tc>
          <w:tcPr>
            <w:tcW w:w="3001" w:type="dxa"/>
          </w:tcPr>
          <w:p w14:paraId="230DA85B" w14:textId="77777777" w:rsidR="00BB7B8E" w:rsidRPr="00B148F9" w:rsidRDefault="00BB7B8E" w:rsidP="00184CF4">
            <w:pPr>
              <w:autoSpaceDE w:val="0"/>
              <w:autoSpaceDN w:val="0"/>
              <w:adjustRightInd w:val="0"/>
              <w:rPr>
                <w:rFonts w:cs="HelveticaNeueLTStd-Lt"/>
              </w:rPr>
            </w:pPr>
            <w:r w:rsidRPr="00B148F9">
              <w:rPr>
                <w:rFonts w:cs="HelveticaNeueLTStd-Lt"/>
              </w:rPr>
              <w:t>Leverage ratio</w:t>
            </w:r>
          </w:p>
        </w:tc>
        <w:tc>
          <w:tcPr>
            <w:tcW w:w="3016" w:type="dxa"/>
          </w:tcPr>
          <w:p w14:paraId="5E006C05" w14:textId="2880EC29" w:rsidR="00BB7B8E" w:rsidRPr="00B148F9" w:rsidRDefault="00C60076" w:rsidP="00BB7B8E">
            <w:pPr>
              <w:autoSpaceDE w:val="0"/>
              <w:autoSpaceDN w:val="0"/>
              <w:adjustRightInd w:val="0"/>
              <w:jc w:val="right"/>
              <w:rPr>
                <w:rFonts w:cs="HelveticaNeueLTStd-Lt"/>
              </w:rPr>
            </w:pPr>
            <w:r>
              <w:rPr>
                <w:rFonts w:cs="HelveticaNeueLTStd-Lt"/>
              </w:rPr>
              <w:t>4</w:t>
            </w:r>
            <w:r w:rsidR="00BB7B8E" w:rsidRPr="00B148F9">
              <w:rPr>
                <w:rFonts w:cs="HelveticaNeueLTStd-Lt"/>
              </w:rPr>
              <w:t>%</w:t>
            </w:r>
          </w:p>
        </w:tc>
        <w:tc>
          <w:tcPr>
            <w:tcW w:w="2999" w:type="dxa"/>
          </w:tcPr>
          <w:p w14:paraId="513CE829" w14:textId="74F0A2E7" w:rsidR="00BB7B8E" w:rsidRPr="00B148F9" w:rsidRDefault="00C60076" w:rsidP="00BB7B8E">
            <w:pPr>
              <w:autoSpaceDE w:val="0"/>
              <w:autoSpaceDN w:val="0"/>
              <w:adjustRightInd w:val="0"/>
              <w:jc w:val="right"/>
              <w:rPr>
                <w:rFonts w:cs="HelveticaNeueLTStd-Lt"/>
              </w:rPr>
            </w:pPr>
            <w:r>
              <w:rPr>
                <w:rFonts w:cs="HelveticaNeueLTStd-Lt"/>
              </w:rPr>
              <w:t>4</w:t>
            </w:r>
            <w:r w:rsidR="00BB7B8E" w:rsidRPr="00B148F9">
              <w:rPr>
                <w:rFonts w:cs="HelveticaNeueLTStd-Lt"/>
              </w:rPr>
              <w:t>%</w:t>
            </w:r>
          </w:p>
        </w:tc>
      </w:tr>
    </w:tbl>
    <w:p w14:paraId="1E9D80C7" w14:textId="77777777" w:rsidR="00BB7B8E" w:rsidRPr="00B148F9" w:rsidRDefault="00BB7B8E" w:rsidP="00BB7B8E">
      <w:pPr>
        <w:autoSpaceDE w:val="0"/>
        <w:autoSpaceDN w:val="0"/>
        <w:adjustRightInd w:val="0"/>
        <w:rPr>
          <w:rFonts w:cs="HelveticaNeueLTStd-Lt"/>
        </w:rPr>
      </w:pPr>
    </w:p>
    <w:p w14:paraId="6EB73942" w14:textId="77777777" w:rsidR="00184CF4" w:rsidRPr="00B148F9" w:rsidRDefault="00184CF4" w:rsidP="00184CF4">
      <w:pPr>
        <w:autoSpaceDE w:val="0"/>
        <w:autoSpaceDN w:val="0"/>
        <w:adjustRightInd w:val="0"/>
        <w:rPr>
          <w:rFonts w:cs="HelveticaNeueLTStd-Bd"/>
          <w:b/>
          <w:szCs w:val="18"/>
        </w:rPr>
      </w:pPr>
      <w:r w:rsidRPr="00B148F9">
        <w:rPr>
          <w:rFonts w:cs="HelveticaNeueLTStd-Bd"/>
          <w:b/>
          <w:szCs w:val="18"/>
        </w:rPr>
        <w:lastRenderedPageBreak/>
        <w:t>Other risk disclosures</w:t>
      </w:r>
    </w:p>
    <w:p w14:paraId="061C84E1" w14:textId="4C459A7E" w:rsidR="00184CF4" w:rsidRPr="00B148F9" w:rsidRDefault="00184CF4" w:rsidP="00184CF4">
      <w:pPr>
        <w:autoSpaceDE w:val="0"/>
        <w:autoSpaceDN w:val="0"/>
        <w:adjustRightInd w:val="0"/>
        <w:rPr>
          <w:rFonts w:cs="HelveticaNeueLTStd-Lt"/>
          <w:szCs w:val="18"/>
        </w:rPr>
      </w:pPr>
      <w:r w:rsidRPr="00B148F9">
        <w:rPr>
          <w:rFonts w:cs="HelveticaNeueLTStd-Lt"/>
          <w:szCs w:val="18"/>
        </w:rPr>
        <w:t>The risk disclosures relating to risk framework and risk profile of the Company are set out in note 8 to the Financial Statements and the principal risks and uncertainties</w:t>
      </w:r>
      <w:r w:rsidR="00D502F5">
        <w:rPr>
          <w:rFonts w:cs="HelveticaNeueLTStd-Lt"/>
          <w:szCs w:val="18"/>
        </w:rPr>
        <w:t xml:space="preserve"> above</w:t>
      </w:r>
      <w:r w:rsidRPr="00B148F9">
        <w:rPr>
          <w:rFonts w:cs="HelveticaNeueLTStd-Lt"/>
          <w:szCs w:val="18"/>
        </w:rPr>
        <w:t>.</w:t>
      </w:r>
    </w:p>
    <w:p w14:paraId="0F224E6F" w14:textId="77777777" w:rsidR="00184CF4" w:rsidRPr="00B148F9" w:rsidRDefault="00184CF4" w:rsidP="00184CF4">
      <w:pPr>
        <w:autoSpaceDE w:val="0"/>
        <w:autoSpaceDN w:val="0"/>
        <w:adjustRightInd w:val="0"/>
        <w:rPr>
          <w:rFonts w:cs="HelveticaNeueLTStd-Lt"/>
          <w:szCs w:val="18"/>
        </w:rPr>
      </w:pPr>
    </w:p>
    <w:p w14:paraId="3227AF9F" w14:textId="77777777" w:rsidR="00184CF4" w:rsidRPr="00B148F9" w:rsidRDefault="00184CF4" w:rsidP="00184CF4">
      <w:pPr>
        <w:autoSpaceDE w:val="0"/>
        <w:autoSpaceDN w:val="0"/>
        <w:adjustRightInd w:val="0"/>
        <w:rPr>
          <w:rFonts w:cs="HelveticaNeueLTStd-Bd"/>
          <w:b/>
          <w:szCs w:val="18"/>
        </w:rPr>
      </w:pPr>
      <w:r w:rsidRPr="00B148F9">
        <w:rPr>
          <w:rFonts w:cs="HelveticaNeueLTStd-Bd"/>
          <w:b/>
          <w:szCs w:val="18"/>
        </w:rPr>
        <w:t>Pre-investment disclosures</w:t>
      </w:r>
    </w:p>
    <w:p w14:paraId="5A635A35" w14:textId="26FFFB78" w:rsidR="009E4CA7" w:rsidRDefault="00184CF4" w:rsidP="00184CF4">
      <w:pPr>
        <w:autoSpaceDE w:val="0"/>
        <w:autoSpaceDN w:val="0"/>
        <w:adjustRightInd w:val="0"/>
        <w:rPr>
          <w:rFonts w:cs="HelveticaNeueLTStd-Lt"/>
          <w:szCs w:val="18"/>
        </w:rPr>
      </w:pPr>
      <w:r w:rsidRPr="00B148F9">
        <w:rPr>
          <w:rFonts w:cs="HelveticaNeueLTStd-Lt"/>
          <w:szCs w:val="18"/>
        </w:rPr>
        <w:t>AIFMD requires certain information to be made available to investors in an Alternative Investment Fund (‘AIF’) before they invest and requires that material changes to this information be disclosed in the Annual Report of the AIF. There have been no material changes (other than those reflected in these financial statements) to this information requiring disclosure.</w:t>
      </w:r>
    </w:p>
    <w:p w14:paraId="413442BA" w14:textId="2E46745F" w:rsidR="009E4CA7" w:rsidRDefault="009E4CA7" w:rsidP="009E4CA7">
      <w:pPr>
        <w:pStyle w:val="Heading1"/>
        <w:jc w:val="left"/>
        <w:rPr>
          <w:sz w:val="20"/>
        </w:rPr>
      </w:pPr>
    </w:p>
    <w:p w14:paraId="5FEB2658" w14:textId="227E56B3" w:rsidR="009E4CA7" w:rsidRPr="009E4CA7" w:rsidRDefault="009E4CA7" w:rsidP="009E4CA7">
      <w:pPr>
        <w:jc w:val="center"/>
        <w:rPr>
          <w:b/>
        </w:rPr>
      </w:pPr>
      <w:r w:rsidRPr="009E4CA7">
        <w:rPr>
          <w:b/>
        </w:rPr>
        <w:t>Schedule of Key Service Providers</w:t>
      </w:r>
    </w:p>
    <w:p w14:paraId="63D0E193" w14:textId="04F49390" w:rsidR="009E4CA7" w:rsidRPr="009E4CA7" w:rsidRDefault="009E4CA7" w:rsidP="009E4CA7">
      <w:pPr>
        <w:jc w:val="center"/>
        <w:rPr>
          <w:b/>
        </w:rPr>
      </w:pPr>
      <w:r w:rsidRPr="009E4CA7">
        <w:rPr>
          <w:b/>
        </w:rPr>
        <w:t>For the year ended 31 December 2019</w:t>
      </w:r>
    </w:p>
    <w:p w14:paraId="65F58827" w14:textId="77777777" w:rsidR="009E4CA7" w:rsidRPr="009E4CA7" w:rsidRDefault="009E4CA7" w:rsidP="009E4CA7">
      <w:pPr>
        <w:jc w:val="center"/>
      </w:pPr>
    </w:p>
    <w:p w14:paraId="6DB35453" w14:textId="1AD03955" w:rsidR="009E4CA7" w:rsidRPr="00B148F9" w:rsidRDefault="009E4CA7" w:rsidP="009E4CA7">
      <w:pPr>
        <w:pStyle w:val="Heading1"/>
        <w:jc w:val="left"/>
        <w:rPr>
          <w:sz w:val="20"/>
        </w:rPr>
      </w:pPr>
      <w:r w:rsidRPr="00B148F9">
        <w:rPr>
          <w:sz w:val="20"/>
        </w:rPr>
        <w:t>General Information</w:t>
      </w:r>
    </w:p>
    <w:p w14:paraId="13B6F4A8" w14:textId="77777777" w:rsidR="009E4CA7" w:rsidRPr="00B148F9" w:rsidRDefault="009E4CA7" w:rsidP="009E4CA7">
      <w:pPr>
        <w:jc w:val="center"/>
        <w:rPr>
          <w:b/>
        </w:rPr>
      </w:pPr>
    </w:p>
    <w:tbl>
      <w:tblPr>
        <w:tblW w:w="9890" w:type="dxa"/>
        <w:tblLayout w:type="fixed"/>
        <w:tblLook w:val="0000" w:firstRow="0" w:lastRow="0" w:firstColumn="0" w:lastColumn="0" w:noHBand="0" w:noVBand="0"/>
      </w:tblPr>
      <w:tblGrid>
        <w:gridCol w:w="5070"/>
        <w:gridCol w:w="4820"/>
      </w:tblGrid>
      <w:tr w:rsidR="009E4CA7" w:rsidRPr="00B148F9" w14:paraId="01811F89" w14:textId="77777777" w:rsidTr="00485A2B">
        <w:trPr>
          <w:trHeight w:val="891"/>
        </w:trPr>
        <w:tc>
          <w:tcPr>
            <w:tcW w:w="5070" w:type="dxa"/>
          </w:tcPr>
          <w:p w14:paraId="6CD49849" w14:textId="77777777" w:rsidR="009E4CA7" w:rsidRPr="00B148F9" w:rsidRDefault="009E4CA7" w:rsidP="00485A2B">
            <w:pPr>
              <w:jc w:val="left"/>
              <w:rPr>
                <w:rFonts w:cs="Arial"/>
                <w:b/>
              </w:rPr>
            </w:pPr>
            <w:r w:rsidRPr="00B148F9">
              <w:rPr>
                <w:rFonts w:cs="Arial"/>
                <w:b/>
              </w:rPr>
              <w:t>Board of Directors</w:t>
            </w:r>
          </w:p>
          <w:p w14:paraId="32E31EC2" w14:textId="77777777" w:rsidR="009E4CA7" w:rsidRPr="00B148F9" w:rsidRDefault="009E4CA7" w:rsidP="00485A2B">
            <w:pPr>
              <w:jc w:val="left"/>
              <w:rPr>
                <w:rFonts w:cs="Arial"/>
              </w:rPr>
            </w:pPr>
            <w:r w:rsidRPr="00B148F9">
              <w:rPr>
                <w:rFonts w:cs="Arial"/>
              </w:rPr>
              <w:t>William Simpson (Chairman)</w:t>
            </w:r>
          </w:p>
          <w:p w14:paraId="4E1FC43B" w14:textId="77777777" w:rsidR="009E4CA7" w:rsidRPr="00B148F9" w:rsidRDefault="009E4CA7" w:rsidP="00485A2B">
            <w:pPr>
              <w:jc w:val="left"/>
              <w:rPr>
                <w:rFonts w:cs="Arial"/>
              </w:rPr>
            </w:pPr>
            <w:r w:rsidRPr="00B148F9">
              <w:rPr>
                <w:rFonts w:cs="Arial"/>
              </w:rPr>
              <w:t>Paul Le Page (Chairman of Audit Committee)</w:t>
            </w:r>
          </w:p>
          <w:p w14:paraId="33B7D769" w14:textId="77777777" w:rsidR="009E4CA7" w:rsidRPr="00B148F9" w:rsidRDefault="009E4CA7" w:rsidP="00485A2B">
            <w:pPr>
              <w:jc w:val="left"/>
              <w:rPr>
                <w:rFonts w:cs="Arial"/>
              </w:rPr>
            </w:pPr>
            <w:r w:rsidRPr="00B148F9">
              <w:rPr>
                <w:rFonts w:cs="Arial"/>
              </w:rPr>
              <w:t>William Scott (appointed 3 October 2019)</w:t>
            </w:r>
          </w:p>
          <w:p w14:paraId="2ECFB807" w14:textId="77777777" w:rsidR="009E4CA7" w:rsidRPr="00B148F9" w:rsidRDefault="009E4CA7" w:rsidP="00485A2B">
            <w:pPr>
              <w:jc w:val="left"/>
              <w:rPr>
                <w:rFonts w:cs="Arial"/>
              </w:rPr>
            </w:pPr>
            <w:r w:rsidRPr="00B148F9">
              <w:rPr>
                <w:rFonts w:cs="Arial"/>
              </w:rPr>
              <w:t>Stephanie Sirota</w:t>
            </w:r>
          </w:p>
          <w:p w14:paraId="71D3B90F" w14:textId="77777777" w:rsidR="009E4CA7" w:rsidRPr="00B148F9" w:rsidRDefault="009E4CA7" w:rsidP="00485A2B">
            <w:pPr>
              <w:jc w:val="left"/>
              <w:rPr>
                <w:rFonts w:cs="Arial"/>
                <w:sz w:val="16"/>
                <w:szCs w:val="16"/>
              </w:rPr>
            </w:pPr>
          </w:p>
          <w:p w14:paraId="626F7074" w14:textId="77777777" w:rsidR="009E4CA7" w:rsidRPr="00B148F9" w:rsidRDefault="009E4CA7" w:rsidP="00485A2B">
            <w:pPr>
              <w:jc w:val="left"/>
              <w:rPr>
                <w:rFonts w:cs="Arial"/>
                <w:i/>
                <w:sz w:val="16"/>
                <w:szCs w:val="16"/>
              </w:rPr>
            </w:pPr>
            <w:r w:rsidRPr="00B148F9">
              <w:rPr>
                <w:rFonts w:cs="Arial"/>
                <w:i/>
                <w:sz w:val="16"/>
                <w:szCs w:val="16"/>
              </w:rPr>
              <w:t>All of the above are non-executive, including the Chairman, and were appointed on 2 October 2019 unless otherwise stated.</w:t>
            </w:r>
          </w:p>
          <w:p w14:paraId="683A03A8" w14:textId="77777777" w:rsidR="009E4CA7" w:rsidRPr="00B148F9" w:rsidRDefault="009E4CA7" w:rsidP="00485A2B">
            <w:pPr>
              <w:jc w:val="left"/>
              <w:rPr>
                <w:rFonts w:cs="Arial"/>
                <w:i/>
                <w:sz w:val="16"/>
                <w:szCs w:val="16"/>
              </w:rPr>
            </w:pPr>
          </w:p>
          <w:p w14:paraId="14AB24FE" w14:textId="77777777" w:rsidR="009E4CA7" w:rsidRPr="00B148F9" w:rsidRDefault="009E4CA7" w:rsidP="00485A2B">
            <w:pPr>
              <w:jc w:val="left"/>
              <w:rPr>
                <w:rFonts w:cs="Arial"/>
                <w:b/>
              </w:rPr>
            </w:pPr>
            <w:r w:rsidRPr="00B148F9">
              <w:rPr>
                <w:rFonts w:cs="Arial"/>
                <w:b/>
              </w:rPr>
              <w:t>Investment Manager and AIFM</w:t>
            </w:r>
            <w:r w:rsidRPr="00B148F9">
              <w:rPr>
                <w:rFonts w:cs="Arial"/>
                <w:b/>
              </w:rPr>
              <w:tab/>
            </w:r>
            <w:r w:rsidRPr="00B148F9">
              <w:rPr>
                <w:rFonts w:cs="Arial"/>
                <w:b/>
              </w:rPr>
              <w:tab/>
            </w:r>
          </w:p>
          <w:p w14:paraId="04B6D967" w14:textId="77777777" w:rsidR="009E4CA7" w:rsidRPr="00251CF4" w:rsidRDefault="009E4CA7" w:rsidP="00485A2B">
            <w:pPr>
              <w:jc w:val="left"/>
              <w:rPr>
                <w:rFonts w:cs="Arial"/>
              </w:rPr>
            </w:pPr>
            <w:r w:rsidRPr="00B148F9">
              <w:rPr>
                <w:rFonts w:cs="Arial"/>
              </w:rPr>
              <w:t>RTW Investments,</w:t>
            </w:r>
            <w:r w:rsidRPr="00251CF4">
              <w:rPr>
                <w:rFonts w:cs="Arial"/>
              </w:rPr>
              <w:t xml:space="preserve"> LP</w:t>
            </w:r>
          </w:p>
          <w:p w14:paraId="75BEEF93" w14:textId="77777777" w:rsidR="009E4CA7" w:rsidRPr="00B148F9" w:rsidRDefault="009E4CA7" w:rsidP="00485A2B">
            <w:pPr>
              <w:jc w:val="left"/>
              <w:rPr>
                <w:rFonts w:cs="Arial"/>
              </w:rPr>
            </w:pPr>
            <w:r w:rsidRPr="00B148F9">
              <w:rPr>
                <w:rFonts w:cs="Arial"/>
              </w:rPr>
              <w:t>412 West 15</w:t>
            </w:r>
            <w:r w:rsidRPr="00B148F9">
              <w:rPr>
                <w:rFonts w:cs="Arial"/>
                <w:vertAlign w:val="superscript"/>
              </w:rPr>
              <w:t>th</w:t>
            </w:r>
            <w:r w:rsidRPr="00B148F9">
              <w:rPr>
                <w:rFonts w:cs="Arial"/>
              </w:rPr>
              <w:t xml:space="preserve"> Street</w:t>
            </w:r>
          </w:p>
          <w:p w14:paraId="38F9CC38" w14:textId="77777777" w:rsidR="009E4CA7" w:rsidRPr="00B148F9" w:rsidRDefault="009E4CA7" w:rsidP="00485A2B">
            <w:pPr>
              <w:jc w:val="left"/>
              <w:rPr>
                <w:rFonts w:cs="Arial"/>
              </w:rPr>
            </w:pPr>
            <w:r w:rsidRPr="00B148F9">
              <w:rPr>
                <w:rFonts w:cs="Arial"/>
              </w:rPr>
              <w:t>Floor 9</w:t>
            </w:r>
          </w:p>
          <w:p w14:paraId="621C56E2" w14:textId="77777777" w:rsidR="009E4CA7" w:rsidRPr="00B148F9" w:rsidRDefault="009E4CA7" w:rsidP="00485A2B">
            <w:pPr>
              <w:jc w:val="left"/>
              <w:rPr>
                <w:rFonts w:cs="Arial"/>
              </w:rPr>
            </w:pPr>
            <w:r w:rsidRPr="00B148F9">
              <w:rPr>
                <w:rFonts w:cs="Arial"/>
              </w:rPr>
              <w:t>New York</w:t>
            </w:r>
          </w:p>
          <w:p w14:paraId="743E146F" w14:textId="77777777" w:rsidR="009E4CA7" w:rsidRPr="00B148F9" w:rsidRDefault="009E4CA7" w:rsidP="00485A2B">
            <w:pPr>
              <w:jc w:val="left"/>
              <w:rPr>
                <w:rFonts w:cs="Arial"/>
              </w:rPr>
            </w:pPr>
            <w:r w:rsidRPr="00B148F9">
              <w:rPr>
                <w:rFonts w:cs="Arial"/>
              </w:rPr>
              <w:t>NY 10011</w:t>
            </w:r>
          </w:p>
          <w:p w14:paraId="0CA2DB97" w14:textId="77777777" w:rsidR="009E4CA7" w:rsidRPr="00B148F9" w:rsidRDefault="009E4CA7" w:rsidP="00485A2B">
            <w:pPr>
              <w:jc w:val="left"/>
              <w:rPr>
                <w:rFonts w:cs="Arial"/>
              </w:rPr>
            </w:pPr>
            <w:r w:rsidRPr="00B148F9">
              <w:rPr>
                <w:rFonts w:cs="Arial"/>
              </w:rPr>
              <w:t>United States of America</w:t>
            </w:r>
          </w:p>
          <w:p w14:paraId="5ECEEDAB" w14:textId="77777777" w:rsidR="009E4CA7" w:rsidRPr="00B148F9" w:rsidRDefault="009E4CA7" w:rsidP="00485A2B">
            <w:pPr>
              <w:jc w:val="left"/>
              <w:rPr>
                <w:rFonts w:cs="Arial"/>
              </w:rPr>
            </w:pPr>
          </w:p>
          <w:p w14:paraId="4380B3B4" w14:textId="77777777" w:rsidR="009E4CA7" w:rsidRPr="00B148F9" w:rsidRDefault="009E4CA7" w:rsidP="00485A2B">
            <w:pPr>
              <w:jc w:val="left"/>
              <w:rPr>
                <w:rFonts w:cs="Arial"/>
                <w:b/>
              </w:rPr>
            </w:pPr>
            <w:r w:rsidRPr="00B148F9">
              <w:rPr>
                <w:rFonts w:cs="Arial"/>
                <w:b/>
              </w:rPr>
              <w:t>Registered office</w:t>
            </w:r>
            <w:r w:rsidRPr="00B148F9">
              <w:rPr>
                <w:rFonts w:cs="Arial"/>
              </w:rPr>
              <w:t>***</w:t>
            </w:r>
            <w:r w:rsidRPr="00B148F9">
              <w:rPr>
                <w:rFonts w:cs="Arial"/>
                <w:b/>
              </w:rPr>
              <w:tab/>
              <w:t xml:space="preserve"> </w:t>
            </w:r>
          </w:p>
          <w:p w14:paraId="3B7AE086" w14:textId="77777777" w:rsidR="009E4CA7" w:rsidRPr="00B148F9" w:rsidRDefault="009E4CA7" w:rsidP="00485A2B">
            <w:pPr>
              <w:jc w:val="left"/>
              <w:rPr>
                <w:rFonts w:cs="Arial"/>
              </w:rPr>
            </w:pPr>
            <w:r w:rsidRPr="00B148F9">
              <w:rPr>
                <w:rFonts w:cs="Arial"/>
              </w:rPr>
              <w:t>PO Box 286</w:t>
            </w:r>
          </w:p>
          <w:p w14:paraId="7404503D" w14:textId="77777777" w:rsidR="009E4CA7" w:rsidRPr="00B148F9" w:rsidRDefault="009E4CA7" w:rsidP="00485A2B">
            <w:pPr>
              <w:jc w:val="left"/>
              <w:rPr>
                <w:rFonts w:cs="Arial"/>
              </w:rPr>
            </w:pPr>
            <w:r w:rsidRPr="00B148F9">
              <w:rPr>
                <w:rFonts w:cs="Arial"/>
              </w:rPr>
              <w:t>Floor 2, Trafalgar Court</w:t>
            </w:r>
          </w:p>
          <w:p w14:paraId="64873303" w14:textId="77777777" w:rsidR="009E4CA7" w:rsidRPr="00B148F9" w:rsidRDefault="009E4CA7" w:rsidP="00485A2B">
            <w:pPr>
              <w:jc w:val="left"/>
              <w:rPr>
                <w:rFonts w:cs="Arial"/>
              </w:rPr>
            </w:pPr>
            <w:r w:rsidRPr="00B148F9">
              <w:rPr>
                <w:rFonts w:cs="Arial"/>
              </w:rPr>
              <w:t>Les Banques</w:t>
            </w:r>
          </w:p>
          <w:p w14:paraId="31BCE7DC" w14:textId="77777777" w:rsidR="009E4CA7" w:rsidRPr="00B148F9" w:rsidRDefault="009E4CA7" w:rsidP="00485A2B">
            <w:pPr>
              <w:jc w:val="left"/>
              <w:rPr>
                <w:rFonts w:cs="Arial"/>
              </w:rPr>
            </w:pPr>
            <w:r w:rsidRPr="00B148F9">
              <w:rPr>
                <w:rFonts w:cs="Arial"/>
              </w:rPr>
              <w:t>St Peter Port</w:t>
            </w:r>
          </w:p>
          <w:p w14:paraId="3717C0BC" w14:textId="77777777" w:rsidR="009E4CA7" w:rsidRPr="00B148F9" w:rsidRDefault="009E4CA7" w:rsidP="00485A2B">
            <w:pPr>
              <w:jc w:val="left"/>
              <w:rPr>
                <w:rFonts w:cs="Arial"/>
              </w:rPr>
            </w:pPr>
            <w:r w:rsidRPr="00B148F9">
              <w:rPr>
                <w:rFonts w:cs="Arial"/>
              </w:rPr>
              <w:t>Guernsey</w:t>
            </w:r>
          </w:p>
          <w:p w14:paraId="2549AFA9" w14:textId="77777777" w:rsidR="009E4CA7" w:rsidRPr="00B148F9" w:rsidRDefault="009E4CA7" w:rsidP="00485A2B">
            <w:pPr>
              <w:jc w:val="left"/>
              <w:rPr>
                <w:rFonts w:cs="Arial"/>
              </w:rPr>
            </w:pPr>
            <w:r w:rsidRPr="00B148F9">
              <w:rPr>
                <w:rFonts w:cs="Arial"/>
              </w:rPr>
              <w:t>GY1 4LY</w:t>
            </w:r>
          </w:p>
          <w:p w14:paraId="16E4A530" w14:textId="77777777" w:rsidR="009E4CA7" w:rsidRPr="00B148F9" w:rsidRDefault="009E4CA7" w:rsidP="00485A2B">
            <w:pPr>
              <w:jc w:val="left"/>
              <w:rPr>
                <w:rFonts w:cs="Arial"/>
              </w:rPr>
            </w:pPr>
          </w:p>
          <w:p w14:paraId="5CA1DE27" w14:textId="77777777" w:rsidR="009E4CA7" w:rsidRPr="00B148F9" w:rsidRDefault="009E4CA7" w:rsidP="00485A2B">
            <w:pPr>
              <w:jc w:val="left"/>
              <w:rPr>
                <w:rFonts w:cs="Arial"/>
                <w:b/>
              </w:rPr>
            </w:pPr>
            <w:r w:rsidRPr="00B148F9">
              <w:rPr>
                <w:rFonts w:cs="Arial"/>
                <w:b/>
              </w:rPr>
              <w:t xml:space="preserve">Guernsey administrator </w:t>
            </w:r>
          </w:p>
          <w:p w14:paraId="48D47574" w14:textId="77777777" w:rsidR="009E4CA7" w:rsidRPr="00B148F9" w:rsidRDefault="009E4CA7" w:rsidP="00485A2B">
            <w:pPr>
              <w:jc w:val="left"/>
              <w:rPr>
                <w:rFonts w:cs="Arial"/>
              </w:rPr>
            </w:pPr>
            <w:r w:rsidRPr="00B148F9">
              <w:rPr>
                <w:rFonts w:cs="Arial"/>
              </w:rPr>
              <w:t>Ocorian Administration (Guernsey) Limited (formerly Estera International Fund Managers (Guernsey) Limited)*</w:t>
            </w:r>
            <w:r w:rsidRPr="00B148F9">
              <w:rPr>
                <w:rFonts w:cs="Arial"/>
              </w:rPr>
              <w:br/>
              <w:t>PO Box 286</w:t>
            </w:r>
          </w:p>
          <w:p w14:paraId="19AAC393" w14:textId="77777777" w:rsidR="009E4CA7" w:rsidRPr="00B148F9" w:rsidRDefault="009E4CA7" w:rsidP="00485A2B">
            <w:pPr>
              <w:jc w:val="left"/>
              <w:rPr>
                <w:rFonts w:cs="Arial"/>
              </w:rPr>
            </w:pPr>
            <w:r w:rsidRPr="00B148F9">
              <w:rPr>
                <w:rFonts w:cs="Arial"/>
              </w:rPr>
              <w:t>Floor 2, Trafalgar Court</w:t>
            </w:r>
          </w:p>
          <w:p w14:paraId="471DAF7A" w14:textId="77777777" w:rsidR="009E4CA7" w:rsidRPr="00B148F9" w:rsidRDefault="009E4CA7" w:rsidP="00485A2B">
            <w:pPr>
              <w:jc w:val="left"/>
              <w:rPr>
                <w:rFonts w:cs="Arial"/>
              </w:rPr>
            </w:pPr>
            <w:r w:rsidRPr="00B148F9">
              <w:rPr>
                <w:rFonts w:cs="Arial"/>
              </w:rPr>
              <w:t>Les Banques</w:t>
            </w:r>
          </w:p>
          <w:p w14:paraId="58E1A353" w14:textId="77777777" w:rsidR="009E4CA7" w:rsidRPr="00B148F9" w:rsidRDefault="009E4CA7" w:rsidP="00485A2B">
            <w:pPr>
              <w:jc w:val="left"/>
              <w:rPr>
                <w:rFonts w:cs="Arial"/>
              </w:rPr>
            </w:pPr>
            <w:r w:rsidRPr="00B148F9">
              <w:rPr>
                <w:rFonts w:cs="Arial"/>
              </w:rPr>
              <w:t>St Peter Port</w:t>
            </w:r>
          </w:p>
          <w:p w14:paraId="63439658" w14:textId="77777777" w:rsidR="009E4CA7" w:rsidRPr="00B148F9" w:rsidRDefault="009E4CA7" w:rsidP="00485A2B">
            <w:pPr>
              <w:jc w:val="left"/>
              <w:rPr>
                <w:rFonts w:cs="Arial"/>
              </w:rPr>
            </w:pPr>
            <w:r w:rsidRPr="00B148F9">
              <w:rPr>
                <w:rFonts w:cs="Arial"/>
              </w:rPr>
              <w:t>Guernsey</w:t>
            </w:r>
          </w:p>
          <w:p w14:paraId="32EB9D17" w14:textId="77777777" w:rsidR="009E4CA7" w:rsidRPr="00B148F9" w:rsidRDefault="009E4CA7" w:rsidP="00485A2B">
            <w:pPr>
              <w:jc w:val="left"/>
              <w:rPr>
                <w:rFonts w:cs="Arial"/>
              </w:rPr>
            </w:pPr>
            <w:r w:rsidRPr="00B148F9">
              <w:rPr>
                <w:rFonts w:cs="Arial"/>
              </w:rPr>
              <w:t>GY1 4LY</w:t>
            </w:r>
          </w:p>
          <w:p w14:paraId="13F63D25" w14:textId="77777777" w:rsidR="009E4CA7" w:rsidRPr="00B148F9" w:rsidRDefault="009E4CA7" w:rsidP="00485A2B">
            <w:pPr>
              <w:jc w:val="left"/>
              <w:rPr>
                <w:rFonts w:cs="Arial"/>
              </w:rPr>
            </w:pPr>
          </w:p>
          <w:p w14:paraId="68947A59" w14:textId="77777777" w:rsidR="009E4CA7" w:rsidRPr="00B148F9" w:rsidRDefault="009E4CA7" w:rsidP="00485A2B">
            <w:pPr>
              <w:jc w:val="left"/>
              <w:rPr>
                <w:rFonts w:cs="Arial"/>
                <w:b/>
              </w:rPr>
            </w:pPr>
            <w:r w:rsidRPr="00B148F9">
              <w:rPr>
                <w:rFonts w:cs="Arial"/>
                <w:b/>
              </w:rPr>
              <w:t>United States of America administrator</w:t>
            </w:r>
          </w:p>
          <w:p w14:paraId="2326943B" w14:textId="77777777" w:rsidR="009E4CA7" w:rsidRPr="00B148F9" w:rsidRDefault="009E4CA7" w:rsidP="00485A2B">
            <w:pPr>
              <w:jc w:val="left"/>
              <w:rPr>
                <w:rFonts w:cs="Arial"/>
              </w:rPr>
            </w:pPr>
            <w:r w:rsidRPr="00B148F9">
              <w:rPr>
                <w:rFonts w:cs="Arial"/>
              </w:rPr>
              <w:t>NAV Consulting, Inc.**</w:t>
            </w:r>
          </w:p>
          <w:p w14:paraId="1A11647E" w14:textId="77777777" w:rsidR="009E4CA7" w:rsidRPr="00B148F9" w:rsidRDefault="009E4CA7" w:rsidP="00485A2B">
            <w:pPr>
              <w:jc w:val="left"/>
              <w:rPr>
                <w:rFonts w:cs="Arial"/>
              </w:rPr>
            </w:pPr>
            <w:r w:rsidRPr="00B148F9">
              <w:rPr>
                <w:rFonts w:cs="Arial"/>
              </w:rPr>
              <w:t>1 Trans Am Plaza Drive</w:t>
            </w:r>
          </w:p>
          <w:p w14:paraId="2848ED13" w14:textId="77777777" w:rsidR="009E4CA7" w:rsidRPr="00B148F9" w:rsidRDefault="009E4CA7" w:rsidP="00485A2B">
            <w:pPr>
              <w:jc w:val="left"/>
              <w:rPr>
                <w:rFonts w:cs="Arial"/>
              </w:rPr>
            </w:pPr>
            <w:r w:rsidRPr="00B148F9">
              <w:rPr>
                <w:rFonts w:cs="Arial"/>
              </w:rPr>
              <w:t>Suite 400 Oak Brook Terrace</w:t>
            </w:r>
          </w:p>
          <w:p w14:paraId="10BBA754" w14:textId="77777777" w:rsidR="009E4CA7" w:rsidRPr="00B148F9" w:rsidRDefault="009E4CA7" w:rsidP="00485A2B">
            <w:pPr>
              <w:jc w:val="left"/>
              <w:rPr>
                <w:rFonts w:cs="Arial"/>
              </w:rPr>
            </w:pPr>
            <w:r w:rsidRPr="00B148F9">
              <w:rPr>
                <w:rFonts w:cs="Arial"/>
              </w:rPr>
              <w:lastRenderedPageBreak/>
              <w:t>Illinois</w:t>
            </w:r>
          </w:p>
          <w:p w14:paraId="0A0F088D" w14:textId="77777777" w:rsidR="009E4CA7" w:rsidRPr="00B148F9" w:rsidRDefault="009E4CA7" w:rsidP="00485A2B">
            <w:pPr>
              <w:jc w:val="left"/>
              <w:rPr>
                <w:rFonts w:cs="Arial"/>
              </w:rPr>
            </w:pPr>
            <w:r w:rsidRPr="00B148F9">
              <w:rPr>
                <w:rFonts w:cs="Arial"/>
              </w:rPr>
              <w:t>IL 60181</w:t>
            </w:r>
          </w:p>
          <w:p w14:paraId="7DC7C430" w14:textId="77777777" w:rsidR="009E4CA7" w:rsidRPr="00B148F9" w:rsidRDefault="009E4CA7" w:rsidP="00485A2B">
            <w:pPr>
              <w:jc w:val="left"/>
              <w:rPr>
                <w:rFonts w:cs="Arial"/>
              </w:rPr>
            </w:pPr>
            <w:r w:rsidRPr="00B148F9">
              <w:t>United States of America</w:t>
            </w:r>
          </w:p>
          <w:p w14:paraId="73BE63C4" w14:textId="77777777" w:rsidR="009E4CA7" w:rsidRPr="00B148F9" w:rsidRDefault="009E4CA7" w:rsidP="00485A2B">
            <w:pPr>
              <w:jc w:val="left"/>
              <w:rPr>
                <w:rFonts w:cs="Arial"/>
              </w:rPr>
            </w:pPr>
          </w:p>
          <w:p w14:paraId="6A0639A1" w14:textId="77777777" w:rsidR="009E4CA7" w:rsidRPr="00B148F9" w:rsidRDefault="009E4CA7" w:rsidP="00485A2B">
            <w:pPr>
              <w:jc w:val="left"/>
              <w:rPr>
                <w:rFonts w:cs="Arial"/>
                <w:b/>
              </w:rPr>
            </w:pPr>
            <w:r w:rsidRPr="00B148F9">
              <w:rPr>
                <w:rFonts w:cs="Arial"/>
                <w:b/>
              </w:rPr>
              <w:t>Registrar</w:t>
            </w:r>
          </w:p>
          <w:p w14:paraId="0BDDD731" w14:textId="77777777" w:rsidR="009E4CA7" w:rsidRPr="00B148F9" w:rsidRDefault="009E4CA7" w:rsidP="00485A2B">
            <w:pPr>
              <w:jc w:val="left"/>
              <w:rPr>
                <w:rFonts w:cs="Arial"/>
              </w:rPr>
            </w:pPr>
            <w:r w:rsidRPr="00B148F9">
              <w:rPr>
                <w:rFonts w:cs="Arial"/>
              </w:rPr>
              <w:t>Link Market Services (Guernsey) Limited*</w:t>
            </w:r>
          </w:p>
          <w:p w14:paraId="58953663" w14:textId="77777777" w:rsidR="009E4CA7" w:rsidRPr="00B148F9" w:rsidRDefault="009E4CA7" w:rsidP="00485A2B">
            <w:pPr>
              <w:jc w:val="left"/>
            </w:pPr>
            <w:r w:rsidRPr="00B148F9">
              <w:t xml:space="preserve">Mont Crevelt House </w:t>
            </w:r>
            <w:r w:rsidRPr="00B148F9">
              <w:br/>
              <w:t>Bulwer Avenue</w:t>
            </w:r>
            <w:r w:rsidRPr="00B148F9">
              <w:br/>
              <w:t>St Sampson</w:t>
            </w:r>
            <w:r w:rsidRPr="00B148F9">
              <w:br/>
              <w:t xml:space="preserve">Guernsey </w:t>
            </w:r>
          </w:p>
          <w:p w14:paraId="6F5447A8" w14:textId="77777777" w:rsidR="009E4CA7" w:rsidRPr="00B148F9" w:rsidRDefault="009E4CA7" w:rsidP="00485A2B">
            <w:pPr>
              <w:jc w:val="left"/>
              <w:rPr>
                <w:rFonts w:cs="Arial"/>
              </w:rPr>
            </w:pPr>
            <w:r w:rsidRPr="00B148F9">
              <w:t>GY2 4LH</w:t>
            </w:r>
            <w:r w:rsidRPr="00B148F9">
              <w:rPr>
                <w:rFonts w:cs="Arial"/>
              </w:rPr>
              <w:t xml:space="preserve"> </w:t>
            </w:r>
          </w:p>
          <w:p w14:paraId="0F4DF41E" w14:textId="77777777" w:rsidR="009E4CA7" w:rsidRPr="00B148F9" w:rsidRDefault="009E4CA7" w:rsidP="00485A2B">
            <w:pPr>
              <w:jc w:val="left"/>
              <w:rPr>
                <w:rFonts w:cs="Arial"/>
              </w:rPr>
            </w:pPr>
          </w:p>
          <w:p w14:paraId="3C9ACE95" w14:textId="77777777" w:rsidR="009E4CA7" w:rsidRPr="00B148F9" w:rsidRDefault="009E4CA7" w:rsidP="00485A2B">
            <w:pPr>
              <w:jc w:val="left"/>
              <w:rPr>
                <w:rFonts w:cs="Arial"/>
                <w:b/>
              </w:rPr>
            </w:pPr>
          </w:p>
          <w:p w14:paraId="19F40000" w14:textId="77777777" w:rsidR="009E4CA7" w:rsidRPr="00B148F9" w:rsidRDefault="009E4CA7" w:rsidP="00485A2B">
            <w:pPr>
              <w:jc w:val="left"/>
              <w:rPr>
                <w:rFonts w:cs="Arial"/>
                <w:b/>
              </w:rPr>
            </w:pPr>
          </w:p>
          <w:p w14:paraId="40B0B99F" w14:textId="77777777" w:rsidR="009E4CA7" w:rsidRPr="00B148F9" w:rsidRDefault="009E4CA7" w:rsidP="00485A2B">
            <w:pPr>
              <w:jc w:val="left"/>
              <w:rPr>
                <w:rFonts w:cs="Arial"/>
                <w:b/>
              </w:rPr>
            </w:pPr>
          </w:p>
          <w:p w14:paraId="56CDD663" w14:textId="77777777" w:rsidR="009E4CA7" w:rsidRPr="00B148F9" w:rsidRDefault="009E4CA7" w:rsidP="00485A2B">
            <w:pPr>
              <w:jc w:val="left"/>
              <w:rPr>
                <w:rFonts w:cs="Arial"/>
                <w:b/>
              </w:rPr>
            </w:pPr>
            <w:r w:rsidRPr="00B148F9">
              <w:rPr>
                <w:rFonts w:cs="Arial"/>
                <w:b/>
              </w:rPr>
              <w:t>Independent Valuer</w:t>
            </w:r>
          </w:p>
          <w:p w14:paraId="31A674B3" w14:textId="77777777" w:rsidR="009E4CA7" w:rsidRPr="00B148F9" w:rsidRDefault="009E4CA7" w:rsidP="00485A2B">
            <w:pPr>
              <w:jc w:val="left"/>
            </w:pPr>
            <w:r w:rsidRPr="00B148F9">
              <w:t>Alvarez &amp; Marsal Valuation Services LLC</w:t>
            </w:r>
            <w:r w:rsidRPr="00B148F9">
              <w:br/>
              <w:t>600 Madison Avenue</w:t>
            </w:r>
          </w:p>
          <w:p w14:paraId="59D7BD9C" w14:textId="77777777" w:rsidR="009E4CA7" w:rsidRPr="00B148F9" w:rsidRDefault="009E4CA7" w:rsidP="00485A2B">
            <w:pPr>
              <w:jc w:val="left"/>
            </w:pPr>
            <w:r w:rsidRPr="00B148F9">
              <w:t>8</w:t>
            </w:r>
            <w:r w:rsidRPr="00B148F9">
              <w:rPr>
                <w:vertAlign w:val="superscript"/>
              </w:rPr>
              <w:t>th</w:t>
            </w:r>
            <w:r w:rsidRPr="00B148F9">
              <w:t xml:space="preserve"> Floor</w:t>
            </w:r>
            <w:r w:rsidRPr="00B148F9">
              <w:br/>
              <w:t>New York</w:t>
            </w:r>
          </w:p>
          <w:p w14:paraId="4491E78F" w14:textId="77777777" w:rsidR="009E4CA7" w:rsidRPr="00B148F9" w:rsidRDefault="009E4CA7" w:rsidP="00485A2B">
            <w:pPr>
              <w:jc w:val="left"/>
            </w:pPr>
            <w:r w:rsidRPr="00B148F9">
              <w:t>NY 10022</w:t>
            </w:r>
          </w:p>
          <w:p w14:paraId="2C6D2348" w14:textId="77777777" w:rsidR="009E4CA7" w:rsidRPr="00B148F9" w:rsidRDefault="009E4CA7" w:rsidP="00485A2B">
            <w:pPr>
              <w:jc w:val="left"/>
              <w:rPr>
                <w:rFonts w:cs="Arial"/>
                <w:b/>
              </w:rPr>
            </w:pPr>
            <w:r w:rsidRPr="00B148F9">
              <w:t>United States of America</w:t>
            </w:r>
            <w:r w:rsidRPr="00B148F9">
              <w:br/>
            </w:r>
          </w:p>
          <w:p w14:paraId="71EF3BD3" w14:textId="77777777" w:rsidR="009E4CA7" w:rsidRPr="00B148F9" w:rsidRDefault="009E4CA7" w:rsidP="00485A2B">
            <w:pPr>
              <w:jc w:val="left"/>
              <w:rPr>
                <w:rFonts w:cs="Arial"/>
                <w:b/>
                <w:lang w:eastAsia="en-GB"/>
              </w:rPr>
            </w:pPr>
            <w:r w:rsidRPr="00B148F9">
              <w:rPr>
                <w:rFonts w:cs="Arial"/>
                <w:b/>
                <w:lang w:eastAsia="en-GB"/>
              </w:rPr>
              <w:t>Prime Broker</w:t>
            </w:r>
          </w:p>
          <w:p w14:paraId="01D6F01D" w14:textId="77777777" w:rsidR="009E4CA7" w:rsidRPr="00B148F9" w:rsidRDefault="009E4CA7" w:rsidP="00485A2B">
            <w:pPr>
              <w:rPr>
                <w:rFonts w:cs="Arial"/>
                <w:lang w:eastAsia="en-GB"/>
              </w:rPr>
            </w:pPr>
            <w:r w:rsidRPr="00B148F9">
              <w:rPr>
                <w:rFonts w:cs="Arial"/>
                <w:lang w:eastAsia="en-GB"/>
              </w:rPr>
              <w:t>Goldman Sachs &amp; Co. LLC</w:t>
            </w:r>
          </w:p>
          <w:p w14:paraId="2DC62FB9" w14:textId="77777777" w:rsidR="009E4CA7" w:rsidRPr="00B148F9" w:rsidRDefault="009E4CA7" w:rsidP="00485A2B">
            <w:pPr>
              <w:rPr>
                <w:rFonts w:cs="Arial"/>
                <w:lang w:eastAsia="en-GB"/>
              </w:rPr>
            </w:pPr>
            <w:r w:rsidRPr="00B148F9">
              <w:rPr>
                <w:rFonts w:cs="Arial"/>
                <w:lang w:eastAsia="en-GB"/>
              </w:rPr>
              <w:t>200 West Street</w:t>
            </w:r>
          </w:p>
          <w:p w14:paraId="2721A5FA" w14:textId="77777777" w:rsidR="009E4CA7" w:rsidRPr="00B148F9" w:rsidRDefault="009E4CA7" w:rsidP="00485A2B">
            <w:pPr>
              <w:rPr>
                <w:rFonts w:cs="Arial"/>
                <w:lang w:eastAsia="en-GB"/>
              </w:rPr>
            </w:pPr>
            <w:r w:rsidRPr="00B148F9">
              <w:rPr>
                <w:rFonts w:cs="Arial"/>
                <w:lang w:eastAsia="en-GB"/>
              </w:rPr>
              <w:t>29</w:t>
            </w:r>
            <w:r w:rsidRPr="00B148F9">
              <w:rPr>
                <w:rFonts w:cs="Arial"/>
                <w:vertAlign w:val="superscript"/>
                <w:lang w:eastAsia="en-GB"/>
              </w:rPr>
              <w:t>th</w:t>
            </w:r>
            <w:r w:rsidRPr="00B148F9">
              <w:rPr>
                <w:rFonts w:cs="Arial"/>
                <w:lang w:eastAsia="en-GB"/>
              </w:rPr>
              <w:t xml:space="preserve"> Floor</w:t>
            </w:r>
          </w:p>
          <w:p w14:paraId="50E9232A" w14:textId="77777777" w:rsidR="009E4CA7" w:rsidRPr="00B148F9" w:rsidRDefault="009E4CA7" w:rsidP="00485A2B">
            <w:pPr>
              <w:rPr>
                <w:rFonts w:cs="Arial"/>
                <w:lang w:eastAsia="en-GB"/>
              </w:rPr>
            </w:pPr>
            <w:r w:rsidRPr="00B148F9">
              <w:rPr>
                <w:rFonts w:cs="Arial"/>
                <w:lang w:eastAsia="en-GB"/>
              </w:rPr>
              <w:t>New York</w:t>
            </w:r>
          </w:p>
          <w:p w14:paraId="1AF6D6B4" w14:textId="77777777" w:rsidR="009E4CA7" w:rsidRPr="00B148F9" w:rsidRDefault="009E4CA7" w:rsidP="00485A2B">
            <w:pPr>
              <w:rPr>
                <w:rFonts w:cs="Arial"/>
                <w:lang w:eastAsia="en-GB"/>
              </w:rPr>
            </w:pPr>
            <w:r w:rsidRPr="00B148F9">
              <w:rPr>
                <w:rFonts w:cs="Arial"/>
                <w:lang w:eastAsia="en-GB"/>
              </w:rPr>
              <w:t>NY 10282</w:t>
            </w:r>
          </w:p>
          <w:p w14:paraId="0A978612" w14:textId="77777777" w:rsidR="009E4CA7" w:rsidRPr="00B148F9" w:rsidRDefault="009E4CA7" w:rsidP="00485A2B">
            <w:pPr>
              <w:rPr>
                <w:rFonts w:cs="Arial"/>
                <w:lang w:eastAsia="en-GB"/>
              </w:rPr>
            </w:pPr>
            <w:r w:rsidRPr="00B148F9">
              <w:rPr>
                <w:rFonts w:cs="Arial"/>
                <w:lang w:eastAsia="en-GB"/>
              </w:rPr>
              <w:t>United States of America</w:t>
            </w:r>
          </w:p>
          <w:p w14:paraId="71FF095F" w14:textId="77777777" w:rsidR="009E4CA7" w:rsidRPr="00B148F9" w:rsidRDefault="009E4CA7" w:rsidP="00485A2B">
            <w:pPr>
              <w:rPr>
                <w:rFonts w:cs="Arial"/>
              </w:rPr>
            </w:pPr>
          </w:p>
          <w:p w14:paraId="6017817D" w14:textId="77777777" w:rsidR="009E4CA7" w:rsidRPr="00B148F9" w:rsidRDefault="009E4CA7" w:rsidP="00485A2B">
            <w:pPr>
              <w:rPr>
                <w:rFonts w:cs="Arial"/>
              </w:rPr>
            </w:pPr>
            <w:r w:rsidRPr="00B148F9">
              <w:rPr>
                <w:rFonts w:cs="Arial"/>
              </w:rPr>
              <w:t>Website:  www.rtwfunds.com</w:t>
            </w:r>
          </w:p>
          <w:p w14:paraId="00CF7B8B" w14:textId="77777777" w:rsidR="009E4CA7" w:rsidRPr="00B148F9" w:rsidRDefault="009E4CA7" w:rsidP="00485A2B">
            <w:pPr>
              <w:rPr>
                <w:rFonts w:cs="Arial"/>
              </w:rPr>
            </w:pPr>
          </w:p>
          <w:p w14:paraId="32C342E3" w14:textId="77777777" w:rsidR="009E4CA7" w:rsidRPr="00B148F9" w:rsidRDefault="009E4CA7" w:rsidP="00485A2B">
            <w:pPr>
              <w:rPr>
                <w:rFonts w:cs="Arial"/>
              </w:rPr>
            </w:pPr>
            <w:r w:rsidRPr="00B148F9">
              <w:rPr>
                <w:rFonts w:cs="Arial"/>
              </w:rPr>
              <w:t>Identifiers:</w:t>
            </w:r>
          </w:p>
          <w:p w14:paraId="07E9CB92" w14:textId="77777777" w:rsidR="009E4CA7" w:rsidRPr="00B148F9" w:rsidRDefault="009E4CA7" w:rsidP="00485A2B">
            <w:pPr>
              <w:rPr>
                <w:rFonts w:cs="Arial"/>
              </w:rPr>
            </w:pPr>
            <w:r w:rsidRPr="00B148F9">
              <w:rPr>
                <w:rFonts w:cs="Arial"/>
              </w:rPr>
              <w:t>ISIN:         GG00BKTRRM22</w:t>
            </w:r>
          </w:p>
          <w:p w14:paraId="2F335B7F" w14:textId="77777777" w:rsidR="009E4CA7" w:rsidRPr="00B148F9" w:rsidRDefault="009E4CA7" w:rsidP="00485A2B">
            <w:pPr>
              <w:rPr>
                <w:rFonts w:cs="Arial"/>
              </w:rPr>
            </w:pPr>
            <w:r w:rsidRPr="00B148F9">
              <w:rPr>
                <w:rFonts w:cs="Arial"/>
              </w:rPr>
              <w:t>SEDOL:    BKTRRM2</w:t>
            </w:r>
          </w:p>
          <w:p w14:paraId="6049E2DA" w14:textId="77777777" w:rsidR="009E4CA7" w:rsidRPr="00B148F9" w:rsidRDefault="009E4CA7" w:rsidP="00485A2B">
            <w:pPr>
              <w:rPr>
                <w:rFonts w:cs="Arial"/>
              </w:rPr>
            </w:pPr>
            <w:r w:rsidRPr="00B148F9">
              <w:rPr>
                <w:rFonts w:cs="Arial"/>
              </w:rPr>
              <w:t>Ticker:      RTW</w:t>
            </w:r>
          </w:p>
          <w:p w14:paraId="0D90A0E0" w14:textId="77777777" w:rsidR="009E4CA7" w:rsidRPr="00B148F9" w:rsidRDefault="009E4CA7" w:rsidP="00485A2B">
            <w:pPr>
              <w:jc w:val="left"/>
              <w:rPr>
                <w:rFonts w:cs="Arial"/>
              </w:rPr>
            </w:pPr>
            <w:r w:rsidRPr="00B148F9">
              <w:rPr>
                <w:rFonts w:cs="Arial"/>
              </w:rPr>
              <w:t>LEI:           549300Q7EXQQH6KF7Z84</w:t>
            </w:r>
          </w:p>
          <w:p w14:paraId="00785ABD" w14:textId="77777777" w:rsidR="009E4CA7" w:rsidRPr="00B148F9" w:rsidRDefault="009E4CA7" w:rsidP="00485A2B">
            <w:pPr>
              <w:jc w:val="left"/>
              <w:rPr>
                <w:rFonts w:cs="Arial"/>
              </w:rPr>
            </w:pPr>
          </w:p>
          <w:p w14:paraId="243DC254" w14:textId="77777777" w:rsidR="009E4CA7" w:rsidRPr="00B148F9" w:rsidRDefault="009E4CA7" w:rsidP="00485A2B">
            <w:pPr>
              <w:jc w:val="left"/>
              <w:rPr>
                <w:rFonts w:cs="Arial"/>
                <w:b/>
              </w:rPr>
            </w:pPr>
          </w:p>
        </w:tc>
        <w:tc>
          <w:tcPr>
            <w:tcW w:w="4820" w:type="dxa"/>
          </w:tcPr>
          <w:p w14:paraId="7054D6CC" w14:textId="77777777" w:rsidR="009E4CA7" w:rsidRPr="00B148F9" w:rsidRDefault="009E4CA7" w:rsidP="00485A2B">
            <w:pPr>
              <w:pStyle w:val="2Document"/>
              <w:widowControl/>
              <w:rPr>
                <w:rFonts w:ascii="Century Gothic" w:hAnsi="Century Gothic" w:cs="Arial"/>
                <w:b/>
                <w:snapToGrid/>
                <w:sz w:val="20"/>
                <w:lang w:val="en-GB"/>
              </w:rPr>
            </w:pPr>
            <w:r w:rsidRPr="00B148F9">
              <w:rPr>
                <w:rFonts w:ascii="Century Gothic" w:hAnsi="Century Gothic" w:cs="Arial"/>
                <w:b/>
                <w:snapToGrid/>
                <w:sz w:val="20"/>
                <w:lang w:val="en-GB"/>
              </w:rPr>
              <w:lastRenderedPageBreak/>
              <w:t>Managing Member</w:t>
            </w:r>
          </w:p>
          <w:p w14:paraId="01C143FD" w14:textId="77777777" w:rsidR="009E4CA7" w:rsidRPr="00B148F9" w:rsidRDefault="009E4CA7" w:rsidP="00485A2B">
            <w:pPr>
              <w:pStyle w:val="2Document"/>
              <w:widowControl/>
              <w:rPr>
                <w:rFonts w:ascii="Century Gothic" w:hAnsi="Century Gothic" w:cs="Arial"/>
                <w:snapToGrid/>
                <w:sz w:val="20"/>
                <w:lang w:val="en-GB"/>
              </w:rPr>
            </w:pPr>
            <w:r w:rsidRPr="00B148F9">
              <w:rPr>
                <w:rFonts w:ascii="Century Gothic" w:hAnsi="Century Gothic" w:cs="Arial"/>
                <w:snapToGrid/>
                <w:sz w:val="20"/>
                <w:lang w:val="en-GB"/>
              </w:rPr>
              <w:t>RTW Fund Group GP, LLC**</w:t>
            </w:r>
          </w:p>
          <w:p w14:paraId="6E5A041E" w14:textId="77777777" w:rsidR="009E4CA7" w:rsidRPr="00B148F9" w:rsidRDefault="009E4CA7" w:rsidP="00485A2B">
            <w:pPr>
              <w:jc w:val="left"/>
              <w:rPr>
                <w:rFonts w:cs="Arial"/>
              </w:rPr>
            </w:pPr>
            <w:r w:rsidRPr="00B148F9">
              <w:rPr>
                <w:rFonts w:cs="Arial"/>
              </w:rPr>
              <w:t>412 West 15</w:t>
            </w:r>
            <w:r w:rsidRPr="00B148F9">
              <w:rPr>
                <w:rFonts w:cs="Arial"/>
                <w:vertAlign w:val="superscript"/>
              </w:rPr>
              <w:t>th</w:t>
            </w:r>
            <w:r w:rsidRPr="00B148F9">
              <w:rPr>
                <w:rFonts w:cs="Arial"/>
              </w:rPr>
              <w:t xml:space="preserve"> Street</w:t>
            </w:r>
          </w:p>
          <w:p w14:paraId="0E5CF07C" w14:textId="77777777" w:rsidR="009E4CA7" w:rsidRPr="00B148F9" w:rsidRDefault="009E4CA7" w:rsidP="00485A2B">
            <w:pPr>
              <w:jc w:val="left"/>
              <w:rPr>
                <w:rFonts w:cs="Arial"/>
              </w:rPr>
            </w:pPr>
            <w:r w:rsidRPr="00B148F9">
              <w:rPr>
                <w:rFonts w:cs="Arial"/>
              </w:rPr>
              <w:t>Floor 9</w:t>
            </w:r>
          </w:p>
          <w:p w14:paraId="1E8279B9" w14:textId="77777777" w:rsidR="009E4CA7" w:rsidRPr="00B148F9" w:rsidRDefault="009E4CA7" w:rsidP="00485A2B">
            <w:pPr>
              <w:jc w:val="left"/>
              <w:rPr>
                <w:rFonts w:cs="Arial"/>
              </w:rPr>
            </w:pPr>
            <w:r w:rsidRPr="00B148F9">
              <w:rPr>
                <w:rFonts w:cs="Arial"/>
              </w:rPr>
              <w:t>New York</w:t>
            </w:r>
          </w:p>
          <w:p w14:paraId="0E847C49" w14:textId="77777777" w:rsidR="009E4CA7" w:rsidRPr="00B148F9" w:rsidRDefault="009E4CA7" w:rsidP="00485A2B">
            <w:pPr>
              <w:jc w:val="left"/>
              <w:rPr>
                <w:rFonts w:cs="Arial"/>
              </w:rPr>
            </w:pPr>
            <w:r w:rsidRPr="00B148F9">
              <w:rPr>
                <w:rFonts w:cs="Arial"/>
              </w:rPr>
              <w:t>NY 10011</w:t>
            </w:r>
          </w:p>
          <w:p w14:paraId="0BA0BA57" w14:textId="77777777" w:rsidR="009E4CA7" w:rsidRPr="00B148F9" w:rsidRDefault="009E4CA7" w:rsidP="00485A2B">
            <w:pPr>
              <w:jc w:val="left"/>
              <w:rPr>
                <w:rFonts w:cs="Arial"/>
              </w:rPr>
            </w:pPr>
            <w:r w:rsidRPr="00B148F9">
              <w:rPr>
                <w:rFonts w:cs="Arial"/>
              </w:rPr>
              <w:t>United States of America</w:t>
            </w:r>
          </w:p>
          <w:p w14:paraId="30194976" w14:textId="77777777" w:rsidR="009E4CA7" w:rsidRPr="00B148F9" w:rsidRDefault="009E4CA7" w:rsidP="00485A2B">
            <w:pPr>
              <w:pStyle w:val="2Document"/>
              <w:widowControl/>
              <w:rPr>
                <w:rFonts w:ascii="Century Gothic" w:hAnsi="Century Gothic" w:cs="Arial"/>
                <w:snapToGrid/>
                <w:sz w:val="20"/>
                <w:lang w:val="en-GB"/>
              </w:rPr>
            </w:pPr>
          </w:p>
          <w:p w14:paraId="55241400" w14:textId="77777777" w:rsidR="009E4CA7" w:rsidRPr="00B148F9" w:rsidRDefault="009E4CA7" w:rsidP="00485A2B">
            <w:pPr>
              <w:rPr>
                <w:rFonts w:cs="Arial"/>
                <w:b/>
              </w:rPr>
            </w:pPr>
            <w:r w:rsidRPr="00B148F9">
              <w:rPr>
                <w:rFonts w:cs="Arial"/>
                <w:b/>
              </w:rPr>
              <w:t>Guernsey advocates to the Company</w:t>
            </w:r>
          </w:p>
          <w:p w14:paraId="64201F8F" w14:textId="77777777" w:rsidR="009E4CA7" w:rsidRPr="00B148F9" w:rsidRDefault="009E4CA7" w:rsidP="00485A2B">
            <w:pPr>
              <w:rPr>
                <w:rFonts w:cs="Arial"/>
              </w:rPr>
            </w:pPr>
            <w:r w:rsidRPr="00B148F9">
              <w:rPr>
                <w:rFonts w:cs="Arial"/>
              </w:rPr>
              <w:t xml:space="preserve">Carey Olsen (Guernsey) LLP* </w:t>
            </w:r>
          </w:p>
          <w:p w14:paraId="3F67AFCE" w14:textId="77777777" w:rsidR="009E4CA7" w:rsidRPr="00B148F9" w:rsidRDefault="009E4CA7" w:rsidP="00485A2B">
            <w:pPr>
              <w:rPr>
                <w:rFonts w:cs="Arial"/>
              </w:rPr>
            </w:pPr>
            <w:r w:rsidRPr="00B148F9">
              <w:rPr>
                <w:rFonts w:cs="Arial"/>
              </w:rPr>
              <w:t>PO Box 98</w:t>
            </w:r>
          </w:p>
          <w:p w14:paraId="07D0392C" w14:textId="77777777" w:rsidR="009E4CA7" w:rsidRPr="00B148F9" w:rsidRDefault="009E4CA7" w:rsidP="00485A2B">
            <w:pPr>
              <w:rPr>
                <w:rFonts w:cs="Arial"/>
              </w:rPr>
            </w:pPr>
            <w:r w:rsidRPr="00B148F9">
              <w:rPr>
                <w:rFonts w:cs="Arial"/>
              </w:rPr>
              <w:t>Carey House</w:t>
            </w:r>
          </w:p>
          <w:p w14:paraId="5A2DFD76" w14:textId="77777777" w:rsidR="009E4CA7" w:rsidRPr="00B148F9" w:rsidRDefault="009E4CA7" w:rsidP="00485A2B">
            <w:pPr>
              <w:rPr>
                <w:rFonts w:cs="Arial"/>
              </w:rPr>
            </w:pPr>
            <w:r w:rsidRPr="00B148F9">
              <w:rPr>
                <w:rFonts w:cs="Arial"/>
              </w:rPr>
              <w:t>Les Banques</w:t>
            </w:r>
          </w:p>
          <w:p w14:paraId="316185B7" w14:textId="77777777" w:rsidR="009E4CA7" w:rsidRPr="00B148F9" w:rsidRDefault="009E4CA7" w:rsidP="00485A2B">
            <w:pPr>
              <w:rPr>
                <w:rFonts w:cs="Arial"/>
              </w:rPr>
            </w:pPr>
            <w:r w:rsidRPr="00B148F9">
              <w:rPr>
                <w:rFonts w:cs="Arial"/>
              </w:rPr>
              <w:t>St Peter Port</w:t>
            </w:r>
          </w:p>
          <w:p w14:paraId="05537BE6" w14:textId="77777777" w:rsidR="009E4CA7" w:rsidRPr="00B148F9" w:rsidRDefault="009E4CA7" w:rsidP="00485A2B">
            <w:pPr>
              <w:rPr>
                <w:rFonts w:cs="Arial"/>
              </w:rPr>
            </w:pPr>
            <w:r w:rsidRPr="00B148F9">
              <w:rPr>
                <w:rFonts w:cs="Arial"/>
              </w:rPr>
              <w:t>Guernsey</w:t>
            </w:r>
          </w:p>
          <w:p w14:paraId="6EC4E5CB" w14:textId="77777777" w:rsidR="009E4CA7" w:rsidRPr="00B148F9" w:rsidRDefault="009E4CA7" w:rsidP="00485A2B">
            <w:pPr>
              <w:rPr>
                <w:rFonts w:cs="Arial"/>
              </w:rPr>
            </w:pPr>
            <w:r w:rsidRPr="00B148F9">
              <w:rPr>
                <w:rFonts w:cs="Arial"/>
              </w:rPr>
              <w:t>GY1 4BZ</w:t>
            </w:r>
          </w:p>
          <w:p w14:paraId="12B08247" w14:textId="77777777" w:rsidR="009E4CA7" w:rsidRPr="00B148F9" w:rsidRDefault="009E4CA7" w:rsidP="00485A2B">
            <w:pPr>
              <w:rPr>
                <w:rFonts w:cs="Arial"/>
                <w:b/>
              </w:rPr>
            </w:pPr>
          </w:p>
          <w:p w14:paraId="18829611" w14:textId="77777777" w:rsidR="009E4CA7" w:rsidRPr="00B148F9" w:rsidRDefault="009E4CA7" w:rsidP="00485A2B">
            <w:pPr>
              <w:pStyle w:val="2Document"/>
              <w:widowControl/>
              <w:rPr>
                <w:rFonts w:ascii="Century Gothic" w:hAnsi="Century Gothic" w:cs="Arial"/>
                <w:b/>
                <w:snapToGrid/>
                <w:sz w:val="20"/>
                <w:lang w:val="en-GB"/>
              </w:rPr>
            </w:pPr>
            <w:r w:rsidRPr="00B148F9">
              <w:rPr>
                <w:rFonts w:ascii="Century Gothic" w:hAnsi="Century Gothic" w:cs="Arial"/>
                <w:b/>
                <w:snapToGrid/>
                <w:sz w:val="20"/>
                <w:lang w:val="en-GB"/>
              </w:rPr>
              <w:t>UK Legal advisers to the Company</w:t>
            </w:r>
          </w:p>
          <w:p w14:paraId="64C3CD76" w14:textId="77777777" w:rsidR="009E4CA7" w:rsidRPr="00B148F9" w:rsidRDefault="009E4CA7" w:rsidP="00485A2B">
            <w:pPr>
              <w:jc w:val="left"/>
              <w:rPr>
                <w:rFonts w:cs="Arial"/>
              </w:rPr>
            </w:pPr>
            <w:r w:rsidRPr="00B148F9">
              <w:rPr>
                <w:rFonts w:cs="Arial"/>
              </w:rPr>
              <w:t>Herbert Smith Freehills LLP*</w:t>
            </w:r>
          </w:p>
          <w:p w14:paraId="46AE060D" w14:textId="77777777" w:rsidR="009E4CA7" w:rsidRPr="00B148F9" w:rsidRDefault="009E4CA7" w:rsidP="00485A2B">
            <w:pPr>
              <w:jc w:val="left"/>
              <w:rPr>
                <w:rFonts w:cs="Arial"/>
              </w:rPr>
            </w:pPr>
            <w:r w:rsidRPr="00B148F9">
              <w:rPr>
                <w:rFonts w:cs="Arial"/>
              </w:rPr>
              <w:t>Exchange House</w:t>
            </w:r>
          </w:p>
          <w:p w14:paraId="1D2B06ED" w14:textId="77777777" w:rsidR="009E4CA7" w:rsidRPr="00B148F9" w:rsidRDefault="009E4CA7" w:rsidP="00485A2B">
            <w:pPr>
              <w:jc w:val="left"/>
              <w:rPr>
                <w:rFonts w:cs="Arial"/>
              </w:rPr>
            </w:pPr>
            <w:r w:rsidRPr="00B148F9">
              <w:rPr>
                <w:rFonts w:cs="Arial"/>
              </w:rPr>
              <w:t>Primrose Street</w:t>
            </w:r>
          </w:p>
          <w:p w14:paraId="16B582A6" w14:textId="77777777" w:rsidR="009E4CA7" w:rsidRPr="00B148F9" w:rsidRDefault="009E4CA7" w:rsidP="00485A2B">
            <w:pPr>
              <w:pStyle w:val="2Document"/>
              <w:widowControl/>
              <w:jc w:val="left"/>
              <w:rPr>
                <w:rFonts w:ascii="Century Gothic" w:hAnsi="Century Gothic" w:cs="Arial"/>
                <w:snapToGrid/>
                <w:sz w:val="20"/>
                <w:lang w:val="en-GB"/>
              </w:rPr>
            </w:pPr>
            <w:r w:rsidRPr="00B148F9">
              <w:rPr>
                <w:rFonts w:ascii="Century Gothic" w:hAnsi="Century Gothic" w:cs="Arial"/>
                <w:snapToGrid/>
                <w:sz w:val="20"/>
                <w:lang w:val="en-GB"/>
              </w:rPr>
              <w:t xml:space="preserve">London </w:t>
            </w:r>
          </w:p>
          <w:p w14:paraId="4C61D7E5" w14:textId="77777777" w:rsidR="009E4CA7" w:rsidRPr="00B148F9" w:rsidRDefault="009E4CA7" w:rsidP="00485A2B">
            <w:pPr>
              <w:pStyle w:val="2Document"/>
              <w:widowControl/>
              <w:jc w:val="left"/>
              <w:rPr>
                <w:rFonts w:ascii="Century Gothic" w:hAnsi="Century Gothic" w:cs="Arial"/>
                <w:snapToGrid/>
                <w:sz w:val="20"/>
                <w:lang w:val="en-GB"/>
              </w:rPr>
            </w:pPr>
            <w:r w:rsidRPr="00B148F9">
              <w:rPr>
                <w:rFonts w:ascii="Century Gothic" w:hAnsi="Century Gothic" w:cs="Arial"/>
                <w:snapToGrid/>
                <w:sz w:val="20"/>
                <w:lang w:val="en-GB"/>
              </w:rPr>
              <w:t xml:space="preserve">EC2A 2EG </w:t>
            </w:r>
          </w:p>
          <w:p w14:paraId="60A451DE" w14:textId="77777777" w:rsidR="009E4CA7" w:rsidRPr="00B148F9" w:rsidRDefault="009E4CA7" w:rsidP="00485A2B">
            <w:pPr>
              <w:pStyle w:val="2Document"/>
              <w:widowControl/>
              <w:rPr>
                <w:rFonts w:ascii="Century Gothic" w:hAnsi="Century Gothic" w:cs="Arial"/>
                <w:snapToGrid/>
                <w:sz w:val="20"/>
                <w:lang w:val="en-GB"/>
              </w:rPr>
            </w:pPr>
          </w:p>
          <w:p w14:paraId="1AE59E26" w14:textId="77777777" w:rsidR="009E4CA7" w:rsidRPr="00B148F9" w:rsidRDefault="009E4CA7" w:rsidP="00485A2B">
            <w:pPr>
              <w:pStyle w:val="2Document"/>
              <w:widowControl/>
              <w:rPr>
                <w:rFonts w:ascii="Century Gothic" w:hAnsi="Century Gothic" w:cs="Arial"/>
                <w:b/>
                <w:snapToGrid/>
                <w:sz w:val="20"/>
                <w:lang w:val="en-GB"/>
              </w:rPr>
            </w:pPr>
            <w:r w:rsidRPr="00B148F9">
              <w:rPr>
                <w:rFonts w:ascii="Century Gothic" w:hAnsi="Century Gothic" w:cs="Arial"/>
                <w:b/>
                <w:snapToGrid/>
                <w:sz w:val="20"/>
                <w:lang w:val="en-GB"/>
              </w:rPr>
              <w:t>Corporate brokers and financial advisers</w:t>
            </w:r>
          </w:p>
          <w:p w14:paraId="75F0CBE0" w14:textId="77777777" w:rsidR="009E4CA7" w:rsidRPr="00B148F9" w:rsidRDefault="009E4CA7" w:rsidP="00485A2B">
            <w:pPr>
              <w:pStyle w:val="2Document"/>
              <w:widowControl/>
              <w:rPr>
                <w:rFonts w:ascii="Century Gothic" w:hAnsi="Century Gothic" w:cs="Arial"/>
                <w:snapToGrid/>
                <w:sz w:val="20"/>
                <w:lang w:val="en-GB"/>
              </w:rPr>
            </w:pPr>
            <w:r w:rsidRPr="00B148F9">
              <w:rPr>
                <w:rFonts w:ascii="Century Gothic" w:hAnsi="Century Gothic" w:cs="Arial"/>
                <w:snapToGrid/>
                <w:sz w:val="20"/>
                <w:lang w:val="en-GB"/>
              </w:rPr>
              <w:t xml:space="preserve">Barclays* </w:t>
            </w:r>
          </w:p>
          <w:p w14:paraId="31CA59CB" w14:textId="77777777" w:rsidR="009E4CA7" w:rsidRPr="00B148F9" w:rsidRDefault="009E4CA7" w:rsidP="00485A2B">
            <w:pPr>
              <w:pStyle w:val="2Document"/>
              <w:widowControl/>
              <w:rPr>
                <w:rFonts w:ascii="Century Gothic" w:hAnsi="Century Gothic" w:cs="Arial"/>
                <w:snapToGrid/>
                <w:sz w:val="20"/>
                <w:lang w:val="en-GB"/>
              </w:rPr>
            </w:pPr>
            <w:r w:rsidRPr="00B148F9">
              <w:rPr>
                <w:rFonts w:ascii="Century Gothic" w:hAnsi="Century Gothic" w:cs="Arial"/>
                <w:snapToGrid/>
                <w:sz w:val="20"/>
                <w:lang w:val="en-GB"/>
              </w:rPr>
              <w:t>5 the North Colonnade</w:t>
            </w:r>
          </w:p>
          <w:p w14:paraId="3AE39FAE" w14:textId="77777777" w:rsidR="009E4CA7" w:rsidRPr="00B148F9" w:rsidRDefault="009E4CA7" w:rsidP="00485A2B">
            <w:pPr>
              <w:pStyle w:val="2Document"/>
              <w:widowControl/>
              <w:rPr>
                <w:rFonts w:ascii="Century Gothic" w:hAnsi="Century Gothic" w:cs="Arial"/>
                <w:snapToGrid/>
                <w:sz w:val="20"/>
                <w:lang w:val="en-GB"/>
              </w:rPr>
            </w:pPr>
            <w:r w:rsidRPr="00B148F9">
              <w:rPr>
                <w:rFonts w:ascii="Century Gothic" w:hAnsi="Century Gothic" w:cs="Arial"/>
                <w:snapToGrid/>
                <w:sz w:val="20"/>
                <w:lang w:val="en-GB"/>
              </w:rPr>
              <w:t>Canary Wharf</w:t>
            </w:r>
          </w:p>
          <w:p w14:paraId="4971B55F" w14:textId="77777777" w:rsidR="009E4CA7" w:rsidRPr="00B148F9" w:rsidRDefault="009E4CA7" w:rsidP="00485A2B">
            <w:pPr>
              <w:pStyle w:val="2Document"/>
              <w:widowControl/>
              <w:rPr>
                <w:rFonts w:ascii="Century Gothic" w:hAnsi="Century Gothic" w:cs="Arial"/>
                <w:snapToGrid/>
                <w:sz w:val="20"/>
                <w:lang w:val="en-GB"/>
              </w:rPr>
            </w:pPr>
            <w:r w:rsidRPr="00B148F9">
              <w:rPr>
                <w:rFonts w:ascii="Century Gothic" w:hAnsi="Century Gothic" w:cs="Arial"/>
                <w:snapToGrid/>
                <w:sz w:val="20"/>
                <w:lang w:val="en-GB"/>
              </w:rPr>
              <w:t>London</w:t>
            </w:r>
          </w:p>
          <w:p w14:paraId="2A47CB37" w14:textId="77777777" w:rsidR="009E4CA7" w:rsidRPr="00B148F9" w:rsidRDefault="009E4CA7" w:rsidP="00485A2B">
            <w:pPr>
              <w:pStyle w:val="2Document"/>
              <w:widowControl/>
              <w:rPr>
                <w:rFonts w:ascii="Century Gothic" w:hAnsi="Century Gothic" w:cs="Arial"/>
                <w:b/>
                <w:snapToGrid/>
                <w:sz w:val="20"/>
                <w:lang w:val="en-GB"/>
              </w:rPr>
            </w:pPr>
            <w:r w:rsidRPr="00B148F9">
              <w:rPr>
                <w:rFonts w:ascii="Century Gothic" w:hAnsi="Century Gothic" w:cs="Arial"/>
                <w:snapToGrid/>
                <w:sz w:val="20"/>
                <w:lang w:val="en-GB"/>
              </w:rPr>
              <w:t>E14 4BB</w:t>
            </w:r>
            <w:r w:rsidRPr="00B148F9">
              <w:rPr>
                <w:rFonts w:ascii="Century Gothic" w:hAnsi="Century Gothic" w:cs="Arial"/>
                <w:b/>
                <w:snapToGrid/>
                <w:sz w:val="20"/>
                <w:lang w:val="en-GB"/>
              </w:rPr>
              <w:t xml:space="preserve"> </w:t>
            </w:r>
          </w:p>
          <w:p w14:paraId="1F4BBE52" w14:textId="77777777" w:rsidR="009E4CA7" w:rsidRPr="00B148F9" w:rsidRDefault="009E4CA7" w:rsidP="00485A2B">
            <w:pPr>
              <w:pStyle w:val="2Document"/>
              <w:widowControl/>
              <w:rPr>
                <w:rFonts w:ascii="Century Gothic" w:hAnsi="Century Gothic" w:cs="Arial"/>
                <w:b/>
                <w:snapToGrid/>
                <w:sz w:val="20"/>
                <w:lang w:val="en-GB"/>
              </w:rPr>
            </w:pPr>
          </w:p>
          <w:p w14:paraId="37D11240" w14:textId="77777777" w:rsidR="009E4CA7" w:rsidRPr="00B148F9" w:rsidRDefault="009E4CA7" w:rsidP="00485A2B">
            <w:pPr>
              <w:rPr>
                <w:rFonts w:cs="Arial"/>
              </w:rPr>
            </w:pPr>
            <w:r w:rsidRPr="00B148F9">
              <w:rPr>
                <w:rFonts w:cs="Arial"/>
              </w:rPr>
              <w:t>J.P. Morgan Cazenove*</w:t>
            </w:r>
          </w:p>
          <w:p w14:paraId="6AB5FF82" w14:textId="77777777" w:rsidR="009E4CA7" w:rsidRPr="00B148F9" w:rsidRDefault="009E4CA7" w:rsidP="00485A2B">
            <w:pPr>
              <w:rPr>
                <w:rFonts w:cs="Arial"/>
              </w:rPr>
            </w:pPr>
            <w:r w:rsidRPr="00B148F9">
              <w:rPr>
                <w:rFonts w:cs="Arial"/>
              </w:rPr>
              <w:t>25 Bank Street</w:t>
            </w:r>
          </w:p>
          <w:p w14:paraId="63180B65" w14:textId="77777777" w:rsidR="009E4CA7" w:rsidRPr="00B148F9" w:rsidRDefault="009E4CA7" w:rsidP="00485A2B">
            <w:pPr>
              <w:rPr>
                <w:rFonts w:cs="Arial"/>
              </w:rPr>
            </w:pPr>
            <w:r w:rsidRPr="00B148F9">
              <w:rPr>
                <w:rFonts w:cs="Arial"/>
              </w:rPr>
              <w:t>Canary Wharf</w:t>
            </w:r>
          </w:p>
          <w:p w14:paraId="2C7A147C" w14:textId="77777777" w:rsidR="009E4CA7" w:rsidRPr="00B148F9" w:rsidRDefault="009E4CA7" w:rsidP="00485A2B">
            <w:pPr>
              <w:rPr>
                <w:rFonts w:cs="Arial"/>
              </w:rPr>
            </w:pPr>
            <w:r w:rsidRPr="00B148F9">
              <w:rPr>
                <w:rFonts w:cs="Arial"/>
              </w:rPr>
              <w:t>London</w:t>
            </w:r>
          </w:p>
          <w:p w14:paraId="62709703" w14:textId="77777777" w:rsidR="009E4CA7" w:rsidRPr="00B148F9" w:rsidRDefault="009E4CA7" w:rsidP="00485A2B">
            <w:pPr>
              <w:rPr>
                <w:rFonts w:cs="Arial"/>
              </w:rPr>
            </w:pPr>
            <w:r w:rsidRPr="00B148F9">
              <w:rPr>
                <w:rFonts w:cs="Arial"/>
              </w:rPr>
              <w:t>E14 5JP</w:t>
            </w:r>
          </w:p>
          <w:p w14:paraId="145E3040" w14:textId="77777777" w:rsidR="009E4CA7" w:rsidRPr="00B148F9" w:rsidRDefault="009E4CA7" w:rsidP="00485A2B">
            <w:pPr>
              <w:rPr>
                <w:rFonts w:cs="Arial"/>
              </w:rPr>
            </w:pPr>
          </w:p>
          <w:p w14:paraId="7C6DB8C6" w14:textId="77777777" w:rsidR="009E4CA7" w:rsidRPr="00B148F9" w:rsidRDefault="009E4CA7" w:rsidP="00485A2B">
            <w:pPr>
              <w:rPr>
                <w:rFonts w:cs="Arial"/>
                <w:b/>
              </w:rPr>
            </w:pPr>
            <w:r w:rsidRPr="00B148F9">
              <w:rPr>
                <w:rFonts w:cs="Arial"/>
                <w:b/>
              </w:rPr>
              <w:t>Independent auditor</w:t>
            </w:r>
          </w:p>
          <w:p w14:paraId="1856869B" w14:textId="77777777" w:rsidR="009E4CA7" w:rsidRPr="00B148F9" w:rsidRDefault="009E4CA7" w:rsidP="00485A2B">
            <w:pPr>
              <w:rPr>
                <w:rFonts w:cs="Arial"/>
              </w:rPr>
            </w:pPr>
            <w:r w:rsidRPr="00B148F9">
              <w:rPr>
                <w:rFonts w:cs="Arial"/>
              </w:rPr>
              <w:t>KPMG Channel Islands Limited*</w:t>
            </w:r>
          </w:p>
          <w:p w14:paraId="4A76B9C1" w14:textId="77777777" w:rsidR="009E4CA7" w:rsidRPr="00B148F9" w:rsidRDefault="009E4CA7" w:rsidP="00485A2B">
            <w:pPr>
              <w:rPr>
                <w:rFonts w:cs="Arial"/>
              </w:rPr>
            </w:pPr>
            <w:r w:rsidRPr="00B148F9">
              <w:rPr>
                <w:rFonts w:cs="Arial"/>
              </w:rPr>
              <w:t>Glategny Court</w:t>
            </w:r>
          </w:p>
          <w:p w14:paraId="47C10BF6" w14:textId="77777777" w:rsidR="009E4CA7" w:rsidRPr="00B148F9" w:rsidRDefault="009E4CA7" w:rsidP="00485A2B">
            <w:pPr>
              <w:rPr>
                <w:rFonts w:cs="Arial"/>
              </w:rPr>
            </w:pPr>
            <w:r w:rsidRPr="00B148F9">
              <w:rPr>
                <w:rFonts w:cs="Arial"/>
              </w:rPr>
              <w:lastRenderedPageBreak/>
              <w:t>Glategny Esplanade</w:t>
            </w:r>
          </w:p>
          <w:p w14:paraId="53F4B6F4" w14:textId="77777777" w:rsidR="009E4CA7" w:rsidRPr="00B148F9" w:rsidRDefault="009E4CA7" w:rsidP="00485A2B">
            <w:pPr>
              <w:rPr>
                <w:rFonts w:cs="Arial"/>
              </w:rPr>
            </w:pPr>
            <w:r w:rsidRPr="00B148F9">
              <w:rPr>
                <w:rFonts w:cs="Arial"/>
              </w:rPr>
              <w:t>St Peter Port</w:t>
            </w:r>
          </w:p>
          <w:p w14:paraId="6E1B9FA1" w14:textId="77777777" w:rsidR="009E4CA7" w:rsidRPr="00B148F9" w:rsidRDefault="009E4CA7" w:rsidP="00485A2B">
            <w:pPr>
              <w:rPr>
                <w:rFonts w:cs="Arial"/>
              </w:rPr>
            </w:pPr>
            <w:r w:rsidRPr="00B148F9">
              <w:rPr>
                <w:rFonts w:cs="Arial"/>
              </w:rPr>
              <w:t>Guernsey</w:t>
            </w:r>
          </w:p>
          <w:p w14:paraId="34C7E065" w14:textId="77777777" w:rsidR="009E4CA7" w:rsidRPr="00B148F9" w:rsidRDefault="009E4CA7" w:rsidP="00485A2B">
            <w:pPr>
              <w:rPr>
                <w:rFonts w:cs="Arial"/>
              </w:rPr>
            </w:pPr>
            <w:r w:rsidRPr="00B148F9">
              <w:rPr>
                <w:rFonts w:cs="Arial"/>
              </w:rPr>
              <w:t>GY1 1WR</w:t>
            </w:r>
          </w:p>
          <w:p w14:paraId="72F854BC" w14:textId="77777777" w:rsidR="009E4CA7" w:rsidRPr="00B148F9" w:rsidRDefault="009E4CA7" w:rsidP="00485A2B">
            <w:pPr>
              <w:rPr>
                <w:rFonts w:cs="Arial"/>
                <w:b/>
              </w:rPr>
            </w:pPr>
          </w:p>
          <w:p w14:paraId="3BD7AC87" w14:textId="77777777" w:rsidR="009E4CA7" w:rsidRPr="00B148F9" w:rsidRDefault="009E4CA7" w:rsidP="00485A2B">
            <w:pPr>
              <w:rPr>
                <w:rFonts w:cs="Arial"/>
                <w:b/>
                <w:lang w:eastAsia="en-GB"/>
              </w:rPr>
            </w:pPr>
            <w:r w:rsidRPr="00B148F9">
              <w:rPr>
                <w:rFonts w:cs="Arial"/>
                <w:b/>
                <w:lang w:eastAsia="en-GB"/>
              </w:rPr>
              <w:t>Principal Bankers Guernsey</w:t>
            </w:r>
          </w:p>
          <w:p w14:paraId="5C02972D" w14:textId="77777777" w:rsidR="009E4CA7" w:rsidRPr="00B148F9" w:rsidRDefault="009E4CA7" w:rsidP="00485A2B">
            <w:pPr>
              <w:rPr>
                <w:rFonts w:cs="Arial"/>
                <w:lang w:eastAsia="en-GB"/>
              </w:rPr>
            </w:pPr>
            <w:r w:rsidRPr="00B148F9">
              <w:rPr>
                <w:rFonts w:cs="Arial"/>
                <w:lang w:eastAsia="en-GB"/>
              </w:rPr>
              <w:t>Barclays Bank PLC, Guernsey Branch*</w:t>
            </w:r>
          </w:p>
          <w:p w14:paraId="6A6E74E8" w14:textId="77777777" w:rsidR="009E4CA7" w:rsidRPr="00B148F9" w:rsidRDefault="009E4CA7" w:rsidP="00485A2B">
            <w:pPr>
              <w:rPr>
                <w:rFonts w:cs="Arial"/>
                <w:lang w:eastAsia="en-GB"/>
              </w:rPr>
            </w:pPr>
            <w:r w:rsidRPr="00B148F9">
              <w:rPr>
                <w:rFonts w:cs="Arial"/>
                <w:lang w:eastAsia="en-GB"/>
              </w:rPr>
              <w:t>Le Marchant House,</w:t>
            </w:r>
          </w:p>
          <w:p w14:paraId="2A87E723" w14:textId="77777777" w:rsidR="009E4CA7" w:rsidRPr="00B148F9" w:rsidRDefault="009E4CA7" w:rsidP="00485A2B">
            <w:pPr>
              <w:rPr>
                <w:rFonts w:cs="Arial"/>
                <w:lang w:eastAsia="en-GB"/>
              </w:rPr>
            </w:pPr>
            <w:r w:rsidRPr="00B148F9">
              <w:rPr>
                <w:rFonts w:cs="Arial"/>
                <w:lang w:eastAsia="en-GB"/>
              </w:rPr>
              <w:t xml:space="preserve">Le Truchot, </w:t>
            </w:r>
          </w:p>
          <w:p w14:paraId="3ABAF10C" w14:textId="77777777" w:rsidR="009E4CA7" w:rsidRPr="00B148F9" w:rsidRDefault="009E4CA7" w:rsidP="00485A2B">
            <w:pPr>
              <w:rPr>
                <w:rFonts w:cs="Arial"/>
                <w:lang w:eastAsia="en-GB"/>
              </w:rPr>
            </w:pPr>
            <w:r w:rsidRPr="00B148F9">
              <w:rPr>
                <w:rFonts w:cs="Arial"/>
                <w:lang w:eastAsia="en-GB"/>
              </w:rPr>
              <w:t>St Peter Port</w:t>
            </w:r>
          </w:p>
          <w:p w14:paraId="30BE3034" w14:textId="77777777" w:rsidR="009E4CA7" w:rsidRPr="00B148F9" w:rsidRDefault="009E4CA7" w:rsidP="00485A2B">
            <w:pPr>
              <w:rPr>
                <w:rFonts w:cs="Arial"/>
                <w:lang w:eastAsia="en-GB"/>
              </w:rPr>
            </w:pPr>
            <w:r w:rsidRPr="00B148F9">
              <w:rPr>
                <w:rFonts w:cs="Arial"/>
                <w:lang w:eastAsia="en-GB"/>
              </w:rPr>
              <w:t xml:space="preserve">Guernsey </w:t>
            </w:r>
          </w:p>
          <w:p w14:paraId="0B4C0260" w14:textId="77777777" w:rsidR="009E4CA7" w:rsidRPr="00B148F9" w:rsidRDefault="009E4CA7" w:rsidP="00485A2B">
            <w:pPr>
              <w:rPr>
                <w:rFonts w:cs="Arial"/>
                <w:lang w:eastAsia="en-GB"/>
              </w:rPr>
            </w:pPr>
            <w:r w:rsidRPr="00B148F9">
              <w:rPr>
                <w:rFonts w:cs="Arial"/>
                <w:lang w:eastAsia="en-GB"/>
              </w:rPr>
              <w:t>GY1 3BE</w:t>
            </w:r>
          </w:p>
          <w:p w14:paraId="7E03DB49" w14:textId="77777777" w:rsidR="009E4CA7" w:rsidRPr="00B148F9" w:rsidRDefault="009E4CA7" w:rsidP="00485A2B">
            <w:pPr>
              <w:rPr>
                <w:rFonts w:cs="Arial"/>
              </w:rPr>
            </w:pPr>
          </w:p>
          <w:p w14:paraId="75008B7C" w14:textId="77777777" w:rsidR="009E4CA7" w:rsidRPr="00B148F9" w:rsidRDefault="009E4CA7" w:rsidP="00485A2B">
            <w:pPr>
              <w:rPr>
                <w:rFonts w:cs="Arial"/>
                <w:lang w:eastAsia="en-GB"/>
              </w:rPr>
            </w:pPr>
          </w:p>
          <w:p w14:paraId="30F3F993" w14:textId="77777777" w:rsidR="009E4CA7" w:rsidRPr="00B148F9" w:rsidRDefault="009E4CA7" w:rsidP="00485A2B">
            <w:pPr>
              <w:rPr>
                <w:rFonts w:cs="Arial"/>
                <w:b/>
                <w:lang w:eastAsia="en-GB"/>
              </w:rPr>
            </w:pPr>
          </w:p>
          <w:p w14:paraId="1ABA5B0A" w14:textId="77777777" w:rsidR="009E4CA7" w:rsidRPr="00B148F9" w:rsidRDefault="009E4CA7" w:rsidP="00485A2B">
            <w:pPr>
              <w:rPr>
                <w:rFonts w:cs="Arial"/>
                <w:b/>
                <w:lang w:eastAsia="en-GB"/>
              </w:rPr>
            </w:pPr>
            <w:r w:rsidRPr="00B148F9">
              <w:rPr>
                <w:rFonts w:cs="Arial"/>
                <w:b/>
                <w:lang w:eastAsia="en-GB"/>
              </w:rPr>
              <w:t>Principal Bankers USA</w:t>
            </w:r>
          </w:p>
          <w:p w14:paraId="7A4351EA" w14:textId="77777777" w:rsidR="009E4CA7" w:rsidRPr="00B148F9" w:rsidRDefault="009E4CA7" w:rsidP="00485A2B">
            <w:pPr>
              <w:rPr>
                <w:rFonts w:cs="Arial"/>
                <w:lang w:eastAsia="en-GB"/>
              </w:rPr>
            </w:pPr>
          </w:p>
          <w:p w14:paraId="03AA828F" w14:textId="77777777" w:rsidR="009E4CA7" w:rsidRPr="00B148F9" w:rsidRDefault="009E4CA7" w:rsidP="00485A2B">
            <w:pPr>
              <w:rPr>
                <w:rFonts w:cs="Arial"/>
                <w:lang w:eastAsia="en-GB"/>
              </w:rPr>
            </w:pPr>
            <w:r w:rsidRPr="00B148F9">
              <w:rPr>
                <w:rFonts w:cs="Arial"/>
                <w:lang w:eastAsia="en-GB"/>
              </w:rPr>
              <w:t>First Republic Bank**</w:t>
            </w:r>
          </w:p>
          <w:p w14:paraId="3F5F67DD" w14:textId="77777777" w:rsidR="009E4CA7" w:rsidRPr="00B148F9" w:rsidRDefault="009E4CA7" w:rsidP="00485A2B">
            <w:pPr>
              <w:rPr>
                <w:rFonts w:cs="Arial"/>
                <w:lang w:eastAsia="en-GB"/>
              </w:rPr>
            </w:pPr>
            <w:r w:rsidRPr="00B148F9">
              <w:rPr>
                <w:rFonts w:cs="Arial"/>
                <w:lang w:eastAsia="en-GB"/>
              </w:rPr>
              <w:t>101 Pine Street</w:t>
            </w:r>
          </w:p>
          <w:p w14:paraId="4A2060CD" w14:textId="77777777" w:rsidR="009E4CA7" w:rsidRPr="00B148F9" w:rsidRDefault="009E4CA7" w:rsidP="00485A2B">
            <w:pPr>
              <w:rPr>
                <w:rFonts w:cs="Arial"/>
                <w:lang w:eastAsia="en-GB"/>
              </w:rPr>
            </w:pPr>
            <w:r w:rsidRPr="00B148F9">
              <w:rPr>
                <w:rFonts w:cs="Arial"/>
                <w:lang w:eastAsia="en-GB"/>
              </w:rPr>
              <w:t xml:space="preserve">San Francisco </w:t>
            </w:r>
          </w:p>
          <w:p w14:paraId="572E784E" w14:textId="77777777" w:rsidR="009E4CA7" w:rsidRPr="00B148F9" w:rsidRDefault="009E4CA7" w:rsidP="00485A2B">
            <w:pPr>
              <w:rPr>
                <w:rFonts w:cs="Arial"/>
                <w:lang w:eastAsia="en-GB"/>
              </w:rPr>
            </w:pPr>
            <w:r w:rsidRPr="00B148F9">
              <w:rPr>
                <w:rFonts w:cs="Arial"/>
                <w:lang w:eastAsia="en-GB"/>
              </w:rPr>
              <w:t>CA 94111</w:t>
            </w:r>
          </w:p>
          <w:p w14:paraId="2CCA2E64" w14:textId="77777777" w:rsidR="009E4CA7" w:rsidRPr="00B148F9" w:rsidRDefault="009E4CA7" w:rsidP="00485A2B">
            <w:pPr>
              <w:rPr>
                <w:rFonts w:cs="Arial"/>
                <w:lang w:eastAsia="en-GB"/>
              </w:rPr>
            </w:pPr>
            <w:r w:rsidRPr="00B148F9">
              <w:rPr>
                <w:rFonts w:cs="Arial"/>
                <w:lang w:eastAsia="en-GB"/>
              </w:rPr>
              <w:t>United States of America</w:t>
            </w:r>
          </w:p>
          <w:p w14:paraId="636274F0" w14:textId="77777777" w:rsidR="009E4CA7" w:rsidRPr="00B148F9" w:rsidRDefault="009E4CA7" w:rsidP="00485A2B">
            <w:pPr>
              <w:rPr>
                <w:rFonts w:cs="Arial"/>
              </w:rPr>
            </w:pPr>
          </w:p>
          <w:p w14:paraId="532D0762" w14:textId="77777777" w:rsidR="009E4CA7" w:rsidRPr="00B148F9" w:rsidRDefault="009E4CA7" w:rsidP="00485A2B">
            <w:pPr>
              <w:rPr>
                <w:rFonts w:cs="Arial"/>
              </w:rPr>
            </w:pPr>
          </w:p>
        </w:tc>
      </w:tr>
      <w:tr w:rsidR="009E4CA7" w:rsidRPr="00B148F9" w14:paraId="65E0D50A" w14:textId="77777777" w:rsidTr="00485A2B">
        <w:trPr>
          <w:trHeight w:val="891"/>
        </w:trPr>
        <w:tc>
          <w:tcPr>
            <w:tcW w:w="9890" w:type="dxa"/>
            <w:gridSpan w:val="2"/>
          </w:tcPr>
          <w:p w14:paraId="51A37195" w14:textId="77777777" w:rsidR="009E4CA7" w:rsidRPr="00B148F9" w:rsidRDefault="009E4CA7" w:rsidP="00485A2B">
            <w:pPr>
              <w:jc w:val="left"/>
              <w:rPr>
                <w:rFonts w:cs="Arial"/>
              </w:rPr>
            </w:pPr>
            <w:r w:rsidRPr="00B148F9">
              <w:rPr>
                <w:rFonts w:cs="Arial"/>
              </w:rPr>
              <w:lastRenderedPageBreak/>
              <w:t>* appointed 3 October 2019</w:t>
            </w:r>
          </w:p>
          <w:p w14:paraId="06493E6B" w14:textId="77777777" w:rsidR="009E4CA7" w:rsidRPr="00B148F9" w:rsidRDefault="009E4CA7" w:rsidP="00485A2B">
            <w:pPr>
              <w:jc w:val="left"/>
              <w:rPr>
                <w:rFonts w:cs="Arial"/>
              </w:rPr>
            </w:pPr>
            <w:r w:rsidRPr="00B148F9">
              <w:rPr>
                <w:rFonts w:cs="Arial"/>
              </w:rPr>
              <w:t>** resigned 2 October 2019</w:t>
            </w:r>
          </w:p>
          <w:p w14:paraId="42EC5348" w14:textId="77777777" w:rsidR="009E4CA7" w:rsidRPr="00B148F9" w:rsidRDefault="009E4CA7" w:rsidP="00485A2B">
            <w:pPr>
              <w:jc w:val="left"/>
              <w:rPr>
                <w:rFonts w:cs="Arial"/>
              </w:rPr>
            </w:pPr>
            <w:r w:rsidRPr="00B148F9">
              <w:rPr>
                <w:rFonts w:cs="Arial"/>
              </w:rPr>
              <w:t>*** on 2 October 2019 the registered office address of the Company changed from 2711 Centreville Road, Suite 400, Wilmington, Delaware 19808, United States of America</w:t>
            </w:r>
          </w:p>
          <w:p w14:paraId="7F43C4C6" w14:textId="77777777" w:rsidR="009E4CA7" w:rsidRPr="00B148F9" w:rsidRDefault="009E4CA7" w:rsidP="00485A2B">
            <w:pPr>
              <w:pStyle w:val="2Document"/>
              <w:widowControl/>
              <w:rPr>
                <w:rFonts w:ascii="Century Gothic" w:hAnsi="Century Gothic" w:cs="Arial"/>
                <w:b/>
                <w:snapToGrid/>
                <w:sz w:val="20"/>
                <w:lang w:val="en-GB"/>
              </w:rPr>
            </w:pPr>
          </w:p>
        </w:tc>
      </w:tr>
    </w:tbl>
    <w:p w14:paraId="187CC071" w14:textId="04EF6514" w:rsidR="009E4CA7" w:rsidRPr="00B148F9" w:rsidRDefault="009E4CA7" w:rsidP="00184CF4">
      <w:pPr>
        <w:autoSpaceDE w:val="0"/>
        <w:autoSpaceDN w:val="0"/>
        <w:adjustRightInd w:val="0"/>
        <w:rPr>
          <w:rFonts w:cs="HelveticaNeueLTStd-Lt"/>
          <w:szCs w:val="18"/>
        </w:rPr>
      </w:pPr>
    </w:p>
    <w:p w14:paraId="6181D1A6" w14:textId="77777777" w:rsidR="009E4CA7" w:rsidRPr="00B148F9" w:rsidRDefault="009E4CA7" w:rsidP="009E4CA7">
      <w:pPr>
        <w:spacing w:after="240"/>
        <w:rPr>
          <w:b/>
        </w:rPr>
      </w:pPr>
      <w:r>
        <w:rPr>
          <w:b/>
        </w:rPr>
        <w:t>C</w:t>
      </w:r>
      <w:r w:rsidRPr="00B148F9">
        <w:rPr>
          <w:b/>
        </w:rPr>
        <w:t>ompany Information</w:t>
      </w:r>
    </w:p>
    <w:p w14:paraId="4C54BA8D" w14:textId="77777777" w:rsidR="009E4CA7" w:rsidRPr="00B148F9" w:rsidRDefault="009E4CA7" w:rsidP="009E4CA7">
      <w:pPr>
        <w:autoSpaceDE w:val="0"/>
        <w:autoSpaceDN w:val="0"/>
        <w:adjustRightInd w:val="0"/>
        <w:rPr>
          <w:rFonts w:cs="AvenirNextLTPro-Regular"/>
          <w:i/>
        </w:rPr>
      </w:pPr>
      <w:r w:rsidRPr="00B148F9">
        <w:rPr>
          <w:rFonts w:cs="AvenirNextLTPro-Regular"/>
          <w:i/>
        </w:rPr>
        <w:t>The Company</w:t>
      </w:r>
    </w:p>
    <w:p w14:paraId="6985869E" w14:textId="6B4379D2" w:rsidR="009E4CA7" w:rsidRPr="00B148F9" w:rsidRDefault="009E4CA7" w:rsidP="009E4CA7">
      <w:pPr>
        <w:autoSpaceDE w:val="0"/>
        <w:autoSpaceDN w:val="0"/>
        <w:adjustRightInd w:val="0"/>
        <w:spacing w:after="120"/>
        <w:rPr>
          <w:rFonts w:eastAsia="Calibri" w:cs="AvenirNextLTPro-Regular"/>
          <w:lang w:eastAsia="en-GB"/>
        </w:rPr>
      </w:pPr>
      <w:r w:rsidRPr="00B148F9">
        <w:rPr>
          <w:rFonts w:cs="AvenirNextLTPro-Regular"/>
        </w:rPr>
        <w:t xml:space="preserve">RTW Venture Fund Limited (the “Company”) is a company that was incorporated as a limited liability corporation in the State of Delaware, United States of America on 16 February 2017, with the name </w:t>
      </w:r>
      <w:r w:rsidR="001626C2">
        <w:rPr>
          <w:rFonts w:cs="AvenirNextLTPro-Regular"/>
        </w:rPr>
        <w:t>“</w:t>
      </w:r>
      <w:r w:rsidRPr="00B148F9">
        <w:rPr>
          <w:rFonts w:cs="AvenirNextLTPro-Regular"/>
        </w:rPr>
        <w:t>RTW Special Purpose Fund I, LLC</w:t>
      </w:r>
      <w:r w:rsidR="001626C2">
        <w:rPr>
          <w:rFonts w:cs="AvenirNextLTPro-Regular"/>
        </w:rPr>
        <w:t>”</w:t>
      </w:r>
      <w:r w:rsidRPr="00B148F9">
        <w:rPr>
          <w:rFonts w:cs="AvenirNextLTPro-Regular"/>
        </w:rPr>
        <w:t>, but re-domiciled into Guernsey under the Companies Law on 2 October 2019, and was allocated registration number 66847 on the Guernsey Register of Companies.</w:t>
      </w:r>
    </w:p>
    <w:p w14:paraId="428A3B9B" w14:textId="77777777" w:rsidR="009E4CA7" w:rsidRPr="00B148F9" w:rsidRDefault="009E4CA7" w:rsidP="009E4CA7">
      <w:pPr>
        <w:autoSpaceDE w:val="0"/>
        <w:autoSpaceDN w:val="0"/>
        <w:adjustRightInd w:val="0"/>
        <w:spacing w:after="120"/>
        <w:rPr>
          <w:rFonts w:cs="AvenirNextLTPro-Regular"/>
        </w:rPr>
      </w:pPr>
      <w:r w:rsidRPr="00B148F9">
        <w:rPr>
          <w:rFonts w:cs="AvenirNextLTPro-Regular"/>
        </w:rPr>
        <w:t>The Company is an investment company limited by shares</w:t>
      </w:r>
      <w:r w:rsidRPr="00B148F9" w:rsidDel="00470D77">
        <w:rPr>
          <w:rFonts w:cs="AvenirNextLTPro-Regular"/>
        </w:rPr>
        <w:t xml:space="preserve"> </w:t>
      </w:r>
      <w:r w:rsidRPr="00B148F9">
        <w:rPr>
          <w:rFonts w:cs="AvenirNextLTPro-Regular"/>
        </w:rPr>
        <w:t xml:space="preserve">and controlled from Guernsey. The Company is registered with the GFSC as a Registered Closed-ended Collective Investment </w:t>
      </w:r>
      <w:r w:rsidRPr="00B148F9">
        <w:rPr>
          <w:rFonts w:cs="AvenirNextLTPro-Regular"/>
        </w:rPr>
        <w:lastRenderedPageBreak/>
        <w:t>Scheme. The registered office of the Company is PO Box 286, Floor 2, Trafalgar Court, Les Banques, St Peter Port, Guernsey, GY1 4LY.</w:t>
      </w:r>
    </w:p>
    <w:p w14:paraId="4C1D8BD7" w14:textId="6888DF72" w:rsidR="009E4CA7" w:rsidRPr="00B148F9" w:rsidRDefault="009E4CA7" w:rsidP="009E4CA7">
      <w:pPr>
        <w:autoSpaceDE w:val="0"/>
        <w:autoSpaceDN w:val="0"/>
        <w:adjustRightInd w:val="0"/>
        <w:spacing w:after="120"/>
        <w:rPr>
          <w:rFonts w:cs="AvenirNextLTPro-Regular"/>
        </w:rPr>
      </w:pPr>
      <w:r w:rsidRPr="00B148F9">
        <w:rPr>
          <w:rFonts w:cs="AvenirNextLTPro-Regular"/>
        </w:rPr>
        <w:t>On 30 October 2019, all of the issued Ordinary Shares of the Company were listed and admitted to trading on the</w:t>
      </w:r>
      <w:r w:rsidRPr="00B148F9" w:rsidDel="00470D77">
        <w:rPr>
          <w:rFonts w:cs="AvenirNextLTPro-Regular"/>
        </w:rPr>
        <w:t xml:space="preserve"> </w:t>
      </w:r>
      <w:r w:rsidRPr="00B148F9">
        <w:rPr>
          <w:rFonts w:cs="AvenirNextLTPro-Regular"/>
        </w:rPr>
        <w:t xml:space="preserve">Specialist Fund Segment of the Main Market of the London Stock Exchange. The ISIN of the Company’s ordinary shares is </w:t>
      </w:r>
      <w:r w:rsidRPr="00B148F9">
        <w:rPr>
          <w:rFonts w:cs="Arial"/>
        </w:rPr>
        <w:t xml:space="preserve">GG00BKTRRM22 and the ticker symbol of the Company is </w:t>
      </w:r>
      <w:r w:rsidR="001626C2">
        <w:rPr>
          <w:rFonts w:cs="Arial"/>
        </w:rPr>
        <w:t>“</w:t>
      </w:r>
      <w:r w:rsidRPr="00B148F9">
        <w:rPr>
          <w:rFonts w:cs="Arial"/>
        </w:rPr>
        <w:t>RTW</w:t>
      </w:r>
      <w:r w:rsidR="001626C2">
        <w:rPr>
          <w:rFonts w:cs="Arial"/>
        </w:rPr>
        <w:t>”</w:t>
      </w:r>
      <w:r w:rsidRPr="00B148F9">
        <w:rPr>
          <w:rFonts w:cs="Arial"/>
        </w:rPr>
        <w:t>.</w:t>
      </w:r>
    </w:p>
    <w:p w14:paraId="248A8B7A" w14:textId="77777777" w:rsidR="009E4CA7" w:rsidRPr="00B148F9" w:rsidRDefault="009E4CA7" w:rsidP="009E4CA7">
      <w:pPr>
        <w:autoSpaceDE w:val="0"/>
        <w:autoSpaceDN w:val="0"/>
        <w:adjustRightInd w:val="0"/>
        <w:rPr>
          <w:rFonts w:cs="AvenirNextLTPro-Regular"/>
          <w:i/>
        </w:rPr>
      </w:pPr>
      <w:r w:rsidRPr="00B148F9">
        <w:rPr>
          <w:rFonts w:cs="AvenirNextLTPro-Regular"/>
          <w:i/>
        </w:rPr>
        <w:t>Investment Objective</w:t>
      </w:r>
    </w:p>
    <w:p w14:paraId="72158F06" w14:textId="77777777" w:rsidR="009E4CA7" w:rsidRPr="00B148F9" w:rsidRDefault="009E4CA7" w:rsidP="009E4CA7">
      <w:pPr>
        <w:autoSpaceDE w:val="0"/>
        <w:autoSpaceDN w:val="0"/>
        <w:adjustRightInd w:val="0"/>
        <w:spacing w:after="120"/>
        <w:rPr>
          <w:rFonts w:cs="AvenirNextLTPro-Regular"/>
        </w:rPr>
      </w:pPr>
      <w:r w:rsidRPr="00B148F9">
        <w:rPr>
          <w:rFonts w:cs="AvenirNextLTPro-Regular"/>
        </w:rPr>
        <w:t xml:space="preserve">The Company seeks to achieve positive absolute performance and superior long-term capital appreciation, with a focus on forming, building, and supporting world-class life sciences, biopharmaceutical and medical technology companies. It intends to create a diversiﬁed portfolio of investments across a range of businesses, each pursuing the development of superior pharmacological or medical therapeutic assets to enhance the quality of life for patients and/or extend life spans.  </w:t>
      </w:r>
    </w:p>
    <w:p w14:paraId="401CD2DD" w14:textId="77777777" w:rsidR="009E4CA7" w:rsidRPr="00B148F9" w:rsidRDefault="009E4CA7" w:rsidP="009E4CA7">
      <w:pPr>
        <w:autoSpaceDE w:val="0"/>
        <w:autoSpaceDN w:val="0"/>
        <w:adjustRightInd w:val="0"/>
        <w:rPr>
          <w:rFonts w:cs="AvenirNextLTPro-Regular"/>
          <w:i/>
        </w:rPr>
      </w:pPr>
      <w:r w:rsidRPr="00B148F9">
        <w:rPr>
          <w:rFonts w:cs="AvenirNextLTPro-Regular"/>
          <w:i/>
        </w:rPr>
        <w:t>Investment Policy</w:t>
      </w:r>
    </w:p>
    <w:p w14:paraId="2CD24187" w14:textId="77777777" w:rsidR="009E4CA7" w:rsidRPr="00B148F9" w:rsidRDefault="009E4CA7" w:rsidP="009E4CA7">
      <w:pPr>
        <w:autoSpaceDE w:val="0"/>
        <w:autoSpaceDN w:val="0"/>
        <w:adjustRightInd w:val="0"/>
        <w:spacing w:after="120"/>
        <w:rPr>
          <w:rFonts w:cs="AvenirNextLTPro-Regular"/>
        </w:rPr>
      </w:pPr>
      <w:r w:rsidRPr="00B148F9">
        <w:rPr>
          <w:rFonts w:cs="AvenirNextLTPro-Regular"/>
        </w:rPr>
        <w:t xml:space="preserve">The Company will seek to achieve its investment objective by leveraging the Investment Manager’s data-driven proprietary pipeline of innovative assets to invest in life science, biotechnology and medical technology companies: </w:t>
      </w:r>
    </w:p>
    <w:p w14:paraId="19289856" w14:textId="77777777" w:rsidR="009E4CA7" w:rsidRPr="00B148F9" w:rsidRDefault="009E4CA7" w:rsidP="009E4CA7">
      <w:pPr>
        <w:pStyle w:val="ListParagraph"/>
        <w:numPr>
          <w:ilvl w:val="0"/>
          <w:numId w:val="26"/>
        </w:numPr>
        <w:autoSpaceDE w:val="0"/>
        <w:autoSpaceDN w:val="0"/>
        <w:adjustRightInd w:val="0"/>
        <w:spacing w:after="120"/>
        <w:rPr>
          <w:rFonts w:cs="AvenirNextLTPro-Regular"/>
        </w:rPr>
      </w:pPr>
      <w:r w:rsidRPr="00B148F9">
        <w:rPr>
          <w:rFonts w:cs="AvenirNextLTPro-Regular"/>
        </w:rPr>
        <w:t>across various geographies (primarily the US, Europe, and China);</w:t>
      </w:r>
    </w:p>
    <w:p w14:paraId="4568C8E0" w14:textId="77777777" w:rsidR="009E4CA7" w:rsidRPr="00B148F9" w:rsidRDefault="009E4CA7" w:rsidP="009E4CA7">
      <w:pPr>
        <w:pStyle w:val="ListParagraph"/>
        <w:numPr>
          <w:ilvl w:val="0"/>
          <w:numId w:val="26"/>
        </w:numPr>
        <w:autoSpaceDE w:val="0"/>
        <w:autoSpaceDN w:val="0"/>
        <w:adjustRightInd w:val="0"/>
        <w:spacing w:after="120"/>
        <w:rPr>
          <w:rFonts w:cs="AvenirNextLTPro-Regular"/>
        </w:rPr>
      </w:pPr>
      <w:r w:rsidRPr="00B148F9">
        <w:rPr>
          <w:rFonts w:cs="AvenirNextLTPro-Regular"/>
        </w:rPr>
        <w:t xml:space="preserve">across various therapeutic categories and product types (including but not limited to genetic medicines, biologics, traditional modalities such as small molecule pharmaceuticals and antibodies, and medical devices); and </w:t>
      </w:r>
    </w:p>
    <w:p w14:paraId="5FEF049A" w14:textId="77777777" w:rsidR="009E4CA7" w:rsidRPr="00B148F9" w:rsidRDefault="009E4CA7" w:rsidP="009E4CA7">
      <w:pPr>
        <w:pStyle w:val="ListParagraph"/>
        <w:numPr>
          <w:ilvl w:val="0"/>
          <w:numId w:val="26"/>
        </w:numPr>
        <w:autoSpaceDE w:val="0"/>
        <w:autoSpaceDN w:val="0"/>
        <w:adjustRightInd w:val="0"/>
        <w:spacing w:after="120"/>
        <w:rPr>
          <w:rFonts w:cs="AvenirNextLTPro-Regular"/>
        </w:rPr>
      </w:pPr>
      <w:r w:rsidRPr="00B148F9">
        <w:rPr>
          <w:rFonts w:cs="AvenirNextLTPro-Regular"/>
        </w:rPr>
        <w:t xml:space="preserve">in both a passive and active capacity and intends, from time to time, to take a controlling or majority position with active involvement in a Portfolio Company to assist and inﬂuence its management. In those situations, it is expected that the Investment Manager’s senior executives may serve in temporary executive capacities. </w:t>
      </w:r>
    </w:p>
    <w:p w14:paraId="6F906FDE" w14:textId="77777777" w:rsidR="009E4CA7" w:rsidRPr="00B148F9" w:rsidRDefault="009E4CA7" w:rsidP="009E4CA7">
      <w:pPr>
        <w:autoSpaceDE w:val="0"/>
        <w:autoSpaceDN w:val="0"/>
        <w:adjustRightInd w:val="0"/>
        <w:spacing w:after="120"/>
        <w:rPr>
          <w:rFonts w:cs="AvenirNextLTPro-Regular"/>
        </w:rPr>
      </w:pPr>
      <w:r w:rsidRPr="00B148F9">
        <w:rPr>
          <w:rFonts w:cs="AvenirNextLTPro-Regular"/>
        </w:rPr>
        <w:t xml:space="preserve">The Company will seek to use equity capital (from the net proceeds of any share issuance or, where appropriate, from the net proceeds of investment divestments or other related profits) to provide seed and additional growth capital to the existing Portfolio Companies and future private investments. To mitigate cash-drag, the uninvested portion will be invested across public stocks largely replicating the public stock portfolios of the Investment Manager’s existing US-based funds. </w:t>
      </w:r>
    </w:p>
    <w:p w14:paraId="13209562" w14:textId="77777777" w:rsidR="009E4CA7" w:rsidRPr="00B148F9" w:rsidRDefault="009E4CA7" w:rsidP="009E4CA7">
      <w:pPr>
        <w:autoSpaceDE w:val="0"/>
        <w:autoSpaceDN w:val="0"/>
        <w:adjustRightInd w:val="0"/>
        <w:spacing w:after="120"/>
        <w:rPr>
          <w:rFonts w:cs="AvenirNextLTPro-Regular"/>
        </w:rPr>
      </w:pPr>
      <w:r w:rsidRPr="00B148F9">
        <w:rPr>
          <w:rFonts w:cs="AvenirNextLTPro-Regular"/>
        </w:rPr>
        <w:t>While the Company expects to make direct investments into Portfolio Companies, the Company may invest in Portfolio Companies indirectly through another company or one or more investment vehicles or other structures alongside other investors.</w:t>
      </w:r>
    </w:p>
    <w:p w14:paraId="640F7C48" w14:textId="77777777" w:rsidR="009E4CA7" w:rsidRPr="00B148F9" w:rsidRDefault="009E4CA7" w:rsidP="009E4CA7">
      <w:pPr>
        <w:autoSpaceDE w:val="0"/>
        <w:autoSpaceDN w:val="0"/>
        <w:adjustRightInd w:val="0"/>
        <w:spacing w:after="120"/>
        <w:rPr>
          <w:rFonts w:cs="AvenirNextLTPro-Regular"/>
        </w:rPr>
      </w:pPr>
      <w:r w:rsidRPr="00B148F9">
        <w:rPr>
          <w:rFonts w:cs="AvenirNextLTPro-Regular"/>
        </w:rPr>
        <w:t xml:space="preserve">The Company may use derivatives to optimise the risk reward of individual positions or the portfolio as a whole. </w:t>
      </w:r>
    </w:p>
    <w:p w14:paraId="1B6209F8" w14:textId="77777777" w:rsidR="00BB7B8E" w:rsidRPr="00B148F9" w:rsidRDefault="00BB7B8E" w:rsidP="00BB7B8E"/>
    <w:p w14:paraId="4D9FD824" w14:textId="77777777" w:rsidR="00BB7B8E" w:rsidRPr="00B148F9" w:rsidRDefault="00BB7B8E" w:rsidP="00FB130F">
      <w:pPr>
        <w:pStyle w:val="Title"/>
        <w:spacing w:line="240" w:lineRule="auto"/>
        <w:jc w:val="left"/>
        <w:rPr>
          <w:rFonts w:ascii="Century Gothic" w:hAnsi="Century Gothic"/>
          <w:sz w:val="20"/>
          <w:szCs w:val="20"/>
        </w:rPr>
      </w:pPr>
    </w:p>
    <w:p w14:paraId="3A758A45" w14:textId="77777777" w:rsidR="006002C4" w:rsidRPr="00B148F9" w:rsidRDefault="006002C4" w:rsidP="00691CE2">
      <w:pPr>
        <w:tabs>
          <w:tab w:val="left" w:pos="2340"/>
        </w:tabs>
        <w:rPr>
          <w:b/>
          <w:vanish/>
        </w:rPr>
      </w:pPr>
    </w:p>
    <w:sectPr w:rsidR="006002C4" w:rsidRPr="00B148F9" w:rsidSect="00630681">
      <w:headerReference w:type="default" r:id="rId351"/>
      <w:headerReference w:type="first" r:id="rId352"/>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EED85" w16cex:dateUtc="2020-04-13T12:54:00Z"/>
  <w16cex:commentExtensible w16cex:durableId="223EED4E" w16cex:dateUtc="2020-04-13T12:53:00Z"/>
  <w16cex:commentExtensible w16cex:durableId="223EDCC2" w16cex:dateUtc="2020-04-13T11:42:00Z"/>
  <w16cex:commentExtensible w16cex:durableId="223EDDFB" w16cex:dateUtc="2020-04-13T11:47:00Z"/>
  <w16cex:commentExtensible w16cex:durableId="223F0CE3" w16cex:dateUtc="2020-04-13T15:08:00Z"/>
  <w16cex:commentExtensible w16cex:durableId="223F0B0B" w16cex:dateUtc="2020-04-13T15:00:00Z"/>
  <w16cex:commentExtensible w16cex:durableId="223F0C67" w16cex:dateUtc="2020-04-13T15:05:00Z"/>
  <w16cex:commentExtensible w16cex:durableId="223F0C30" w16cex:dateUtc="2020-04-13T15:05:00Z"/>
  <w16cex:commentExtensible w16cex:durableId="223F0D57" w16cex:dateUtc="2020-04-13T15:09:00Z"/>
  <w16cex:commentExtensible w16cex:durableId="223F10A9" w16cex:dateUtc="2020-04-13T15:24:00Z"/>
  <w16cex:commentExtensible w16cex:durableId="223F0F3D" w16cex:dateUtc="2020-04-13T15:18:00Z"/>
  <w16cex:commentExtensible w16cex:durableId="223F111B" w16cex:dateUtc="2020-04-13T15:26:00Z"/>
  <w16cex:commentExtensible w16cex:durableId="223F184B" w16cex:dateUtc="2020-04-13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1AC0B" w16cid:durableId="223C57BA"/>
  <w16cid:commentId w16cid:paraId="6E384CF0" w16cid:durableId="223EED85"/>
  <w16cid:commentId w16cid:paraId="1681622B" w16cid:durableId="223F0F9A"/>
  <w16cid:commentId w16cid:paraId="0C2A9AA7" w16cid:durableId="223EED4E"/>
  <w16cid:commentId w16cid:paraId="30F17CC7" w16cid:durableId="223F0FCB"/>
  <w16cid:commentId w16cid:paraId="7FF3CD25" w16cid:durableId="223EDCC2"/>
  <w16cid:commentId w16cid:paraId="07276796" w16cid:durableId="223C5ACD"/>
  <w16cid:commentId w16cid:paraId="7DA85B21" w16cid:durableId="223F5CB2"/>
  <w16cid:commentId w16cid:paraId="4B58BB09" w16cid:durableId="223F21D5"/>
  <w16cid:commentId w16cid:paraId="4A97CF9D" w16cid:durableId="223EDDFB"/>
  <w16cid:commentId w16cid:paraId="4B9C0060" w16cid:durableId="223F0CE3"/>
  <w16cid:commentId w16cid:paraId="747202EA" w16cid:durableId="223F13D3"/>
  <w16cid:commentId w16cid:paraId="745CD361" w16cid:durableId="223F0B0B"/>
  <w16cid:commentId w16cid:paraId="224273B7" w16cid:durableId="223F13A0"/>
  <w16cid:commentId w16cid:paraId="7FB2352A" w16cid:durableId="223F0C67"/>
  <w16cid:commentId w16cid:paraId="640853A8" w16cid:durableId="223F13E6"/>
  <w16cid:commentId w16cid:paraId="560C232E" w16cid:durableId="223F0C30"/>
  <w16cid:commentId w16cid:paraId="0BC1200E" w16cid:durableId="223F0D57"/>
  <w16cid:commentId w16cid:paraId="68C6495A" w16cid:durableId="223F14BF"/>
  <w16cid:commentId w16cid:paraId="719B8157" w16cid:durableId="223F10A9"/>
  <w16cid:commentId w16cid:paraId="6E338C3B" w16cid:durableId="223F0F3D"/>
  <w16cid:commentId w16cid:paraId="58DC9502" w16cid:durableId="223F1591"/>
  <w16cid:commentId w16cid:paraId="14F8D3F3" w16cid:durableId="223F5CC3"/>
  <w16cid:commentId w16cid:paraId="6C2B6B3B" w16cid:durableId="223F111B"/>
  <w16cid:commentId w16cid:paraId="2174A3BE" w16cid:durableId="223C6F5D"/>
  <w16cid:commentId w16cid:paraId="191B3920" w16cid:durableId="223EB521"/>
  <w16cid:commentId w16cid:paraId="789026F7" w16cid:durableId="223F22C8"/>
  <w16cid:commentId w16cid:paraId="3BFA3A18" w16cid:durableId="223F184B"/>
  <w16cid:commentId w16cid:paraId="1D67B678" w16cid:durableId="223D888F"/>
  <w16cid:commentId w16cid:paraId="244F95A6" w16cid:durableId="223EBF22"/>
  <w16cid:commentId w16cid:paraId="6B85E341" w16cid:durableId="223C81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7995" w14:textId="77777777" w:rsidR="00485A2B" w:rsidRDefault="00485A2B" w:rsidP="00022A03">
      <w:r>
        <w:separator/>
      </w:r>
    </w:p>
  </w:endnote>
  <w:endnote w:type="continuationSeparator" w:id="0">
    <w:p w14:paraId="39EB3BCA" w14:textId="77777777" w:rsidR="00485A2B" w:rsidRDefault="00485A2B" w:rsidP="00022A03">
      <w:r>
        <w:continuationSeparator/>
      </w:r>
    </w:p>
  </w:endnote>
  <w:endnote w:type="continuationNotice" w:id="1">
    <w:p w14:paraId="07218ED6" w14:textId="77777777" w:rsidR="00485A2B" w:rsidRDefault="0048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TZhongsong">
    <w:panose1 w:val="02010600040101010101"/>
    <w:charset w:val="86"/>
    <w:family w:val="auto"/>
    <w:pitch w:val="variable"/>
    <w:sig w:usb0="00000287" w:usb1="080F0000" w:usb2="00000010" w:usb3="00000000" w:csb0="0004009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LF_Kai">
    <w:altName w:val="Microsoft JhengHei Light"/>
    <w:charset w:val="86"/>
    <w:family w:val="script"/>
    <w:pitch w:val="fixed"/>
    <w:sig w:usb0="00000000" w:usb1="080E0000" w:usb2="00000010" w:usb3="00000000" w:csb0="00140000" w:csb1="00000000"/>
  </w:font>
  <w:font w:name="AvenirNextLTPro-Regular">
    <w:panose1 w:val="00000000000000000000"/>
    <w:charset w:val="00"/>
    <w:family w:val="auto"/>
    <w:notTrueType/>
    <w:pitch w:val="default"/>
    <w:sig w:usb0="00000003" w:usb1="00000000" w:usb2="00000000" w:usb3="00000000" w:csb0="00000001" w:csb1="00000000"/>
  </w:font>
  <w:font w:name="DINCLSLight">
    <w:panose1 w:val="00000000000000000000"/>
    <w:charset w:val="00"/>
    <w:family w:val="auto"/>
    <w:notTrueType/>
    <w:pitch w:val="default"/>
    <w:sig w:usb0="00000003" w:usb1="00000000" w:usb2="00000000" w:usb3="00000000" w:csb0="00000001" w:csb1="00000000"/>
  </w:font>
  <w:font w:name="MetaPlusBook-Roman">
    <w:panose1 w:val="00000000000000000000"/>
    <w:charset w:val="00"/>
    <w:family w:val="auto"/>
    <w:notTrueType/>
    <w:pitch w:val="default"/>
    <w:sig w:usb0="00000003" w:usb1="00000000" w:usb2="00000000" w:usb3="00000000" w:csb0="00000001" w:csb1="00000000"/>
  </w:font>
  <w:font w:name="MetaPlusBold-Roman">
    <w:panose1 w:val="00000000000000000000"/>
    <w:charset w:val="00"/>
    <w:family w:val="auto"/>
    <w:notTrueType/>
    <w:pitch w:val="default"/>
    <w:sig w:usb0="00000003" w:usb1="00000000" w:usb2="00000000" w:usb3="00000000" w:csb0="00000001" w:csb1="00000000"/>
  </w:font>
  <w:font w:name="MetaPlusBold-Caps">
    <w:panose1 w:val="00000000000000000000"/>
    <w:charset w:val="00"/>
    <w:family w:val="auto"/>
    <w:notTrueType/>
    <w:pitch w:val="default"/>
    <w:sig w:usb0="00000003" w:usb1="00000000" w:usb2="00000000" w:usb3="00000000" w:csb0="00000001" w:csb1="00000000"/>
  </w:font>
  <w:font w:name="MetaPlusBook-Caps">
    <w:panose1 w:val="00000000000000000000"/>
    <w:charset w:val="00"/>
    <w:family w:val="auto"/>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AE3BA" w14:textId="77777777" w:rsidR="00485A2B" w:rsidRDefault="00485A2B" w:rsidP="00022A03">
      <w:r>
        <w:separator/>
      </w:r>
    </w:p>
  </w:footnote>
  <w:footnote w:type="continuationSeparator" w:id="0">
    <w:p w14:paraId="44D98279" w14:textId="77777777" w:rsidR="00485A2B" w:rsidRDefault="00485A2B" w:rsidP="00022A03">
      <w:r>
        <w:continuationSeparator/>
      </w:r>
    </w:p>
  </w:footnote>
  <w:footnote w:type="continuationNotice" w:id="1">
    <w:p w14:paraId="2F9AEE5A" w14:textId="77777777" w:rsidR="00485A2B" w:rsidRDefault="00485A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AA22" w14:textId="77777777" w:rsidR="00485A2B" w:rsidRDefault="00485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805F" w14:textId="508A2483" w:rsidR="00485A2B" w:rsidRPr="00045397" w:rsidRDefault="00485A2B" w:rsidP="002E7F22">
    <w:pPr>
      <w:jc w:val="center"/>
      <w:rPr>
        <w:rFonts w:cs="Arial"/>
        <w:b/>
      </w:rPr>
    </w:pPr>
  </w:p>
  <w:p w14:paraId="0FDE7FA7" w14:textId="476D0E8D" w:rsidR="00485A2B" w:rsidRDefault="00485A2B" w:rsidP="002E7F22">
    <w:pPr>
      <w:jc w:val="center"/>
      <w:rPr>
        <w:rFonts w:cs="Arial"/>
        <w:b/>
      </w:rPr>
    </w:pPr>
    <w:r>
      <w:rPr>
        <w:rFonts w:cs="Arial"/>
        <w:b/>
      </w:rPr>
      <w:t xml:space="preserve">Glossary </w:t>
    </w:r>
    <w:r w:rsidRPr="00C60076">
      <w:rPr>
        <w:rFonts w:cs="Arial"/>
        <w:b/>
        <w:vertAlign w:val="superscript"/>
      </w:rPr>
      <w:t>unaudited</w:t>
    </w:r>
  </w:p>
  <w:p w14:paraId="7D3895B8" w14:textId="77777777" w:rsidR="00485A2B" w:rsidRDefault="00485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D3F"/>
    <w:multiLevelType w:val="hybridMultilevel"/>
    <w:tmpl w:val="7874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40953"/>
    <w:multiLevelType w:val="hybridMultilevel"/>
    <w:tmpl w:val="FBE66C4C"/>
    <w:lvl w:ilvl="0" w:tplc="34E6E6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9649C"/>
    <w:multiLevelType w:val="hybridMultilevel"/>
    <w:tmpl w:val="08CA6CF8"/>
    <w:lvl w:ilvl="0" w:tplc="93BE819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40E5E"/>
    <w:multiLevelType w:val="hybridMultilevel"/>
    <w:tmpl w:val="56E2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D702E"/>
    <w:multiLevelType w:val="hybridMultilevel"/>
    <w:tmpl w:val="C2966B16"/>
    <w:lvl w:ilvl="0" w:tplc="FFE46084">
      <w:start w:val="1"/>
      <w:numFmt w:val="bullet"/>
      <w:lvlText w:val=""/>
      <w:lvlJc w:val="left"/>
      <w:pPr>
        <w:ind w:left="720" w:hanging="360"/>
      </w:pPr>
      <w:rPr>
        <w:rFonts w:ascii="Symbol" w:hAnsi="Symbol" w:hint="default"/>
        <w:color w:val="404040" w:themeColor="text1" w:themeTint="BF"/>
      </w:rPr>
    </w:lvl>
    <w:lvl w:ilvl="1" w:tplc="EC6809EE">
      <w:numFmt w:val="bullet"/>
      <w:lvlText w:val="•"/>
      <w:lvlJc w:val="left"/>
      <w:pPr>
        <w:ind w:left="1440" w:hanging="360"/>
      </w:pPr>
      <w:rPr>
        <w:rFonts w:ascii="Georgia" w:eastAsia="Times New Roman" w:hAnsi="Georgia" w:cs="Calibri" w:hint="default"/>
      </w:rPr>
    </w:lvl>
    <w:lvl w:ilvl="2" w:tplc="484E402A">
      <w:numFmt w:val="bullet"/>
      <w:lvlText w:val="-"/>
      <w:lvlJc w:val="left"/>
      <w:pPr>
        <w:ind w:left="2160" w:hanging="360"/>
      </w:pPr>
      <w:rPr>
        <w:rFonts w:ascii="Georgia" w:eastAsia="Times New Roman" w:hAnsi="Georgia"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6EDA"/>
    <w:multiLevelType w:val="hybridMultilevel"/>
    <w:tmpl w:val="EC4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36E66"/>
    <w:multiLevelType w:val="hybridMultilevel"/>
    <w:tmpl w:val="08CA6CF8"/>
    <w:lvl w:ilvl="0" w:tplc="93BE819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56010B"/>
    <w:multiLevelType w:val="hybridMultilevel"/>
    <w:tmpl w:val="7C509B9C"/>
    <w:lvl w:ilvl="0" w:tplc="3D16DE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46F98"/>
    <w:multiLevelType w:val="hybridMultilevel"/>
    <w:tmpl w:val="E53E12F0"/>
    <w:lvl w:ilvl="0" w:tplc="F4C02A1E">
      <w:start w:val="1"/>
      <w:numFmt w:val="bullet"/>
      <w:lvlText w:val=""/>
      <w:lvlJc w:val="left"/>
      <w:pPr>
        <w:ind w:left="720" w:hanging="360"/>
      </w:pPr>
      <w:rPr>
        <w:rFonts w:ascii="Symbol" w:hAnsi="Symbol" w:hint="default"/>
        <w:color w:val="404040" w:themeColor="text1" w:themeTint="BF"/>
      </w:rPr>
    </w:lvl>
    <w:lvl w:ilvl="1" w:tplc="EC6809EE">
      <w:numFmt w:val="bullet"/>
      <w:lvlText w:val="•"/>
      <w:lvlJc w:val="left"/>
      <w:pPr>
        <w:ind w:left="1440" w:hanging="360"/>
      </w:pPr>
      <w:rPr>
        <w:rFonts w:ascii="Georgia" w:eastAsia="Times New Roman" w:hAnsi="Georgia" w:cs="Calibri" w:hint="default"/>
      </w:rPr>
    </w:lvl>
    <w:lvl w:ilvl="2" w:tplc="484E402A">
      <w:numFmt w:val="bullet"/>
      <w:lvlText w:val="-"/>
      <w:lvlJc w:val="left"/>
      <w:pPr>
        <w:ind w:left="2160" w:hanging="360"/>
      </w:pPr>
      <w:rPr>
        <w:rFonts w:ascii="Georgia" w:eastAsia="Times New Roman" w:hAnsi="Georgia"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14194"/>
    <w:multiLevelType w:val="multilevel"/>
    <w:tmpl w:val="0AE6789C"/>
    <w:styleLink w:val="clmsbullet-liststyles-46b4289e-0109-58fc-3470-e3c8dc13e2b4"/>
    <w:lvl w:ilvl="0">
      <w:start w:val="1"/>
      <w:numFmt w:val="bullet"/>
      <w:pStyle w:val="clmsbullet-level1styles-46b4289e-0109-58fc-3470-e3c8dc13e2b4"/>
      <w:lvlText w:val=""/>
      <w:lvlJc w:val="left"/>
      <w:pPr>
        <w:ind w:left="357" w:hanging="357"/>
      </w:pPr>
      <w:rPr>
        <w:rFonts w:ascii="Symbol" w:hAnsi="Symbol" w:cs="Symbol"/>
        <w:color w:val="auto"/>
        <w:sz w:val="22"/>
      </w:rPr>
    </w:lvl>
    <w:lvl w:ilvl="1">
      <w:start w:val="1"/>
      <w:numFmt w:val="bullet"/>
      <w:pStyle w:val="clmsbullet-level2styles-46b4289e-0109-58fc-3470-e3c8dc13e2b4"/>
      <w:lvlText w:val=""/>
      <w:lvlJc w:val="left"/>
      <w:pPr>
        <w:ind w:left="714" w:hanging="357"/>
      </w:pPr>
      <w:rPr>
        <w:rFonts w:ascii="Symbol" w:hAnsi="Symbol" w:cs="Symbol"/>
        <w:color w:val="auto"/>
      </w:rPr>
    </w:lvl>
    <w:lvl w:ilvl="2">
      <w:start w:val="1"/>
      <w:numFmt w:val="bullet"/>
      <w:pStyle w:val="clmsbullet-level3styles-46b4289e-0109-58fc-3470-e3c8dc13e2b4"/>
      <w:lvlText w:val=""/>
      <w:lvlJc w:val="left"/>
      <w:pPr>
        <w:ind w:left="1070" w:hanging="357"/>
      </w:pPr>
      <w:rPr>
        <w:rFonts w:ascii="Symbol" w:hAnsi="Symbol" w:cs="Symbol"/>
      </w:rPr>
    </w:lvl>
    <w:lvl w:ilvl="3">
      <w:start w:val="1"/>
      <w:numFmt w:val="bullet"/>
      <w:pStyle w:val="clmsbullet-level4styles-46b4289e-0109-58fc-3470-e3c8dc13e2b4"/>
      <w:lvlText w:val=""/>
      <w:lvlJc w:val="left"/>
      <w:pPr>
        <w:ind w:left="1428" w:hanging="357"/>
      </w:pPr>
      <w:rPr>
        <w:rFonts w:ascii="Symbol" w:hAnsi="Symbol" w:cs="Symbol"/>
      </w:rPr>
    </w:lvl>
    <w:lvl w:ilvl="4">
      <w:start w:val="1"/>
      <w:numFmt w:val="bullet"/>
      <w:pStyle w:val="clmsbullet-level5styles-46b4289e-0109-58fc-3470-e3c8dc13e2b4"/>
      <w:lvlText w:val=""/>
      <w:lvlJc w:val="left"/>
      <w:pPr>
        <w:ind w:left="1785" w:hanging="357"/>
      </w:pPr>
      <w:rPr>
        <w:rFonts w:ascii="Symbol" w:hAnsi="Symbol" w:cs="Symbol"/>
      </w:rPr>
    </w:lvl>
    <w:lvl w:ilvl="5">
      <w:start w:val="1"/>
      <w:numFmt w:val="bullet"/>
      <w:pStyle w:val="clmsbullet-level6styles-46b4289e-0109-58fc-3470-e3c8dc13e2b4"/>
      <w:lvlText w:val=""/>
      <w:lvlJc w:val="left"/>
      <w:pPr>
        <w:ind w:left="2141" w:hanging="357"/>
      </w:pPr>
      <w:rPr>
        <w:rFonts w:ascii="Symbol" w:hAnsi="Symbol" w:cs="Symbol"/>
      </w:rPr>
    </w:lvl>
    <w:lvl w:ilvl="6">
      <w:start w:val="1"/>
      <w:numFmt w:val="bullet"/>
      <w:pStyle w:val="clmsbullet-level7styles-46b4289e-0109-58fc-3470-e3c8dc13e2b4"/>
      <w:lvlText w:val=""/>
      <w:lvlJc w:val="left"/>
      <w:pPr>
        <w:ind w:left="2498" w:hanging="357"/>
      </w:pPr>
      <w:rPr>
        <w:rFonts w:ascii="Symbol" w:hAnsi="Symbol" w:cs="Symbol"/>
      </w:rPr>
    </w:lvl>
    <w:lvl w:ilvl="7">
      <w:start w:val="1"/>
      <w:numFmt w:val="bullet"/>
      <w:pStyle w:val="clmsbullet-level8styles-46b4289e-0109-58fc-3470-e3c8dc13e2b4"/>
      <w:lvlText w:val=""/>
      <w:lvlJc w:val="left"/>
      <w:pPr>
        <w:ind w:left="2856" w:hanging="357"/>
      </w:pPr>
      <w:rPr>
        <w:rFonts w:ascii="Symbol" w:hAnsi="Symbol" w:cs="Symbol"/>
      </w:rPr>
    </w:lvl>
    <w:lvl w:ilvl="8">
      <w:start w:val="1"/>
      <w:numFmt w:val="bullet"/>
      <w:pStyle w:val="clmsbullet-level9styles-46b4289e-0109-58fc-3470-e3c8dc13e2b4"/>
      <w:lvlText w:val=""/>
      <w:lvlJc w:val="left"/>
      <w:pPr>
        <w:ind w:left="3212" w:hanging="357"/>
      </w:pPr>
      <w:rPr>
        <w:rFonts w:ascii="Symbol" w:hAnsi="Symbol" w:cs="Symbol"/>
      </w:rPr>
    </w:lvl>
  </w:abstractNum>
  <w:abstractNum w:abstractNumId="10" w15:restartNumberingAfterBreak="0">
    <w:nsid w:val="1E1F44B7"/>
    <w:multiLevelType w:val="hybridMultilevel"/>
    <w:tmpl w:val="90AA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22F25"/>
    <w:multiLevelType w:val="hybridMultilevel"/>
    <w:tmpl w:val="FDB4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F0101"/>
    <w:multiLevelType w:val="hybridMultilevel"/>
    <w:tmpl w:val="628C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C3326"/>
    <w:multiLevelType w:val="hybridMultilevel"/>
    <w:tmpl w:val="C3866976"/>
    <w:lvl w:ilvl="0" w:tplc="9E3E1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933AD"/>
    <w:multiLevelType w:val="hybridMultilevel"/>
    <w:tmpl w:val="5F2A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C6705D"/>
    <w:multiLevelType w:val="hybridMultilevel"/>
    <w:tmpl w:val="F166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2C93"/>
    <w:multiLevelType w:val="hybridMultilevel"/>
    <w:tmpl w:val="8BB4E156"/>
    <w:lvl w:ilvl="0" w:tplc="E1A4100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97CFF"/>
    <w:multiLevelType w:val="hybridMultilevel"/>
    <w:tmpl w:val="1634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B0A3D"/>
    <w:multiLevelType w:val="hybridMultilevel"/>
    <w:tmpl w:val="C9E0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A2E50"/>
    <w:multiLevelType w:val="hybridMultilevel"/>
    <w:tmpl w:val="03D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42526"/>
    <w:multiLevelType w:val="hybridMultilevel"/>
    <w:tmpl w:val="9A40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E61B8"/>
    <w:multiLevelType w:val="hybridMultilevel"/>
    <w:tmpl w:val="5A863BBE"/>
    <w:lvl w:ilvl="0" w:tplc="3D16DE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834D3"/>
    <w:multiLevelType w:val="hybridMultilevel"/>
    <w:tmpl w:val="45FE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B774F"/>
    <w:multiLevelType w:val="hybridMultilevel"/>
    <w:tmpl w:val="AE3E0256"/>
    <w:lvl w:ilvl="0" w:tplc="5498C63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6053CB"/>
    <w:multiLevelType w:val="hybridMultilevel"/>
    <w:tmpl w:val="14E63D2E"/>
    <w:lvl w:ilvl="0" w:tplc="A1F47B42">
      <w:start w:val="1"/>
      <w:numFmt w:val="bullet"/>
      <w:lvlText w:val="-"/>
      <w:lvlJc w:val="left"/>
      <w:pPr>
        <w:ind w:left="390" w:hanging="360"/>
      </w:pPr>
      <w:rPr>
        <w:rFonts w:ascii="Calibri" w:eastAsia="Calibri" w:hAnsi="Calibri" w:cs="Calibri" w:hint="default"/>
      </w:rPr>
    </w:lvl>
    <w:lvl w:ilvl="1" w:tplc="08090003">
      <w:start w:val="1"/>
      <w:numFmt w:val="bullet"/>
      <w:lvlText w:val="o"/>
      <w:lvlJc w:val="left"/>
      <w:pPr>
        <w:ind w:left="1110" w:hanging="360"/>
      </w:pPr>
      <w:rPr>
        <w:rFonts w:ascii="Courier New" w:hAnsi="Courier New" w:cs="Courier New" w:hint="default"/>
      </w:rPr>
    </w:lvl>
    <w:lvl w:ilvl="2" w:tplc="08090005">
      <w:start w:val="1"/>
      <w:numFmt w:val="bullet"/>
      <w:lvlText w:val=""/>
      <w:lvlJc w:val="left"/>
      <w:pPr>
        <w:ind w:left="1830" w:hanging="360"/>
      </w:pPr>
      <w:rPr>
        <w:rFonts w:ascii="Wingdings" w:hAnsi="Wingdings" w:hint="default"/>
      </w:rPr>
    </w:lvl>
    <w:lvl w:ilvl="3" w:tplc="08090001">
      <w:start w:val="1"/>
      <w:numFmt w:val="bullet"/>
      <w:lvlText w:val=""/>
      <w:lvlJc w:val="left"/>
      <w:pPr>
        <w:ind w:left="2550" w:hanging="360"/>
      </w:pPr>
      <w:rPr>
        <w:rFonts w:ascii="Symbol" w:hAnsi="Symbol" w:hint="default"/>
      </w:rPr>
    </w:lvl>
    <w:lvl w:ilvl="4" w:tplc="08090003">
      <w:start w:val="1"/>
      <w:numFmt w:val="bullet"/>
      <w:lvlText w:val="o"/>
      <w:lvlJc w:val="left"/>
      <w:pPr>
        <w:ind w:left="3270" w:hanging="360"/>
      </w:pPr>
      <w:rPr>
        <w:rFonts w:ascii="Courier New" w:hAnsi="Courier New" w:cs="Courier New" w:hint="default"/>
      </w:rPr>
    </w:lvl>
    <w:lvl w:ilvl="5" w:tplc="08090005">
      <w:start w:val="1"/>
      <w:numFmt w:val="bullet"/>
      <w:lvlText w:val=""/>
      <w:lvlJc w:val="left"/>
      <w:pPr>
        <w:ind w:left="3990" w:hanging="360"/>
      </w:pPr>
      <w:rPr>
        <w:rFonts w:ascii="Wingdings" w:hAnsi="Wingdings" w:hint="default"/>
      </w:rPr>
    </w:lvl>
    <w:lvl w:ilvl="6" w:tplc="08090001">
      <w:start w:val="1"/>
      <w:numFmt w:val="bullet"/>
      <w:lvlText w:val=""/>
      <w:lvlJc w:val="left"/>
      <w:pPr>
        <w:ind w:left="4710" w:hanging="360"/>
      </w:pPr>
      <w:rPr>
        <w:rFonts w:ascii="Symbol" w:hAnsi="Symbol" w:hint="default"/>
      </w:rPr>
    </w:lvl>
    <w:lvl w:ilvl="7" w:tplc="08090003">
      <w:start w:val="1"/>
      <w:numFmt w:val="bullet"/>
      <w:lvlText w:val="o"/>
      <w:lvlJc w:val="left"/>
      <w:pPr>
        <w:ind w:left="5430" w:hanging="360"/>
      </w:pPr>
      <w:rPr>
        <w:rFonts w:ascii="Courier New" w:hAnsi="Courier New" w:cs="Courier New" w:hint="default"/>
      </w:rPr>
    </w:lvl>
    <w:lvl w:ilvl="8" w:tplc="08090005">
      <w:start w:val="1"/>
      <w:numFmt w:val="bullet"/>
      <w:lvlText w:val=""/>
      <w:lvlJc w:val="left"/>
      <w:pPr>
        <w:ind w:left="6150" w:hanging="360"/>
      </w:pPr>
      <w:rPr>
        <w:rFonts w:ascii="Wingdings" w:hAnsi="Wingdings" w:hint="default"/>
      </w:rPr>
    </w:lvl>
  </w:abstractNum>
  <w:abstractNum w:abstractNumId="25" w15:restartNumberingAfterBreak="0">
    <w:nsid w:val="58587AC4"/>
    <w:multiLevelType w:val="hybridMultilevel"/>
    <w:tmpl w:val="1D7A55A4"/>
    <w:name w:val="SchHead Numbering List 1"/>
    <w:lvl w:ilvl="0" w:tplc="D4823FF6">
      <w:start w:val="11"/>
      <w:numFmt w:val="decimal"/>
      <w:lvlText w:val="%1."/>
      <w:lvlJc w:val="left"/>
      <w:pPr>
        <w:ind w:left="720" w:hanging="360"/>
      </w:pPr>
      <w:rPr>
        <w:rFonts w:hint="default"/>
      </w:rPr>
    </w:lvl>
    <w:lvl w:ilvl="1" w:tplc="3618B172" w:tentative="1">
      <w:start w:val="1"/>
      <w:numFmt w:val="lowerLetter"/>
      <w:lvlText w:val="%2."/>
      <w:lvlJc w:val="left"/>
      <w:pPr>
        <w:ind w:left="1440" w:hanging="360"/>
      </w:pPr>
    </w:lvl>
    <w:lvl w:ilvl="2" w:tplc="1A06CC28" w:tentative="1">
      <w:start w:val="1"/>
      <w:numFmt w:val="lowerRoman"/>
      <w:lvlText w:val="%3."/>
      <w:lvlJc w:val="right"/>
      <w:pPr>
        <w:ind w:left="2160" w:hanging="180"/>
      </w:pPr>
    </w:lvl>
    <w:lvl w:ilvl="3" w:tplc="B22CEDE4" w:tentative="1">
      <w:start w:val="1"/>
      <w:numFmt w:val="decimal"/>
      <w:lvlText w:val="%4."/>
      <w:lvlJc w:val="left"/>
      <w:pPr>
        <w:ind w:left="2880" w:hanging="360"/>
      </w:pPr>
    </w:lvl>
    <w:lvl w:ilvl="4" w:tplc="EFC6229E" w:tentative="1">
      <w:start w:val="1"/>
      <w:numFmt w:val="lowerLetter"/>
      <w:lvlText w:val="%5."/>
      <w:lvlJc w:val="left"/>
      <w:pPr>
        <w:ind w:left="3600" w:hanging="360"/>
      </w:pPr>
    </w:lvl>
    <w:lvl w:ilvl="5" w:tplc="6C3EE4EC" w:tentative="1">
      <w:start w:val="1"/>
      <w:numFmt w:val="lowerRoman"/>
      <w:lvlText w:val="%6."/>
      <w:lvlJc w:val="right"/>
      <w:pPr>
        <w:ind w:left="4320" w:hanging="180"/>
      </w:pPr>
    </w:lvl>
    <w:lvl w:ilvl="6" w:tplc="BA669350" w:tentative="1">
      <w:start w:val="1"/>
      <w:numFmt w:val="decimal"/>
      <w:lvlText w:val="%7."/>
      <w:lvlJc w:val="left"/>
      <w:pPr>
        <w:ind w:left="5040" w:hanging="360"/>
      </w:pPr>
    </w:lvl>
    <w:lvl w:ilvl="7" w:tplc="EFD20F9E" w:tentative="1">
      <w:start w:val="1"/>
      <w:numFmt w:val="lowerLetter"/>
      <w:lvlText w:val="%8."/>
      <w:lvlJc w:val="left"/>
      <w:pPr>
        <w:ind w:left="5760" w:hanging="360"/>
      </w:pPr>
    </w:lvl>
    <w:lvl w:ilvl="8" w:tplc="7AFEE8BA" w:tentative="1">
      <w:start w:val="1"/>
      <w:numFmt w:val="lowerRoman"/>
      <w:lvlText w:val="%9."/>
      <w:lvlJc w:val="right"/>
      <w:pPr>
        <w:ind w:left="6480" w:hanging="180"/>
      </w:pPr>
    </w:lvl>
  </w:abstractNum>
  <w:abstractNum w:abstractNumId="26" w15:restartNumberingAfterBreak="0">
    <w:nsid w:val="59735F02"/>
    <w:multiLevelType w:val="hybridMultilevel"/>
    <w:tmpl w:val="5798E0F4"/>
    <w:lvl w:ilvl="0" w:tplc="1470947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4949A9"/>
    <w:multiLevelType w:val="hybridMultilevel"/>
    <w:tmpl w:val="5A5014D8"/>
    <w:lvl w:ilvl="0" w:tplc="830CDCE8">
      <w:start w:val="10"/>
      <w:numFmt w:val="bullet"/>
      <w:lvlText w:val="•"/>
      <w:lvlJc w:val="left"/>
      <w:pPr>
        <w:ind w:left="502" w:hanging="360"/>
      </w:pPr>
      <w:rPr>
        <w:rFonts w:ascii="Century Gothic" w:eastAsia="Times New Roman" w:hAnsi="Century Gothic"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5EF10E93"/>
    <w:multiLevelType w:val="hybridMultilevel"/>
    <w:tmpl w:val="FBE66C4C"/>
    <w:lvl w:ilvl="0" w:tplc="34E6E6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03E7B6B"/>
    <w:multiLevelType w:val="hybridMultilevel"/>
    <w:tmpl w:val="9A8E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23586"/>
    <w:multiLevelType w:val="hybridMultilevel"/>
    <w:tmpl w:val="3C44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D1C9C"/>
    <w:multiLevelType w:val="hybridMultilevel"/>
    <w:tmpl w:val="91667542"/>
    <w:lvl w:ilvl="0" w:tplc="C4F0C89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0E34EF"/>
    <w:multiLevelType w:val="hybridMultilevel"/>
    <w:tmpl w:val="FD4A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40C07"/>
    <w:multiLevelType w:val="hybridMultilevel"/>
    <w:tmpl w:val="418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55238D"/>
    <w:multiLevelType w:val="hybridMultilevel"/>
    <w:tmpl w:val="08B0C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6B07B0"/>
    <w:multiLevelType w:val="hybridMultilevel"/>
    <w:tmpl w:val="91667542"/>
    <w:lvl w:ilvl="0" w:tplc="C4F0C89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CD38D1"/>
    <w:multiLevelType w:val="hybridMultilevel"/>
    <w:tmpl w:val="AE66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87B89"/>
    <w:multiLevelType w:val="hybridMultilevel"/>
    <w:tmpl w:val="1148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760F75"/>
    <w:multiLevelType w:val="hybridMultilevel"/>
    <w:tmpl w:val="45147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F4391B"/>
    <w:multiLevelType w:val="hybridMultilevel"/>
    <w:tmpl w:val="19C28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F11250"/>
    <w:multiLevelType w:val="multilevel"/>
    <w:tmpl w:val="C9E61440"/>
    <w:lvl w:ilvl="0">
      <w:start w:val="1"/>
      <w:numFmt w:val="bullet"/>
      <w:lvlRestart w:val="0"/>
      <w:pStyle w:val="ListBullet1"/>
      <w:lvlText w:val="·"/>
      <w:lvlJc w:val="left"/>
      <w:pPr>
        <w:tabs>
          <w:tab w:val="num" w:pos="1440"/>
        </w:tabs>
        <w:ind w:left="144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rPr>
    </w:lvl>
    <w:lvl w:ilvl="2">
      <w:start w:val="1"/>
      <w:numFmt w:val="bullet"/>
      <w:pStyle w:val="ListBullet3"/>
      <w:lvlText w:val="·"/>
      <w:lvlJc w:val="left"/>
      <w:pPr>
        <w:tabs>
          <w:tab w:val="num" w:pos="2520"/>
        </w:tabs>
        <w:ind w:left="2520" w:hanging="1080"/>
      </w:pPr>
      <w:rPr>
        <w:rFonts w:ascii="Symbol" w:hAnsi="Symbol" w:hint="default"/>
      </w:rPr>
    </w:lvl>
    <w:lvl w:ilvl="3">
      <w:start w:val="1"/>
      <w:numFmt w:val="bullet"/>
      <w:pStyle w:val="ListBullet4"/>
      <w:lvlText w:val="·"/>
      <w:lvlJc w:val="left"/>
      <w:pPr>
        <w:tabs>
          <w:tab w:val="num" w:pos="3600"/>
        </w:tabs>
        <w:ind w:left="3600" w:hanging="1080"/>
      </w:pPr>
      <w:rPr>
        <w:rFonts w:ascii="Symbol" w:hAnsi="Symbol" w:hint="default"/>
      </w:rPr>
    </w:lvl>
    <w:lvl w:ilvl="4">
      <w:start w:val="1"/>
      <w:numFmt w:val="bullet"/>
      <w:pStyle w:val="ListBullet5"/>
      <w:lvlText w:val="·"/>
      <w:lvlJc w:val="left"/>
      <w:pPr>
        <w:tabs>
          <w:tab w:val="num" w:pos="4320"/>
        </w:tabs>
        <w:ind w:left="4320" w:hanging="720"/>
      </w:pPr>
      <w:rPr>
        <w:rFonts w:ascii="Symbol" w:hAnsi="Symbol" w:hint="default"/>
      </w:rPr>
    </w:lvl>
    <w:lvl w:ilvl="5">
      <w:start w:val="1"/>
      <w:numFmt w:val="bullet"/>
      <w:pStyle w:val="ListBullet6"/>
      <w:lvlText w:val="·"/>
      <w:lvlJc w:val="left"/>
      <w:pPr>
        <w:tabs>
          <w:tab w:val="num" w:pos="5040"/>
        </w:tabs>
        <w:ind w:left="5040" w:hanging="720"/>
      </w:pPr>
      <w:rPr>
        <w:rFonts w:ascii="Symbol" w:hAnsi="Symbol" w:hint="default"/>
      </w:rPr>
    </w:lvl>
    <w:lvl w:ilvl="6">
      <w:start w:val="1"/>
      <w:numFmt w:val="bullet"/>
      <w:pStyle w:val="ListBullet7"/>
      <w:lvlText w:val="·"/>
      <w:lvlJc w:val="left"/>
      <w:pPr>
        <w:tabs>
          <w:tab w:val="num" w:pos="5760"/>
        </w:tabs>
        <w:ind w:left="5760" w:hanging="720"/>
      </w:pPr>
      <w:rPr>
        <w:rFonts w:ascii="Symbol" w:hAnsi="Symbol" w:hint="default"/>
      </w:rPr>
    </w:lvl>
    <w:lvl w:ilvl="7">
      <w:start w:val="1"/>
      <w:numFmt w:val="bullet"/>
      <w:pStyle w:val="ListBullet8"/>
      <w:lvlText w:val=""/>
      <w:lvlJc w:val="left"/>
      <w:pPr>
        <w:tabs>
          <w:tab w:val="num" w:pos="5760"/>
        </w:tabs>
        <w:ind w:left="5760" w:hanging="720"/>
      </w:pPr>
    </w:lvl>
    <w:lvl w:ilvl="8">
      <w:start w:val="1"/>
      <w:numFmt w:val="bullet"/>
      <w:pStyle w:val="ListBullet9"/>
      <w:lvlText w:val=""/>
      <w:lvlJc w:val="left"/>
      <w:pPr>
        <w:tabs>
          <w:tab w:val="num" w:pos="5760"/>
        </w:tabs>
        <w:ind w:left="5760" w:hanging="720"/>
      </w:pPr>
    </w:lvl>
  </w:abstractNum>
  <w:num w:numId="1">
    <w:abstractNumId w:val="40"/>
  </w:num>
  <w:num w:numId="2">
    <w:abstractNumId w:val="38"/>
  </w:num>
  <w:num w:numId="3">
    <w:abstractNumId w:val="27"/>
  </w:num>
  <w:num w:numId="4">
    <w:abstractNumId w:val="37"/>
  </w:num>
  <w:num w:numId="5">
    <w:abstractNumId w:val="21"/>
  </w:num>
  <w:num w:numId="6">
    <w:abstractNumId w:val="7"/>
  </w:num>
  <w:num w:numId="7">
    <w:abstractNumId w:val="33"/>
  </w:num>
  <w:num w:numId="8">
    <w:abstractNumId w:val="12"/>
  </w:num>
  <w:num w:numId="9">
    <w:abstractNumId w:val="34"/>
  </w:num>
  <w:num w:numId="10">
    <w:abstractNumId w:val="14"/>
  </w:num>
  <w:num w:numId="11">
    <w:abstractNumId w:val="39"/>
  </w:num>
  <w:num w:numId="12">
    <w:abstractNumId w:val="1"/>
  </w:num>
  <w:num w:numId="13">
    <w:abstractNumId w:val="2"/>
  </w:num>
  <w:num w:numId="14">
    <w:abstractNumId w:val="26"/>
  </w:num>
  <w:num w:numId="15">
    <w:abstractNumId w:val="31"/>
  </w:num>
  <w:num w:numId="16">
    <w:abstractNumId w:val="23"/>
  </w:num>
  <w:num w:numId="17">
    <w:abstractNumId w:val="29"/>
  </w:num>
  <w:num w:numId="18">
    <w:abstractNumId w:val="3"/>
  </w:num>
  <w:num w:numId="19">
    <w:abstractNumId w:val="30"/>
  </w:num>
  <w:num w:numId="20">
    <w:abstractNumId w:val="18"/>
  </w:num>
  <w:num w:numId="21">
    <w:abstractNumId w:val="5"/>
  </w:num>
  <w:num w:numId="22">
    <w:abstractNumId w:val="32"/>
  </w:num>
  <w:num w:numId="23">
    <w:abstractNumId w:val="19"/>
  </w:num>
  <w:num w:numId="24">
    <w:abstractNumId w:val="36"/>
  </w:num>
  <w:num w:numId="25">
    <w:abstractNumId w:val="15"/>
  </w:num>
  <w:num w:numId="26">
    <w:abstractNumId w:val="10"/>
  </w:num>
  <w:num w:numId="27">
    <w:abstractNumId w:val="4"/>
  </w:num>
  <w:num w:numId="28">
    <w:abstractNumId w:val="8"/>
  </w:num>
  <w:num w:numId="29">
    <w:abstractNumId w:val="0"/>
  </w:num>
  <w:num w:numId="30">
    <w:abstractNumId w:val="35"/>
  </w:num>
  <w:num w:numId="31">
    <w:abstractNumId w:val="17"/>
  </w:num>
  <w:num w:numId="32">
    <w:abstractNumId w:val="13"/>
  </w:num>
  <w:num w:numId="33">
    <w:abstractNumId w:val="28"/>
  </w:num>
  <w:num w:numId="34">
    <w:abstractNumId w:val="6"/>
  </w:num>
  <w:num w:numId="35">
    <w:abstractNumId w:val="24"/>
  </w:num>
  <w:num w:numId="36">
    <w:abstractNumId w:val="16"/>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0"/>
  </w:num>
  <w:num w:numId="44">
    <w:abstractNumId w:val="22"/>
  </w:num>
  <w:num w:numId="45">
    <w:abstractNumId w:val="11"/>
  </w:num>
  <w:num w:numId="46">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E4"/>
    <w:rsid w:val="00000200"/>
    <w:rsid w:val="0000039D"/>
    <w:rsid w:val="000004FA"/>
    <w:rsid w:val="00000764"/>
    <w:rsid w:val="000013DB"/>
    <w:rsid w:val="00001C88"/>
    <w:rsid w:val="00001D0A"/>
    <w:rsid w:val="00001FAB"/>
    <w:rsid w:val="000030AD"/>
    <w:rsid w:val="0000323E"/>
    <w:rsid w:val="0000366E"/>
    <w:rsid w:val="000037C5"/>
    <w:rsid w:val="00003DE1"/>
    <w:rsid w:val="00003F31"/>
    <w:rsid w:val="00003FCF"/>
    <w:rsid w:val="0000487C"/>
    <w:rsid w:val="00004BB2"/>
    <w:rsid w:val="000053E8"/>
    <w:rsid w:val="000055ED"/>
    <w:rsid w:val="00005C26"/>
    <w:rsid w:val="000062F7"/>
    <w:rsid w:val="00007058"/>
    <w:rsid w:val="00007B96"/>
    <w:rsid w:val="0001012A"/>
    <w:rsid w:val="000101E3"/>
    <w:rsid w:val="0001054F"/>
    <w:rsid w:val="000105B0"/>
    <w:rsid w:val="00010835"/>
    <w:rsid w:val="0001086C"/>
    <w:rsid w:val="00010AE3"/>
    <w:rsid w:val="00010B9B"/>
    <w:rsid w:val="00010D91"/>
    <w:rsid w:val="00010EF3"/>
    <w:rsid w:val="00010F84"/>
    <w:rsid w:val="0001119F"/>
    <w:rsid w:val="00011716"/>
    <w:rsid w:val="00011837"/>
    <w:rsid w:val="00011B57"/>
    <w:rsid w:val="00011C47"/>
    <w:rsid w:val="00012587"/>
    <w:rsid w:val="000128A2"/>
    <w:rsid w:val="00012D5A"/>
    <w:rsid w:val="00012D7E"/>
    <w:rsid w:val="00013233"/>
    <w:rsid w:val="00013257"/>
    <w:rsid w:val="000135B6"/>
    <w:rsid w:val="00013AC4"/>
    <w:rsid w:val="0001434C"/>
    <w:rsid w:val="000143D4"/>
    <w:rsid w:val="0001469F"/>
    <w:rsid w:val="00015D7C"/>
    <w:rsid w:val="00015E1B"/>
    <w:rsid w:val="00016461"/>
    <w:rsid w:val="000165DC"/>
    <w:rsid w:val="00016A65"/>
    <w:rsid w:val="00016B2E"/>
    <w:rsid w:val="00016B72"/>
    <w:rsid w:val="00016EEE"/>
    <w:rsid w:val="00017A49"/>
    <w:rsid w:val="00017ECF"/>
    <w:rsid w:val="000202D1"/>
    <w:rsid w:val="0002062B"/>
    <w:rsid w:val="00020A25"/>
    <w:rsid w:val="00020BCF"/>
    <w:rsid w:val="00020D21"/>
    <w:rsid w:val="00020F14"/>
    <w:rsid w:val="0002117A"/>
    <w:rsid w:val="000216AA"/>
    <w:rsid w:val="00021E25"/>
    <w:rsid w:val="000228DE"/>
    <w:rsid w:val="000229F8"/>
    <w:rsid w:val="00022A03"/>
    <w:rsid w:val="00022EB4"/>
    <w:rsid w:val="000236AE"/>
    <w:rsid w:val="00023C2D"/>
    <w:rsid w:val="000244CE"/>
    <w:rsid w:val="00024D20"/>
    <w:rsid w:val="00024F73"/>
    <w:rsid w:val="0002541C"/>
    <w:rsid w:val="000258D2"/>
    <w:rsid w:val="000258F5"/>
    <w:rsid w:val="00025DF4"/>
    <w:rsid w:val="00025F67"/>
    <w:rsid w:val="000260C5"/>
    <w:rsid w:val="0002649E"/>
    <w:rsid w:val="00026A7B"/>
    <w:rsid w:val="00026ABA"/>
    <w:rsid w:val="00026CA0"/>
    <w:rsid w:val="00026DA5"/>
    <w:rsid w:val="000273DA"/>
    <w:rsid w:val="00027B0A"/>
    <w:rsid w:val="000300A4"/>
    <w:rsid w:val="000304EB"/>
    <w:rsid w:val="00030CE2"/>
    <w:rsid w:val="00030FA7"/>
    <w:rsid w:val="000310E1"/>
    <w:rsid w:val="00031147"/>
    <w:rsid w:val="000316ED"/>
    <w:rsid w:val="00031F85"/>
    <w:rsid w:val="000324E9"/>
    <w:rsid w:val="0003273E"/>
    <w:rsid w:val="00032A86"/>
    <w:rsid w:val="00033386"/>
    <w:rsid w:val="00033ACE"/>
    <w:rsid w:val="00033B30"/>
    <w:rsid w:val="00034E73"/>
    <w:rsid w:val="000359B9"/>
    <w:rsid w:val="000363BA"/>
    <w:rsid w:val="00036A4D"/>
    <w:rsid w:val="00036C65"/>
    <w:rsid w:val="00036E4B"/>
    <w:rsid w:val="0003744C"/>
    <w:rsid w:val="000376C6"/>
    <w:rsid w:val="00037FB2"/>
    <w:rsid w:val="00040234"/>
    <w:rsid w:val="000404E2"/>
    <w:rsid w:val="000405AC"/>
    <w:rsid w:val="00040623"/>
    <w:rsid w:val="0004123E"/>
    <w:rsid w:val="00041A12"/>
    <w:rsid w:val="00041C62"/>
    <w:rsid w:val="00041DF2"/>
    <w:rsid w:val="000420EF"/>
    <w:rsid w:val="0004260C"/>
    <w:rsid w:val="00042772"/>
    <w:rsid w:val="0004296C"/>
    <w:rsid w:val="00042D31"/>
    <w:rsid w:val="00042D94"/>
    <w:rsid w:val="00042ED7"/>
    <w:rsid w:val="000432EC"/>
    <w:rsid w:val="00043592"/>
    <w:rsid w:val="00043706"/>
    <w:rsid w:val="000439FF"/>
    <w:rsid w:val="00044260"/>
    <w:rsid w:val="0004453C"/>
    <w:rsid w:val="000452F5"/>
    <w:rsid w:val="00045338"/>
    <w:rsid w:val="00045374"/>
    <w:rsid w:val="00045397"/>
    <w:rsid w:val="00045A34"/>
    <w:rsid w:val="00045B39"/>
    <w:rsid w:val="00045D6A"/>
    <w:rsid w:val="00046039"/>
    <w:rsid w:val="00046188"/>
    <w:rsid w:val="0004688C"/>
    <w:rsid w:val="000476CB"/>
    <w:rsid w:val="00047831"/>
    <w:rsid w:val="000479AE"/>
    <w:rsid w:val="00047C04"/>
    <w:rsid w:val="00047EE4"/>
    <w:rsid w:val="000503C5"/>
    <w:rsid w:val="0005086B"/>
    <w:rsid w:val="00050AE4"/>
    <w:rsid w:val="00050BE7"/>
    <w:rsid w:val="00051289"/>
    <w:rsid w:val="000513E9"/>
    <w:rsid w:val="000513EA"/>
    <w:rsid w:val="000516BA"/>
    <w:rsid w:val="000519FD"/>
    <w:rsid w:val="00051F06"/>
    <w:rsid w:val="0005333A"/>
    <w:rsid w:val="00054110"/>
    <w:rsid w:val="000545AC"/>
    <w:rsid w:val="0005469B"/>
    <w:rsid w:val="0005474B"/>
    <w:rsid w:val="00054A39"/>
    <w:rsid w:val="00054BBE"/>
    <w:rsid w:val="00054DB4"/>
    <w:rsid w:val="00054F81"/>
    <w:rsid w:val="0005502C"/>
    <w:rsid w:val="00055781"/>
    <w:rsid w:val="00055AA2"/>
    <w:rsid w:val="00055B4F"/>
    <w:rsid w:val="00055C02"/>
    <w:rsid w:val="00056644"/>
    <w:rsid w:val="000567B6"/>
    <w:rsid w:val="000567F7"/>
    <w:rsid w:val="00056B5F"/>
    <w:rsid w:val="00057363"/>
    <w:rsid w:val="00057817"/>
    <w:rsid w:val="00057D26"/>
    <w:rsid w:val="00057F97"/>
    <w:rsid w:val="00060A07"/>
    <w:rsid w:val="00060C6A"/>
    <w:rsid w:val="0006185C"/>
    <w:rsid w:val="000622A5"/>
    <w:rsid w:val="00062B45"/>
    <w:rsid w:val="000633E1"/>
    <w:rsid w:val="000636C8"/>
    <w:rsid w:val="000637A9"/>
    <w:rsid w:val="00063CB6"/>
    <w:rsid w:val="00063F98"/>
    <w:rsid w:val="00064000"/>
    <w:rsid w:val="000645F5"/>
    <w:rsid w:val="00064A2D"/>
    <w:rsid w:val="00064BE6"/>
    <w:rsid w:val="00064CA5"/>
    <w:rsid w:val="00064E82"/>
    <w:rsid w:val="000650DF"/>
    <w:rsid w:val="000654BD"/>
    <w:rsid w:val="000658F1"/>
    <w:rsid w:val="00065E12"/>
    <w:rsid w:val="00066424"/>
    <w:rsid w:val="0006691F"/>
    <w:rsid w:val="00066E2F"/>
    <w:rsid w:val="0006722F"/>
    <w:rsid w:val="000673DD"/>
    <w:rsid w:val="00067985"/>
    <w:rsid w:val="00067D41"/>
    <w:rsid w:val="00067E06"/>
    <w:rsid w:val="00067E10"/>
    <w:rsid w:val="00070512"/>
    <w:rsid w:val="00070F11"/>
    <w:rsid w:val="0007100A"/>
    <w:rsid w:val="000710C7"/>
    <w:rsid w:val="0007124D"/>
    <w:rsid w:val="000712E1"/>
    <w:rsid w:val="00071452"/>
    <w:rsid w:val="00071D85"/>
    <w:rsid w:val="00071E54"/>
    <w:rsid w:val="000724BB"/>
    <w:rsid w:val="00072A51"/>
    <w:rsid w:val="00072C57"/>
    <w:rsid w:val="0007334B"/>
    <w:rsid w:val="00073763"/>
    <w:rsid w:val="00073A9A"/>
    <w:rsid w:val="00073FCE"/>
    <w:rsid w:val="000740DB"/>
    <w:rsid w:val="00074276"/>
    <w:rsid w:val="00074388"/>
    <w:rsid w:val="000747E1"/>
    <w:rsid w:val="00075B42"/>
    <w:rsid w:val="00076B1A"/>
    <w:rsid w:val="00076BA1"/>
    <w:rsid w:val="00076F23"/>
    <w:rsid w:val="00077800"/>
    <w:rsid w:val="0007798F"/>
    <w:rsid w:val="000805EB"/>
    <w:rsid w:val="00080B76"/>
    <w:rsid w:val="00080EB7"/>
    <w:rsid w:val="00080FEA"/>
    <w:rsid w:val="000811E8"/>
    <w:rsid w:val="00081609"/>
    <w:rsid w:val="0008278E"/>
    <w:rsid w:val="00082CF8"/>
    <w:rsid w:val="000830BD"/>
    <w:rsid w:val="00083B9E"/>
    <w:rsid w:val="00083F2F"/>
    <w:rsid w:val="000840B7"/>
    <w:rsid w:val="00084E2E"/>
    <w:rsid w:val="00084E93"/>
    <w:rsid w:val="00084FF6"/>
    <w:rsid w:val="00084FFA"/>
    <w:rsid w:val="000859E7"/>
    <w:rsid w:val="00086B29"/>
    <w:rsid w:val="00086C19"/>
    <w:rsid w:val="00086D66"/>
    <w:rsid w:val="00087ABC"/>
    <w:rsid w:val="00087ADE"/>
    <w:rsid w:val="00087D54"/>
    <w:rsid w:val="00087E4D"/>
    <w:rsid w:val="00090272"/>
    <w:rsid w:val="00090556"/>
    <w:rsid w:val="0009114A"/>
    <w:rsid w:val="00091872"/>
    <w:rsid w:val="000919B5"/>
    <w:rsid w:val="00091FC5"/>
    <w:rsid w:val="000925FD"/>
    <w:rsid w:val="000929AF"/>
    <w:rsid w:val="00092B24"/>
    <w:rsid w:val="000932C6"/>
    <w:rsid w:val="00093401"/>
    <w:rsid w:val="00093959"/>
    <w:rsid w:val="00093968"/>
    <w:rsid w:val="00093B68"/>
    <w:rsid w:val="00093CAD"/>
    <w:rsid w:val="00093DA3"/>
    <w:rsid w:val="0009415B"/>
    <w:rsid w:val="000946E1"/>
    <w:rsid w:val="00094983"/>
    <w:rsid w:val="00094BBF"/>
    <w:rsid w:val="00094F0C"/>
    <w:rsid w:val="000955ED"/>
    <w:rsid w:val="00095D77"/>
    <w:rsid w:val="0009614D"/>
    <w:rsid w:val="000963E2"/>
    <w:rsid w:val="000964A8"/>
    <w:rsid w:val="000965FB"/>
    <w:rsid w:val="00096796"/>
    <w:rsid w:val="00097026"/>
    <w:rsid w:val="000979F3"/>
    <w:rsid w:val="00097C79"/>
    <w:rsid w:val="000A02AA"/>
    <w:rsid w:val="000A04F1"/>
    <w:rsid w:val="000A0730"/>
    <w:rsid w:val="000A0A77"/>
    <w:rsid w:val="000A11D3"/>
    <w:rsid w:val="000A18D5"/>
    <w:rsid w:val="000A19FB"/>
    <w:rsid w:val="000A1E7A"/>
    <w:rsid w:val="000A254D"/>
    <w:rsid w:val="000A28B2"/>
    <w:rsid w:val="000A2E36"/>
    <w:rsid w:val="000A3086"/>
    <w:rsid w:val="000A32F1"/>
    <w:rsid w:val="000A38C3"/>
    <w:rsid w:val="000A3D4B"/>
    <w:rsid w:val="000A3DBF"/>
    <w:rsid w:val="000A4269"/>
    <w:rsid w:val="000A4724"/>
    <w:rsid w:val="000A481C"/>
    <w:rsid w:val="000A49D5"/>
    <w:rsid w:val="000A4AEA"/>
    <w:rsid w:val="000A4EA8"/>
    <w:rsid w:val="000A54D1"/>
    <w:rsid w:val="000A5CDA"/>
    <w:rsid w:val="000A6035"/>
    <w:rsid w:val="000A6C7B"/>
    <w:rsid w:val="000A715F"/>
    <w:rsid w:val="000A7189"/>
    <w:rsid w:val="000A72AC"/>
    <w:rsid w:val="000A754F"/>
    <w:rsid w:val="000A7B37"/>
    <w:rsid w:val="000B0D69"/>
    <w:rsid w:val="000B0E3B"/>
    <w:rsid w:val="000B0FCA"/>
    <w:rsid w:val="000B0FDC"/>
    <w:rsid w:val="000B1756"/>
    <w:rsid w:val="000B1944"/>
    <w:rsid w:val="000B257A"/>
    <w:rsid w:val="000B3AD0"/>
    <w:rsid w:val="000B3D8F"/>
    <w:rsid w:val="000B41A7"/>
    <w:rsid w:val="000B4262"/>
    <w:rsid w:val="000B449F"/>
    <w:rsid w:val="000B5156"/>
    <w:rsid w:val="000B55D3"/>
    <w:rsid w:val="000B572D"/>
    <w:rsid w:val="000B5889"/>
    <w:rsid w:val="000B5B71"/>
    <w:rsid w:val="000B5CC9"/>
    <w:rsid w:val="000B5DA7"/>
    <w:rsid w:val="000B5E98"/>
    <w:rsid w:val="000B5FE3"/>
    <w:rsid w:val="000B6173"/>
    <w:rsid w:val="000B61C4"/>
    <w:rsid w:val="000B6548"/>
    <w:rsid w:val="000B671B"/>
    <w:rsid w:val="000B7925"/>
    <w:rsid w:val="000B79A4"/>
    <w:rsid w:val="000B7D6D"/>
    <w:rsid w:val="000B7F79"/>
    <w:rsid w:val="000B7FD4"/>
    <w:rsid w:val="000C036D"/>
    <w:rsid w:val="000C0551"/>
    <w:rsid w:val="000C0574"/>
    <w:rsid w:val="000C0A2C"/>
    <w:rsid w:val="000C19E1"/>
    <w:rsid w:val="000C1AF1"/>
    <w:rsid w:val="000C1FDD"/>
    <w:rsid w:val="000C202F"/>
    <w:rsid w:val="000C2DA2"/>
    <w:rsid w:val="000C30D3"/>
    <w:rsid w:val="000C32CA"/>
    <w:rsid w:val="000C376F"/>
    <w:rsid w:val="000C4D96"/>
    <w:rsid w:val="000C531A"/>
    <w:rsid w:val="000C5422"/>
    <w:rsid w:val="000C584E"/>
    <w:rsid w:val="000C678F"/>
    <w:rsid w:val="000C757F"/>
    <w:rsid w:val="000C7812"/>
    <w:rsid w:val="000D00E2"/>
    <w:rsid w:val="000D04DE"/>
    <w:rsid w:val="000D0A9C"/>
    <w:rsid w:val="000D0AF6"/>
    <w:rsid w:val="000D0DC2"/>
    <w:rsid w:val="000D1748"/>
    <w:rsid w:val="000D2116"/>
    <w:rsid w:val="000D2549"/>
    <w:rsid w:val="000D2711"/>
    <w:rsid w:val="000D27DE"/>
    <w:rsid w:val="000D2A79"/>
    <w:rsid w:val="000D3DEF"/>
    <w:rsid w:val="000D44CC"/>
    <w:rsid w:val="000D455D"/>
    <w:rsid w:val="000D4636"/>
    <w:rsid w:val="000D4E06"/>
    <w:rsid w:val="000D4F40"/>
    <w:rsid w:val="000D665E"/>
    <w:rsid w:val="000D6C8C"/>
    <w:rsid w:val="000D78A6"/>
    <w:rsid w:val="000D7900"/>
    <w:rsid w:val="000E02F8"/>
    <w:rsid w:val="000E0C48"/>
    <w:rsid w:val="000E10D9"/>
    <w:rsid w:val="000E1146"/>
    <w:rsid w:val="000E13E3"/>
    <w:rsid w:val="000E154F"/>
    <w:rsid w:val="000E17F4"/>
    <w:rsid w:val="000E194A"/>
    <w:rsid w:val="000E223F"/>
    <w:rsid w:val="000E270E"/>
    <w:rsid w:val="000E2D16"/>
    <w:rsid w:val="000E2E9C"/>
    <w:rsid w:val="000E2F8B"/>
    <w:rsid w:val="000E32BC"/>
    <w:rsid w:val="000E33DB"/>
    <w:rsid w:val="000E3C70"/>
    <w:rsid w:val="000E3D4A"/>
    <w:rsid w:val="000E42A0"/>
    <w:rsid w:val="000E4324"/>
    <w:rsid w:val="000E4E10"/>
    <w:rsid w:val="000E501B"/>
    <w:rsid w:val="000E5BE6"/>
    <w:rsid w:val="000E5EF2"/>
    <w:rsid w:val="000E6242"/>
    <w:rsid w:val="000E63DF"/>
    <w:rsid w:val="000E6675"/>
    <w:rsid w:val="000E6B3E"/>
    <w:rsid w:val="000E6D56"/>
    <w:rsid w:val="000E7CCF"/>
    <w:rsid w:val="000E7D95"/>
    <w:rsid w:val="000F0124"/>
    <w:rsid w:val="000F02B6"/>
    <w:rsid w:val="000F1210"/>
    <w:rsid w:val="000F170D"/>
    <w:rsid w:val="000F17E2"/>
    <w:rsid w:val="000F21B3"/>
    <w:rsid w:val="000F2750"/>
    <w:rsid w:val="000F27B1"/>
    <w:rsid w:val="000F287B"/>
    <w:rsid w:val="000F2A23"/>
    <w:rsid w:val="000F2D0C"/>
    <w:rsid w:val="000F2F80"/>
    <w:rsid w:val="000F337D"/>
    <w:rsid w:val="000F3A7E"/>
    <w:rsid w:val="000F3DA9"/>
    <w:rsid w:val="000F400A"/>
    <w:rsid w:val="000F46C6"/>
    <w:rsid w:val="000F4705"/>
    <w:rsid w:val="000F4969"/>
    <w:rsid w:val="000F4CC2"/>
    <w:rsid w:val="000F583A"/>
    <w:rsid w:val="000F5C8E"/>
    <w:rsid w:val="000F6E82"/>
    <w:rsid w:val="000F7579"/>
    <w:rsid w:val="00100011"/>
    <w:rsid w:val="0010108C"/>
    <w:rsid w:val="00101151"/>
    <w:rsid w:val="00101599"/>
    <w:rsid w:val="00101AC2"/>
    <w:rsid w:val="00102C60"/>
    <w:rsid w:val="001030EC"/>
    <w:rsid w:val="001035A3"/>
    <w:rsid w:val="00103B63"/>
    <w:rsid w:val="00103D4C"/>
    <w:rsid w:val="0010437B"/>
    <w:rsid w:val="001047F9"/>
    <w:rsid w:val="00105BF1"/>
    <w:rsid w:val="0010609F"/>
    <w:rsid w:val="0010633F"/>
    <w:rsid w:val="00110B9F"/>
    <w:rsid w:val="001112A8"/>
    <w:rsid w:val="00111335"/>
    <w:rsid w:val="001114A3"/>
    <w:rsid w:val="00111A07"/>
    <w:rsid w:val="00111BF8"/>
    <w:rsid w:val="00111FB7"/>
    <w:rsid w:val="001125E1"/>
    <w:rsid w:val="0011287E"/>
    <w:rsid w:val="001128BB"/>
    <w:rsid w:val="00112D9E"/>
    <w:rsid w:val="001131F1"/>
    <w:rsid w:val="00113E16"/>
    <w:rsid w:val="001146A9"/>
    <w:rsid w:val="00114859"/>
    <w:rsid w:val="001148B4"/>
    <w:rsid w:val="001154A8"/>
    <w:rsid w:val="001156A8"/>
    <w:rsid w:val="001156EF"/>
    <w:rsid w:val="001157A9"/>
    <w:rsid w:val="00115819"/>
    <w:rsid w:val="0011650F"/>
    <w:rsid w:val="001167F8"/>
    <w:rsid w:val="00117A45"/>
    <w:rsid w:val="00117A5C"/>
    <w:rsid w:val="00120DDD"/>
    <w:rsid w:val="0012101F"/>
    <w:rsid w:val="00121BB0"/>
    <w:rsid w:val="00121C82"/>
    <w:rsid w:val="00121DAC"/>
    <w:rsid w:val="00122237"/>
    <w:rsid w:val="00122BE3"/>
    <w:rsid w:val="0012317D"/>
    <w:rsid w:val="001232FA"/>
    <w:rsid w:val="001239F3"/>
    <w:rsid w:val="00123C2D"/>
    <w:rsid w:val="00123E53"/>
    <w:rsid w:val="00124AF5"/>
    <w:rsid w:val="001251FE"/>
    <w:rsid w:val="001252D8"/>
    <w:rsid w:val="001253D8"/>
    <w:rsid w:val="0012614A"/>
    <w:rsid w:val="00126291"/>
    <w:rsid w:val="001262EF"/>
    <w:rsid w:val="001263B9"/>
    <w:rsid w:val="0012667F"/>
    <w:rsid w:val="00126EA6"/>
    <w:rsid w:val="001271E7"/>
    <w:rsid w:val="00127417"/>
    <w:rsid w:val="0012782A"/>
    <w:rsid w:val="00127B92"/>
    <w:rsid w:val="0013041E"/>
    <w:rsid w:val="00130E70"/>
    <w:rsid w:val="00131C66"/>
    <w:rsid w:val="00131E42"/>
    <w:rsid w:val="001326FF"/>
    <w:rsid w:val="0013277E"/>
    <w:rsid w:val="00132DE1"/>
    <w:rsid w:val="00132F43"/>
    <w:rsid w:val="0013358B"/>
    <w:rsid w:val="00133B74"/>
    <w:rsid w:val="00133D18"/>
    <w:rsid w:val="0013443A"/>
    <w:rsid w:val="00134726"/>
    <w:rsid w:val="00134AA0"/>
    <w:rsid w:val="001353A2"/>
    <w:rsid w:val="00135593"/>
    <w:rsid w:val="001359BE"/>
    <w:rsid w:val="00135ADA"/>
    <w:rsid w:val="001365F2"/>
    <w:rsid w:val="0013692C"/>
    <w:rsid w:val="00136E95"/>
    <w:rsid w:val="001372CF"/>
    <w:rsid w:val="0013736A"/>
    <w:rsid w:val="0013777E"/>
    <w:rsid w:val="00137BAA"/>
    <w:rsid w:val="00137BEC"/>
    <w:rsid w:val="00137C51"/>
    <w:rsid w:val="00140652"/>
    <w:rsid w:val="0014090F"/>
    <w:rsid w:val="00140B1A"/>
    <w:rsid w:val="00140BA2"/>
    <w:rsid w:val="00140D3E"/>
    <w:rsid w:val="00141315"/>
    <w:rsid w:val="0014165E"/>
    <w:rsid w:val="00141FD7"/>
    <w:rsid w:val="001424C8"/>
    <w:rsid w:val="00142B79"/>
    <w:rsid w:val="00142F74"/>
    <w:rsid w:val="001434C4"/>
    <w:rsid w:val="00143B35"/>
    <w:rsid w:val="00143DA4"/>
    <w:rsid w:val="0014419B"/>
    <w:rsid w:val="00144EDC"/>
    <w:rsid w:val="001452F7"/>
    <w:rsid w:val="0014544F"/>
    <w:rsid w:val="00145AAE"/>
    <w:rsid w:val="0014699C"/>
    <w:rsid w:val="00146E0A"/>
    <w:rsid w:val="001470B9"/>
    <w:rsid w:val="00147435"/>
    <w:rsid w:val="00147483"/>
    <w:rsid w:val="00147DF9"/>
    <w:rsid w:val="00147ED8"/>
    <w:rsid w:val="00147EE1"/>
    <w:rsid w:val="001505E1"/>
    <w:rsid w:val="00150BB6"/>
    <w:rsid w:val="00150BFA"/>
    <w:rsid w:val="00151591"/>
    <w:rsid w:val="00151BDE"/>
    <w:rsid w:val="00151D8C"/>
    <w:rsid w:val="00151E62"/>
    <w:rsid w:val="00151EB9"/>
    <w:rsid w:val="00152893"/>
    <w:rsid w:val="00152B14"/>
    <w:rsid w:val="00152DC2"/>
    <w:rsid w:val="00153468"/>
    <w:rsid w:val="00153B66"/>
    <w:rsid w:val="00153B8A"/>
    <w:rsid w:val="00154484"/>
    <w:rsid w:val="001549C8"/>
    <w:rsid w:val="00154E6E"/>
    <w:rsid w:val="001550F9"/>
    <w:rsid w:val="001555E5"/>
    <w:rsid w:val="0015594D"/>
    <w:rsid w:val="00155AE2"/>
    <w:rsid w:val="0015618E"/>
    <w:rsid w:val="00156214"/>
    <w:rsid w:val="00157016"/>
    <w:rsid w:val="00157095"/>
    <w:rsid w:val="00157233"/>
    <w:rsid w:val="00157811"/>
    <w:rsid w:val="00157839"/>
    <w:rsid w:val="00157D6B"/>
    <w:rsid w:val="001607E2"/>
    <w:rsid w:val="00160B35"/>
    <w:rsid w:val="00160D5C"/>
    <w:rsid w:val="00160E4D"/>
    <w:rsid w:val="00161130"/>
    <w:rsid w:val="0016185B"/>
    <w:rsid w:val="00162564"/>
    <w:rsid w:val="001626C2"/>
    <w:rsid w:val="001627CB"/>
    <w:rsid w:val="0016283A"/>
    <w:rsid w:val="00162B74"/>
    <w:rsid w:val="00162BB1"/>
    <w:rsid w:val="00162C22"/>
    <w:rsid w:val="00162DCF"/>
    <w:rsid w:val="0016310F"/>
    <w:rsid w:val="00164221"/>
    <w:rsid w:val="00164F4F"/>
    <w:rsid w:val="00165376"/>
    <w:rsid w:val="00167043"/>
    <w:rsid w:val="00167309"/>
    <w:rsid w:val="0016797D"/>
    <w:rsid w:val="001711FA"/>
    <w:rsid w:val="00171220"/>
    <w:rsid w:val="001718BC"/>
    <w:rsid w:val="00171C24"/>
    <w:rsid w:val="001722C4"/>
    <w:rsid w:val="0017242B"/>
    <w:rsid w:val="001727FF"/>
    <w:rsid w:val="00172A4B"/>
    <w:rsid w:val="001731BE"/>
    <w:rsid w:val="0017324C"/>
    <w:rsid w:val="00173865"/>
    <w:rsid w:val="001739F0"/>
    <w:rsid w:val="00173D41"/>
    <w:rsid w:val="00173E85"/>
    <w:rsid w:val="001740B4"/>
    <w:rsid w:val="0017413E"/>
    <w:rsid w:val="001748C4"/>
    <w:rsid w:val="00174C7A"/>
    <w:rsid w:val="001751D2"/>
    <w:rsid w:val="001770CC"/>
    <w:rsid w:val="001770FA"/>
    <w:rsid w:val="0017742F"/>
    <w:rsid w:val="00177743"/>
    <w:rsid w:val="00180951"/>
    <w:rsid w:val="00180C58"/>
    <w:rsid w:val="00180D11"/>
    <w:rsid w:val="00180D5E"/>
    <w:rsid w:val="0018114A"/>
    <w:rsid w:val="0018157C"/>
    <w:rsid w:val="00181968"/>
    <w:rsid w:val="00181BDA"/>
    <w:rsid w:val="001822D6"/>
    <w:rsid w:val="001822EE"/>
    <w:rsid w:val="00182EDD"/>
    <w:rsid w:val="001832D0"/>
    <w:rsid w:val="00183BC3"/>
    <w:rsid w:val="001843E9"/>
    <w:rsid w:val="00184CF4"/>
    <w:rsid w:val="00185143"/>
    <w:rsid w:val="00185321"/>
    <w:rsid w:val="0018547A"/>
    <w:rsid w:val="001857A2"/>
    <w:rsid w:val="00185D96"/>
    <w:rsid w:val="00185EB6"/>
    <w:rsid w:val="0018602B"/>
    <w:rsid w:val="0018678D"/>
    <w:rsid w:val="00186AC1"/>
    <w:rsid w:val="00186AF5"/>
    <w:rsid w:val="00186D9C"/>
    <w:rsid w:val="001870F0"/>
    <w:rsid w:val="00187A56"/>
    <w:rsid w:val="00187B6B"/>
    <w:rsid w:val="00190117"/>
    <w:rsid w:val="001909A9"/>
    <w:rsid w:val="00190DBD"/>
    <w:rsid w:val="00191219"/>
    <w:rsid w:val="00191453"/>
    <w:rsid w:val="001917FF"/>
    <w:rsid w:val="00191A90"/>
    <w:rsid w:val="00192256"/>
    <w:rsid w:val="00192FF5"/>
    <w:rsid w:val="0019300B"/>
    <w:rsid w:val="0019322C"/>
    <w:rsid w:val="00193425"/>
    <w:rsid w:val="001937A2"/>
    <w:rsid w:val="00193C96"/>
    <w:rsid w:val="00193E58"/>
    <w:rsid w:val="00195D5A"/>
    <w:rsid w:val="00195DBF"/>
    <w:rsid w:val="00196580"/>
    <w:rsid w:val="00196748"/>
    <w:rsid w:val="00196B8B"/>
    <w:rsid w:val="00196DD9"/>
    <w:rsid w:val="0019748E"/>
    <w:rsid w:val="00197571"/>
    <w:rsid w:val="001A01AA"/>
    <w:rsid w:val="001A0258"/>
    <w:rsid w:val="001A0451"/>
    <w:rsid w:val="001A04D2"/>
    <w:rsid w:val="001A0502"/>
    <w:rsid w:val="001A0AB2"/>
    <w:rsid w:val="001A0DFC"/>
    <w:rsid w:val="001A1161"/>
    <w:rsid w:val="001A1506"/>
    <w:rsid w:val="001A15D7"/>
    <w:rsid w:val="001A1719"/>
    <w:rsid w:val="001A1807"/>
    <w:rsid w:val="001A1986"/>
    <w:rsid w:val="001A1BA3"/>
    <w:rsid w:val="001A1BBB"/>
    <w:rsid w:val="001A1FC9"/>
    <w:rsid w:val="001A202C"/>
    <w:rsid w:val="001A2203"/>
    <w:rsid w:val="001A279E"/>
    <w:rsid w:val="001A2FCA"/>
    <w:rsid w:val="001A3061"/>
    <w:rsid w:val="001A348C"/>
    <w:rsid w:val="001A3986"/>
    <w:rsid w:val="001A4CC7"/>
    <w:rsid w:val="001A528C"/>
    <w:rsid w:val="001A53BF"/>
    <w:rsid w:val="001A559C"/>
    <w:rsid w:val="001A58F9"/>
    <w:rsid w:val="001A599A"/>
    <w:rsid w:val="001A5ADD"/>
    <w:rsid w:val="001A6141"/>
    <w:rsid w:val="001A6653"/>
    <w:rsid w:val="001A6741"/>
    <w:rsid w:val="001A697C"/>
    <w:rsid w:val="001A6A4C"/>
    <w:rsid w:val="001A6BCE"/>
    <w:rsid w:val="001A7214"/>
    <w:rsid w:val="001A749A"/>
    <w:rsid w:val="001A7A3B"/>
    <w:rsid w:val="001A7B4B"/>
    <w:rsid w:val="001A7E91"/>
    <w:rsid w:val="001B07D0"/>
    <w:rsid w:val="001B0B26"/>
    <w:rsid w:val="001B1142"/>
    <w:rsid w:val="001B12CB"/>
    <w:rsid w:val="001B12CE"/>
    <w:rsid w:val="001B1346"/>
    <w:rsid w:val="001B17CC"/>
    <w:rsid w:val="001B1E87"/>
    <w:rsid w:val="001B1F6B"/>
    <w:rsid w:val="001B25A8"/>
    <w:rsid w:val="001B293C"/>
    <w:rsid w:val="001B29AF"/>
    <w:rsid w:val="001B2A8C"/>
    <w:rsid w:val="001B2E45"/>
    <w:rsid w:val="001B2FD2"/>
    <w:rsid w:val="001B30B3"/>
    <w:rsid w:val="001B36C4"/>
    <w:rsid w:val="001B36F2"/>
    <w:rsid w:val="001B3E2E"/>
    <w:rsid w:val="001B47AA"/>
    <w:rsid w:val="001B4B2E"/>
    <w:rsid w:val="001B4F3C"/>
    <w:rsid w:val="001B526E"/>
    <w:rsid w:val="001B56AA"/>
    <w:rsid w:val="001B5C89"/>
    <w:rsid w:val="001B60E1"/>
    <w:rsid w:val="001B60F9"/>
    <w:rsid w:val="001B6197"/>
    <w:rsid w:val="001B6304"/>
    <w:rsid w:val="001B6D06"/>
    <w:rsid w:val="001B6D45"/>
    <w:rsid w:val="001B764C"/>
    <w:rsid w:val="001B7754"/>
    <w:rsid w:val="001B77E3"/>
    <w:rsid w:val="001B7F08"/>
    <w:rsid w:val="001C02C5"/>
    <w:rsid w:val="001C047A"/>
    <w:rsid w:val="001C066F"/>
    <w:rsid w:val="001C095E"/>
    <w:rsid w:val="001C12D2"/>
    <w:rsid w:val="001C19C7"/>
    <w:rsid w:val="001C2556"/>
    <w:rsid w:val="001C2F80"/>
    <w:rsid w:val="001C36F7"/>
    <w:rsid w:val="001C3FBA"/>
    <w:rsid w:val="001C4296"/>
    <w:rsid w:val="001C44F7"/>
    <w:rsid w:val="001C4A24"/>
    <w:rsid w:val="001C4CD0"/>
    <w:rsid w:val="001C5549"/>
    <w:rsid w:val="001C5B34"/>
    <w:rsid w:val="001C6B3F"/>
    <w:rsid w:val="001C6D49"/>
    <w:rsid w:val="001C6FA9"/>
    <w:rsid w:val="001C7024"/>
    <w:rsid w:val="001C7068"/>
    <w:rsid w:val="001C72EA"/>
    <w:rsid w:val="001C7533"/>
    <w:rsid w:val="001C78F2"/>
    <w:rsid w:val="001C7BF0"/>
    <w:rsid w:val="001C7C2A"/>
    <w:rsid w:val="001C7C3B"/>
    <w:rsid w:val="001C7CA3"/>
    <w:rsid w:val="001D011D"/>
    <w:rsid w:val="001D07A4"/>
    <w:rsid w:val="001D0A80"/>
    <w:rsid w:val="001D0ADA"/>
    <w:rsid w:val="001D0AF5"/>
    <w:rsid w:val="001D0BDE"/>
    <w:rsid w:val="001D123C"/>
    <w:rsid w:val="001D14A6"/>
    <w:rsid w:val="001D15DF"/>
    <w:rsid w:val="001D1ACE"/>
    <w:rsid w:val="001D230C"/>
    <w:rsid w:val="001D23A8"/>
    <w:rsid w:val="001D26EC"/>
    <w:rsid w:val="001D2850"/>
    <w:rsid w:val="001D2889"/>
    <w:rsid w:val="001D2A71"/>
    <w:rsid w:val="001D2C4D"/>
    <w:rsid w:val="001D2C7D"/>
    <w:rsid w:val="001D3169"/>
    <w:rsid w:val="001D36AB"/>
    <w:rsid w:val="001D3D83"/>
    <w:rsid w:val="001D427A"/>
    <w:rsid w:val="001D44BC"/>
    <w:rsid w:val="001D4BEA"/>
    <w:rsid w:val="001D4D8A"/>
    <w:rsid w:val="001D55BC"/>
    <w:rsid w:val="001D5DD8"/>
    <w:rsid w:val="001D5FA6"/>
    <w:rsid w:val="001D6705"/>
    <w:rsid w:val="001D6D09"/>
    <w:rsid w:val="001D6E63"/>
    <w:rsid w:val="001D711C"/>
    <w:rsid w:val="001D736D"/>
    <w:rsid w:val="001D7670"/>
    <w:rsid w:val="001D7A52"/>
    <w:rsid w:val="001D7A87"/>
    <w:rsid w:val="001D7D31"/>
    <w:rsid w:val="001E074A"/>
    <w:rsid w:val="001E0BB6"/>
    <w:rsid w:val="001E1253"/>
    <w:rsid w:val="001E1274"/>
    <w:rsid w:val="001E1950"/>
    <w:rsid w:val="001E2604"/>
    <w:rsid w:val="001E2BC3"/>
    <w:rsid w:val="001E2C5A"/>
    <w:rsid w:val="001E2E58"/>
    <w:rsid w:val="001E32A6"/>
    <w:rsid w:val="001E34B6"/>
    <w:rsid w:val="001E3527"/>
    <w:rsid w:val="001E354A"/>
    <w:rsid w:val="001E39A7"/>
    <w:rsid w:val="001E3A87"/>
    <w:rsid w:val="001E3EFC"/>
    <w:rsid w:val="001E3F1A"/>
    <w:rsid w:val="001E4874"/>
    <w:rsid w:val="001E4A71"/>
    <w:rsid w:val="001E5193"/>
    <w:rsid w:val="001E548C"/>
    <w:rsid w:val="001E5651"/>
    <w:rsid w:val="001E59AA"/>
    <w:rsid w:val="001E5B08"/>
    <w:rsid w:val="001E5D9E"/>
    <w:rsid w:val="001E61D7"/>
    <w:rsid w:val="001E624D"/>
    <w:rsid w:val="001E687A"/>
    <w:rsid w:val="001E6F3E"/>
    <w:rsid w:val="001E7542"/>
    <w:rsid w:val="001E776D"/>
    <w:rsid w:val="001E77B7"/>
    <w:rsid w:val="001E7FEC"/>
    <w:rsid w:val="001F0D98"/>
    <w:rsid w:val="001F0EF4"/>
    <w:rsid w:val="001F13AE"/>
    <w:rsid w:val="001F27F9"/>
    <w:rsid w:val="001F2AEB"/>
    <w:rsid w:val="001F2B8F"/>
    <w:rsid w:val="001F4047"/>
    <w:rsid w:val="001F4D61"/>
    <w:rsid w:val="001F5687"/>
    <w:rsid w:val="001F5876"/>
    <w:rsid w:val="001F5982"/>
    <w:rsid w:val="001F5C0A"/>
    <w:rsid w:val="001F5F12"/>
    <w:rsid w:val="001F6241"/>
    <w:rsid w:val="001F6358"/>
    <w:rsid w:val="001F671E"/>
    <w:rsid w:val="001F6747"/>
    <w:rsid w:val="001F679D"/>
    <w:rsid w:val="001F68B3"/>
    <w:rsid w:val="001F6ECA"/>
    <w:rsid w:val="001F7678"/>
    <w:rsid w:val="001F77EF"/>
    <w:rsid w:val="001F7BA7"/>
    <w:rsid w:val="001F7F8F"/>
    <w:rsid w:val="00200205"/>
    <w:rsid w:val="00200377"/>
    <w:rsid w:val="0020062C"/>
    <w:rsid w:val="00200770"/>
    <w:rsid w:val="00200A64"/>
    <w:rsid w:val="00200A67"/>
    <w:rsid w:val="00200D0C"/>
    <w:rsid w:val="00201488"/>
    <w:rsid w:val="00201736"/>
    <w:rsid w:val="002018D7"/>
    <w:rsid w:val="00201964"/>
    <w:rsid w:val="002022CF"/>
    <w:rsid w:val="0020236B"/>
    <w:rsid w:val="0020280D"/>
    <w:rsid w:val="00202DF7"/>
    <w:rsid w:val="00202E58"/>
    <w:rsid w:val="002033C1"/>
    <w:rsid w:val="0020358B"/>
    <w:rsid w:val="002037A3"/>
    <w:rsid w:val="00203F27"/>
    <w:rsid w:val="002040AA"/>
    <w:rsid w:val="00204A43"/>
    <w:rsid w:val="00204B32"/>
    <w:rsid w:val="00204DCC"/>
    <w:rsid w:val="00204EFD"/>
    <w:rsid w:val="00204F44"/>
    <w:rsid w:val="00205688"/>
    <w:rsid w:val="00205A72"/>
    <w:rsid w:val="00205A83"/>
    <w:rsid w:val="00206423"/>
    <w:rsid w:val="00206A2C"/>
    <w:rsid w:val="0020775F"/>
    <w:rsid w:val="0020791D"/>
    <w:rsid w:val="00207A5F"/>
    <w:rsid w:val="00207AA0"/>
    <w:rsid w:val="00207BE0"/>
    <w:rsid w:val="0021014F"/>
    <w:rsid w:val="00210E19"/>
    <w:rsid w:val="002113C8"/>
    <w:rsid w:val="0021193D"/>
    <w:rsid w:val="0021299D"/>
    <w:rsid w:val="00212EB4"/>
    <w:rsid w:val="0021347D"/>
    <w:rsid w:val="00213529"/>
    <w:rsid w:val="002146A8"/>
    <w:rsid w:val="002147E5"/>
    <w:rsid w:val="00214A8D"/>
    <w:rsid w:val="00215125"/>
    <w:rsid w:val="00215CF9"/>
    <w:rsid w:val="00215E12"/>
    <w:rsid w:val="00215F08"/>
    <w:rsid w:val="002168B9"/>
    <w:rsid w:val="0021697A"/>
    <w:rsid w:val="002177CA"/>
    <w:rsid w:val="00220379"/>
    <w:rsid w:val="002205B3"/>
    <w:rsid w:val="00221470"/>
    <w:rsid w:val="002215E4"/>
    <w:rsid w:val="00222188"/>
    <w:rsid w:val="0022291C"/>
    <w:rsid w:val="00222969"/>
    <w:rsid w:val="00222EAE"/>
    <w:rsid w:val="00223297"/>
    <w:rsid w:val="00223A12"/>
    <w:rsid w:val="00223C18"/>
    <w:rsid w:val="002247B1"/>
    <w:rsid w:val="002250BC"/>
    <w:rsid w:val="00225BD2"/>
    <w:rsid w:val="0022604A"/>
    <w:rsid w:val="002260B9"/>
    <w:rsid w:val="00226635"/>
    <w:rsid w:val="002270AC"/>
    <w:rsid w:val="0022747E"/>
    <w:rsid w:val="0022768C"/>
    <w:rsid w:val="002276A7"/>
    <w:rsid w:val="00227E91"/>
    <w:rsid w:val="00230164"/>
    <w:rsid w:val="002307F7"/>
    <w:rsid w:val="00230CBC"/>
    <w:rsid w:val="00232068"/>
    <w:rsid w:val="002322CE"/>
    <w:rsid w:val="00232499"/>
    <w:rsid w:val="002327D6"/>
    <w:rsid w:val="002332BA"/>
    <w:rsid w:val="002336D7"/>
    <w:rsid w:val="0023391F"/>
    <w:rsid w:val="00233D4A"/>
    <w:rsid w:val="00234861"/>
    <w:rsid w:val="00234BF2"/>
    <w:rsid w:val="00234EBF"/>
    <w:rsid w:val="00234ED7"/>
    <w:rsid w:val="00234FD1"/>
    <w:rsid w:val="002350E6"/>
    <w:rsid w:val="00235500"/>
    <w:rsid w:val="00235517"/>
    <w:rsid w:val="0023588F"/>
    <w:rsid w:val="00235AD2"/>
    <w:rsid w:val="002360AD"/>
    <w:rsid w:val="0023635A"/>
    <w:rsid w:val="002365E4"/>
    <w:rsid w:val="002378A3"/>
    <w:rsid w:val="00237AC4"/>
    <w:rsid w:val="00237EF3"/>
    <w:rsid w:val="0024056C"/>
    <w:rsid w:val="00240946"/>
    <w:rsid w:val="00240EE3"/>
    <w:rsid w:val="002411C6"/>
    <w:rsid w:val="0024121E"/>
    <w:rsid w:val="00241651"/>
    <w:rsid w:val="00241F2E"/>
    <w:rsid w:val="00241F4C"/>
    <w:rsid w:val="002420C7"/>
    <w:rsid w:val="0024214D"/>
    <w:rsid w:val="00242269"/>
    <w:rsid w:val="00242280"/>
    <w:rsid w:val="002427F5"/>
    <w:rsid w:val="002429DD"/>
    <w:rsid w:val="00242DB4"/>
    <w:rsid w:val="002434A5"/>
    <w:rsid w:val="0024367D"/>
    <w:rsid w:val="002437F9"/>
    <w:rsid w:val="0024395F"/>
    <w:rsid w:val="00243EB0"/>
    <w:rsid w:val="00244BBF"/>
    <w:rsid w:val="00244D24"/>
    <w:rsid w:val="002454A8"/>
    <w:rsid w:val="0024576B"/>
    <w:rsid w:val="002457CD"/>
    <w:rsid w:val="00245C1A"/>
    <w:rsid w:val="002461A1"/>
    <w:rsid w:val="002462EB"/>
    <w:rsid w:val="002464A1"/>
    <w:rsid w:val="002465F1"/>
    <w:rsid w:val="0024661E"/>
    <w:rsid w:val="002468DB"/>
    <w:rsid w:val="00246AD4"/>
    <w:rsid w:val="00246E0E"/>
    <w:rsid w:val="00247077"/>
    <w:rsid w:val="00247A1F"/>
    <w:rsid w:val="00250206"/>
    <w:rsid w:val="0025120A"/>
    <w:rsid w:val="002513AF"/>
    <w:rsid w:val="00251522"/>
    <w:rsid w:val="0025157D"/>
    <w:rsid w:val="00251CF4"/>
    <w:rsid w:val="00251ECD"/>
    <w:rsid w:val="00252251"/>
    <w:rsid w:val="0025244E"/>
    <w:rsid w:val="00252730"/>
    <w:rsid w:val="00252994"/>
    <w:rsid w:val="00253282"/>
    <w:rsid w:val="002534D6"/>
    <w:rsid w:val="00253B02"/>
    <w:rsid w:val="00253B33"/>
    <w:rsid w:val="00253D0A"/>
    <w:rsid w:val="002544E2"/>
    <w:rsid w:val="0025492B"/>
    <w:rsid w:val="00254B98"/>
    <w:rsid w:val="00254F3C"/>
    <w:rsid w:val="002553C2"/>
    <w:rsid w:val="00255C61"/>
    <w:rsid w:val="00255F45"/>
    <w:rsid w:val="00256092"/>
    <w:rsid w:val="0025637C"/>
    <w:rsid w:val="00256478"/>
    <w:rsid w:val="00256617"/>
    <w:rsid w:val="00256EC0"/>
    <w:rsid w:val="002574AF"/>
    <w:rsid w:val="00257891"/>
    <w:rsid w:val="00257AC8"/>
    <w:rsid w:val="002601F6"/>
    <w:rsid w:val="00260429"/>
    <w:rsid w:val="00260BB4"/>
    <w:rsid w:val="00260D38"/>
    <w:rsid w:val="00261A60"/>
    <w:rsid w:val="00261C71"/>
    <w:rsid w:val="00261D23"/>
    <w:rsid w:val="002632F7"/>
    <w:rsid w:val="00263C8A"/>
    <w:rsid w:val="0026419A"/>
    <w:rsid w:val="0026469E"/>
    <w:rsid w:val="0026513F"/>
    <w:rsid w:val="00265353"/>
    <w:rsid w:val="00265718"/>
    <w:rsid w:val="00266510"/>
    <w:rsid w:val="0026727D"/>
    <w:rsid w:val="00270739"/>
    <w:rsid w:val="00270821"/>
    <w:rsid w:val="00270F6D"/>
    <w:rsid w:val="00271E5C"/>
    <w:rsid w:val="00271E86"/>
    <w:rsid w:val="0027224E"/>
    <w:rsid w:val="00272545"/>
    <w:rsid w:val="00272AFB"/>
    <w:rsid w:val="002731F0"/>
    <w:rsid w:val="00274383"/>
    <w:rsid w:val="002744D7"/>
    <w:rsid w:val="002746D0"/>
    <w:rsid w:val="002748E3"/>
    <w:rsid w:val="00274968"/>
    <w:rsid w:val="00275146"/>
    <w:rsid w:val="0027591F"/>
    <w:rsid w:val="00275DDA"/>
    <w:rsid w:val="00275F56"/>
    <w:rsid w:val="00275FE6"/>
    <w:rsid w:val="0027674C"/>
    <w:rsid w:val="0027680D"/>
    <w:rsid w:val="00276E46"/>
    <w:rsid w:val="00277179"/>
    <w:rsid w:val="00277205"/>
    <w:rsid w:val="002776DD"/>
    <w:rsid w:val="00277955"/>
    <w:rsid w:val="00277EF9"/>
    <w:rsid w:val="002801D7"/>
    <w:rsid w:val="0028024C"/>
    <w:rsid w:val="002808A0"/>
    <w:rsid w:val="00281837"/>
    <w:rsid w:val="0028188C"/>
    <w:rsid w:val="00281B57"/>
    <w:rsid w:val="00281BE4"/>
    <w:rsid w:val="00281EAA"/>
    <w:rsid w:val="002820AF"/>
    <w:rsid w:val="00282DDC"/>
    <w:rsid w:val="0028311C"/>
    <w:rsid w:val="0028383D"/>
    <w:rsid w:val="00283B19"/>
    <w:rsid w:val="00283C44"/>
    <w:rsid w:val="00284794"/>
    <w:rsid w:val="002848E9"/>
    <w:rsid w:val="00284C02"/>
    <w:rsid w:val="0028516F"/>
    <w:rsid w:val="002856D5"/>
    <w:rsid w:val="002862D2"/>
    <w:rsid w:val="00286585"/>
    <w:rsid w:val="00286D43"/>
    <w:rsid w:val="0028708C"/>
    <w:rsid w:val="002872C5"/>
    <w:rsid w:val="00287531"/>
    <w:rsid w:val="00287A28"/>
    <w:rsid w:val="00287D64"/>
    <w:rsid w:val="00287E41"/>
    <w:rsid w:val="00287E5C"/>
    <w:rsid w:val="0029039B"/>
    <w:rsid w:val="00290627"/>
    <w:rsid w:val="00291965"/>
    <w:rsid w:val="00291A23"/>
    <w:rsid w:val="0029223F"/>
    <w:rsid w:val="00292509"/>
    <w:rsid w:val="00292A6E"/>
    <w:rsid w:val="00293B1D"/>
    <w:rsid w:val="00293F91"/>
    <w:rsid w:val="00293FC5"/>
    <w:rsid w:val="002941F6"/>
    <w:rsid w:val="0029438F"/>
    <w:rsid w:val="00294423"/>
    <w:rsid w:val="002944A3"/>
    <w:rsid w:val="00294D05"/>
    <w:rsid w:val="00294D6F"/>
    <w:rsid w:val="00294E6A"/>
    <w:rsid w:val="00295872"/>
    <w:rsid w:val="002958C9"/>
    <w:rsid w:val="00295A03"/>
    <w:rsid w:val="0029610C"/>
    <w:rsid w:val="0029618D"/>
    <w:rsid w:val="002963B9"/>
    <w:rsid w:val="0029652D"/>
    <w:rsid w:val="002977AC"/>
    <w:rsid w:val="00297DE4"/>
    <w:rsid w:val="002A08F7"/>
    <w:rsid w:val="002A11D1"/>
    <w:rsid w:val="002A184A"/>
    <w:rsid w:val="002A191B"/>
    <w:rsid w:val="002A1E85"/>
    <w:rsid w:val="002A2342"/>
    <w:rsid w:val="002A2663"/>
    <w:rsid w:val="002A2A76"/>
    <w:rsid w:val="002A2ABE"/>
    <w:rsid w:val="002A2C74"/>
    <w:rsid w:val="002A3288"/>
    <w:rsid w:val="002A3504"/>
    <w:rsid w:val="002A3A01"/>
    <w:rsid w:val="002A3EF0"/>
    <w:rsid w:val="002A42C4"/>
    <w:rsid w:val="002A4538"/>
    <w:rsid w:val="002A48DA"/>
    <w:rsid w:val="002A52AF"/>
    <w:rsid w:val="002A57AD"/>
    <w:rsid w:val="002A5AE9"/>
    <w:rsid w:val="002A5C0B"/>
    <w:rsid w:val="002A5C0C"/>
    <w:rsid w:val="002A616E"/>
    <w:rsid w:val="002A6663"/>
    <w:rsid w:val="002A6749"/>
    <w:rsid w:val="002A6937"/>
    <w:rsid w:val="002A6B78"/>
    <w:rsid w:val="002A6E26"/>
    <w:rsid w:val="002A6E62"/>
    <w:rsid w:val="002A7105"/>
    <w:rsid w:val="002A7193"/>
    <w:rsid w:val="002A71DE"/>
    <w:rsid w:val="002A7D91"/>
    <w:rsid w:val="002B010C"/>
    <w:rsid w:val="002B0D85"/>
    <w:rsid w:val="002B1146"/>
    <w:rsid w:val="002B130C"/>
    <w:rsid w:val="002B152E"/>
    <w:rsid w:val="002B179F"/>
    <w:rsid w:val="002B1A13"/>
    <w:rsid w:val="002B2755"/>
    <w:rsid w:val="002B2781"/>
    <w:rsid w:val="002B27C6"/>
    <w:rsid w:val="002B2F91"/>
    <w:rsid w:val="002B3285"/>
    <w:rsid w:val="002B33E0"/>
    <w:rsid w:val="002B33E7"/>
    <w:rsid w:val="002B3BE9"/>
    <w:rsid w:val="002B3F78"/>
    <w:rsid w:val="002B4000"/>
    <w:rsid w:val="002B4156"/>
    <w:rsid w:val="002B4867"/>
    <w:rsid w:val="002B4BA2"/>
    <w:rsid w:val="002B541C"/>
    <w:rsid w:val="002B57B7"/>
    <w:rsid w:val="002B5B23"/>
    <w:rsid w:val="002B6024"/>
    <w:rsid w:val="002B665A"/>
    <w:rsid w:val="002B678F"/>
    <w:rsid w:val="002B6E06"/>
    <w:rsid w:val="002B71C1"/>
    <w:rsid w:val="002B7820"/>
    <w:rsid w:val="002B7FBF"/>
    <w:rsid w:val="002C07B9"/>
    <w:rsid w:val="002C1158"/>
    <w:rsid w:val="002C129E"/>
    <w:rsid w:val="002C14FD"/>
    <w:rsid w:val="002C1AB9"/>
    <w:rsid w:val="002C232B"/>
    <w:rsid w:val="002C2598"/>
    <w:rsid w:val="002C2DD0"/>
    <w:rsid w:val="002C335F"/>
    <w:rsid w:val="002C3385"/>
    <w:rsid w:val="002C3922"/>
    <w:rsid w:val="002C4729"/>
    <w:rsid w:val="002C4A25"/>
    <w:rsid w:val="002C4BBB"/>
    <w:rsid w:val="002C4BF5"/>
    <w:rsid w:val="002C4C1D"/>
    <w:rsid w:val="002C5761"/>
    <w:rsid w:val="002C57A7"/>
    <w:rsid w:val="002C5F2D"/>
    <w:rsid w:val="002C6411"/>
    <w:rsid w:val="002C654C"/>
    <w:rsid w:val="002C667C"/>
    <w:rsid w:val="002C6870"/>
    <w:rsid w:val="002C6CD7"/>
    <w:rsid w:val="002C6E03"/>
    <w:rsid w:val="002C70B3"/>
    <w:rsid w:val="002C736F"/>
    <w:rsid w:val="002C7CE4"/>
    <w:rsid w:val="002C7EEB"/>
    <w:rsid w:val="002D0735"/>
    <w:rsid w:val="002D0829"/>
    <w:rsid w:val="002D0840"/>
    <w:rsid w:val="002D11D9"/>
    <w:rsid w:val="002D1264"/>
    <w:rsid w:val="002D192C"/>
    <w:rsid w:val="002D1E41"/>
    <w:rsid w:val="002D1EBD"/>
    <w:rsid w:val="002D20A1"/>
    <w:rsid w:val="002D246B"/>
    <w:rsid w:val="002D24A1"/>
    <w:rsid w:val="002D28C3"/>
    <w:rsid w:val="002D29FD"/>
    <w:rsid w:val="002D2EEE"/>
    <w:rsid w:val="002D329B"/>
    <w:rsid w:val="002D3BAA"/>
    <w:rsid w:val="002D407C"/>
    <w:rsid w:val="002D4150"/>
    <w:rsid w:val="002D4562"/>
    <w:rsid w:val="002D487A"/>
    <w:rsid w:val="002D4E84"/>
    <w:rsid w:val="002D4F76"/>
    <w:rsid w:val="002D5A9B"/>
    <w:rsid w:val="002D5E5F"/>
    <w:rsid w:val="002D658E"/>
    <w:rsid w:val="002D66DB"/>
    <w:rsid w:val="002D698F"/>
    <w:rsid w:val="002D7A68"/>
    <w:rsid w:val="002E0BED"/>
    <w:rsid w:val="002E0CD6"/>
    <w:rsid w:val="002E12E2"/>
    <w:rsid w:val="002E13A7"/>
    <w:rsid w:val="002E1C10"/>
    <w:rsid w:val="002E1F7C"/>
    <w:rsid w:val="002E242C"/>
    <w:rsid w:val="002E2ACF"/>
    <w:rsid w:val="002E2BDE"/>
    <w:rsid w:val="002E2E12"/>
    <w:rsid w:val="002E38A5"/>
    <w:rsid w:val="002E422E"/>
    <w:rsid w:val="002E4487"/>
    <w:rsid w:val="002E4A52"/>
    <w:rsid w:val="002E4AED"/>
    <w:rsid w:val="002E4D05"/>
    <w:rsid w:val="002E5351"/>
    <w:rsid w:val="002E6231"/>
    <w:rsid w:val="002E6421"/>
    <w:rsid w:val="002E6447"/>
    <w:rsid w:val="002E67FE"/>
    <w:rsid w:val="002E685A"/>
    <w:rsid w:val="002E68A2"/>
    <w:rsid w:val="002E6FA9"/>
    <w:rsid w:val="002E70C4"/>
    <w:rsid w:val="002E7259"/>
    <w:rsid w:val="002E739E"/>
    <w:rsid w:val="002E7DEB"/>
    <w:rsid w:val="002E7F22"/>
    <w:rsid w:val="002F0011"/>
    <w:rsid w:val="002F004E"/>
    <w:rsid w:val="002F02B1"/>
    <w:rsid w:val="002F033B"/>
    <w:rsid w:val="002F06C7"/>
    <w:rsid w:val="002F07D2"/>
    <w:rsid w:val="002F09C6"/>
    <w:rsid w:val="002F0D45"/>
    <w:rsid w:val="002F1219"/>
    <w:rsid w:val="002F1404"/>
    <w:rsid w:val="002F1D16"/>
    <w:rsid w:val="002F21C4"/>
    <w:rsid w:val="002F2399"/>
    <w:rsid w:val="002F2443"/>
    <w:rsid w:val="002F25CF"/>
    <w:rsid w:val="002F2985"/>
    <w:rsid w:val="002F29DB"/>
    <w:rsid w:val="002F2A01"/>
    <w:rsid w:val="002F2BA1"/>
    <w:rsid w:val="002F3037"/>
    <w:rsid w:val="002F3407"/>
    <w:rsid w:val="002F36BF"/>
    <w:rsid w:val="002F39EF"/>
    <w:rsid w:val="002F3CD5"/>
    <w:rsid w:val="002F4247"/>
    <w:rsid w:val="002F4DE4"/>
    <w:rsid w:val="002F4FBE"/>
    <w:rsid w:val="002F590D"/>
    <w:rsid w:val="002F592A"/>
    <w:rsid w:val="002F5AE2"/>
    <w:rsid w:val="002F5B39"/>
    <w:rsid w:val="002F67EB"/>
    <w:rsid w:val="002F694A"/>
    <w:rsid w:val="002F6A52"/>
    <w:rsid w:val="002F6C30"/>
    <w:rsid w:val="002F77BE"/>
    <w:rsid w:val="002F7C64"/>
    <w:rsid w:val="002F7E7D"/>
    <w:rsid w:val="003005FA"/>
    <w:rsid w:val="00300B6E"/>
    <w:rsid w:val="00300EF9"/>
    <w:rsid w:val="00301639"/>
    <w:rsid w:val="003019E6"/>
    <w:rsid w:val="00301E7E"/>
    <w:rsid w:val="00302241"/>
    <w:rsid w:val="0030235E"/>
    <w:rsid w:val="00302475"/>
    <w:rsid w:val="003024A2"/>
    <w:rsid w:val="00302577"/>
    <w:rsid w:val="00302757"/>
    <w:rsid w:val="00302A93"/>
    <w:rsid w:val="00302D10"/>
    <w:rsid w:val="00305415"/>
    <w:rsid w:val="003058A6"/>
    <w:rsid w:val="00306182"/>
    <w:rsid w:val="00306760"/>
    <w:rsid w:val="00307161"/>
    <w:rsid w:val="0030726C"/>
    <w:rsid w:val="00307BE5"/>
    <w:rsid w:val="0031006D"/>
    <w:rsid w:val="003104E3"/>
    <w:rsid w:val="00310C8A"/>
    <w:rsid w:val="00310E4C"/>
    <w:rsid w:val="00311EC9"/>
    <w:rsid w:val="00312574"/>
    <w:rsid w:val="003139AB"/>
    <w:rsid w:val="00313C0B"/>
    <w:rsid w:val="00313C41"/>
    <w:rsid w:val="00313D06"/>
    <w:rsid w:val="003143B9"/>
    <w:rsid w:val="00314825"/>
    <w:rsid w:val="0031485F"/>
    <w:rsid w:val="00315193"/>
    <w:rsid w:val="0031525E"/>
    <w:rsid w:val="00315492"/>
    <w:rsid w:val="003154BF"/>
    <w:rsid w:val="003154FB"/>
    <w:rsid w:val="0031572B"/>
    <w:rsid w:val="00315A42"/>
    <w:rsid w:val="00316138"/>
    <w:rsid w:val="003163AA"/>
    <w:rsid w:val="00316914"/>
    <w:rsid w:val="00316A39"/>
    <w:rsid w:val="00316FD1"/>
    <w:rsid w:val="0031704B"/>
    <w:rsid w:val="003170ED"/>
    <w:rsid w:val="00317224"/>
    <w:rsid w:val="00317271"/>
    <w:rsid w:val="0031754F"/>
    <w:rsid w:val="00317F0A"/>
    <w:rsid w:val="003206DD"/>
    <w:rsid w:val="00320AA5"/>
    <w:rsid w:val="00321187"/>
    <w:rsid w:val="00321253"/>
    <w:rsid w:val="0032146C"/>
    <w:rsid w:val="003215C4"/>
    <w:rsid w:val="00321849"/>
    <w:rsid w:val="003218A6"/>
    <w:rsid w:val="0032199C"/>
    <w:rsid w:val="00321CDF"/>
    <w:rsid w:val="00321ED7"/>
    <w:rsid w:val="00322148"/>
    <w:rsid w:val="0032303D"/>
    <w:rsid w:val="0032386D"/>
    <w:rsid w:val="00323DA5"/>
    <w:rsid w:val="00323F7B"/>
    <w:rsid w:val="00324304"/>
    <w:rsid w:val="0032454A"/>
    <w:rsid w:val="00324603"/>
    <w:rsid w:val="00324E4D"/>
    <w:rsid w:val="00324ED4"/>
    <w:rsid w:val="00325362"/>
    <w:rsid w:val="003257ED"/>
    <w:rsid w:val="00325AF2"/>
    <w:rsid w:val="00325B10"/>
    <w:rsid w:val="00325E07"/>
    <w:rsid w:val="0032609A"/>
    <w:rsid w:val="003264CF"/>
    <w:rsid w:val="00326813"/>
    <w:rsid w:val="00326CD3"/>
    <w:rsid w:val="00327798"/>
    <w:rsid w:val="0032797A"/>
    <w:rsid w:val="00330334"/>
    <w:rsid w:val="003309AE"/>
    <w:rsid w:val="00330A0F"/>
    <w:rsid w:val="00330A4A"/>
    <w:rsid w:val="00330AD4"/>
    <w:rsid w:val="00330DAA"/>
    <w:rsid w:val="0033110E"/>
    <w:rsid w:val="00331868"/>
    <w:rsid w:val="00331AD2"/>
    <w:rsid w:val="00331B28"/>
    <w:rsid w:val="00331CF9"/>
    <w:rsid w:val="00331F5A"/>
    <w:rsid w:val="00331F88"/>
    <w:rsid w:val="003331A0"/>
    <w:rsid w:val="00333D2D"/>
    <w:rsid w:val="00333E51"/>
    <w:rsid w:val="00333F06"/>
    <w:rsid w:val="003343BE"/>
    <w:rsid w:val="00334966"/>
    <w:rsid w:val="00334A76"/>
    <w:rsid w:val="00334CD9"/>
    <w:rsid w:val="00335190"/>
    <w:rsid w:val="003356D4"/>
    <w:rsid w:val="00335B41"/>
    <w:rsid w:val="003361A1"/>
    <w:rsid w:val="0033671E"/>
    <w:rsid w:val="00336742"/>
    <w:rsid w:val="0033695D"/>
    <w:rsid w:val="00336A7C"/>
    <w:rsid w:val="00337565"/>
    <w:rsid w:val="003375E4"/>
    <w:rsid w:val="00337B10"/>
    <w:rsid w:val="00337F12"/>
    <w:rsid w:val="00340339"/>
    <w:rsid w:val="00340A34"/>
    <w:rsid w:val="00340E45"/>
    <w:rsid w:val="00341523"/>
    <w:rsid w:val="00341763"/>
    <w:rsid w:val="003419CA"/>
    <w:rsid w:val="00341C2A"/>
    <w:rsid w:val="00341F1D"/>
    <w:rsid w:val="003425A5"/>
    <w:rsid w:val="00342663"/>
    <w:rsid w:val="00342974"/>
    <w:rsid w:val="00342B26"/>
    <w:rsid w:val="00342BE1"/>
    <w:rsid w:val="00342FF0"/>
    <w:rsid w:val="00343265"/>
    <w:rsid w:val="003432D0"/>
    <w:rsid w:val="00343740"/>
    <w:rsid w:val="00343798"/>
    <w:rsid w:val="00343FF4"/>
    <w:rsid w:val="003447C8"/>
    <w:rsid w:val="003448CC"/>
    <w:rsid w:val="0034525F"/>
    <w:rsid w:val="0034531A"/>
    <w:rsid w:val="00345AFE"/>
    <w:rsid w:val="00345C2C"/>
    <w:rsid w:val="00346772"/>
    <w:rsid w:val="003468A7"/>
    <w:rsid w:val="003469EB"/>
    <w:rsid w:val="003469F8"/>
    <w:rsid w:val="00346B29"/>
    <w:rsid w:val="00346FE8"/>
    <w:rsid w:val="00346FF0"/>
    <w:rsid w:val="00347B23"/>
    <w:rsid w:val="00350224"/>
    <w:rsid w:val="00350751"/>
    <w:rsid w:val="00350A1A"/>
    <w:rsid w:val="003511CA"/>
    <w:rsid w:val="00351A04"/>
    <w:rsid w:val="00351E50"/>
    <w:rsid w:val="003535FE"/>
    <w:rsid w:val="003536F1"/>
    <w:rsid w:val="00354089"/>
    <w:rsid w:val="00354BB4"/>
    <w:rsid w:val="00354DC9"/>
    <w:rsid w:val="003550A6"/>
    <w:rsid w:val="00355538"/>
    <w:rsid w:val="003555A6"/>
    <w:rsid w:val="0035566A"/>
    <w:rsid w:val="00355D0F"/>
    <w:rsid w:val="00355E4C"/>
    <w:rsid w:val="00355F8D"/>
    <w:rsid w:val="0035636F"/>
    <w:rsid w:val="003563E1"/>
    <w:rsid w:val="00356540"/>
    <w:rsid w:val="003565B2"/>
    <w:rsid w:val="00356C20"/>
    <w:rsid w:val="0035770D"/>
    <w:rsid w:val="00357761"/>
    <w:rsid w:val="00357DBD"/>
    <w:rsid w:val="00357E04"/>
    <w:rsid w:val="00360DDD"/>
    <w:rsid w:val="00360E65"/>
    <w:rsid w:val="003614CB"/>
    <w:rsid w:val="00361510"/>
    <w:rsid w:val="00361870"/>
    <w:rsid w:val="00361F62"/>
    <w:rsid w:val="00362C20"/>
    <w:rsid w:val="0036309B"/>
    <w:rsid w:val="00363773"/>
    <w:rsid w:val="00364266"/>
    <w:rsid w:val="0036441A"/>
    <w:rsid w:val="00364634"/>
    <w:rsid w:val="00364AE3"/>
    <w:rsid w:val="00364EEB"/>
    <w:rsid w:val="003651D9"/>
    <w:rsid w:val="00365AAF"/>
    <w:rsid w:val="003665F0"/>
    <w:rsid w:val="003667BF"/>
    <w:rsid w:val="00366858"/>
    <w:rsid w:val="00366AAF"/>
    <w:rsid w:val="00370427"/>
    <w:rsid w:val="00370680"/>
    <w:rsid w:val="003709DC"/>
    <w:rsid w:val="003709E1"/>
    <w:rsid w:val="00370E4C"/>
    <w:rsid w:val="00371932"/>
    <w:rsid w:val="00372041"/>
    <w:rsid w:val="00372184"/>
    <w:rsid w:val="00372C74"/>
    <w:rsid w:val="00372EF6"/>
    <w:rsid w:val="0037352B"/>
    <w:rsid w:val="00373606"/>
    <w:rsid w:val="00373B69"/>
    <w:rsid w:val="00374755"/>
    <w:rsid w:val="00374952"/>
    <w:rsid w:val="00374B3C"/>
    <w:rsid w:val="00374E7E"/>
    <w:rsid w:val="00374FC7"/>
    <w:rsid w:val="003754CE"/>
    <w:rsid w:val="00375640"/>
    <w:rsid w:val="00375A66"/>
    <w:rsid w:val="0037603F"/>
    <w:rsid w:val="003761F5"/>
    <w:rsid w:val="00376598"/>
    <w:rsid w:val="0037743D"/>
    <w:rsid w:val="003775D6"/>
    <w:rsid w:val="00380216"/>
    <w:rsid w:val="00381423"/>
    <w:rsid w:val="00381587"/>
    <w:rsid w:val="00381D52"/>
    <w:rsid w:val="00381DC3"/>
    <w:rsid w:val="00381E67"/>
    <w:rsid w:val="00382315"/>
    <w:rsid w:val="00382574"/>
    <w:rsid w:val="00382CEF"/>
    <w:rsid w:val="003832A0"/>
    <w:rsid w:val="003833B3"/>
    <w:rsid w:val="0038368C"/>
    <w:rsid w:val="0038394C"/>
    <w:rsid w:val="00383B01"/>
    <w:rsid w:val="00383D14"/>
    <w:rsid w:val="00383F01"/>
    <w:rsid w:val="003847B5"/>
    <w:rsid w:val="00384849"/>
    <w:rsid w:val="00384F7E"/>
    <w:rsid w:val="003853FB"/>
    <w:rsid w:val="00385878"/>
    <w:rsid w:val="00385ADF"/>
    <w:rsid w:val="00385B69"/>
    <w:rsid w:val="003864AC"/>
    <w:rsid w:val="003864BA"/>
    <w:rsid w:val="00386E66"/>
    <w:rsid w:val="0038731F"/>
    <w:rsid w:val="00387DF4"/>
    <w:rsid w:val="00390DB5"/>
    <w:rsid w:val="00391364"/>
    <w:rsid w:val="0039138B"/>
    <w:rsid w:val="00391404"/>
    <w:rsid w:val="00391AF8"/>
    <w:rsid w:val="00392144"/>
    <w:rsid w:val="00392C4E"/>
    <w:rsid w:val="00392D8E"/>
    <w:rsid w:val="00392E1E"/>
    <w:rsid w:val="00393404"/>
    <w:rsid w:val="0039350B"/>
    <w:rsid w:val="0039359F"/>
    <w:rsid w:val="00393745"/>
    <w:rsid w:val="00393995"/>
    <w:rsid w:val="00393DA1"/>
    <w:rsid w:val="00393E0E"/>
    <w:rsid w:val="00393FBF"/>
    <w:rsid w:val="00394544"/>
    <w:rsid w:val="0039494D"/>
    <w:rsid w:val="00394E94"/>
    <w:rsid w:val="00395C81"/>
    <w:rsid w:val="003962DC"/>
    <w:rsid w:val="00396474"/>
    <w:rsid w:val="003965F4"/>
    <w:rsid w:val="00397182"/>
    <w:rsid w:val="0039791A"/>
    <w:rsid w:val="003A013E"/>
    <w:rsid w:val="003A034F"/>
    <w:rsid w:val="003A0BA7"/>
    <w:rsid w:val="003A0E42"/>
    <w:rsid w:val="003A10B7"/>
    <w:rsid w:val="003A138B"/>
    <w:rsid w:val="003A1A47"/>
    <w:rsid w:val="003A2001"/>
    <w:rsid w:val="003A25F0"/>
    <w:rsid w:val="003A272F"/>
    <w:rsid w:val="003A29EA"/>
    <w:rsid w:val="003A2B8C"/>
    <w:rsid w:val="003A2D87"/>
    <w:rsid w:val="003A2DEB"/>
    <w:rsid w:val="003A3294"/>
    <w:rsid w:val="003A3B5C"/>
    <w:rsid w:val="003A3C22"/>
    <w:rsid w:val="003A46EA"/>
    <w:rsid w:val="003A4A46"/>
    <w:rsid w:val="003A4C32"/>
    <w:rsid w:val="003A4C55"/>
    <w:rsid w:val="003A4CFF"/>
    <w:rsid w:val="003A5074"/>
    <w:rsid w:val="003A51DB"/>
    <w:rsid w:val="003A52F4"/>
    <w:rsid w:val="003A562F"/>
    <w:rsid w:val="003A626C"/>
    <w:rsid w:val="003A639C"/>
    <w:rsid w:val="003A639E"/>
    <w:rsid w:val="003A6587"/>
    <w:rsid w:val="003A7664"/>
    <w:rsid w:val="003A77C1"/>
    <w:rsid w:val="003A7A29"/>
    <w:rsid w:val="003B0046"/>
    <w:rsid w:val="003B026B"/>
    <w:rsid w:val="003B0324"/>
    <w:rsid w:val="003B0822"/>
    <w:rsid w:val="003B0B85"/>
    <w:rsid w:val="003B0BAC"/>
    <w:rsid w:val="003B0E46"/>
    <w:rsid w:val="003B0E83"/>
    <w:rsid w:val="003B11FE"/>
    <w:rsid w:val="003B12B9"/>
    <w:rsid w:val="003B1F05"/>
    <w:rsid w:val="003B1F4A"/>
    <w:rsid w:val="003B2262"/>
    <w:rsid w:val="003B284E"/>
    <w:rsid w:val="003B2A1A"/>
    <w:rsid w:val="003B2EEC"/>
    <w:rsid w:val="003B2EFC"/>
    <w:rsid w:val="003B31DE"/>
    <w:rsid w:val="003B329B"/>
    <w:rsid w:val="003B36BB"/>
    <w:rsid w:val="003B4669"/>
    <w:rsid w:val="003B47AC"/>
    <w:rsid w:val="003B4A5B"/>
    <w:rsid w:val="003B4ABC"/>
    <w:rsid w:val="003B4AE6"/>
    <w:rsid w:val="003B524E"/>
    <w:rsid w:val="003B5D8A"/>
    <w:rsid w:val="003B639F"/>
    <w:rsid w:val="003B643D"/>
    <w:rsid w:val="003B6616"/>
    <w:rsid w:val="003B6797"/>
    <w:rsid w:val="003B6F0C"/>
    <w:rsid w:val="003B7527"/>
    <w:rsid w:val="003C00CC"/>
    <w:rsid w:val="003C050C"/>
    <w:rsid w:val="003C054F"/>
    <w:rsid w:val="003C077B"/>
    <w:rsid w:val="003C0DA9"/>
    <w:rsid w:val="003C0DC8"/>
    <w:rsid w:val="003C10D4"/>
    <w:rsid w:val="003C17D8"/>
    <w:rsid w:val="003C1A3D"/>
    <w:rsid w:val="003C21FB"/>
    <w:rsid w:val="003C25C5"/>
    <w:rsid w:val="003C3ECB"/>
    <w:rsid w:val="003C3EFC"/>
    <w:rsid w:val="003C411B"/>
    <w:rsid w:val="003C41E5"/>
    <w:rsid w:val="003C437E"/>
    <w:rsid w:val="003C4EFE"/>
    <w:rsid w:val="003C53A0"/>
    <w:rsid w:val="003C5822"/>
    <w:rsid w:val="003C620A"/>
    <w:rsid w:val="003C6225"/>
    <w:rsid w:val="003C64A6"/>
    <w:rsid w:val="003C678B"/>
    <w:rsid w:val="003C69C0"/>
    <w:rsid w:val="003C737E"/>
    <w:rsid w:val="003C78F1"/>
    <w:rsid w:val="003D03AA"/>
    <w:rsid w:val="003D08B4"/>
    <w:rsid w:val="003D0C18"/>
    <w:rsid w:val="003D0D15"/>
    <w:rsid w:val="003D0D1A"/>
    <w:rsid w:val="003D0FD2"/>
    <w:rsid w:val="003D16FA"/>
    <w:rsid w:val="003D1E64"/>
    <w:rsid w:val="003D1F7B"/>
    <w:rsid w:val="003D1FAB"/>
    <w:rsid w:val="003D1FFD"/>
    <w:rsid w:val="003D2329"/>
    <w:rsid w:val="003D2576"/>
    <w:rsid w:val="003D25AE"/>
    <w:rsid w:val="003D25C4"/>
    <w:rsid w:val="003D26D7"/>
    <w:rsid w:val="003D2EFD"/>
    <w:rsid w:val="003D335A"/>
    <w:rsid w:val="003D3A35"/>
    <w:rsid w:val="003D3BE1"/>
    <w:rsid w:val="003D4262"/>
    <w:rsid w:val="003D538E"/>
    <w:rsid w:val="003D53A1"/>
    <w:rsid w:val="003D546F"/>
    <w:rsid w:val="003D615B"/>
    <w:rsid w:val="003D62BE"/>
    <w:rsid w:val="003D6D04"/>
    <w:rsid w:val="003D6EDD"/>
    <w:rsid w:val="003D72EA"/>
    <w:rsid w:val="003D764F"/>
    <w:rsid w:val="003D7DCD"/>
    <w:rsid w:val="003E0626"/>
    <w:rsid w:val="003E0766"/>
    <w:rsid w:val="003E07A3"/>
    <w:rsid w:val="003E0CA2"/>
    <w:rsid w:val="003E0E4A"/>
    <w:rsid w:val="003E1AB5"/>
    <w:rsid w:val="003E248A"/>
    <w:rsid w:val="003E27E8"/>
    <w:rsid w:val="003E293A"/>
    <w:rsid w:val="003E2BB3"/>
    <w:rsid w:val="003E2C42"/>
    <w:rsid w:val="003E3540"/>
    <w:rsid w:val="003E360E"/>
    <w:rsid w:val="003E3746"/>
    <w:rsid w:val="003E37BC"/>
    <w:rsid w:val="003E387E"/>
    <w:rsid w:val="003E3D29"/>
    <w:rsid w:val="003E4955"/>
    <w:rsid w:val="003E4B27"/>
    <w:rsid w:val="003E534E"/>
    <w:rsid w:val="003E546E"/>
    <w:rsid w:val="003E54B4"/>
    <w:rsid w:val="003E55F5"/>
    <w:rsid w:val="003E5DA9"/>
    <w:rsid w:val="003E62E5"/>
    <w:rsid w:val="003E6315"/>
    <w:rsid w:val="003E663B"/>
    <w:rsid w:val="003E6917"/>
    <w:rsid w:val="003E6FDC"/>
    <w:rsid w:val="003E6FE2"/>
    <w:rsid w:val="003E700E"/>
    <w:rsid w:val="003E76DB"/>
    <w:rsid w:val="003E7811"/>
    <w:rsid w:val="003E7874"/>
    <w:rsid w:val="003E789E"/>
    <w:rsid w:val="003E7969"/>
    <w:rsid w:val="003E7F91"/>
    <w:rsid w:val="003F065E"/>
    <w:rsid w:val="003F06D2"/>
    <w:rsid w:val="003F14AE"/>
    <w:rsid w:val="003F1605"/>
    <w:rsid w:val="003F1AD8"/>
    <w:rsid w:val="003F2300"/>
    <w:rsid w:val="003F2BEE"/>
    <w:rsid w:val="003F3413"/>
    <w:rsid w:val="003F3611"/>
    <w:rsid w:val="003F39A8"/>
    <w:rsid w:val="003F3ADF"/>
    <w:rsid w:val="003F4036"/>
    <w:rsid w:val="003F466E"/>
    <w:rsid w:val="003F49AA"/>
    <w:rsid w:val="003F4A25"/>
    <w:rsid w:val="003F4CAE"/>
    <w:rsid w:val="003F5A95"/>
    <w:rsid w:val="003F5B68"/>
    <w:rsid w:val="003F628D"/>
    <w:rsid w:val="003F6B16"/>
    <w:rsid w:val="003F6E4E"/>
    <w:rsid w:val="003F7108"/>
    <w:rsid w:val="003F7402"/>
    <w:rsid w:val="003F7F5D"/>
    <w:rsid w:val="0040082F"/>
    <w:rsid w:val="00401317"/>
    <w:rsid w:val="00401BBD"/>
    <w:rsid w:val="00401CC9"/>
    <w:rsid w:val="00402829"/>
    <w:rsid w:val="00402C23"/>
    <w:rsid w:val="00403747"/>
    <w:rsid w:val="004037DD"/>
    <w:rsid w:val="00403EBE"/>
    <w:rsid w:val="00403FAD"/>
    <w:rsid w:val="0040463B"/>
    <w:rsid w:val="004055E4"/>
    <w:rsid w:val="004058DC"/>
    <w:rsid w:val="00405947"/>
    <w:rsid w:val="00405AF8"/>
    <w:rsid w:val="00405E62"/>
    <w:rsid w:val="0040604F"/>
    <w:rsid w:val="00406772"/>
    <w:rsid w:val="004069BE"/>
    <w:rsid w:val="00406D9D"/>
    <w:rsid w:val="0040722B"/>
    <w:rsid w:val="004077E9"/>
    <w:rsid w:val="00410006"/>
    <w:rsid w:val="0041043C"/>
    <w:rsid w:val="0041069A"/>
    <w:rsid w:val="00410B37"/>
    <w:rsid w:val="00410BCF"/>
    <w:rsid w:val="004112BA"/>
    <w:rsid w:val="004113C9"/>
    <w:rsid w:val="004114CD"/>
    <w:rsid w:val="00412AF0"/>
    <w:rsid w:val="00412CBF"/>
    <w:rsid w:val="00412DF0"/>
    <w:rsid w:val="00413CC0"/>
    <w:rsid w:val="00414377"/>
    <w:rsid w:val="004152C9"/>
    <w:rsid w:val="004153FE"/>
    <w:rsid w:val="004161D8"/>
    <w:rsid w:val="0041652A"/>
    <w:rsid w:val="00416625"/>
    <w:rsid w:val="00416742"/>
    <w:rsid w:val="00416AA7"/>
    <w:rsid w:val="00417647"/>
    <w:rsid w:val="00417773"/>
    <w:rsid w:val="00417EC8"/>
    <w:rsid w:val="00420712"/>
    <w:rsid w:val="00420715"/>
    <w:rsid w:val="00420765"/>
    <w:rsid w:val="00420DC4"/>
    <w:rsid w:val="00420F3B"/>
    <w:rsid w:val="00420F8D"/>
    <w:rsid w:val="0042122D"/>
    <w:rsid w:val="004214AB"/>
    <w:rsid w:val="00421890"/>
    <w:rsid w:val="00421BD8"/>
    <w:rsid w:val="0042226F"/>
    <w:rsid w:val="004223BF"/>
    <w:rsid w:val="004225FB"/>
    <w:rsid w:val="004226A9"/>
    <w:rsid w:val="00422F0A"/>
    <w:rsid w:val="0042321B"/>
    <w:rsid w:val="0042396D"/>
    <w:rsid w:val="00423A74"/>
    <w:rsid w:val="00423C39"/>
    <w:rsid w:val="004240C8"/>
    <w:rsid w:val="0042438E"/>
    <w:rsid w:val="00424766"/>
    <w:rsid w:val="004250A9"/>
    <w:rsid w:val="00425596"/>
    <w:rsid w:val="00425E1B"/>
    <w:rsid w:val="00426AD0"/>
    <w:rsid w:val="00426C74"/>
    <w:rsid w:val="00426FF2"/>
    <w:rsid w:val="0042784F"/>
    <w:rsid w:val="00427B23"/>
    <w:rsid w:val="00430300"/>
    <w:rsid w:val="00430E3E"/>
    <w:rsid w:val="0043139C"/>
    <w:rsid w:val="004315FE"/>
    <w:rsid w:val="00431DF4"/>
    <w:rsid w:val="0043252F"/>
    <w:rsid w:val="00432E55"/>
    <w:rsid w:val="004331DA"/>
    <w:rsid w:val="00434459"/>
    <w:rsid w:val="004346C6"/>
    <w:rsid w:val="0043477B"/>
    <w:rsid w:val="00434863"/>
    <w:rsid w:val="0043511F"/>
    <w:rsid w:val="0043564D"/>
    <w:rsid w:val="004361E8"/>
    <w:rsid w:val="00436945"/>
    <w:rsid w:val="00436AC3"/>
    <w:rsid w:val="00436B09"/>
    <w:rsid w:val="0043733A"/>
    <w:rsid w:val="004376E7"/>
    <w:rsid w:val="00437D8E"/>
    <w:rsid w:val="0044048E"/>
    <w:rsid w:val="00440BCC"/>
    <w:rsid w:val="00440D85"/>
    <w:rsid w:val="00441BBA"/>
    <w:rsid w:val="00441C99"/>
    <w:rsid w:val="00442033"/>
    <w:rsid w:val="004420A2"/>
    <w:rsid w:val="004422CF"/>
    <w:rsid w:val="004423C9"/>
    <w:rsid w:val="004428A1"/>
    <w:rsid w:val="004429AA"/>
    <w:rsid w:val="00442DEB"/>
    <w:rsid w:val="00443112"/>
    <w:rsid w:val="0044319E"/>
    <w:rsid w:val="004437BD"/>
    <w:rsid w:val="0044380E"/>
    <w:rsid w:val="00443ED6"/>
    <w:rsid w:val="004451C2"/>
    <w:rsid w:val="0044539C"/>
    <w:rsid w:val="0044559C"/>
    <w:rsid w:val="004458B2"/>
    <w:rsid w:val="00445B18"/>
    <w:rsid w:val="00447334"/>
    <w:rsid w:val="00447778"/>
    <w:rsid w:val="004477CD"/>
    <w:rsid w:val="00447A6C"/>
    <w:rsid w:val="00447C49"/>
    <w:rsid w:val="00447E8A"/>
    <w:rsid w:val="00447FBA"/>
    <w:rsid w:val="004500E1"/>
    <w:rsid w:val="00450940"/>
    <w:rsid w:val="00450BFA"/>
    <w:rsid w:val="00450CDA"/>
    <w:rsid w:val="00450EBF"/>
    <w:rsid w:val="00450F40"/>
    <w:rsid w:val="00451199"/>
    <w:rsid w:val="00451A9A"/>
    <w:rsid w:val="00451C25"/>
    <w:rsid w:val="00451D0C"/>
    <w:rsid w:val="00452318"/>
    <w:rsid w:val="004524DE"/>
    <w:rsid w:val="0045281A"/>
    <w:rsid w:val="00452A2D"/>
    <w:rsid w:val="00452D9A"/>
    <w:rsid w:val="0045323D"/>
    <w:rsid w:val="004533C5"/>
    <w:rsid w:val="00453590"/>
    <w:rsid w:val="00453FB4"/>
    <w:rsid w:val="00454929"/>
    <w:rsid w:val="00455010"/>
    <w:rsid w:val="00455827"/>
    <w:rsid w:val="00455AFD"/>
    <w:rsid w:val="00455B39"/>
    <w:rsid w:val="00456345"/>
    <w:rsid w:val="004567C5"/>
    <w:rsid w:val="00456802"/>
    <w:rsid w:val="00456AED"/>
    <w:rsid w:val="00456E52"/>
    <w:rsid w:val="0045774F"/>
    <w:rsid w:val="00460617"/>
    <w:rsid w:val="00460F17"/>
    <w:rsid w:val="00460F48"/>
    <w:rsid w:val="0046115A"/>
    <w:rsid w:val="004612BF"/>
    <w:rsid w:val="0046133C"/>
    <w:rsid w:val="00461B19"/>
    <w:rsid w:val="00462444"/>
    <w:rsid w:val="00462512"/>
    <w:rsid w:val="00462681"/>
    <w:rsid w:val="00462798"/>
    <w:rsid w:val="00462DF4"/>
    <w:rsid w:val="004630F5"/>
    <w:rsid w:val="004635AC"/>
    <w:rsid w:val="00463852"/>
    <w:rsid w:val="00463BF6"/>
    <w:rsid w:val="00463EF4"/>
    <w:rsid w:val="00464AA9"/>
    <w:rsid w:val="00464ABB"/>
    <w:rsid w:val="00464CE1"/>
    <w:rsid w:val="00464DC4"/>
    <w:rsid w:val="00464FC5"/>
    <w:rsid w:val="004657DD"/>
    <w:rsid w:val="00465E46"/>
    <w:rsid w:val="0046680B"/>
    <w:rsid w:val="00466D2D"/>
    <w:rsid w:val="00467230"/>
    <w:rsid w:val="00467E83"/>
    <w:rsid w:val="00467EDB"/>
    <w:rsid w:val="0047024A"/>
    <w:rsid w:val="00470718"/>
    <w:rsid w:val="0047097B"/>
    <w:rsid w:val="00470D77"/>
    <w:rsid w:val="004713E0"/>
    <w:rsid w:val="00472BA7"/>
    <w:rsid w:val="00472C31"/>
    <w:rsid w:val="0047365D"/>
    <w:rsid w:val="00473A83"/>
    <w:rsid w:val="00473B65"/>
    <w:rsid w:val="00473C1F"/>
    <w:rsid w:val="0047412A"/>
    <w:rsid w:val="00474165"/>
    <w:rsid w:val="00474810"/>
    <w:rsid w:val="00474B83"/>
    <w:rsid w:val="00474F6F"/>
    <w:rsid w:val="00475123"/>
    <w:rsid w:val="00475249"/>
    <w:rsid w:val="00475876"/>
    <w:rsid w:val="004767A9"/>
    <w:rsid w:val="0047680B"/>
    <w:rsid w:val="00477D7D"/>
    <w:rsid w:val="00480478"/>
    <w:rsid w:val="004808B2"/>
    <w:rsid w:val="00480C56"/>
    <w:rsid w:val="00480FEF"/>
    <w:rsid w:val="0048155C"/>
    <w:rsid w:val="00481C3F"/>
    <w:rsid w:val="00482070"/>
    <w:rsid w:val="0048214A"/>
    <w:rsid w:val="0048214C"/>
    <w:rsid w:val="00482374"/>
    <w:rsid w:val="004824FB"/>
    <w:rsid w:val="00482718"/>
    <w:rsid w:val="00482CEF"/>
    <w:rsid w:val="004834C0"/>
    <w:rsid w:val="00483655"/>
    <w:rsid w:val="004836AC"/>
    <w:rsid w:val="00483BCE"/>
    <w:rsid w:val="00483F0F"/>
    <w:rsid w:val="004841C1"/>
    <w:rsid w:val="00484621"/>
    <w:rsid w:val="004846F2"/>
    <w:rsid w:val="0048485D"/>
    <w:rsid w:val="004854B5"/>
    <w:rsid w:val="004858BB"/>
    <w:rsid w:val="00485A2B"/>
    <w:rsid w:val="004863A8"/>
    <w:rsid w:val="00486480"/>
    <w:rsid w:val="0048788F"/>
    <w:rsid w:val="00487BC3"/>
    <w:rsid w:val="00487FF8"/>
    <w:rsid w:val="004907FA"/>
    <w:rsid w:val="00490D32"/>
    <w:rsid w:val="00490ED5"/>
    <w:rsid w:val="00491490"/>
    <w:rsid w:val="00491956"/>
    <w:rsid w:val="00492898"/>
    <w:rsid w:val="00492927"/>
    <w:rsid w:val="00492985"/>
    <w:rsid w:val="00492B91"/>
    <w:rsid w:val="00492C5F"/>
    <w:rsid w:val="004932B9"/>
    <w:rsid w:val="0049341B"/>
    <w:rsid w:val="00493692"/>
    <w:rsid w:val="004937A4"/>
    <w:rsid w:val="00493FBB"/>
    <w:rsid w:val="004942F3"/>
    <w:rsid w:val="00494A69"/>
    <w:rsid w:val="004954C8"/>
    <w:rsid w:val="0049567C"/>
    <w:rsid w:val="004961A7"/>
    <w:rsid w:val="00496748"/>
    <w:rsid w:val="004968F9"/>
    <w:rsid w:val="004969C5"/>
    <w:rsid w:val="00496D82"/>
    <w:rsid w:val="004970EE"/>
    <w:rsid w:val="0049795B"/>
    <w:rsid w:val="004979F1"/>
    <w:rsid w:val="00497FEA"/>
    <w:rsid w:val="004A084E"/>
    <w:rsid w:val="004A11CE"/>
    <w:rsid w:val="004A14AB"/>
    <w:rsid w:val="004A1890"/>
    <w:rsid w:val="004A1EB1"/>
    <w:rsid w:val="004A2816"/>
    <w:rsid w:val="004A2855"/>
    <w:rsid w:val="004A2964"/>
    <w:rsid w:val="004A2C10"/>
    <w:rsid w:val="004A3252"/>
    <w:rsid w:val="004A344A"/>
    <w:rsid w:val="004A362C"/>
    <w:rsid w:val="004A3989"/>
    <w:rsid w:val="004A401B"/>
    <w:rsid w:val="004A4456"/>
    <w:rsid w:val="004A4BA5"/>
    <w:rsid w:val="004A4E12"/>
    <w:rsid w:val="004A52B8"/>
    <w:rsid w:val="004A5B0D"/>
    <w:rsid w:val="004A5C94"/>
    <w:rsid w:val="004A5F79"/>
    <w:rsid w:val="004A6641"/>
    <w:rsid w:val="004A69CA"/>
    <w:rsid w:val="004A6DA1"/>
    <w:rsid w:val="004B07D6"/>
    <w:rsid w:val="004B1DA4"/>
    <w:rsid w:val="004B205C"/>
    <w:rsid w:val="004B2577"/>
    <w:rsid w:val="004B25BC"/>
    <w:rsid w:val="004B2987"/>
    <w:rsid w:val="004B2DCE"/>
    <w:rsid w:val="004B3326"/>
    <w:rsid w:val="004B35BB"/>
    <w:rsid w:val="004B35F7"/>
    <w:rsid w:val="004B3730"/>
    <w:rsid w:val="004B389E"/>
    <w:rsid w:val="004B417C"/>
    <w:rsid w:val="004B42FD"/>
    <w:rsid w:val="004B48C2"/>
    <w:rsid w:val="004B48CA"/>
    <w:rsid w:val="004B4D94"/>
    <w:rsid w:val="004B587B"/>
    <w:rsid w:val="004B5CD5"/>
    <w:rsid w:val="004B5D7A"/>
    <w:rsid w:val="004B629E"/>
    <w:rsid w:val="004B6635"/>
    <w:rsid w:val="004B6739"/>
    <w:rsid w:val="004B6799"/>
    <w:rsid w:val="004B6A6A"/>
    <w:rsid w:val="004B7138"/>
    <w:rsid w:val="004C025F"/>
    <w:rsid w:val="004C03BC"/>
    <w:rsid w:val="004C143A"/>
    <w:rsid w:val="004C1A07"/>
    <w:rsid w:val="004C1B65"/>
    <w:rsid w:val="004C2868"/>
    <w:rsid w:val="004C2ACF"/>
    <w:rsid w:val="004C3248"/>
    <w:rsid w:val="004C3566"/>
    <w:rsid w:val="004C36DD"/>
    <w:rsid w:val="004C3CD3"/>
    <w:rsid w:val="004C3E64"/>
    <w:rsid w:val="004C3E84"/>
    <w:rsid w:val="004C41FF"/>
    <w:rsid w:val="004C43D0"/>
    <w:rsid w:val="004C48BB"/>
    <w:rsid w:val="004C4901"/>
    <w:rsid w:val="004C4A48"/>
    <w:rsid w:val="004C5D9D"/>
    <w:rsid w:val="004C5F11"/>
    <w:rsid w:val="004C62FF"/>
    <w:rsid w:val="004C6552"/>
    <w:rsid w:val="004C68C1"/>
    <w:rsid w:val="004C6977"/>
    <w:rsid w:val="004C6D65"/>
    <w:rsid w:val="004C6E38"/>
    <w:rsid w:val="004C702B"/>
    <w:rsid w:val="004C70B9"/>
    <w:rsid w:val="004C7B5E"/>
    <w:rsid w:val="004D030E"/>
    <w:rsid w:val="004D0431"/>
    <w:rsid w:val="004D0497"/>
    <w:rsid w:val="004D0A03"/>
    <w:rsid w:val="004D0D26"/>
    <w:rsid w:val="004D0E28"/>
    <w:rsid w:val="004D1469"/>
    <w:rsid w:val="004D1A90"/>
    <w:rsid w:val="004D1A9C"/>
    <w:rsid w:val="004D25A5"/>
    <w:rsid w:val="004D2827"/>
    <w:rsid w:val="004D33E1"/>
    <w:rsid w:val="004D391F"/>
    <w:rsid w:val="004D42DA"/>
    <w:rsid w:val="004D4371"/>
    <w:rsid w:val="004D46DC"/>
    <w:rsid w:val="004D57AC"/>
    <w:rsid w:val="004D6134"/>
    <w:rsid w:val="004D65F7"/>
    <w:rsid w:val="004D67B3"/>
    <w:rsid w:val="004D6DAC"/>
    <w:rsid w:val="004D70C5"/>
    <w:rsid w:val="004D7133"/>
    <w:rsid w:val="004D7C81"/>
    <w:rsid w:val="004D7FAF"/>
    <w:rsid w:val="004E0891"/>
    <w:rsid w:val="004E08EC"/>
    <w:rsid w:val="004E0E44"/>
    <w:rsid w:val="004E1106"/>
    <w:rsid w:val="004E1336"/>
    <w:rsid w:val="004E13A1"/>
    <w:rsid w:val="004E140B"/>
    <w:rsid w:val="004E14B4"/>
    <w:rsid w:val="004E1A17"/>
    <w:rsid w:val="004E1B3B"/>
    <w:rsid w:val="004E1FAE"/>
    <w:rsid w:val="004E2416"/>
    <w:rsid w:val="004E24F2"/>
    <w:rsid w:val="004E2843"/>
    <w:rsid w:val="004E2CF8"/>
    <w:rsid w:val="004E2F7B"/>
    <w:rsid w:val="004E3164"/>
    <w:rsid w:val="004E3335"/>
    <w:rsid w:val="004E33C3"/>
    <w:rsid w:val="004E3996"/>
    <w:rsid w:val="004E3C3B"/>
    <w:rsid w:val="004E3E3C"/>
    <w:rsid w:val="004E4CAB"/>
    <w:rsid w:val="004E4F13"/>
    <w:rsid w:val="004E5324"/>
    <w:rsid w:val="004E55AA"/>
    <w:rsid w:val="004E5963"/>
    <w:rsid w:val="004E649F"/>
    <w:rsid w:val="004E650B"/>
    <w:rsid w:val="004E6B62"/>
    <w:rsid w:val="004E6E78"/>
    <w:rsid w:val="004E7041"/>
    <w:rsid w:val="004E7075"/>
    <w:rsid w:val="004E729F"/>
    <w:rsid w:val="004E7516"/>
    <w:rsid w:val="004E7546"/>
    <w:rsid w:val="004E7C71"/>
    <w:rsid w:val="004F0B80"/>
    <w:rsid w:val="004F0E2B"/>
    <w:rsid w:val="004F0E4A"/>
    <w:rsid w:val="004F1167"/>
    <w:rsid w:val="004F1869"/>
    <w:rsid w:val="004F1CBD"/>
    <w:rsid w:val="004F1E03"/>
    <w:rsid w:val="004F21EB"/>
    <w:rsid w:val="004F24B1"/>
    <w:rsid w:val="004F2D5E"/>
    <w:rsid w:val="004F3091"/>
    <w:rsid w:val="004F31EC"/>
    <w:rsid w:val="004F3324"/>
    <w:rsid w:val="004F3392"/>
    <w:rsid w:val="004F343D"/>
    <w:rsid w:val="004F34D1"/>
    <w:rsid w:val="004F4142"/>
    <w:rsid w:val="004F4452"/>
    <w:rsid w:val="004F4774"/>
    <w:rsid w:val="004F55C3"/>
    <w:rsid w:val="004F5C06"/>
    <w:rsid w:val="004F5FCB"/>
    <w:rsid w:val="004F6D2D"/>
    <w:rsid w:val="004F6E8B"/>
    <w:rsid w:val="004F74E5"/>
    <w:rsid w:val="004F7629"/>
    <w:rsid w:val="00500253"/>
    <w:rsid w:val="005005E2"/>
    <w:rsid w:val="0050099F"/>
    <w:rsid w:val="00500B20"/>
    <w:rsid w:val="00500BEE"/>
    <w:rsid w:val="00501446"/>
    <w:rsid w:val="0050176F"/>
    <w:rsid w:val="00501AF3"/>
    <w:rsid w:val="00501D5C"/>
    <w:rsid w:val="0050202F"/>
    <w:rsid w:val="00502119"/>
    <w:rsid w:val="00503BFE"/>
    <w:rsid w:val="00503E91"/>
    <w:rsid w:val="0050458B"/>
    <w:rsid w:val="005048AD"/>
    <w:rsid w:val="00505F3B"/>
    <w:rsid w:val="00506107"/>
    <w:rsid w:val="00506549"/>
    <w:rsid w:val="00506647"/>
    <w:rsid w:val="00506DE9"/>
    <w:rsid w:val="00506FE4"/>
    <w:rsid w:val="005102AD"/>
    <w:rsid w:val="0051096F"/>
    <w:rsid w:val="00510C10"/>
    <w:rsid w:val="0051108B"/>
    <w:rsid w:val="00511BEA"/>
    <w:rsid w:val="00511E59"/>
    <w:rsid w:val="005120E0"/>
    <w:rsid w:val="00512386"/>
    <w:rsid w:val="0051286C"/>
    <w:rsid w:val="00512D87"/>
    <w:rsid w:val="005133DF"/>
    <w:rsid w:val="005138C1"/>
    <w:rsid w:val="005138FC"/>
    <w:rsid w:val="00513B71"/>
    <w:rsid w:val="00514299"/>
    <w:rsid w:val="0051484F"/>
    <w:rsid w:val="0051487B"/>
    <w:rsid w:val="00514CF6"/>
    <w:rsid w:val="00515417"/>
    <w:rsid w:val="0051550E"/>
    <w:rsid w:val="00515633"/>
    <w:rsid w:val="0051619F"/>
    <w:rsid w:val="005162E1"/>
    <w:rsid w:val="00516A97"/>
    <w:rsid w:val="00516ED9"/>
    <w:rsid w:val="005170BC"/>
    <w:rsid w:val="005173DB"/>
    <w:rsid w:val="00517EC5"/>
    <w:rsid w:val="0052098D"/>
    <w:rsid w:val="005210A7"/>
    <w:rsid w:val="005217C3"/>
    <w:rsid w:val="00521A37"/>
    <w:rsid w:val="00521A76"/>
    <w:rsid w:val="00521C60"/>
    <w:rsid w:val="00522126"/>
    <w:rsid w:val="0052236B"/>
    <w:rsid w:val="005227BF"/>
    <w:rsid w:val="00522AAF"/>
    <w:rsid w:val="00522D3D"/>
    <w:rsid w:val="00522F31"/>
    <w:rsid w:val="00523395"/>
    <w:rsid w:val="005238C2"/>
    <w:rsid w:val="00523B05"/>
    <w:rsid w:val="00523B4E"/>
    <w:rsid w:val="00523B5E"/>
    <w:rsid w:val="00523F42"/>
    <w:rsid w:val="00523FAA"/>
    <w:rsid w:val="00523FCC"/>
    <w:rsid w:val="005244D1"/>
    <w:rsid w:val="00524776"/>
    <w:rsid w:val="00524871"/>
    <w:rsid w:val="005249D8"/>
    <w:rsid w:val="00524F9E"/>
    <w:rsid w:val="005253BF"/>
    <w:rsid w:val="005253D5"/>
    <w:rsid w:val="00525C36"/>
    <w:rsid w:val="00526261"/>
    <w:rsid w:val="00526278"/>
    <w:rsid w:val="00526403"/>
    <w:rsid w:val="0052739E"/>
    <w:rsid w:val="0052741E"/>
    <w:rsid w:val="00527867"/>
    <w:rsid w:val="005278A4"/>
    <w:rsid w:val="00527AB0"/>
    <w:rsid w:val="00527B8F"/>
    <w:rsid w:val="005306EF"/>
    <w:rsid w:val="00530DA0"/>
    <w:rsid w:val="0053197B"/>
    <w:rsid w:val="0053274E"/>
    <w:rsid w:val="00532998"/>
    <w:rsid w:val="005329AD"/>
    <w:rsid w:val="00533522"/>
    <w:rsid w:val="005335C1"/>
    <w:rsid w:val="00533D5E"/>
    <w:rsid w:val="00534208"/>
    <w:rsid w:val="00534433"/>
    <w:rsid w:val="005347DA"/>
    <w:rsid w:val="005349D2"/>
    <w:rsid w:val="00534BD3"/>
    <w:rsid w:val="00534D44"/>
    <w:rsid w:val="00534F65"/>
    <w:rsid w:val="00535FC6"/>
    <w:rsid w:val="0053622F"/>
    <w:rsid w:val="0053669C"/>
    <w:rsid w:val="00537283"/>
    <w:rsid w:val="00537293"/>
    <w:rsid w:val="005372D3"/>
    <w:rsid w:val="0053736E"/>
    <w:rsid w:val="0053745E"/>
    <w:rsid w:val="0053757F"/>
    <w:rsid w:val="00537580"/>
    <w:rsid w:val="00537728"/>
    <w:rsid w:val="00537B65"/>
    <w:rsid w:val="00537CEE"/>
    <w:rsid w:val="005408E2"/>
    <w:rsid w:val="00540997"/>
    <w:rsid w:val="005410E5"/>
    <w:rsid w:val="005416D6"/>
    <w:rsid w:val="005417A2"/>
    <w:rsid w:val="0054226C"/>
    <w:rsid w:val="00542297"/>
    <w:rsid w:val="00542763"/>
    <w:rsid w:val="00543004"/>
    <w:rsid w:val="005430AC"/>
    <w:rsid w:val="00543C33"/>
    <w:rsid w:val="00543DA9"/>
    <w:rsid w:val="00544051"/>
    <w:rsid w:val="0054411B"/>
    <w:rsid w:val="005443A0"/>
    <w:rsid w:val="0054461C"/>
    <w:rsid w:val="00544DBC"/>
    <w:rsid w:val="00544E0F"/>
    <w:rsid w:val="00544E6E"/>
    <w:rsid w:val="005453BC"/>
    <w:rsid w:val="00545870"/>
    <w:rsid w:val="005459D4"/>
    <w:rsid w:val="005463E4"/>
    <w:rsid w:val="0054652C"/>
    <w:rsid w:val="00546C93"/>
    <w:rsid w:val="00546FB0"/>
    <w:rsid w:val="0054796C"/>
    <w:rsid w:val="0054796E"/>
    <w:rsid w:val="00547F37"/>
    <w:rsid w:val="0055023C"/>
    <w:rsid w:val="005502FE"/>
    <w:rsid w:val="00550660"/>
    <w:rsid w:val="00550A08"/>
    <w:rsid w:val="00550D3B"/>
    <w:rsid w:val="005514CF"/>
    <w:rsid w:val="00551504"/>
    <w:rsid w:val="005518CB"/>
    <w:rsid w:val="005519DF"/>
    <w:rsid w:val="00551B29"/>
    <w:rsid w:val="00551FD1"/>
    <w:rsid w:val="00551FE1"/>
    <w:rsid w:val="00552A30"/>
    <w:rsid w:val="00552F78"/>
    <w:rsid w:val="00552F80"/>
    <w:rsid w:val="00552FED"/>
    <w:rsid w:val="005537CB"/>
    <w:rsid w:val="00553B7E"/>
    <w:rsid w:val="00553D42"/>
    <w:rsid w:val="00554207"/>
    <w:rsid w:val="00554251"/>
    <w:rsid w:val="00554727"/>
    <w:rsid w:val="00554DF3"/>
    <w:rsid w:val="00554E94"/>
    <w:rsid w:val="005554F9"/>
    <w:rsid w:val="0055652D"/>
    <w:rsid w:val="00556859"/>
    <w:rsid w:val="00556C57"/>
    <w:rsid w:val="0055720A"/>
    <w:rsid w:val="00557506"/>
    <w:rsid w:val="00557BB7"/>
    <w:rsid w:val="00557E38"/>
    <w:rsid w:val="00560283"/>
    <w:rsid w:val="00560EBA"/>
    <w:rsid w:val="0056118F"/>
    <w:rsid w:val="005612CD"/>
    <w:rsid w:val="005612E9"/>
    <w:rsid w:val="00561426"/>
    <w:rsid w:val="00561668"/>
    <w:rsid w:val="00562262"/>
    <w:rsid w:val="005623DF"/>
    <w:rsid w:val="005626B4"/>
    <w:rsid w:val="005639DF"/>
    <w:rsid w:val="00563C7C"/>
    <w:rsid w:val="00563E59"/>
    <w:rsid w:val="00563EA5"/>
    <w:rsid w:val="005646A3"/>
    <w:rsid w:val="0056494E"/>
    <w:rsid w:val="00564A1D"/>
    <w:rsid w:val="00564F25"/>
    <w:rsid w:val="00565146"/>
    <w:rsid w:val="00565993"/>
    <w:rsid w:val="00565B70"/>
    <w:rsid w:val="005667AD"/>
    <w:rsid w:val="00566A1D"/>
    <w:rsid w:val="00566AEF"/>
    <w:rsid w:val="00566BB2"/>
    <w:rsid w:val="00566C64"/>
    <w:rsid w:val="005674DA"/>
    <w:rsid w:val="00567C40"/>
    <w:rsid w:val="00567FE5"/>
    <w:rsid w:val="0057091C"/>
    <w:rsid w:val="00571096"/>
    <w:rsid w:val="00571794"/>
    <w:rsid w:val="00571B28"/>
    <w:rsid w:val="00571E7C"/>
    <w:rsid w:val="00571F3A"/>
    <w:rsid w:val="0057226F"/>
    <w:rsid w:val="00572397"/>
    <w:rsid w:val="0057274C"/>
    <w:rsid w:val="00572932"/>
    <w:rsid w:val="00573198"/>
    <w:rsid w:val="005733C7"/>
    <w:rsid w:val="005748DC"/>
    <w:rsid w:val="0057537A"/>
    <w:rsid w:val="00575677"/>
    <w:rsid w:val="00575934"/>
    <w:rsid w:val="00575D45"/>
    <w:rsid w:val="005761AA"/>
    <w:rsid w:val="0057631E"/>
    <w:rsid w:val="00576F3C"/>
    <w:rsid w:val="005779AF"/>
    <w:rsid w:val="005800B7"/>
    <w:rsid w:val="00580112"/>
    <w:rsid w:val="005802C0"/>
    <w:rsid w:val="00580377"/>
    <w:rsid w:val="00580866"/>
    <w:rsid w:val="005808DC"/>
    <w:rsid w:val="00580E07"/>
    <w:rsid w:val="0058122D"/>
    <w:rsid w:val="00581D22"/>
    <w:rsid w:val="00581FA4"/>
    <w:rsid w:val="00582249"/>
    <w:rsid w:val="005832F4"/>
    <w:rsid w:val="00583841"/>
    <w:rsid w:val="005839E2"/>
    <w:rsid w:val="00583A86"/>
    <w:rsid w:val="00583DF3"/>
    <w:rsid w:val="00584D78"/>
    <w:rsid w:val="005857CD"/>
    <w:rsid w:val="0058585C"/>
    <w:rsid w:val="00585C39"/>
    <w:rsid w:val="00585D1F"/>
    <w:rsid w:val="00586024"/>
    <w:rsid w:val="005860D8"/>
    <w:rsid w:val="0058624F"/>
    <w:rsid w:val="005866A5"/>
    <w:rsid w:val="005866C7"/>
    <w:rsid w:val="00586AD9"/>
    <w:rsid w:val="00586AE6"/>
    <w:rsid w:val="00586F09"/>
    <w:rsid w:val="00587646"/>
    <w:rsid w:val="00590014"/>
    <w:rsid w:val="005906E4"/>
    <w:rsid w:val="0059097B"/>
    <w:rsid w:val="00590A17"/>
    <w:rsid w:val="00590BF6"/>
    <w:rsid w:val="00590D22"/>
    <w:rsid w:val="00591B85"/>
    <w:rsid w:val="00591DF5"/>
    <w:rsid w:val="0059254D"/>
    <w:rsid w:val="0059261D"/>
    <w:rsid w:val="00592D9C"/>
    <w:rsid w:val="00593595"/>
    <w:rsid w:val="00593695"/>
    <w:rsid w:val="00593ED6"/>
    <w:rsid w:val="00594A67"/>
    <w:rsid w:val="005952F9"/>
    <w:rsid w:val="005954E3"/>
    <w:rsid w:val="00595696"/>
    <w:rsid w:val="005956A9"/>
    <w:rsid w:val="00595A03"/>
    <w:rsid w:val="005961EE"/>
    <w:rsid w:val="005969C9"/>
    <w:rsid w:val="0059725A"/>
    <w:rsid w:val="005975F4"/>
    <w:rsid w:val="0059762E"/>
    <w:rsid w:val="005979A9"/>
    <w:rsid w:val="005A00A6"/>
    <w:rsid w:val="005A0405"/>
    <w:rsid w:val="005A0B94"/>
    <w:rsid w:val="005A0BBD"/>
    <w:rsid w:val="005A1345"/>
    <w:rsid w:val="005A16D6"/>
    <w:rsid w:val="005A188E"/>
    <w:rsid w:val="005A1B8C"/>
    <w:rsid w:val="005A22D7"/>
    <w:rsid w:val="005A26C4"/>
    <w:rsid w:val="005A28D4"/>
    <w:rsid w:val="005A3929"/>
    <w:rsid w:val="005A3AE4"/>
    <w:rsid w:val="005A445A"/>
    <w:rsid w:val="005A4EDC"/>
    <w:rsid w:val="005A56BF"/>
    <w:rsid w:val="005A6344"/>
    <w:rsid w:val="005A6C93"/>
    <w:rsid w:val="005A6FE7"/>
    <w:rsid w:val="005A7045"/>
    <w:rsid w:val="005A704D"/>
    <w:rsid w:val="005A71A4"/>
    <w:rsid w:val="005A7493"/>
    <w:rsid w:val="005A75DE"/>
    <w:rsid w:val="005A7BC3"/>
    <w:rsid w:val="005A7F8A"/>
    <w:rsid w:val="005B0293"/>
    <w:rsid w:val="005B0510"/>
    <w:rsid w:val="005B06A3"/>
    <w:rsid w:val="005B07CC"/>
    <w:rsid w:val="005B093E"/>
    <w:rsid w:val="005B0A30"/>
    <w:rsid w:val="005B16BF"/>
    <w:rsid w:val="005B1CA8"/>
    <w:rsid w:val="005B27DB"/>
    <w:rsid w:val="005B2E62"/>
    <w:rsid w:val="005B30EF"/>
    <w:rsid w:val="005B357D"/>
    <w:rsid w:val="005B42C4"/>
    <w:rsid w:val="005B4456"/>
    <w:rsid w:val="005B4477"/>
    <w:rsid w:val="005B4E1D"/>
    <w:rsid w:val="005B5185"/>
    <w:rsid w:val="005B5441"/>
    <w:rsid w:val="005B587E"/>
    <w:rsid w:val="005B5950"/>
    <w:rsid w:val="005B61AF"/>
    <w:rsid w:val="005B6217"/>
    <w:rsid w:val="005B637B"/>
    <w:rsid w:val="005B67B0"/>
    <w:rsid w:val="005B67E6"/>
    <w:rsid w:val="005B6EFA"/>
    <w:rsid w:val="005C0997"/>
    <w:rsid w:val="005C0E03"/>
    <w:rsid w:val="005C0EA3"/>
    <w:rsid w:val="005C0EEB"/>
    <w:rsid w:val="005C0F23"/>
    <w:rsid w:val="005C1122"/>
    <w:rsid w:val="005C1E46"/>
    <w:rsid w:val="005C1ED7"/>
    <w:rsid w:val="005C2641"/>
    <w:rsid w:val="005C27FE"/>
    <w:rsid w:val="005C2A0A"/>
    <w:rsid w:val="005C2D7A"/>
    <w:rsid w:val="005C3C6E"/>
    <w:rsid w:val="005C4B37"/>
    <w:rsid w:val="005C53DF"/>
    <w:rsid w:val="005C59FB"/>
    <w:rsid w:val="005C5A12"/>
    <w:rsid w:val="005C5E28"/>
    <w:rsid w:val="005C5E78"/>
    <w:rsid w:val="005C6845"/>
    <w:rsid w:val="005C6C64"/>
    <w:rsid w:val="005C7043"/>
    <w:rsid w:val="005C73DC"/>
    <w:rsid w:val="005C7FBD"/>
    <w:rsid w:val="005D0482"/>
    <w:rsid w:val="005D0881"/>
    <w:rsid w:val="005D0909"/>
    <w:rsid w:val="005D0D79"/>
    <w:rsid w:val="005D1A21"/>
    <w:rsid w:val="005D1AD7"/>
    <w:rsid w:val="005D1D48"/>
    <w:rsid w:val="005D265B"/>
    <w:rsid w:val="005D2B65"/>
    <w:rsid w:val="005D2B8A"/>
    <w:rsid w:val="005D2C18"/>
    <w:rsid w:val="005D32AC"/>
    <w:rsid w:val="005D34BB"/>
    <w:rsid w:val="005D37EC"/>
    <w:rsid w:val="005D3AB7"/>
    <w:rsid w:val="005D3CC9"/>
    <w:rsid w:val="005D456B"/>
    <w:rsid w:val="005D4C26"/>
    <w:rsid w:val="005D4DB9"/>
    <w:rsid w:val="005D581B"/>
    <w:rsid w:val="005D5884"/>
    <w:rsid w:val="005D5A6F"/>
    <w:rsid w:val="005D5ACC"/>
    <w:rsid w:val="005D5DEC"/>
    <w:rsid w:val="005D6312"/>
    <w:rsid w:val="005D64C9"/>
    <w:rsid w:val="005D6504"/>
    <w:rsid w:val="005D68EB"/>
    <w:rsid w:val="005D6D6F"/>
    <w:rsid w:val="005D7078"/>
    <w:rsid w:val="005D70EF"/>
    <w:rsid w:val="005D79DC"/>
    <w:rsid w:val="005D7A32"/>
    <w:rsid w:val="005D7AC0"/>
    <w:rsid w:val="005D7D2F"/>
    <w:rsid w:val="005E0504"/>
    <w:rsid w:val="005E0E3B"/>
    <w:rsid w:val="005E1D61"/>
    <w:rsid w:val="005E1ED2"/>
    <w:rsid w:val="005E2120"/>
    <w:rsid w:val="005E2297"/>
    <w:rsid w:val="005E2517"/>
    <w:rsid w:val="005E28E3"/>
    <w:rsid w:val="005E2C45"/>
    <w:rsid w:val="005E338E"/>
    <w:rsid w:val="005E33B8"/>
    <w:rsid w:val="005E3805"/>
    <w:rsid w:val="005E43FE"/>
    <w:rsid w:val="005E44A2"/>
    <w:rsid w:val="005E4510"/>
    <w:rsid w:val="005E4FF2"/>
    <w:rsid w:val="005E5492"/>
    <w:rsid w:val="005E54D2"/>
    <w:rsid w:val="005E5604"/>
    <w:rsid w:val="005E58EA"/>
    <w:rsid w:val="005E6E5B"/>
    <w:rsid w:val="005E7789"/>
    <w:rsid w:val="005E7B50"/>
    <w:rsid w:val="005E7D28"/>
    <w:rsid w:val="005E7F06"/>
    <w:rsid w:val="005F044D"/>
    <w:rsid w:val="005F0789"/>
    <w:rsid w:val="005F0D3B"/>
    <w:rsid w:val="005F1133"/>
    <w:rsid w:val="005F182D"/>
    <w:rsid w:val="005F1A0F"/>
    <w:rsid w:val="005F1B8A"/>
    <w:rsid w:val="005F1BED"/>
    <w:rsid w:val="005F2C94"/>
    <w:rsid w:val="005F2F58"/>
    <w:rsid w:val="005F339C"/>
    <w:rsid w:val="005F342E"/>
    <w:rsid w:val="005F34C5"/>
    <w:rsid w:val="005F3744"/>
    <w:rsid w:val="005F3DE2"/>
    <w:rsid w:val="005F4486"/>
    <w:rsid w:val="005F45C7"/>
    <w:rsid w:val="005F48A1"/>
    <w:rsid w:val="005F492E"/>
    <w:rsid w:val="005F4D6D"/>
    <w:rsid w:val="005F50C7"/>
    <w:rsid w:val="005F5415"/>
    <w:rsid w:val="005F54C1"/>
    <w:rsid w:val="005F5DBB"/>
    <w:rsid w:val="005F6308"/>
    <w:rsid w:val="005F641F"/>
    <w:rsid w:val="005F6E3D"/>
    <w:rsid w:val="005F79D9"/>
    <w:rsid w:val="005F7E3E"/>
    <w:rsid w:val="00600177"/>
    <w:rsid w:val="006002C4"/>
    <w:rsid w:val="0060075A"/>
    <w:rsid w:val="006011E7"/>
    <w:rsid w:val="006012FC"/>
    <w:rsid w:val="006015A1"/>
    <w:rsid w:val="00601D64"/>
    <w:rsid w:val="00602061"/>
    <w:rsid w:val="0060279F"/>
    <w:rsid w:val="00603180"/>
    <w:rsid w:val="0060327F"/>
    <w:rsid w:val="0060339E"/>
    <w:rsid w:val="0060357E"/>
    <w:rsid w:val="00603F34"/>
    <w:rsid w:val="0060449A"/>
    <w:rsid w:val="006044E1"/>
    <w:rsid w:val="00604A51"/>
    <w:rsid w:val="0060532C"/>
    <w:rsid w:val="006063D3"/>
    <w:rsid w:val="00606647"/>
    <w:rsid w:val="00607419"/>
    <w:rsid w:val="006074FD"/>
    <w:rsid w:val="006077F2"/>
    <w:rsid w:val="00607BD1"/>
    <w:rsid w:val="006104C8"/>
    <w:rsid w:val="00610D0A"/>
    <w:rsid w:val="00610F72"/>
    <w:rsid w:val="00611992"/>
    <w:rsid w:val="00612095"/>
    <w:rsid w:val="00612773"/>
    <w:rsid w:val="0061302C"/>
    <w:rsid w:val="006130ED"/>
    <w:rsid w:val="0061356F"/>
    <w:rsid w:val="006136C5"/>
    <w:rsid w:val="0061377D"/>
    <w:rsid w:val="00613E09"/>
    <w:rsid w:val="00614291"/>
    <w:rsid w:val="00614499"/>
    <w:rsid w:val="0061454B"/>
    <w:rsid w:val="006147C4"/>
    <w:rsid w:val="00614A5A"/>
    <w:rsid w:val="00614EE1"/>
    <w:rsid w:val="006151C6"/>
    <w:rsid w:val="00615827"/>
    <w:rsid w:val="00615A25"/>
    <w:rsid w:val="0061609B"/>
    <w:rsid w:val="006165DB"/>
    <w:rsid w:val="006167B9"/>
    <w:rsid w:val="00616971"/>
    <w:rsid w:val="00616FD2"/>
    <w:rsid w:val="00617157"/>
    <w:rsid w:val="006172C0"/>
    <w:rsid w:val="00617322"/>
    <w:rsid w:val="00617363"/>
    <w:rsid w:val="006208A6"/>
    <w:rsid w:val="006208BD"/>
    <w:rsid w:val="00620AAA"/>
    <w:rsid w:val="00620CBB"/>
    <w:rsid w:val="00620F85"/>
    <w:rsid w:val="0062180C"/>
    <w:rsid w:val="00621DB0"/>
    <w:rsid w:val="00621F6B"/>
    <w:rsid w:val="00622094"/>
    <w:rsid w:val="00622350"/>
    <w:rsid w:val="0062249A"/>
    <w:rsid w:val="00622940"/>
    <w:rsid w:val="00623042"/>
    <w:rsid w:val="006236CD"/>
    <w:rsid w:val="0062394A"/>
    <w:rsid w:val="00623A09"/>
    <w:rsid w:val="00623D49"/>
    <w:rsid w:val="00623FAD"/>
    <w:rsid w:val="00624068"/>
    <w:rsid w:val="00624104"/>
    <w:rsid w:val="0062454E"/>
    <w:rsid w:val="00624686"/>
    <w:rsid w:val="00624732"/>
    <w:rsid w:val="006249BE"/>
    <w:rsid w:val="00625038"/>
    <w:rsid w:val="00625365"/>
    <w:rsid w:val="006256EC"/>
    <w:rsid w:val="006258C4"/>
    <w:rsid w:val="00625AED"/>
    <w:rsid w:val="00626630"/>
    <w:rsid w:val="00626F15"/>
    <w:rsid w:val="0062747C"/>
    <w:rsid w:val="006279CE"/>
    <w:rsid w:val="00627BD1"/>
    <w:rsid w:val="00627D8F"/>
    <w:rsid w:val="006301E0"/>
    <w:rsid w:val="00630681"/>
    <w:rsid w:val="00630B46"/>
    <w:rsid w:val="00630B71"/>
    <w:rsid w:val="00630FD7"/>
    <w:rsid w:val="00630FDD"/>
    <w:rsid w:val="00631CCD"/>
    <w:rsid w:val="00631DC9"/>
    <w:rsid w:val="00631EFC"/>
    <w:rsid w:val="006322AC"/>
    <w:rsid w:val="00632375"/>
    <w:rsid w:val="00632E4D"/>
    <w:rsid w:val="00633114"/>
    <w:rsid w:val="00633121"/>
    <w:rsid w:val="00633457"/>
    <w:rsid w:val="006337E5"/>
    <w:rsid w:val="006338D9"/>
    <w:rsid w:val="00633A3F"/>
    <w:rsid w:val="00633B99"/>
    <w:rsid w:val="00633F9A"/>
    <w:rsid w:val="00634730"/>
    <w:rsid w:val="006352C7"/>
    <w:rsid w:val="006353E0"/>
    <w:rsid w:val="00635EC2"/>
    <w:rsid w:val="00636155"/>
    <w:rsid w:val="0063645C"/>
    <w:rsid w:val="00636833"/>
    <w:rsid w:val="00636DAF"/>
    <w:rsid w:val="0063706F"/>
    <w:rsid w:val="006374A4"/>
    <w:rsid w:val="006401BE"/>
    <w:rsid w:val="006401EE"/>
    <w:rsid w:val="006405D4"/>
    <w:rsid w:val="00640752"/>
    <w:rsid w:val="00640A06"/>
    <w:rsid w:val="00640F7E"/>
    <w:rsid w:val="006414B9"/>
    <w:rsid w:val="006418A6"/>
    <w:rsid w:val="00641AAC"/>
    <w:rsid w:val="00641F00"/>
    <w:rsid w:val="0064234E"/>
    <w:rsid w:val="006425D8"/>
    <w:rsid w:val="0064283E"/>
    <w:rsid w:val="00642D34"/>
    <w:rsid w:val="00643567"/>
    <w:rsid w:val="00643AD8"/>
    <w:rsid w:val="0064427B"/>
    <w:rsid w:val="00644ACC"/>
    <w:rsid w:val="00644F15"/>
    <w:rsid w:val="006459AE"/>
    <w:rsid w:val="00645D6D"/>
    <w:rsid w:val="00645F56"/>
    <w:rsid w:val="0064623D"/>
    <w:rsid w:val="00646330"/>
    <w:rsid w:val="006463F7"/>
    <w:rsid w:val="00646470"/>
    <w:rsid w:val="00646559"/>
    <w:rsid w:val="0064675E"/>
    <w:rsid w:val="00646AAD"/>
    <w:rsid w:val="00646CFF"/>
    <w:rsid w:val="006471B4"/>
    <w:rsid w:val="00647319"/>
    <w:rsid w:val="006474C5"/>
    <w:rsid w:val="006479ED"/>
    <w:rsid w:val="00647D2C"/>
    <w:rsid w:val="006504D7"/>
    <w:rsid w:val="00650B59"/>
    <w:rsid w:val="00650C44"/>
    <w:rsid w:val="00650DC2"/>
    <w:rsid w:val="0065116D"/>
    <w:rsid w:val="006512C9"/>
    <w:rsid w:val="00651893"/>
    <w:rsid w:val="00651896"/>
    <w:rsid w:val="00651A45"/>
    <w:rsid w:val="0065366F"/>
    <w:rsid w:val="006542E4"/>
    <w:rsid w:val="006544A2"/>
    <w:rsid w:val="00654C47"/>
    <w:rsid w:val="00654DFB"/>
    <w:rsid w:val="00654FCC"/>
    <w:rsid w:val="00655589"/>
    <w:rsid w:val="0065582D"/>
    <w:rsid w:val="00655B27"/>
    <w:rsid w:val="00655EBF"/>
    <w:rsid w:val="0065601E"/>
    <w:rsid w:val="00656329"/>
    <w:rsid w:val="00656A3F"/>
    <w:rsid w:val="00656DC3"/>
    <w:rsid w:val="00656FBE"/>
    <w:rsid w:val="0065748C"/>
    <w:rsid w:val="0065777F"/>
    <w:rsid w:val="00657CC5"/>
    <w:rsid w:val="006607B1"/>
    <w:rsid w:val="00660C68"/>
    <w:rsid w:val="0066122E"/>
    <w:rsid w:val="006617C1"/>
    <w:rsid w:val="006619EA"/>
    <w:rsid w:val="00661A4D"/>
    <w:rsid w:val="00661B7F"/>
    <w:rsid w:val="006622AD"/>
    <w:rsid w:val="006625D3"/>
    <w:rsid w:val="00662992"/>
    <w:rsid w:val="006630FF"/>
    <w:rsid w:val="00663230"/>
    <w:rsid w:val="00663388"/>
    <w:rsid w:val="006634F6"/>
    <w:rsid w:val="006635DF"/>
    <w:rsid w:val="0066381E"/>
    <w:rsid w:val="00663E4C"/>
    <w:rsid w:val="00663F96"/>
    <w:rsid w:val="00664A40"/>
    <w:rsid w:val="00665103"/>
    <w:rsid w:val="00665488"/>
    <w:rsid w:val="00665695"/>
    <w:rsid w:val="00665D0C"/>
    <w:rsid w:val="00666B79"/>
    <w:rsid w:val="00667A92"/>
    <w:rsid w:val="00667F19"/>
    <w:rsid w:val="006703CA"/>
    <w:rsid w:val="0067082F"/>
    <w:rsid w:val="006708E7"/>
    <w:rsid w:val="006709FE"/>
    <w:rsid w:val="00671039"/>
    <w:rsid w:val="00671694"/>
    <w:rsid w:val="00671B23"/>
    <w:rsid w:val="00672E0B"/>
    <w:rsid w:val="006733F3"/>
    <w:rsid w:val="00673498"/>
    <w:rsid w:val="006736B7"/>
    <w:rsid w:val="006737AB"/>
    <w:rsid w:val="00674A67"/>
    <w:rsid w:val="00674AA2"/>
    <w:rsid w:val="00674FC1"/>
    <w:rsid w:val="006753D6"/>
    <w:rsid w:val="00675D6B"/>
    <w:rsid w:val="006764B8"/>
    <w:rsid w:val="00676E1A"/>
    <w:rsid w:val="00676FCD"/>
    <w:rsid w:val="00677108"/>
    <w:rsid w:val="00677157"/>
    <w:rsid w:val="00677766"/>
    <w:rsid w:val="006777F3"/>
    <w:rsid w:val="006800F5"/>
    <w:rsid w:val="0068159F"/>
    <w:rsid w:val="00681668"/>
    <w:rsid w:val="006819EA"/>
    <w:rsid w:val="00681A64"/>
    <w:rsid w:val="00681F89"/>
    <w:rsid w:val="0068221B"/>
    <w:rsid w:val="006824EA"/>
    <w:rsid w:val="00682D88"/>
    <w:rsid w:val="0068346F"/>
    <w:rsid w:val="00683B35"/>
    <w:rsid w:val="0068416C"/>
    <w:rsid w:val="006843A4"/>
    <w:rsid w:val="006843E3"/>
    <w:rsid w:val="006844D8"/>
    <w:rsid w:val="00684AC6"/>
    <w:rsid w:val="00684E03"/>
    <w:rsid w:val="006851AC"/>
    <w:rsid w:val="00685481"/>
    <w:rsid w:val="00685663"/>
    <w:rsid w:val="0068575C"/>
    <w:rsid w:val="006857F6"/>
    <w:rsid w:val="00685A6B"/>
    <w:rsid w:val="00685E38"/>
    <w:rsid w:val="00685ED1"/>
    <w:rsid w:val="0068684F"/>
    <w:rsid w:val="006868BF"/>
    <w:rsid w:val="006869D8"/>
    <w:rsid w:val="00687231"/>
    <w:rsid w:val="00687510"/>
    <w:rsid w:val="00687A87"/>
    <w:rsid w:val="00690229"/>
    <w:rsid w:val="00690257"/>
    <w:rsid w:val="00690752"/>
    <w:rsid w:val="00690F6D"/>
    <w:rsid w:val="006919B5"/>
    <w:rsid w:val="006919F6"/>
    <w:rsid w:val="00691AEB"/>
    <w:rsid w:val="00691CE2"/>
    <w:rsid w:val="00691E3B"/>
    <w:rsid w:val="00691FD2"/>
    <w:rsid w:val="00692308"/>
    <w:rsid w:val="00692565"/>
    <w:rsid w:val="00692849"/>
    <w:rsid w:val="006928FF"/>
    <w:rsid w:val="00693692"/>
    <w:rsid w:val="00693755"/>
    <w:rsid w:val="006940C9"/>
    <w:rsid w:val="006946CF"/>
    <w:rsid w:val="0069595D"/>
    <w:rsid w:val="00696200"/>
    <w:rsid w:val="00696291"/>
    <w:rsid w:val="0069634F"/>
    <w:rsid w:val="006966D1"/>
    <w:rsid w:val="00696807"/>
    <w:rsid w:val="00696C26"/>
    <w:rsid w:val="006979F7"/>
    <w:rsid w:val="006A03C1"/>
    <w:rsid w:val="006A0606"/>
    <w:rsid w:val="006A0A8C"/>
    <w:rsid w:val="006A10C0"/>
    <w:rsid w:val="006A1332"/>
    <w:rsid w:val="006A152C"/>
    <w:rsid w:val="006A1662"/>
    <w:rsid w:val="006A16E7"/>
    <w:rsid w:val="006A19A1"/>
    <w:rsid w:val="006A1BA5"/>
    <w:rsid w:val="006A1D64"/>
    <w:rsid w:val="006A1F2F"/>
    <w:rsid w:val="006A20F4"/>
    <w:rsid w:val="006A22ED"/>
    <w:rsid w:val="006A26E4"/>
    <w:rsid w:val="006A2809"/>
    <w:rsid w:val="006A2854"/>
    <w:rsid w:val="006A35E7"/>
    <w:rsid w:val="006A4234"/>
    <w:rsid w:val="006A47B5"/>
    <w:rsid w:val="006A4830"/>
    <w:rsid w:val="006A48F4"/>
    <w:rsid w:val="006A4F8A"/>
    <w:rsid w:val="006A5449"/>
    <w:rsid w:val="006A57BC"/>
    <w:rsid w:val="006A5A37"/>
    <w:rsid w:val="006A5AE8"/>
    <w:rsid w:val="006A5B51"/>
    <w:rsid w:val="006A6127"/>
    <w:rsid w:val="006A61C5"/>
    <w:rsid w:val="006A6767"/>
    <w:rsid w:val="006A6863"/>
    <w:rsid w:val="006A6CFF"/>
    <w:rsid w:val="006A75BA"/>
    <w:rsid w:val="006A7692"/>
    <w:rsid w:val="006A7DA4"/>
    <w:rsid w:val="006B0031"/>
    <w:rsid w:val="006B0097"/>
    <w:rsid w:val="006B1865"/>
    <w:rsid w:val="006B205B"/>
    <w:rsid w:val="006B2901"/>
    <w:rsid w:val="006B2926"/>
    <w:rsid w:val="006B2D19"/>
    <w:rsid w:val="006B30AC"/>
    <w:rsid w:val="006B32E5"/>
    <w:rsid w:val="006B3718"/>
    <w:rsid w:val="006B3902"/>
    <w:rsid w:val="006B3A33"/>
    <w:rsid w:val="006B466F"/>
    <w:rsid w:val="006B47B2"/>
    <w:rsid w:val="006B4928"/>
    <w:rsid w:val="006B492F"/>
    <w:rsid w:val="006B4B6C"/>
    <w:rsid w:val="006B4D84"/>
    <w:rsid w:val="006B4F04"/>
    <w:rsid w:val="006B4FC6"/>
    <w:rsid w:val="006B5BFF"/>
    <w:rsid w:val="006B686E"/>
    <w:rsid w:val="006B6F6C"/>
    <w:rsid w:val="006B78D6"/>
    <w:rsid w:val="006B7B0B"/>
    <w:rsid w:val="006B7FB6"/>
    <w:rsid w:val="006C00F0"/>
    <w:rsid w:val="006C0568"/>
    <w:rsid w:val="006C0A8A"/>
    <w:rsid w:val="006C0EC7"/>
    <w:rsid w:val="006C1174"/>
    <w:rsid w:val="006C1292"/>
    <w:rsid w:val="006C1426"/>
    <w:rsid w:val="006C148F"/>
    <w:rsid w:val="006C1A11"/>
    <w:rsid w:val="006C1D95"/>
    <w:rsid w:val="006C2002"/>
    <w:rsid w:val="006C22AB"/>
    <w:rsid w:val="006C2513"/>
    <w:rsid w:val="006C2691"/>
    <w:rsid w:val="006C28A7"/>
    <w:rsid w:val="006C484D"/>
    <w:rsid w:val="006C5009"/>
    <w:rsid w:val="006C50EE"/>
    <w:rsid w:val="006C5486"/>
    <w:rsid w:val="006C59A0"/>
    <w:rsid w:val="006C6065"/>
    <w:rsid w:val="006C6432"/>
    <w:rsid w:val="006C646A"/>
    <w:rsid w:val="006C6733"/>
    <w:rsid w:val="006C7493"/>
    <w:rsid w:val="006C7571"/>
    <w:rsid w:val="006C7689"/>
    <w:rsid w:val="006C774D"/>
    <w:rsid w:val="006C7B7E"/>
    <w:rsid w:val="006C7D6E"/>
    <w:rsid w:val="006C7D72"/>
    <w:rsid w:val="006D0C92"/>
    <w:rsid w:val="006D19B9"/>
    <w:rsid w:val="006D1DDC"/>
    <w:rsid w:val="006D1FB1"/>
    <w:rsid w:val="006D22CF"/>
    <w:rsid w:val="006D2895"/>
    <w:rsid w:val="006D2A87"/>
    <w:rsid w:val="006D2F3F"/>
    <w:rsid w:val="006D3216"/>
    <w:rsid w:val="006D38FF"/>
    <w:rsid w:val="006D44AC"/>
    <w:rsid w:val="006D4879"/>
    <w:rsid w:val="006D4DA1"/>
    <w:rsid w:val="006D52AE"/>
    <w:rsid w:val="006D560E"/>
    <w:rsid w:val="006D5F60"/>
    <w:rsid w:val="006D61C4"/>
    <w:rsid w:val="006D66AD"/>
    <w:rsid w:val="006D6A2E"/>
    <w:rsid w:val="006D6F93"/>
    <w:rsid w:val="006D7DF4"/>
    <w:rsid w:val="006D7EDB"/>
    <w:rsid w:val="006E0745"/>
    <w:rsid w:val="006E07D8"/>
    <w:rsid w:val="006E095A"/>
    <w:rsid w:val="006E0A7A"/>
    <w:rsid w:val="006E1169"/>
    <w:rsid w:val="006E16CD"/>
    <w:rsid w:val="006E1F0A"/>
    <w:rsid w:val="006E2099"/>
    <w:rsid w:val="006E24B9"/>
    <w:rsid w:val="006E283C"/>
    <w:rsid w:val="006E2F05"/>
    <w:rsid w:val="006E2F6A"/>
    <w:rsid w:val="006E3843"/>
    <w:rsid w:val="006E3C05"/>
    <w:rsid w:val="006E3C98"/>
    <w:rsid w:val="006E3F7D"/>
    <w:rsid w:val="006E413E"/>
    <w:rsid w:val="006E4713"/>
    <w:rsid w:val="006E4996"/>
    <w:rsid w:val="006E5659"/>
    <w:rsid w:val="006E5701"/>
    <w:rsid w:val="006E605C"/>
    <w:rsid w:val="006E61D0"/>
    <w:rsid w:val="006E6604"/>
    <w:rsid w:val="006E6AFD"/>
    <w:rsid w:val="006E6C44"/>
    <w:rsid w:val="006E6CAF"/>
    <w:rsid w:val="006E70D9"/>
    <w:rsid w:val="006F01A4"/>
    <w:rsid w:val="006F0AFA"/>
    <w:rsid w:val="006F0B2C"/>
    <w:rsid w:val="006F0DFC"/>
    <w:rsid w:val="006F2114"/>
    <w:rsid w:val="006F2B5D"/>
    <w:rsid w:val="006F3055"/>
    <w:rsid w:val="006F34DD"/>
    <w:rsid w:val="006F3BBB"/>
    <w:rsid w:val="006F3E3E"/>
    <w:rsid w:val="006F3F26"/>
    <w:rsid w:val="006F4298"/>
    <w:rsid w:val="006F449D"/>
    <w:rsid w:val="006F4751"/>
    <w:rsid w:val="006F48BC"/>
    <w:rsid w:val="006F49C9"/>
    <w:rsid w:val="006F4DF6"/>
    <w:rsid w:val="006F561F"/>
    <w:rsid w:val="006F59C0"/>
    <w:rsid w:val="006F5A93"/>
    <w:rsid w:val="006F5B65"/>
    <w:rsid w:val="006F5EE2"/>
    <w:rsid w:val="006F5F4F"/>
    <w:rsid w:val="006F608C"/>
    <w:rsid w:val="006F655D"/>
    <w:rsid w:val="006F699E"/>
    <w:rsid w:val="006F6E10"/>
    <w:rsid w:val="006F6F10"/>
    <w:rsid w:val="006F75DD"/>
    <w:rsid w:val="006F7B41"/>
    <w:rsid w:val="006F7B5E"/>
    <w:rsid w:val="006F7FFD"/>
    <w:rsid w:val="0070090D"/>
    <w:rsid w:val="00701310"/>
    <w:rsid w:val="007013FA"/>
    <w:rsid w:val="0070141E"/>
    <w:rsid w:val="00701A03"/>
    <w:rsid w:val="00701A64"/>
    <w:rsid w:val="00701BD7"/>
    <w:rsid w:val="00701DCB"/>
    <w:rsid w:val="00702076"/>
    <w:rsid w:val="007020ED"/>
    <w:rsid w:val="00702D07"/>
    <w:rsid w:val="0070325B"/>
    <w:rsid w:val="007035D6"/>
    <w:rsid w:val="00704074"/>
    <w:rsid w:val="00704222"/>
    <w:rsid w:val="007043C4"/>
    <w:rsid w:val="00704769"/>
    <w:rsid w:val="00704DBB"/>
    <w:rsid w:val="00704F72"/>
    <w:rsid w:val="00705767"/>
    <w:rsid w:val="007062EA"/>
    <w:rsid w:val="00706322"/>
    <w:rsid w:val="00706893"/>
    <w:rsid w:val="00706B2F"/>
    <w:rsid w:val="00706D03"/>
    <w:rsid w:val="007074A6"/>
    <w:rsid w:val="00707CBD"/>
    <w:rsid w:val="0071029B"/>
    <w:rsid w:val="0071044D"/>
    <w:rsid w:val="00710981"/>
    <w:rsid w:val="00710A51"/>
    <w:rsid w:val="00710A5A"/>
    <w:rsid w:val="00710FFD"/>
    <w:rsid w:val="00711065"/>
    <w:rsid w:val="00711AD2"/>
    <w:rsid w:val="00711D6C"/>
    <w:rsid w:val="00712CE4"/>
    <w:rsid w:val="0071325C"/>
    <w:rsid w:val="0071491E"/>
    <w:rsid w:val="007149AD"/>
    <w:rsid w:val="00714F01"/>
    <w:rsid w:val="00714F79"/>
    <w:rsid w:val="007150EC"/>
    <w:rsid w:val="007151CA"/>
    <w:rsid w:val="00715319"/>
    <w:rsid w:val="00715727"/>
    <w:rsid w:val="0071579E"/>
    <w:rsid w:val="00715EFD"/>
    <w:rsid w:val="0071701E"/>
    <w:rsid w:val="0071737E"/>
    <w:rsid w:val="007177C7"/>
    <w:rsid w:val="00717914"/>
    <w:rsid w:val="00717C8D"/>
    <w:rsid w:val="00717DC4"/>
    <w:rsid w:val="00717E4E"/>
    <w:rsid w:val="00720377"/>
    <w:rsid w:val="007203E0"/>
    <w:rsid w:val="00720840"/>
    <w:rsid w:val="00721683"/>
    <w:rsid w:val="007219F6"/>
    <w:rsid w:val="007222AE"/>
    <w:rsid w:val="0072279D"/>
    <w:rsid w:val="0072289E"/>
    <w:rsid w:val="00723146"/>
    <w:rsid w:val="0072348A"/>
    <w:rsid w:val="0072379B"/>
    <w:rsid w:val="00723AF1"/>
    <w:rsid w:val="00724144"/>
    <w:rsid w:val="0072502B"/>
    <w:rsid w:val="0072543C"/>
    <w:rsid w:val="007254FB"/>
    <w:rsid w:val="00725AFB"/>
    <w:rsid w:val="00725E4F"/>
    <w:rsid w:val="007263B0"/>
    <w:rsid w:val="00726524"/>
    <w:rsid w:val="0072687C"/>
    <w:rsid w:val="00726AFE"/>
    <w:rsid w:val="00726B81"/>
    <w:rsid w:val="00726FF0"/>
    <w:rsid w:val="0072785D"/>
    <w:rsid w:val="00727A0D"/>
    <w:rsid w:val="00727EC2"/>
    <w:rsid w:val="00727EF5"/>
    <w:rsid w:val="00730613"/>
    <w:rsid w:val="00730829"/>
    <w:rsid w:val="00730B35"/>
    <w:rsid w:val="00730FCF"/>
    <w:rsid w:val="0073107A"/>
    <w:rsid w:val="007311ED"/>
    <w:rsid w:val="00731233"/>
    <w:rsid w:val="00731535"/>
    <w:rsid w:val="00731B63"/>
    <w:rsid w:val="00732160"/>
    <w:rsid w:val="00732387"/>
    <w:rsid w:val="00732406"/>
    <w:rsid w:val="00732811"/>
    <w:rsid w:val="007329C9"/>
    <w:rsid w:val="00732E63"/>
    <w:rsid w:val="00732F48"/>
    <w:rsid w:val="00732F93"/>
    <w:rsid w:val="00733280"/>
    <w:rsid w:val="00733690"/>
    <w:rsid w:val="00733AFD"/>
    <w:rsid w:val="00733C8A"/>
    <w:rsid w:val="00733D4D"/>
    <w:rsid w:val="00733F8A"/>
    <w:rsid w:val="00734AF3"/>
    <w:rsid w:val="00734C6E"/>
    <w:rsid w:val="00734F72"/>
    <w:rsid w:val="00735206"/>
    <w:rsid w:val="00735378"/>
    <w:rsid w:val="007353EF"/>
    <w:rsid w:val="0073552C"/>
    <w:rsid w:val="00735715"/>
    <w:rsid w:val="00735DC4"/>
    <w:rsid w:val="00736456"/>
    <w:rsid w:val="00737436"/>
    <w:rsid w:val="0073796C"/>
    <w:rsid w:val="0073797E"/>
    <w:rsid w:val="00737A7F"/>
    <w:rsid w:val="00737AF8"/>
    <w:rsid w:val="00737E9B"/>
    <w:rsid w:val="007402DC"/>
    <w:rsid w:val="0074034B"/>
    <w:rsid w:val="007405DA"/>
    <w:rsid w:val="00740FDC"/>
    <w:rsid w:val="00741019"/>
    <w:rsid w:val="0074105D"/>
    <w:rsid w:val="007412C3"/>
    <w:rsid w:val="0074136D"/>
    <w:rsid w:val="00741392"/>
    <w:rsid w:val="007414B3"/>
    <w:rsid w:val="00741758"/>
    <w:rsid w:val="007425F4"/>
    <w:rsid w:val="00742A3F"/>
    <w:rsid w:val="00743054"/>
    <w:rsid w:val="0074318E"/>
    <w:rsid w:val="00743280"/>
    <w:rsid w:val="007432CD"/>
    <w:rsid w:val="007437E1"/>
    <w:rsid w:val="00743A8E"/>
    <w:rsid w:val="00743D4E"/>
    <w:rsid w:val="00743E84"/>
    <w:rsid w:val="0074486B"/>
    <w:rsid w:val="00744899"/>
    <w:rsid w:val="00744EC8"/>
    <w:rsid w:val="007451D3"/>
    <w:rsid w:val="0074557A"/>
    <w:rsid w:val="00745697"/>
    <w:rsid w:val="00745793"/>
    <w:rsid w:val="00745B73"/>
    <w:rsid w:val="00746C05"/>
    <w:rsid w:val="00746F0D"/>
    <w:rsid w:val="00746F55"/>
    <w:rsid w:val="00747070"/>
    <w:rsid w:val="007474FE"/>
    <w:rsid w:val="00747639"/>
    <w:rsid w:val="00747C9C"/>
    <w:rsid w:val="00747EBB"/>
    <w:rsid w:val="007500DF"/>
    <w:rsid w:val="0075064B"/>
    <w:rsid w:val="00750839"/>
    <w:rsid w:val="00750852"/>
    <w:rsid w:val="0075089B"/>
    <w:rsid w:val="00750D26"/>
    <w:rsid w:val="00751539"/>
    <w:rsid w:val="00751558"/>
    <w:rsid w:val="007518CD"/>
    <w:rsid w:val="00751945"/>
    <w:rsid w:val="00751F84"/>
    <w:rsid w:val="007522DB"/>
    <w:rsid w:val="007523AA"/>
    <w:rsid w:val="00752F0D"/>
    <w:rsid w:val="007534E9"/>
    <w:rsid w:val="00753873"/>
    <w:rsid w:val="00753B33"/>
    <w:rsid w:val="00753E9B"/>
    <w:rsid w:val="00754208"/>
    <w:rsid w:val="00754269"/>
    <w:rsid w:val="007545FA"/>
    <w:rsid w:val="0075483A"/>
    <w:rsid w:val="0075511B"/>
    <w:rsid w:val="007557F1"/>
    <w:rsid w:val="00755B7F"/>
    <w:rsid w:val="00755C6E"/>
    <w:rsid w:val="00755CB1"/>
    <w:rsid w:val="0075693F"/>
    <w:rsid w:val="00757801"/>
    <w:rsid w:val="00757B85"/>
    <w:rsid w:val="00757DCA"/>
    <w:rsid w:val="00757DD4"/>
    <w:rsid w:val="00760051"/>
    <w:rsid w:val="0076034F"/>
    <w:rsid w:val="00760D0C"/>
    <w:rsid w:val="00761920"/>
    <w:rsid w:val="00761C39"/>
    <w:rsid w:val="007624B6"/>
    <w:rsid w:val="00762F1C"/>
    <w:rsid w:val="00763938"/>
    <w:rsid w:val="007639E1"/>
    <w:rsid w:val="00763ACB"/>
    <w:rsid w:val="00763F52"/>
    <w:rsid w:val="00764022"/>
    <w:rsid w:val="007645F9"/>
    <w:rsid w:val="00764631"/>
    <w:rsid w:val="00765249"/>
    <w:rsid w:val="00765367"/>
    <w:rsid w:val="007653EA"/>
    <w:rsid w:val="00765753"/>
    <w:rsid w:val="007658BB"/>
    <w:rsid w:val="007668B5"/>
    <w:rsid w:val="00767965"/>
    <w:rsid w:val="00767BC0"/>
    <w:rsid w:val="00767BFF"/>
    <w:rsid w:val="007706D5"/>
    <w:rsid w:val="00770789"/>
    <w:rsid w:val="007709E8"/>
    <w:rsid w:val="00770CD7"/>
    <w:rsid w:val="00770F4B"/>
    <w:rsid w:val="007713A7"/>
    <w:rsid w:val="007714F5"/>
    <w:rsid w:val="00771853"/>
    <w:rsid w:val="00771E7A"/>
    <w:rsid w:val="00772109"/>
    <w:rsid w:val="00772426"/>
    <w:rsid w:val="007727CE"/>
    <w:rsid w:val="00772EBA"/>
    <w:rsid w:val="007734DC"/>
    <w:rsid w:val="007736C1"/>
    <w:rsid w:val="007741F1"/>
    <w:rsid w:val="0077452C"/>
    <w:rsid w:val="00774957"/>
    <w:rsid w:val="00774F8B"/>
    <w:rsid w:val="0077506F"/>
    <w:rsid w:val="007751E8"/>
    <w:rsid w:val="00775C07"/>
    <w:rsid w:val="00776047"/>
    <w:rsid w:val="0077616D"/>
    <w:rsid w:val="007764BC"/>
    <w:rsid w:val="00776888"/>
    <w:rsid w:val="00776ED4"/>
    <w:rsid w:val="00777128"/>
    <w:rsid w:val="00777517"/>
    <w:rsid w:val="00777920"/>
    <w:rsid w:val="00777A88"/>
    <w:rsid w:val="00780792"/>
    <w:rsid w:val="00780CBE"/>
    <w:rsid w:val="00780DC6"/>
    <w:rsid w:val="00780E41"/>
    <w:rsid w:val="00781BD8"/>
    <w:rsid w:val="00781DA5"/>
    <w:rsid w:val="007821CA"/>
    <w:rsid w:val="00782447"/>
    <w:rsid w:val="0078274B"/>
    <w:rsid w:val="0078289D"/>
    <w:rsid w:val="0078298F"/>
    <w:rsid w:val="00782FDE"/>
    <w:rsid w:val="00784573"/>
    <w:rsid w:val="00784D7F"/>
    <w:rsid w:val="00784F38"/>
    <w:rsid w:val="00785701"/>
    <w:rsid w:val="00785AD0"/>
    <w:rsid w:val="007861F8"/>
    <w:rsid w:val="007864EC"/>
    <w:rsid w:val="00787190"/>
    <w:rsid w:val="0078721E"/>
    <w:rsid w:val="00787642"/>
    <w:rsid w:val="0078765F"/>
    <w:rsid w:val="00787C5F"/>
    <w:rsid w:val="00787F67"/>
    <w:rsid w:val="007900D8"/>
    <w:rsid w:val="00790EAE"/>
    <w:rsid w:val="007919B3"/>
    <w:rsid w:val="00791A3A"/>
    <w:rsid w:val="00791AC4"/>
    <w:rsid w:val="00791EB0"/>
    <w:rsid w:val="007920A9"/>
    <w:rsid w:val="007920EF"/>
    <w:rsid w:val="00792AE8"/>
    <w:rsid w:val="00792D8B"/>
    <w:rsid w:val="0079345E"/>
    <w:rsid w:val="0079356B"/>
    <w:rsid w:val="00793884"/>
    <w:rsid w:val="00793ADB"/>
    <w:rsid w:val="00795800"/>
    <w:rsid w:val="00795A37"/>
    <w:rsid w:val="007968F8"/>
    <w:rsid w:val="00796C3F"/>
    <w:rsid w:val="0079716E"/>
    <w:rsid w:val="00797882"/>
    <w:rsid w:val="007979DB"/>
    <w:rsid w:val="00797DF4"/>
    <w:rsid w:val="00797FFB"/>
    <w:rsid w:val="007A03C4"/>
    <w:rsid w:val="007A0634"/>
    <w:rsid w:val="007A0A0C"/>
    <w:rsid w:val="007A0C8F"/>
    <w:rsid w:val="007A1250"/>
    <w:rsid w:val="007A1E11"/>
    <w:rsid w:val="007A2152"/>
    <w:rsid w:val="007A22E4"/>
    <w:rsid w:val="007A27BE"/>
    <w:rsid w:val="007A35A8"/>
    <w:rsid w:val="007A36E3"/>
    <w:rsid w:val="007A41F2"/>
    <w:rsid w:val="007A43E3"/>
    <w:rsid w:val="007A6209"/>
    <w:rsid w:val="007A680F"/>
    <w:rsid w:val="007A6D32"/>
    <w:rsid w:val="007A7140"/>
    <w:rsid w:val="007A71EE"/>
    <w:rsid w:val="007A761A"/>
    <w:rsid w:val="007A7B6B"/>
    <w:rsid w:val="007A7EBB"/>
    <w:rsid w:val="007A7FFC"/>
    <w:rsid w:val="007B12B4"/>
    <w:rsid w:val="007B14C0"/>
    <w:rsid w:val="007B14C7"/>
    <w:rsid w:val="007B192E"/>
    <w:rsid w:val="007B1D9A"/>
    <w:rsid w:val="007B1FD9"/>
    <w:rsid w:val="007B24D9"/>
    <w:rsid w:val="007B2988"/>
    <w:rsid w:val="007B29F3"/>
    <w:rsid w:val="007B2C98"/>
    <w:rsid w:val="007B2DA8"/>
    <w:rsid w:val="007B30E2"/>
    <w:rsid w:val="007B3BFC"/>
    <w:rsid w:val="007B3E70"/>
    <w:rsid w:val="007B47F1"/>
    <w:rsid w:val="007B50A6"/>
    <w:rsid w:val="007B51E1"/>
    <w:rsid w:val="007B5673"/>
    <w:rsid w:val="007B58BC"/>
    <w:rsid w:val="007B5A0C"/>
    <w:rsid w:val="007B5C89"/>
    <w:rsid w:val="007B606A"/>
    <w:rsid w:val="007B652F"/>
    <w:rsid w:val="007B6623"/>
    <w:rsid w:val="007B6E98"/>
    <w:rsid w:val="007B7413"/>
    <w:rsid w:val="007B7828"/>
    <w:rsid w:val="007B7FD3"/>
    <w:rsid w:val="007C0142"/>
    <w:rsid w:val="007C03BC"/>
    <w:rsid w:val="007C0AE2"/>
    <w:rsid w:val="007C0D96"/>
    <w:rsid w:val="007C0DA7"/>
    <w:rsid w:val="007C0ECF"/>
    <w:rsid w:val="007C1B57"/>
    <w:rsid w:val="007C242D"/>
    <w:rsid w:val="007C2651"/>
    <w:rsid w:val="007C2769"/>
    <w:rsid w:val="007C2B6E"/>
    <w:rsid w:val="007C2C43"/>
    <w:rsid w:val="007C2EC2"/>
    <w:rsid w:val="007C2FDE"/>
    <w:rsid w:val="007C354E"/>
    <w:rsid w:val="007C3898"/>
    <w:rsid w:val="007C4123"/>
    <w:rsid w:val="007C42F2"/>
    <w:rsid w:val="007C42F9"/>
    <w:rsid w:val="007C4D03"/>
    <w:rsid w:val="007C4F17"/>
    <w:rsid w:val="007C54F6"/>
    <w:rsid w:val="007C5E88"/>
    <w:rsid w:val="007C69A1"/>
    <w:rsid w:val="007C6BFF"/>
    <w:rsid w:val="007C7766"/>
    <w:rsid w:val="007C77F2"/>
    <w:rsid w:val="007C7805"/>
    <w:rsid w:val="007C7AA1"/>
    <w:rsid w:val="007D0F31"/>
    <w:rsid w:val="007D150E"/>
    <w:rsid w:val="007D1538"/>
    <w:rsid w:val="007D169B"/>
    <w:rsid w:val="007D1B88"/>
    <w:rsid w:val="007D1F81"/>
    <w:rsid w:val="007D2F55"/>
    <w:rsid w:val="007D3008"/>
    <w:rsid w:val="007D3843"/>
    <w:rsid w:val="007D3A96"/>
    <w:rsid w:val="007D3AC8"/>
    <w:rsid w:val="007D3AFF"/>
    <w:rsid w:val="007D3D70"/>
    <w:rsid w:val="007D43C4"/>
    <w:rsid w:val="007D4819"/>
    <w:rsid w:val="007D51FF"/>
    <w:rsid w:val="007D5C8F"/>
    <w:rsid w:val="007D6371"/>
    <w:rsid w:val="007D6439"/>
    <w:rsid w:val="007D6C66"/>
    <w:rsid w:val="007D7E0F"/>
    <w:rsid w:val="007E0136"/>
    <w:rsid w:val="007E0476"/>
    <w:rsid w:val="007E057F"/>
    <w:rsid w:val="007E06D4"/>
    <w:rsid w:val="007E0CE3"/>
    <w:rsid w:val="007E0D8C"/>
    <w:rsid w:val="007E10CF"/>
    <w:rsid w:val="007E13E7"/>
    <w:rsid w:val="007E1E8A"/>
    <w:rsid w:val="007E1E8E"/>
    <w:rsid w:val="007E1ED4"/>
    <w:rsid w:val="007E21ED"/>
    <w:rsid w:val="007E2265"/>
    <w:rsid w:val="007E22A1"/>
    <w:rsid w:val="007E2495"/>
    <w:rsid w:val="007E2541"/>
    <w:rsid w:val="007E25EF"/>
    <w:rsid w:val="007E268C"/>
    <w:rsid w:val="007E26E7"/>
    <w:rsid w:val="007E2C09"/>
    <w:rsid w:val="007E2CC3"/>
    <w:rsid w:val="007E337F"/>
    <w:rsid w:val="007E3A99"/>
    <w:rsid w:val="007E3EB6"/>
    <w:rsid w:val="007E42ED"/>
    <w:rsid w:val="007E4F93"/>
    <w:rsid w:val="007E51CB"/>
    <w:rsid w:val="007E63E6"/>
    <w:rsid w:val="007E71A1"/>
    <w:rsid w:val="007E75D6"/>
    <w:rsid w:val="007E78A8"/>
    <w:rsid w:val="007E7923"/>
    <w:rsid w:val="007E7B68"/>
    <w:rsid w:val="007F00EE"/>
    <w:rsid w:val="007F0163"/>
    <w:rsid w:val="007F0204"/>
    <w:rsid w:val="007F025E"/>
    <w:rsid w:val="007F0290"/>
    <w:rsid w:val="007F06C1"/>
    <w:rsid w:val="007F06CA"/>
    <w:rsid w:val="007F0D06"/>
    <w:rsid w:val="007F16E4"/>
    <w:rsid w:val="007F193B"/>
    <w:rsid w:val="007F1D84"/>
    <w:rsid w:val="007F213A"/>
    <w:rsid w:val="007F213C"/>
    <w:rsid w:val="007F22B6"/>
    <w:rsid w:val="007F25A1"/>
    <w:rsid w:val="007F25FB"/>
    <w:rsid w:val="007F2660"/>
    <w:rsid w:val="007F31AC"/>
    <w:rsid w:val="007F3457"/>
    <w:rsid w:val="007F3554"/>
    <w:rsid w:val="007F35B6"/>
    <w:rsid w:val="007F3823"/>
    <w:rsid w:val="007F3982"/>
    <w:rsid w:val="007F4547"/>
    <w:rsid w:val="007F4565"/>
    <w:rsid w:val="007F5389"/>
    <w:rsid w:val="007F56ED"/>
    <w:rsid w:val="007F5BE2"/>
    <w:rsid w:val="007F5CAD"/>
    <w:rsid w:val="007F689E"/>
    <w:rsid w:val="007F7DBF"/>
    <w:rsid w:val="00800063"/>
    <w:rsid w:val="00800733"/>
    <w:rsid w:val="008008B2"/>
    <w:rsid w:val="00800BB4"/>
    <w:rsid w:val="00801078"/>
    <w:rsid w:val="008014F8"/>
    <w:rsid w:val="00801B31"/>
    <w:rsid w:val="00802C15"/>
    <w:rsid w:val="0080309C"/>
    <w:rsid w:val="00803A69"/>
    <w:rsid w:val="00803C87"/>
    <w:rsid w:val="00803CCB"/>
    <w:rsid w:val="00804470"/>
    <w:rsid w:val="0080490D"/>
    <w:rsid w:val="00804BFB"/>
    <w:rsid w:val="00804C74"/>
    <w:rsid w:val="008050B3"/>
    <w:rsid w:val="0080537B"/>
    <w:rsid w:val="00805860"/>
    <w:rsid w:val="00806198"/>
    <w:rsid w:val="00806396"/>
    <w:rsid w:val="0080658A"/>
    <w:rsid w:val="00806794"/>
    <w:rsid w:val="008068A0"/>
    <w:rsid w:val="008069C9"/>
    <w:rsid w:val="00806DA2"/>
    <w:rsid w:val="00806EB5"/>
    <w:rsid w:val="00807437"/>
    <w:rsid w:val="008077D1"/>
    <w:rsid w:val="008078F3"/>
    <w:rsid w:val="008079D5"/>
    <w:rsid w:val="00807A6C"/>
    <w:rsid w:val="00807E4B"/>
    <w:rsid w:val="00810199"/>
    <w:rsid w:val="008101EC"/>
    <w:rsid w:val="00810565"/>
    <w:rsid w:val="0081095E"/>
    <w:rsid w:val="008113BA"/>
    <w:rsid w:val="0081171D"/>
    <w:rsid w:val="00811F04"/>
    <w:rsid w:val="00811FB2"/>
    <w:rsid w:val="00812A46"/>
    <w:rsid w:val="00812B3B"/>
    <w:rsid w:val="00813B63"/>
    <w:rsid w:val="00813C52"/>
    <w:rsid w:val="00813F0A"/>
    <w:rsid w:val="00813FCA"/>
    <w:rsid w:val="00814286"/>
    <w:rsid w:val="0081436A"/>
    <w:rsid w:val="00814499"/>
    <w:rsid w:val="008148B2"/>
    <w:rsid w:val="0081497C"/>
    <w:rsid w:val="008150DB"/>
    <w:rsid w:val="00815221"/>
    <w:rsid w:val="00815559"/>
    <w:rsid w:val="00815A24"/>
    <w:rsid w:val="00815B1C"/>
    <w:rsid w:val="008168DE"/>
    <w:rsid w:val="00817072"/>
    <w:rsid w:val="00817169"/>
    <w:rsid w:val="00817228"/>
    <w:rsid w:val="008176AE"/>
    <w:rsid w:val="008176F9"/>
    <w:rsid w:val="00817824"/>
    <w:rsid w:val="00820041"/>
    <w:rsid w:val="00820264"/>
    <w:rsid w:val="008206BC"/>
    <w:rsid w:val="00820FB1"/>
    <w:rsid w:val="00821024"/>
    <w:rsid w:val="008214FB"/>
    <w:rsid w:val="00821D57"/>
    <w:rsid w:val="008221B6"/>
    <w:rsid w:val="008229D9"/>
    <w:rsid w:val="00823226"/>
    <w:rsid w:val="00823A5D"/>
    <w:rsid w:val="00823A8B"/>
    <w:rsid w:val="00824117"/>
    <w:rsid w:val="008241D9"/>
    <w:rsid w:val="0082423B"/>
    <w:rsid w:val="0082429A"/>
    <w:rsid w:val="00824301"/>
    <w:rsid w:val="00824B24"/>
    <w:rsid w:val="00824E39"/>
    <w:rsid w:val="00825179"/>
    <w:rsid w:val="0082537B"/>
    <w:rsid w:val="00825429"/>
    <w:rsid w:val="008255A4"/>
    <w:rsid w:val="00825968"/>
    <w:rsid w:val="0082621A"/>
    <w:rsid w:val="0082644F"/>
    <w:rsid w:val="00826B9B"/>
    <w:rsid w:val="00826F03"/>
    <w:rsid w:val="00827B2D"/>
    <w:rsid w:val="008301B2"/>
    <w:rsid w:val="0083027F"/>
    <w:rsid w:val="008307D3"/>
    <w:rsid w:val="008309CF"/>
    <w:rsid w:val="00830DBE"/>
    <w:rsid w:val="008317DB"/>
    <w:rsid w:val="00831D82"/>
    <w:rsid w:val="00831E4D"/>
    <w:rsid w:val="00832300"/>
    <w:rsid w:val="0083236E"/>
    <w:rsid w:val="00833258"/>
    <w:rsid w:val="00833A73"/>
    <w:rsid w:val="008340BB"/>
    <w:rsid w:val="008340BF"/>
    <w:rsid w:val="0083437E"/>
    <w:rsid w:val="00834382"/>
    <w:rsid w:val="008346BB"/>
    <w:rsid w:val="0083680A"/>
    <w:rsid w:val="008368E6"/>
    <w:rsid w:val="008369E1"/>
    <w:rsid w:val="00836AE9"/>
    <w:rsid w:val="008370D9"/>
    <w:rsid w:val="0083748E"/>
    <w:rsid w:val="00837CA3"/>
    <w:rsid w:val="00840F64"/>
    <w:rsid w:val="008414D1"/>
    <w:rsid w:val="008419C4"/>
    <w:rsid w:val="00842360"/>
    <w:rsid w:val="008429B2"/>
    <w:rsid w:val="008429D7"/>
    <w:rsid w:val="00842CCE"/>
    <w:rsid w:val="008431AA"/>
    <w:rsid w:val="008439D6"/>
    <w:rsid w:val="00844DCB"/>
    <w:rsid w:val="0084549B"/>
    <w:rsid w:val="00845718"/>
    <w:rsid w:val="00845BF0"/>
    <w:rsid w:val="0084606A"/>
    <w:rsid w:val="008460F4"/>
    <w:rsid w:val="00846125"/>
    <w:rsid w:val="008467DA"/>
    <w:rsid w:val="0084757E"/>
    <w:rsid w:val="00847C98"/>
    <w:rsid w:val="00847F67"/>
    <w:rsid w:val="00850186"/>
    <w:rsid w:val="008503F8"/>
    <w:rsid w:val="00850B56"/>
    <w:rsid w:val="00850ED7"/>
    <w:rsid w:val="008511FE"/>
    <w:rsid w:val="008513BC"/>
    <w:rsid w:val="008519E5"/>
    <w:rsid w:val="00851F31"/>
    <w:rsid w:val="00851F78"/>
    <w:rsid w:val="00852299"/>
    <w:rsid w:val="00852347"/>
    <w:rsid w:val="0085247A"/>
    <w:rsid w:val="00852B8C"/>
    <w:rsid w:val="00852BB0"/>
    <w:rsid w:val="00853139"/>
    <w:rsid w:val="008533A3"/>
    <w:rsid w:val="00853899"/>
    <w:rsid w:val="0085421E"/>
    <w:rsid w:val="00854479"/>
    <w:rsid w:val="0085468C"/>
    <w:rsid w:val="00854B3C"/>
    <w:rsid w:val="00855057"/>
    <w:rsid w:val="00855123"/>
    <w:rsid w:val="0085546D"/>
    <w:rsid w:val="008554EF"/>
    <w:rsid w:val="0085599D"/>
    <w:rsid w:val="00855B43"/>
    <w:rsid w:val="00855C07"/>
    <w:rsid w:val="00856870"/>
    <w:rsid w:val="00856D8A"/>
    <w:rsid w:val="00857227"/>
    <w:rsid w:val="00857350"/>
    <w:rsid w:val="00857707"/>
    <w:rsid w:val="00857A3B"/>
    <w:rsid w:val="00857D89"/>
    <w:rsid w:val="00857F44"/>
    <w:rsid w:val="00860583"/>
    <w:rsid w:val="00860D45"/>
    <w:rsid w:val="00860D50"/>
    <w:rsid w:val="00860DBA"/>
    <w:rsid w:val="008613B3"/>
    <w:rsid w:val="0086160D"/>
    <w:rsid w:val="00861BD5"/>
    <w:rsid w:val="00861EE4"/>
    <w:rsid w:val="00862021"/>
    <w:rsid w:val="008621A1"/>
    <w:rsid w:val="008627AF"/>
    <w:rsid w:val="008635CA"/>
    <w:rsid w:val="00863D37"/>
    <w:rsid w:val="008643D7"/>
    <w:rsid w:val="00864BC8"/>
    <w:rsid w:val="00865C5D"/>
    <w:rsid w:val="00865DA5"/>
    <w:rsid w:val="00866054"/>
    <w:rsid w:val="0086634A"/>
    <w:rsid w:val="008667CE"/>
    <w:rsid w:val="00866CD5"/>
    <w:rsid w:val="00866FC9"/>
    <w:rsid w:val="00867297"/>
    <w:rsid w:val="008673F8"/>
    <w:rsid w:val="008674DE"/>
    <w:rsid w:val="008676BB"/>
    <w:rsid w:val="00867BE8"/>
    <w:rsid w:val="00867D73"/>
    <w:rsid w:val="00867DCC"/>
    <w:rsid w:val="0087024A"/>
    <w:rsid w:val="008702BB"/>
    <w:rsid w:val="00870399"/>
    <w:rsid w:val="008705A4"/>
    <w:rsid w:val="008706E9"/>
    <w:rsid w:val="00871E4C"/>
    <w:rsid w:val="0087274D"/>
    <w:rsid w:val="00872C62"/>
    <w:rsid w:val="008739E4"/>
    <w:rsid w:val="00873B12"/>
    <w:rsid w:val="00873D08"/>
    <w:rsid w:val="00874070"/>
    <w:rsid w:val="008748A3"/>
    <w:rsid w:val="00875160"/>
    <w:rsid w:val="00875200"/>
    <w:rsid w:val="008752CE"/>
    <w:rsid w:val="008754B4"/>
    <w:rsid w:val="00875626"/>
    <w:rsid w:val="00875C16"/>
    <w:rsid w:val="0087616C"/>
    <w:rsid w:val="008761BD"/>
    <w:rsid w:val="0087643B"/>
    <w:rsid w:val="00876471"/>
    <w:rsid w:val="008766A5"/>
    <w:rsid w:val="008766D2"/>
    <w:rsid w:val="008769E4"/>
    <w:rsid w:val="008776A8"/>
    <w:rsid w:val="0087773E"/>
    <w:rsid w:val="00877878"/>
    <w:rsid w:val="00877B89"/>
    <w:rsid w:val="00877E7E"/>
    <w:rsid w:val="008800E6"/>
    <w:rsid w:val="00880A70"/>
    <w:rsid w:val="00881254"/>
    <w:rsid w:val="0088135A"/>
    <w:rsid w:val="00881A6A"/>
    <w:rsid w:val="00881F23"/>
    <w:rsid w:val="00882829"/>
    <w:rsid w:val="00882A7B"/>
    <w:rsid w:val="00882AFB"/>
    <w:rsid w:val="008832FC"/>
    <w:rsid w:val="008836C1"/>
    <w:rsid w:val="00883AC3"/>
    <w:rsid w:val="00883C90"/>
    <w:rsid w:val="00884107"/>
    <w:rsid w:val="008847A3"/>
    <w:rsid w:val="00884911"/>
    <w:rsid w:val="00884A8F"/>
    <w:rsid w:val="0088577E"/>
    <w:rsid w:val="00885ED3"/>
    <w:rsid w:val="008863C1"/>
    <w:rsid w:val="008863F0"/>
    <w:rsid w:val="0088723B"/>
    <w:rsid w:val="00887970"/>
    <w:rsid w:val="00887AAE"/>
    <w:rsid w:val="00887ABF"/>
    <w:rsid w:val="00890538"/>
    <w:rsid w:val="0089071D"/>
    <w:rsid w:val="00890E58"/>
    <w:rsid w:val="0089109B"/>
    <w:rsid w:val="008912D8"/>
    <w:rsid w:val="008914D3"/>
    <w:rsid w:val="00892154"/>
    <w:rsid w:val="008925AF"/>
    <w:rsid w:val="008927B7"/>
    <w:rsid w:val="00892A97"/>
    <w:rsid w:val="008930C3"/>
    <w:rsid w:val="00893462"/>
    <w:rsid w:val="008938EA"/>
    <w:rsid w:val="008942B1"/>
    <w:rsid w:val="008945AB"/>
    <w:rsid w:val="0089479B"/>
    <w:rsid w:val="0089492F"/>
    <w:rsid w:val="00894AE3"/>
    <w:rsid w:val="0089588E"/>
    <w:rsid w:val="00896528"/>
    <w:rsid w:val="00896AD2"/>
    <w:rsid w:val="00896B64"/>
    <w:rsid w:val="00896FD2"/>
    <w:rsid w:val="00896FEF"/>
    <w:rsid w:val="0089729D"/>
    <w:rsid w:val="0089756D"/>
    <w:rsid w:val="00897D8E"/>
    <w:rsid w:val="008A0156"/>
    <w:rsid w:val="008A03D3"/>
    <w:rsid w:val="008A0529"/>
    <w:rsid w:val="008A097D"/>
    <w:rsid w:val="008A0DAF"/>
    <w:rsid w:val="008A15E7"/>
    <w:rsid w:val="008A17F2"/>
    <w:rsid w:val="008A1A86"/>
    <w:rsid w:val="008A1F12"/>
    <w:rsid w:val="008A20B3"/>
    <w:rsid w:val="008A26A8"/>
    <w:rsid w:val="008A2DD2"/>
    <w:rsid w:val="008A33B1"/>
    <w:rsid w:val="008A391E"/>
    <w:rsid w:val="008A3ADB"/>
    <w:rsid w:val="008A3DF8"/>
    <w:rsid w:val="008A56E8"/>
    <w:rsid w:val="008A5A38"/>
    <w:rsid w:val="008A5BF0"/>
    <w:rsid w:val="008A622E"/>
    <w:rsid w:val="008A638C"/>
    <w:rsid w:val="008A69E8"/>
    <w:rsid w:val="008A6C0A"/>
    <w:rsid w:val="008A6F9F"/>
    <w:rsid w:val="008A72F4"/>
    <w:rsid w:val="008A7745"/>
    <w:rsid w:val="008B08E5"/>
    <w:rsid w:val="008B091E"/>
    <w:rsid w:val="008B0D0D"/>
    <w:rsid w:val="008B0D4F"/>
    <w:rsid w:val="008B0F35"/>
    <w:rsid w:val="008B104D"/>
    <w:rsid w:val="008B141E"/>
    <w:rsid w:val="008B147B"/>
    <w:rsid w:val="008B1744"/>
    <w:rsid w:val="008B1FFD"/>
    <w:rsid w:val="008B26E7"/>
    <w:rsid w:val="008B2858"/>
    <w:rsid w:val="008B2D5C"/>
    <w:rsid w:val="008B3050"/>
    <w:rsid w:val="008B35F0"/>
    <w:rsid w:val="008B3642"/>
    <w:rsid w:val="008B378A"/>
    <w:rsid w:val="008B3B15"/>
    <w:rsid w:val="008B3F71"/>
    <w:rsid w:val="008B4071"/>
    <w:rsid w:val="008B40F8"/>
    <w:rsid w:val="008B465D"/>
    <w:rsid w:val="008B4D31"/>
    <w:rsid w:val="008B4D8E"/>
    <w:rsid w:val="008B6E3A"/>
    <w:rsid w:val="008B7158"/>
    <w:rsid w:val="008B794B"/>
    <w:rsid w:val="008B7A13"/>
    <w:rsid w:val="008B7EB8"/>
    <w:rsid w:val="008C0691"/>
    <w:rsid w:val="008C0D59"/>
    <w:rsid w:val="008C17F9"/>
    <w:rsid w:val="008C1908"/>
    <w:rsid w:val="008C19FF"/>
    <w:rsid w:val="008C1E15"/>
    <w:rsid w:val="008C23A3"/>
    <w:rsid w:val="008C2490"/>
    <w:rsid w:val="008C26E9"/>
    <w:rsid w:val="008C30B2"/>
    <w:rsid w:val="008C310C"/>
    <w:rsid w:val="008C3158"/>
    <w:rsid w:val="008C382A"/>
    <w:rsid w:val="008C3902"/>
    <w:rsid w:val="008C3C61"/>
    <w:rsid w:val="008C3CC1"/>
    <w:rsid w:val="008C4D46"/>
    <w:rsid w:val="008C5CA2"/>
    <w:rsid w:val="008C5CA6"/>
    <w:rsid w:val="008C625A"/>
    <w:rsid w:val="008C6722"/>
    <w:rsid w:val="008C69F6"/>
    <w:rsid w:val="008C6EC9"/>
    <w:rsid w:val="008C731A"/>
    <w:rsid w:val="008D0C06"/>
    <w:rsid w:val="008D148F"/>
    <w:rsid w:val="008D1733"/>
    <w:rsid w:val="008D1736"/>
    <w:rsid w:val="008D18CC"/>
    <w:rsid w:val="008D18FE"/>
    <w:rsid w:val="008D1B65"/>
    <w:rsid w:val="008D1CB7"/>
    <w:rsid w:val="008D2006"/>
    <w:rsid w:val="008D2036"/>
    <w:rsid w:val="008D2437"/>
    <w:rsid w:val="008D2789"/>
    <w:rsid w:val="008D27D3"/>
    <w:rsid w:val="008D2A9B"/>
    <w:rsid w:val="008D38F8"/>
    <w:rsid w:val="008D39CB"/>
    <w:rsid w:val="008D3D35"/>
    <w:rsid w:val="008D4279"/>
    <w:rsid w:val="008D4D00"/>
    <w:rsid w:val="008D5138"/>
    <w:rsid w:val="008D52BC"/>
    <w:rsid w:val="008D6A34"/>
    <w:rsid w:val="008D6A9F"/>
    <w:rsid w:val="008D736A"/>
    <w:rsid w:val="008D78BC"/>
    <w:rsid w:val="008D79FD"/>
    <w:rsid w:val="008D7BBA"/>
    <w:rsid w:val="008D7DE5"/>
    <w:rsid w:val="008D7EB2"/>
    <w:rsid w:val="008E091C"/>
    <w:rsid w:val="008E09A0"/>
    <w:rsid w:val="008E0AEF"/>
    <w:rsid w:val="008E1255"/>
    <w:rsid w:val="008E1B0C"/>
    <w:rsid w:val="008E2527"/>
    <w:rsid w:val="008E28AC"/>
    <w:rsid w:val="008E2D17"/>
    <w:rsid w:val="008E3311"/>
    <w:rsid w:val="008E37CC"/>
    <w:rsid w:val="008E3B3B"/>
    <w:rsid w:val="008E3BCD"/>
    <w:rsid w:val="008E40EA"/>
    <w:rsid w:val="008E49BC"/>
    <w:rsid w:val="008E62D5"/>
    <w:rsid w:val="008E6580"/>
    <w:rsid w:val="008E668F"/>
    <w:rsid w:val="008E6B08"/>
    <w:rsid w:val="008E6BDA"/>
    <w:rsid w:val="008E6CBA"/>
    <w:rsid w:val="008E6D20"/>
    <w:rsid w:val="008E6E59"/>
    <w:rsid w:val="008E6EFB"/>
    <w:rsid w:val="008E6F82"/>
    <w:rsid w:val="008E7102"/>
    <w:rsid w:val="008E7B8E"/>
    <w:rsid w:val="008E7CDF"/>
    <w:rsid w:val="008E7E04"/>
    <w:rsid w:val="008E7E55"/>
    <w:rsid w:val="008F007A"/>
    <w:rsid w:val="008F023B"/>
    <w:rsid w:val="008F0904"/>
    <w:rsid w:val="008F090E"/>
    <w:rsid w:val="008F0CA8"/>
    <w:rsid w:val="008F0F86"/>
    <w:rsid w:val="008F1799"/>
    <w:rsid w:val="008F17AC"/>
    <w:rsid w:val="008F1C1C"/>
    <w:rsid w:val="008F1EA5"/>
    <w:rsid w:val="008F23B8"/>
    <w:rsid w:val="008F2439"/>
    <w:rsid w:val="008F25C8"/>
    <w:rsid w:val="008F2CF4"/>
    <w:rsid w:val="008F2E2C"/>
    <w:rsid w:val="008F32B9"/>
    <w:rsid w:val="008F337E"/>
    <w:rsid w:val="008F33FD"/>
    <w:rsid w:val="008F36A3"/>
    <w:rsid w:val="008F43EF"/>
    <w:rsid w:val="008F46CA"/>
    <w:rsid w:val="008F4C92"/>
    <w:rsid w:val="008F4E5D"/>
    <w:rsid w:val="008F4F7D"/>
    <w:rsid w:val="008F54E3"/>
    <w:rsid w:val="008F5989"/>
    <w:rsid w:val="008F5C71"/>
    <w:rsid w:val="008F62B4"/>
    <w:rsid w:val="008F70A8"/>
    <w:rsid w:val="008F76D2"/>
    <w:rsid w:val="008F7A00"/>
    <w:rsid w:val="008F7B06"/>
    <w:rsid w:val="008F7C43"/>
    <w:rsid w:val="008F7D12"/>
    <w:rsid w:val="009000BD"/>
    <w:rsid w:val="0090028A"/>
    <w:rsid w:val="00900BF6"/>
    <w:rsid w:val="00900F69"/>
    <w:rsid w:val="0090120E"/>
    <w:rsid w:val="00901379"/>
    <w:rsid w:val="009013FB"/>
    <w:rsid w:val="00901662"/>
    <w:rsid w:val="00901C89"/>
    <w:rsid w:val="00901E16"/>
    <w:rsid w:val="009021F6"/>
    <w:rsid w:val="0090263D"/>
    <w:rsid w:val="00902C46"/>
    <w:rsid w:val="00902D56"/>
    <w:rsid w:val="00903161"/>
    <w:rsid w:val="0090337E"/>
    <w:rsid w:val="009037F8"/>
    <w:rsid w:val="00903E67"/>
    <w:rsid w:val="0090440D"/>
    <w:rsid w:val="00904A2D"/>
    <w:rsid w:val="00904B7C"/>
    <w:rsid w:val="00904DF0"/>
    <w:rsid w:val="00904FC8"/>
    <w:rsid w:val="009062F2"/>
    <w:rsid w:val="009062F9"/>
    <w:rsid w:val="009067F5"/>
    <w:rsid w:val="00906A5E"/>
    <w:rsid w:val="0090761C"/>
    <w:rsid w:val="00907791"/>
    <w:rsid w:val="00907D3C"/>
    <w:rsid w:val="009100C6"/>
    <w:rsid w:val="009103DC"/>
    <w:rsid w:val="0091155A"/>
    <w:rsid w:val="0091170D"/>
    <w:rsid w:val="0091174C"/>
    <w:rsid w:val="00911D0D"/>
    <w:rsid w:val="00911EA1"/>
    <w:rsid w:val="0091213B"/>
    <w:rsid w:val="0091276C"/>
    <w:rsid w:val="009128A6"/>
    <w:rsid w:val="00912E9E"/>
    <w:rsid w:val="00912FDA"/>
    <w:rsid w:val="00913A55"/>
    <w:rsid w:val="00913AEB"/>
    <w:rsid w:val="00913EFB"/>
    <w:rsid w:val="009142E2"/>
    <w:rsid w:val="009146C0"/>
    <w:rsid w:val="009148C7"/>
    <w:rsid w:val="00914D3C"/>
    <w:rsid w:val="00915339"/>
    <w:rsid w:val="00915605"/>
    <w:rsid w:val="00915683"/>
    <w:rsid w:val="0091573F"/>
    <w:rsid w:val="0091590A"/>
    <w:rsid w:val="0091625E"/>
    <w:rsid w:val="00916420"/>
    <w:rsid w:val="00916A12"/>
    <w:rsid w:val="00916C5A"/>
    <w:rsid w:val="0091735F"/>
    <w:rsid w:val="00920395"/>
    <w:rsid w:val="00920860"/>
    <w:rsid w:val="00920C2A"/>
    <w:rsid w:val="0092103F"/>
    <w:rsid w:val="00921601"/>
    <w:rsid w:val="00921704"/>
    <w:rsid w:val="0092197E"/>
    <w:rsid w:val="00921F22"/>
    <w:rsid w:val="0092245B"/>
    <w:rsid w:val="0092324C"/>
    <w:rsid w:val="009236A1"/>
    <w:rsid w:val="00923960"/>
    <w:rsid w:val="00923B4C"/>
    <w:rsid w:val="00923CF1"/>
    <w:rsid w:val="00923D86"/>
    <w:rsid w:val="00924813"/>
    <w:rsid w:val="00924B1B"/>
    <w:rsid w:val="00925737"/>
    <w:rsid w:val="00925C16"/>
    <w:rsid w:val="00925F31"/>
    <w:rsid w:val="0092604D"/>
    <w:rsid w:val="0092620F"/>
    <w:rsid w:val="00926391"/>
    <w:rsid w:val="00926401"/>
    <w:rsid w:val="00926F08"/>
    <w:rsid w:val="00927851"/>
    <w:rsid w:val="0093029A"/>
    <w:rsid w:val="0093058E"/>
    <w:rsid w:val="009306A2"/>
    <w:rsid w:val="009306C3"/>
    <w:rsid w:val="009307D1"/>
    <w:rsid w:val="00930C60"/>
    <w:rsid w:val="00931505"/>
    <w:rsid w:val="00931767"/>
    <w:rsid w:val="009317FF"/>
    <w:rsid w:val="00931A50"/>
    <w:rsid w:val="00931C83"/>
    <w:rsid w:val="00932148"/>
    <w:rsid w:val="009322EC"/>
    <w:rsid w:val="0093260A"/>
    <w:rsid w:val="009326CE"/>
    <w:rsid w:val="009327A0"/>
    <w:rsid w:val="00932928"/>
    <w:rsid w:val="00932A96"/>
    <w:rsid w:val="00932AD5"/>
    <w:rsid w:val="00932F2D"/>
    <w:rsid w:val="009331FA"/>
    <w:rsid w:val="009338C0"/>
    <w:rsid w:val="009338E9"/>
    <w:rsid w:val="009339FE"/>
    <w:rsid w:val="00933B66"/>
    <w:rsid w:val="00933D5C"/>
    <w:rsid w:val="00933DA3"/>
    <w:rsid w:val="00934004"/>
    <w:rsid w:val="009343AE"/>
    <w:rsid w:val="0093466B"/>
    <w:rsid w:val="009349A5"/>
    <w:rsid w:val="00934ACC"/>
    <w:rsid w:val="00934E6B"/>
    <w:rsid w:val="00935220"/>
    <w:rsid w:val="0093569A"/>
    <w:rsid w:val="00935AA1"/>
    <w:rsid w:val="00935AC0"/>
    <w:rsid w:val="00935E61"/>
    <w:rsid w:val="00936153"/>
    <w:rsid w:val="00936254"/>
    <w:rsid w:val="009376B0"/>
    <w:rsid w:val="00937E0F"/>
    <w:rsid w:val="00937EB1"/>
    <w:rsid w:val="00937FE4"/>
    <w:rsid w:val="009404A7"/>
    <w:rsid w:val="0094093F"/>
    <w:rsid w:val="00940941"/>
    <w:rsid w:val="009411FA"/>
    <w:rsid w:val="009416FA"/>
    <w:rsid w:val="00941E94"/>
    <w:rsid w:val="00942779"/>
    <w:rsid w:val="00942837"/>
    <w:rsid w:val="00942921"/>
    <w:rsid w:val="00942AED"/>
    <w:rsid w:val="00942BD5"/>
    <w:rsid w:val="00942DC8"/>
    <w:rsid w:val="00942F01"/>
    <w:rsid w:val="009430DF"/>
    <w:rsid w:val="0094341F"/>
    <w:rsid w:val="0094382D"/>
    <w:rsid w:val="00943B18"/>
    <w:rsid w:val="009440C6"/>
    <w:rsid w:val="00944136"/>
    <w:rsid w:val="009441F1"/>
    <w:rsid w:val="00944D47"/>
    <w:rsid w:val="0094572B"/>
    <w:rsid w:val="00945733"/>
    <w:rsid w:val="00945CE0"/>
    <w:rsid w:val="00946082"/>
    <w:rsid w:val="00946331"/>
    <w:rsid w:val="009465AC"/>
    <w:rsid w:val="00946A2B"/>
    <w:rsid w:val="00947344"/>
    <w:rsid w:val="00947C3F"/>
    <w:rsid w:val="00950B60"/>
    <w:rsid w:val="00950D66"/>
    <w:rsid w:val="0095129A"/>
    <w:rsid w:val="00951F84"/>
    <w:rsid w:val="00952A5C"/>
    <w:rsid w:val="00952A75"/>
    <w:rsid w:val="009530B6"/>
    <w:rsid w:val="009533F7"/>
    <w:rsid w:val="009540A6"/>
    <w:rsid w:val="009542D2"/>
    <w:rsid w:val="009542E6"/>
    <w:rsid w:val="00954712"/>
    <w:rsid w:val="00954E19"/>
    <w:rsid w:val="009555A6"/>
    <w:rsid w:val="00955953"/>
    <w:rsid w:val="009559D4"/>
    <w:rsid w:val="00955A23"/>
    <w:rsid w:val="00956825"/>
    <w:rsid w:val="00956FE6"/>
    <w:rsid w:val="0095771E"/>
    <w:rsid w:val="0095783B"/>
    <w:rsid w:val="009578AD"/>
    <w:rsid w:val="009602D0"/>
    <w:rsid w:val="009603C1"/>
    <w:rsid w:val="00960419"/>
    <w:rsid w:val="00960F62"/>
    <w:rsid w:val="009614B7"/>
    <w:rsid w:val="0096174A"/>
    <w:rsid w:val="0096178A"/>
    <w:rsid w:val="009618EC"/>
    <w:rsid w:val="0096244B"/>
    <w:rsid w:val="00962B73"/>
    <w:rsid w:val="009632D8"/>
    <w:rsid w:val="009634D5"/>
    <w:rsid w:val="009637E4"/>
    <w:rsid w:val="00963872"/>
    <w:rsid w:val="00963AA1"/>
    <w:rsid w:val="00963B21"/>
    <w:rsid w:val="009642D4"/>
    <w:rsid w:val="009644F1"/>
    <w:rsid w:val="00964587"/>
    <w:rsid w:val="009645CE"/>
    <w:rsid w:val="009645E3"/>
    <w:rsid w:val="00965CC2"/>
    <w:rsid w:val="00965CCB"/>
    <w:rsid w:val="00965E20"/>
    <w:rsid w:val="00966181"/>
    <w:rsid w:val="00966569"/>
    <w:rsid w:val="009668D4"/>
    <w:rsid w:val="009668E1"/>
    <w:rsid w:val="00966AE5"/>
    <w:rsid w:val="00967C1F"/>
    <w:rsid w:val="00967FE1"/>
    <w:rsid w:val="009711F5"/>
    <w:rsid w:val="00971D21"/>
    <w:rsid w:val="00971FA3"/>
    <w:rsid w:val="00972058"/>
    <w:rsid w:val="009720D1"/>
    <w:rsid w:val="00972AA5"/>
    <w:rsid w:val="00972D0E"/>
    <w:rsid w:val="00973C98"/>
    <w:rsid w:val="00973D95"/>
    <w:rsid w:val="00974168"/>
    <w:rsid w:val="009743BB"/>
    <w:rsid w:val="00974461"/>
    <w:rsid w:val="00974A66"/>
    <w:rsid w:val="00974BA3"/>
    <w:rsid w:val="00974D4E"/>
    <w:rsid w:val="00974E9C"/>
    <w:rsid w:val="009755C8"/>
    <w:rsid w:val="00975A23"/>
    <w:rsid w:val="00976484"/>
    <w:rsid w:val="009764CB"/>
    <w:rsid w:val="009765BD"/>
    <w:rsid w:val="00976698"/>
    <w:rsid w:val="00976AB5"/>
    <w:rsid w:val="00976B13"/>
    <w:rsid w:val="00976DAE"/>
    <w:rsid w:val="00977339"/>
    <w:rsid w:val="00977B77"/>
    <w:rsid w:val="00977CE6"/>
    <w:rsid w:val="00980112"/>
    <w:rsid w:val="00980467"/>
    <w:rsid w:val="00980560"/>
    <w:rsid w:val="009806E4"/>
    <w:rsid w:val="0098090E"/>
    <w:rsid w:val="00980A55"/>
    <w:rsid w:val="00980D42"/>
    <w:rsid w:val="00981073"/>
    <w:rsid w:val="009811E4"/>
    <w:rsid w:val="009812E7"/>
    <w:rsid w:val="00981320"/>
    <w:rsid w:val="009813BF"/>
    <w:rsid w:val="009813FA"/>
    <w:rsid w:val="00982371"/>
    <w:rsid w:val="009827AB"/>
    <w:rsid w:val="0098283F"/>
    <w:rsid w:val="00982978"/>
    <w:rsid w:val="009829C9"/>
    <w:rsid w:val="009835F5"/>
    <w:rsid w:val="009847EF"/>
    <w:rsid w:val="00984BA1"/>
    <w:rsid w:val="0098530F"/>
    <w:rsid w:val="00985ABC"/>
    <w:rsid w:val="00985C11"/>
    <w:rsid w:val="00985C47"/>
    <w:rsid w:val="00986814"/>
    <w:rsid w:val="00986C9B"/>
    <w:rsid w:val="00986D1A"/>
    <w:rsid w:val="00987061"/>
    <w:rsid w:val="009877DD"/>
    <w:rsid w:val="009879D9"/>
    <w:rsid w:val="00987F6F"/>
    <w:rsid w:val="00990074"/>
    <w:rsid w:val="00990237"/>
    <w:rsid w:val="00990308"/>
    <w:rsid w:val="00990389"/>
    <w:rsid w:val="009903E5"/>
    <w:rsid w:val="0099061A"/>
    <w:rsid w:val="00990A2E"/>
    <w:rsid w:val="00991ECC"/>
    <w:rsid w:val="009926FE"/>
    <w:rsid w:val="00992885"/>
    <w:rsid w:val="00992BF1"/>
    <w:rsid w:val="009936B3"/>
    <w:rsid w:val="009937C3"/>
    <w:rsid w:val="00993CFC"/>
    <w:rsid w:val="0099422C"/>
    <w:rsid w:val="00994855"/>
    <w:rsid w:val="009952F3"/>
    <w:rsid w:val="00995511"/>
    <w:rsid w:val="0099564E"/>
    <w:rsid w:val="009956A3"/>
    <w:rsid w:val="009957FC"/>
    <w:rsid w:val="00995973"/>
    <w:rsid w:val="00995AFF"/>
    <w:rsid w:val="00995EE7"/>
    <w:rsid w:val="00995EFE"/>
    <w:rsid w:val="009968E6"/>
    <w:rsid w:val="00996A76"/>
    <w:rsid w:val="00997456"/>
    <w:rsid w:val="00997931"/>
    <w:rsid w:val="00997CE4"/>
    <w:rsid w:val="00997FC5"/>
    <w:rsid w:val="009A0ABB"/>
    <w:rsid w:val="009A0C84"/>
    <w:rsid w:val="009A1418"/>
    <w:rsid w:val="009A1500"/>
    <w:rsid w:val="009A170F"/>
    <w:rsid w:val="009A2047"/>
    <w:rsid w:val="009A298B"/>
    <w:rsid w:val="009A2FBC"/>
    <w:rsid w:val="009A34F3"/>
    <w:rsid w:val="009A3E50"/>
    <w:rsid w:val="009A4064"/>
    <w:rsid w:val="009A40AC"/>
    <w:rsid w:val="009A41DD"/>
    <w:rsid w:val="009A4A4B"/>
    <w:rsid w:val="009A4C0D"/>
    <w:rsid w:val="009A5489"/>
    <w:rsid w:val="009A5995"/>
    <w:rsid w:val="009A61B7"/>
    <w:rsid w:val="009A6227"/>
    <w:rsid w:val="009A6B51"/>
    <w:rsid w:val="009A735E"/>
    <w:rsid w:val="009A74A1"/>
    <w:rsid w:val="009A75F5"/>
    <w:rsid w:val="009A7AD1"/>
    <w:rsid w:val="009B0456"/>
    <w:rsid w:val="009B04DA"/>
    <w:rsid w:val="009B08C5"/>
    <w:rsid w:val="009B1292"/>
    <w:rsid w:val="009B14BA"/>
    <w:rsid w:val="009B1987"/>
    <w:rsid w:val="009B1A29"/>
    <w:rsid w:val="009B2255"/>
    <w:rsid w:val="009B23E3"/>
    <w:rsid w:val="009B28EB"/>
    <w:rsid w:val="009B2952"/>
    <w:rsid w:val="009B2D51"/>
    <w:rsid w:val="009B3307"/>
    <w:rsid w:val="009B34D4"/>
    <w:rsid w:val="009B41AA"/>
    <w:rsid w:val="009B4358"/>
    <w:rsid w:val="009B45A3"/>
    <w:rsid w:val="009B4E90"/>
    <w:rsid w:val="009B4ED2"/>
    <w:rsid w:val="009B5494"/>
    <w:rsid w:val="009B6487"/>
    <w:rsid w:val="009B6AC9"/>
    <w:rsid w:val="009B6C25"/>
    <w:rsid w:val="009B6E21"/>
    <w:rsid w:val="009B6E8C"/>
    <w:rsid w:val="009B7084"/>
    <w:rsid w:val="009B71C6"/>
    <w:rsid w:val="009B7895"/>
    <w:rsid w:val="009B7EF1"/>
    <w:rsid w:val="009B7F6F"/>
    <w:rsid w:val="009C08F5"/>
    <w:rsid w:val="009C09A8"/>
    <w:rsid w:val="009C18B3"/>
    <w:rsid w:val="009C1D15"/>
    <w:rsid w:val="009C260D"/>
    <w:rsid w:val="009C2C6D"/>
    <w:rsid w:val="009C381E"/>
    <w:rsid w:val="009C3D85"/>
    <w:rsid w:val="009C47B3"/>
    <w:rsid w:val="009C4EEE"/>
    <w:rsid w:val="009C50D6"/>
    <w:rsid w:val="009C5E4B"/>
    <w:rsid w:val="009C633D"/>
    <w:rsid w:val="009C665A"/>
    <w:rsid w:val="009C7EAC"/>
    <w:rsid w:val="009D0623"/>
    <w:rsid w:val="009D0877"/>
    <w:rsid w:val="009D09EA"/>
    <w:rsid w:val="009D0F5B"/>
    <w:rsid w:val="009D1083"/>
    <w:rsid w:val="009D15E6"/>
    <w:rsid w:val="009D1A64"/>
    <w:rsid w:val="009D1F4B"/>
    <w:rsid w:val="009D1F89"/>
    <w:rsid w:val="009D2065"/>
    <w:rsid w:val="009D35D3"/>
    <w:rsid w:val="009D3604"/>
    <w:rsid w:val="009D383A"/>
    <w:rsid w:val="009D4189"/>
    <w:rsid w:val="009D4767"/>
    <w:rsid w:val="009D4834"/>
    <w:rsid w:val="009D48A9"/>
    <w:rsid w:val="009D53D0"/>
    <w:rsid w:val="009D5F1D"/>
    <w:rsid w:val="009D64D0"/>
    <w:rsid w:val="009D731B"/>
    <w:rsid w:val="009D7356"/>
    <w:rsid w:val="009D783C"/>
    <w:rsid w:val="009D7A98"/>
    <w:rsid w:val="009D7BFE"/>
    <w:rsid w:val="009E0203"/>
    <w:rsid w:val="009E02C0"/>
    <w:rsid w:val="009E1108"/>
    <w:rsid w:val="009E118B"/>
    <w:rsid w:val="009E129E"/>
    <w:rsid w:val="009E1A44"/>
    <w:rsid w:val="009E1DFD"/>
    <w:rsid w:val="009E202C"/>
    <w:rsid w:val="009E24C0"/>
    <w:rsid w:val="009E2786"/>
    <w:rsid w:val="009E2FBA"/>
    <w:rsid w:val="009E304B"/>
    <w:rsid w:val="009E3680"/>
    <w:rsid w:val="009E36A2"/>
    <w:rsid w:val="009E3925"/>
    <w:rsid w:val="009E4330"/>
    <w:rsid w:val="009E4CA7"/>
    <w:rsid w:val="009E4EB6"/>
    <w:rsid w:val="009E52E3"/>
    <w:rsid w:val="009E53D1"/>
    <w:rsid w:val="009E6321"/>
    <w:rsid w:val="009E6C6C"/>
    <w:rsid w:val="009E6FB2"/>
    <w:rsid w:val="009E7096"/>
    <w:rsid w:val="009E71BF"/>
    <w:rsid w:val="009F04CF"/>
    <w:rsid w:val="009F064C"/>
    <w:rsid w:val="009F0B95"/>
    <w:rsid w:val="009F1916"/>
    <w:rsid w:val="009F226D"/>
    <w:rsid w:val="009F2B0C"/>
    <w:rsid w:val="009F2DCE"/>
    <w:rsid w:val="009F313C"/>
    <w:rsid w:val="009F3409"/>
    <w:rsid w:val="009F3B0B"/>
    <w:rsid w:val="009F4798"/>
    <w:rsid w:val="009F4A03"/>
    <w:rsid w:val="009F514E"/>
    <w:rsid w:val="009F51D7"/>
    <w:rsid w:val="009F569F"/>
    <w:rsid w:val="009F5A0F"/>
    <w:rsid w:val="009F5AA8"/>
    <w:rsid w:val="009F5D52"/>
    <w:rsid w:val="009F6052"/>
    <w:rsid w:val="009F66C3"/>
    <w:rsid w:val="009F6A68"/>
    <w:rsid w:val="009F77ED"/>
    <w:rsid w:val="009F7D9E"/>
    <w:rsid w:val="00A002CA"/>
    <w:rsid w:val="00A00778"/>
    <w:rsid w:val="00A0078D"/>
    <w:rsid w:val="00A00E08"/>
    <w:rsid w:val="00A01356"/>
    <w:rsid w:val="00A01463"/>
    <w:rsid w:val="00A01873"/>
    <w:rsid w:val="00A018AB"/>
    <w:rsid w:val="00A0195A"/>
    <w:rsid w:val="00A01E2E"/>
    <w:rsid w:val="00A01FC2"/>
    <w:rsid w:val="00A0246E"/>
    <w:rsid w:val="00A02D58"/>
    <w:rsid w:val="00A03076"/>
    <w:rsid w:val="00A031C7"/>
    <w:rsid w:val="00A0383C"/>
    <w:rsid w:val="00A03AD7"/>
    <w:rsid w:val="00A03C69"/>
    <w:rsid w:val="00A040D1"/>
    <w:rsid w:val="00A04768"/>
    <w:rsid w:val="00A047D0"/>
    <w:rsid w:val="00A04828"/>
    <w:rsid w:val="00A04C90"/>
    <w:rsid w:val="00A0531D"/>
    <w:rsid w:val="00A05E71"/>
    <w:rsid w:val="00A06094"/>
    <w:rsid w:val="00A06757"/>
    <w:rsid w:val="00A06890"/>
    <w:rsid w:val="00A06B17"/>
    <w:rsid w:val="00A078F2"/>
    <w:rsid w:val="00A07912"/>
    <w:rsid w:val="00A079FF"/>
    <w:rsid w:val="00A07EC9"/>
    <w:rsid w:val="00A103AB"/>
    <w:rsid w:val="00A104B7"/>
    <w:rsid w:val="00A104B9"/>
    <w:rsid w:val="00A10D87"/>
    <w:rsid w:val="00A10EDA"/>
    <w:rsid w:val="00A11DBE"/>
    <w:rsid w:val="00A12436"/>
    <w:rsid w:val="00A125BA"/>
    <w:rsid w:val="00A1276B"/>
    <w:rsid w:val="00A128E1"/>
    <w:rsid w:val="00A12EB0"/>
    <w:rsid w:val="00A141EE"/>
    <w:rsid w:val="00A14264"/>
    <w:rsid w:val="00A14436"/>
    <w:rsid w:val="00A14707"/>
    <w:rsid w:val="00A14F45"/>
    <w:rsid w:val="00A15006"/>
    <w:rsid w:val="00A1527E"/>
    <w:rsid w:val="00A15537"/>
    <w:rsid w:val="00A157D8"/>
    <w:rsid w:val="00A1586F"/>
    <w:rsid w:val="00A16145"/>
    <w:rsid w:val="00A162AB"/>
    <w:rsid w:val="00A16349"/>
    <w:rsid w:val="00A16569"/>
    <w:rsid w:val="00A1659B"/>
    <w:rsid w:val="00A167C2"/>
    <w:rsid w:val="00A173DA"/>
    <w:rsid w:val="00A17D13"/>
    <w:rsid w:val="00A17D9E"/>
    <w:rsid w:val="00A20228"/>
    <w:rsid w:val="00A205E3"/>
    <w:rsid w:val="00A20D77"/>
    <w:rsid w:val="00A20FF2"/>
    <w:rsid w:val="00A21531"/>
    <w:rsid w:val="00A216F7"/>
    <w:rsid w:val="00A219D3"/>
    <w:rsid w:val="00A21B70"/>
    <w:rsid w:val="00A21E5F"/>
    <w:rsid w:val="00A21FC1"/>
    <w:rsid w:val="00A225E1"/>
    <w:rsid w:val="00A2301D"/>
    <w:rsid w:val="00A23418"/>
    <w:rsid w:val="00A23EFF"/>
    <w:rsid w:val="00A23F91"/>
    <w:rsid w:val="00A2421A"/>
    <w:rsid w:val="00A2452C"/>
    <w:rsid w:val="00A247D0"/>
    <w:rsid w:val="00A24896"/>
    <w:rsid w:val="00A24B95"/>
    <w:rsid w:val="00A24CAD"/>
    <w:rsid w:val="00A25DF5"/>
    <w:rsid w:val="00A25F28"/>
    <w:rsid w:val="00A26111"/>
    <w:rsid w:val="00A262AB"/>
    <w:rsid w:val="00A2651F"/>
    <w:rsid w:val="00A26B38"/>
    <w:rsid w:val="00A27AC1"/>
    <w:rsid w:val="00A27B9F"/>
    <w:rsid w:val="00A27C31"/>
    <w:rsid w:val="00A303A9"/>
    <w:rsid w:val="00A30B06"/>
    <w:rsid w:val="00A30B97"/>
    <w:rsid w:val="00A30BAF"/>
    <w:rsid w:val="00A31483"/>
    <w:rsid w:val="00A31BB8"/>
    <w:rsid w:val="00A31BD7"/>
    <w:rsid w:val="00A32250"/>
    <w:rsid w:val="00A3230F"/>
    <w:rsid w:val="00A3234E"/>
    <w:rsid w:val="00A32C1C"/>
    <w:rsid w:val="00A33448"/>
    <w:rsid w:val="00A33518"/>
    <w:rsid w:val="00A335EC"/>
    <w:rsid w:val="00A33910"/>
    <w:rsid w:val="00A33C08"/>
    <w:rsid w:val="00A33F30"/>
    <w:rsid w:val="00A34F4A"/>
    <w:rsid w:val="00A353E0"/>
    <w:rsid w:val="00A356E7"/>
    <w:rsid w:val="00A3613A"/>
    <w:rsid w:val="00A368B7"/>
    <w:rsid w:val="00A36B5B"/>
    <w:rsid w:val="00A36FE2"/>
    <w:rsid w:val="00A371E0"/>
    <w:rsid w:val="00A3776C"/>
    <w:rsid w:val="00A37B33"/>
    <w:rsid w:val="00A4016D"/>
    <w:rsid w:val="00A4024A"/>
    <w:rsid w:val="00A40997"/>
    <w:rsid w:val="00A41070"/>
    <w:rsid w:val="00A415E7"/>
    <w:rsid w:val="00A41641"/>
    <w:rsid w:val="00A41811"/>
    <w:rsid w:val="00A4195B"/>
    <w:rsid w:val="00A4199D"/>
    <w:rsid w:val="00A41BEF"/>
    <w:rsid w:val="00A421AA"/>
    <w:rsid w:val="00A422FF"/>
    <w:rsid w:val="00A427E9"/>
    <w:rsid w:val="00A4280E"/>
    <w:rsid w:val="00A42AB1"/>
    <w:rsid w:val="00A439BB"/>
    <w:rsid w:val="00A44800"/>
    <w:rsid w:val="00A45726"/>
    <w:rsid w:val="00A4577F"/>
    <w:rsid w:val="00A45DF3"/>
    <w:rsid w:val="00A46453"/>
    <w:rsid w:val="00A46478"/>
    <w:rsid w:val="00A473C6"/>
    <w:rsid w:val="00A476AC"/>
    <w:rsid w:val="00A47F99"/>
    <w:rsid w:val="00A508E7"/>
    <w:rsid w:val="00A50DB7"/>
    <w:rsid w:val="00A5127B"/>
    <w:rsid w:val="00A517E0"/>
    <w:rsid w:val="00A51B61"/>
    <w:rsid w:val="00A51B92"/>
    <w:rsid w:val="00A51BF6"/>
    <w:rsid w:val="00A52998"/>
    <w:rsid w:val="00A52CB5"/>
    <w:rsid w:val="00A52ECF"/>
    <w:rsid w:val="00A5310E"/>
    <w:rsid w:val="00A533EE"/>
    <w:rsid w:val="00A534D9"/>
    <w:rsid w:val="00A53773"/>
    <w:rsid w:val="00A5403A"/>
    <w:rsid w:val="00A54218"/>
    <w:rsid w:val="00A545BA"/>
    <w:rsid w:val="00A54EE3"/>
    <w:rsid w:val="00A550D9"/>
    <w:rsid w:val="00A552AA"/>
    <w:rsid w:val="00A55A82"/>
    <w:rsid w:val="00A560E0"/>
    <w:rsid w:val="00A562B6"/>
    <w:rsid w:val="00A562CA"/>
    <w:rsid w:val="00A56E97"/>
    <w:rsid w:val="00A57CCF"/>
    <w:rsid w:val="00A60788"/>
    <w:rsid w:val="00A60EAF"/>
    <w:rsid w:val="00A60F46"/>
    <w:rsid w:val="00A613F7"/>
    <w:rsid w:val="00A6148F"/>
    <w:rsid w:val="00A615ED"/>
    <w:rsid w:val="00A628A7"/>
    <w:rsid w:val="00A62A83"/>
    <w:rsid w:val="00A62B32"/>
    <w:rsid w:val="00A62FD1"/>
    <w:rsid w:val="00A63563"/>
    <w:rsid w:val="00A6375E"/>
    <w:rsid w:val="00A639A3"/>
    <w:rsid w:val="00A64AE2"/>
    <w:rsid w:val="00A64E15"/>
    <w:rsid w:val="00A64F8C"/>
    <w:rsid w:val="00A6554D"/>
    <w:rsid w:val="00A667AF"/>
    <w:rsid w:val="00A6687A"/>
    <w:rsid w:val="00A67041"/>
    <w:rsid w:val="00A670DB"/>
    <w:rsid w:val="00A671E5"/>
    <w:rsid w:val="00A676EC"/>
    <w:rsid w:val="00A6785B"/>
    <w:rsid w:val="00A67BDD"/>
    <w:rsid w:val="00A70164"/>
    <w:rsid w:val="00A70336"/>
    <w:rsid w:val="00A7072C"/>
    <w:rsid w:val="00A70CE9"/>
    <w:rsid w:val="00A70E73"/>
    <w:rsid w:val="00A71ABE"/>
    <w:rsid w:val="00A71FD6"/>
    <w:rsid w:val="00A7233C"/>
    <w:rsid w:val="00A7288D"/>
    <w:rsid w:val="00A72927"/>
    <w:rsid w:val="00A7299D"/>
    <w:rsid w:val="00A72A4D"/>
    <w:rsid w:val="00A73135"/>
    <w:rsid w:val="00A73188"/>
    <w:rsid w:val="00A73292"/>
    <w:rsid w:val="00A73E17"/>
    <w:rsid w:val="00A744E8"/>
    <w:rsid w:val="00A7493F"/>
    <w:rsid w:val="00A74FD4"/>
    <w:rsid w:val="00A7544E"/>
    <w:rsid w:val="00A75559"/>
    <w:rsid w:val="00A7573B"/>
    <w:rsid w:val="00A7605A"/>
    <w:rsid w:val="00A762C8"/>
    <w:rsid w:val="00A76397"/>
    <w:rsid w:val="00A80150"/>
    <w:rsid w:val="00A80246"/>
    <w:rsid w:val="00A80B86"/>
    <w:rsid w:val="00A8129B"/>
    <w:rsid w:val="00A8182B"/>
    <w:rsid w:val="00A81834"/>
    <w:rsid w:val="00A821F3"/>
    <w:rsid w:val="00A8221D"/>
    <w:rsid w:val="00A828A0"/>
    <w:rsid w:val="00A833DC"/>
    <w:rsid w:val="00A835D3"/>
    <w:rsid w:val="00A83775"/>
    <w:rsid w:val="00A83BFC"/>
    <w:rsid w:val="00A843E2"/>
    <w:rsid w:val="00A84441"/>
    <w:rsid w:val="00A851B8"/>
    <w:rsid w:val="00A852D2"/>
    <w:rsid w:val="00A85B51"/>
    <w:rsid w:val="00A85D1E"/>
    <w:rsid w:val="00A86011"/>
    <w:rsid w:val="00A861D4"/>
    <w:rsid w:val="00A87BD7"/>
    <w:rsid w:val="00A90164"/>
    <w:rsid w:val="00A90763"/>
    <w:rsid w:val="00A90E07"/>
    <w:rsid w:val="00A9139D"/>
    <w:rsid w:val="00A9184F"/>
    <w:rsid w:val="00A91A9E"/>
    <w:rsid w:val="00A91B54"/>
    <w:rsid w:val="00A91D0B"/>
    <w:rsid w:val="00A91D35"/>
    <w:rsid w:val="00A92057"/>
    <w:rsid w:val="00A92328"/>
    <w:rsid w:val="00A924D2"/>
    <w:rsid w:val="00A92CA8"/>
    <w:rsid w:val="00A93098"/>
    <w:rsid w:val="00A930AC"/>
    <w:rsid w:val="00A93655"/>
    <w:rsid w:val="00A93AD1"/>
    <w:rsid w:val="00A9419C"/>
    <w:rsid w:val="00A94612"/>
    <w:rsid w:val="00A9510C"/>
    <w:rsid w:val="00A95D0B"/>
    <w:rsid w:val="00A9642A"/>
    <w:rsid w:val="00A96734"/>
    <w:rsid w:val="00A96E0A"/>
    <w:rsid w:val="00A97199"/>
    <w:rsid w:val="00A9751F"/>
    <w:rsid w:val="00A97681"/>
    <w:rsid w:val="00A97696"/>
    <w:rsid w:val="00A9775F"/>
    <w:rsid w:val="00AA0020"/>
    <w:rsid w:val="00AA0076"/>
    <w:rsid w:val="00AA04D0"/>
    <w:rsid w:val="00AA098B"/>
    <w:rsid w:val="00AA0C6B"/>
    <w:rsid w:val="00AA0DA4"/>
    <w:rsid w:val="00AA1A23"/>
    <w:rsid w:val="00AA1E0D"/>
    <w:rsid w:val="00AA26C2"/>
    <w:rsid w:val="00AA2C9E"/>
    <w:rsid w:val="00AA2E53"/>
    <w:rsid w:val="00AA36B5"/>
    <w:rsid w:val="00AA3A25"/>
    <w:rsid w:val="00AA476B"/>
    <w:rsid w:val="00AA4AD7"/>
    <w:rsid w:val="00AA4E5C"/>
    <w:rsid w:val="00AA5D26"/>
    <w:rsid w:val="00AA633B"/>
    <w:rsid w:val="00AA6539"/>
    <w:rsid w:val="00AA65DF"/>
    <w:rsid w:val="00AA669D"/>
    <w:rsid w:val="00AA66F5"/>
    <w:rsid w:val="00AA6802"/>
    <w:rsid w:val="00AA6EA9"/>
    <w:rsid w:val="00AA71BE"/>
    <w:rsid w:val="00AA7286"/>
    <w:rsid w:val="00AA7473"/>
    <w:rsid w:val="00AA78FB"/>
    <w:rsid w:val="00AA79D1"/>
    <w:rsid w:val="00AA7B18"/>
    <w:rsid w:val="00AB02E2"/>
    <w:rsid w:val="00AB0444"/>
    <w:rsid w:val="00AB0865"/>
    <w:rsid w:val="00AB0A11"/>
    <w:rsid w:val="00AB0EF2"/>
    <w:rsid w:val="00AB1090"/>
    <w:rsid w:val="00AB1F05"/>
    <w:rsid w:val="00AB2205"/>
    <w:rsid w:val="00AB2283"/>
    <w:rsid w:val="00AB22D1"/>
    <w:rsid w:val="00AB23B8"/>
    <w:rsid w:val="00AB2E8F"/>
    <w:rsid w:val="00AB33B7"/>
    <w:rsid w:val="00AB4D3E"/>
    <w:rsid w:val="00AB4D6F"/>
    <w:rsid w:val="00AB5219"/>
    <w:rsid w:val="00AB5431"/>
    <w:rsid w:val="00AB5774"/>
    <w:rsid w:val="00AB5E4C"/>
    <w:rsid w:val="00AB604D"/>
    <w:rsid w:val="00AB60BE"/>
    <w:rsid w:val="00AB61C1"/>
    <w:rsid w:val="00AB624A"/>
    <w:rsid w:val="00AB6783"/>
    <w:rsid w:val="00AB710C"/>
    <w:rsid w:val="00AB753A"/>
    <w:rsid w:val="00AB7B15"/>
    <w:rsid w:val="00AB7CFE"/>
    <w:rsid w:val="00AC042E"/>
    <w:rsid w:val="00AC068E"/>
    <w:rsid w:val="00AC0914"/>
    <w:rsid w:val="00AC149F"/>
    <w:rsid w:val="00AC1EA1"/>
    <w:rsid w:val="00AC1FF7"/>
    <w:rsid w:val="00AC2492"/>
    <w:rsid w:val="00AC2681"/>
    <w:rsid w:val="00AC2BD4"/>
    <w:rsid w:val="00AC34FC"/>
    <w:rsid w:val="00AC3617"/>
    <w:rsid w:val="00AC395E"/>
    <w:rsid w:val="00AC3984"/>
    <w:rsid w:val="00AC3C5A"/>
    <w:rsid w:val="00AC6177"/>
    <w:rsid w:val="00AC65EF"/>
    <w:rsid w:val="00AC6B77"/>
    <w:rsid w:val="00AC6CC3"/>
    <w:rsid w:val="00AC6F06"/>
    <w:rsid w:val="00AC705B"/>
    <w:rsid w:val="00AC70BF"/>
    <w:rsid w:val="00AD002C"/>
    <w:rsid w:val="00AD0BFC"/>
    <w:rsid w:val="00AD141B"/>
    <w:rsid w:val="00AD1706"/>
    <w:rsid w:val="00AD18C9"/>
    <w:rsid w:val="00AD1F2A"/>
    <w:rsid w:val="00AD1F98"/>
    <w:rsid w:val="00AD21A7"/>
    <w:rsid w:val="00AD29E7"/>
    <w:rsid w:val="00AD2C0F"/>
    <w:rsid w:val="00AD331C"/>
    <w:rsid w:val="00AD42CA"/>
    <w:rsid w:val="00AD4AD7"/>
    <w:rsid w:val="00AD4E76"/>
    <w:rsid w:val="00AD5421"/>
    <w:rsid w:val="00AD55E1"/>
    <w:rsid w:val="00AD5DD3"/>
    <w:rsid w:val="00AD64ED"/>
    <w:rsid w:val="00AD6F0A"/>
    <w:rsid w:val="00AD6FBE"/>
    <w:rsid w:val="00AD7432"/>
    <w:rsid w:val="00AD74F3"/>
    <w:rsid w:val="00AE0615"/>
    <w:rsid w:val="00AE06DD"/>
    <w:rsid w:val="00AE1437"/>
    <w:rsid w:val="00AE1764"/>
    <w:rsid w:val="00AE1C05"/>
    <w:rsid w:val="00AE1F97"/>
    <w:rsid w:val="00AE1FD4"/>
    <w:rsid w:val="00AE2541"/>
    <w:rsid w:val="00AE2842"/>
    <w:rsid w:val="00AE2F7A"/>
    <w:rsid w:val="00AE3119"/>
    <w:rsid w:val="00AE37DE"/>
    <w:rsid w:val="00AE441C"/>
    <w:rsid w:val="00AE47BF"/>
    <w:rsid w:val="00AE527D"/>
    <w:rsid w:val="00AE5376"/>
    <w:rsid w:val="00AE57A3"/>
    <w:rsid w:val="00AE57BE"/>
    <w:rsid w:val="00AE5E57"/>
    <w:rsid w:val="00AE5ED9"/>
    <w:rsid w:val="00AE5F5F"/>
    <w:rsid w:val="00AE617C"/>
    <w:rsid w:val="00AE623A"/>
    <w:rsid w:val="00AE663C"/>
    <w:rsid w:val="00AE6949"/>
    <w:rsid w:val="00AE6968"/>
    <w:rsid w:val="00AE7444"/>
    <w:rsid w:val="00AE749A"/>
    <w:rsid w:val="00AF0027"/>
    <w:rsid w:val="00AF049F"/>
    <w:rsid w:val="00AF09C5"/>
    <w:rsid w:val="00AF0BA9"/>
    <w:rsid w:val="00AF1099"/>
    <w:rsid w:val="00AF1238"/>
    <w:rsid w:val="00AF1362"/>
    <w:rsid w:val="00AF13C9"/>
    <w:rsid w:val="00AF1465"/>
    <w:rsid w:val="00AF17F3"/>
    <w:rsid w:val="00AF198D"/>
    <w:rsid w:val="00AF19CD"/>
    <w:rsid w:val="00AF2601"/>
    <w:rsid w:val="00AF2A94"/>
    <w:rsid w:val="00AF2BB8"/>
    <w:rsid w:val="00AF2ECA"/>
    <w:rsid w:val="00AF32C2"/>
    <w:rsid w:val="00AF3878"/>
    <w:rsid w:val="00AF3F3D"/>
    <w:rsid w:val="00AF3F91"/>
    <w:rsid w:val="00AF47D3"/>
    <w:rsid w:val="00AF4FE9"/>
    <w:rsid w:val="00AF531B"/>
    <w:rsid w:val="00AF578D"/>
    <w:rsid w:val="00AF57FD"/>
    <w:rsid w:val="00AF5866"/>
    <w:rsid w:val="00AF58EC"/>
    <w:rsid w:val="00AF59D7"/>
    <w:rsid w:val="00AF5F5E"/>
    <w:rsid w:val="00AF67A8"/>
    <w:rsid w:val="00AF74A3"/>
    <w:rsid w:val="00AF799A"/>
    <w:rsid w:val="00AF79B4"/>
    <w:rsid w:val="00AF79D6"/>
    <w:rsid w:val="00AF7B57"/>
    <w:rsid w:val="00AF7F0C"/>
    <w:rsid w:val="00AF7F56"/>
    <w:rsid w:val="00B00AB4"/>
    <w:rsid w:val="00B00F04"/>
    <w:rsid w:val="00B016BA"/>
    <w:rsid w:val="00B017E9"/>
    <w:rsid w:val="00B01A66"/>
    <w:rsid w:val="00B02783"/>
    <w:rsid w:val="00B02A20"/>
    <w:rsid w:val="00B02B3A"/>
    <w:rsid w:val="00B034C8"/>
    <w:rsid w:val="00B03570"/>
    <w:rsid w:val="00B037FA"/>
    <w:rsid w:val="00B0393D"/>
    <w:rsid w:val="00B03AAB"/>
    <w:rsid w:val="00B0408E"/>
    <w:rsid w:val="00B0418B"/>
    <w:rsid w:val="00B04293"/>
    <w:rsid w:val="00B0446B"/>
    <w:rsid w:val="00B0465E"/>
    <w:rsid w:val="00B04EA3"/>
    <w:rsid w:val="00B054B2"/>
    <w:rsid w:val="00B0557A"/>
    <w:rsid w:val="00B05C62"/>
    <w:rsid w:val="00B0603F"/>
    <w:rsid w:val="00B064B3"/>
    <w:rsid w:val="00B06B8A"/>
    <w:rsid w:val="00B07265"/>
    <w:rsid w:val="00B077F4"/>
    <w:rsid w:val="00B10185"/>
    <w:rsid w:val="00B103E7"/>
    <w:rsid w:val="00B1164D"/>
    <w:rsid w:val="00B11911"/>
    <w:rsid w:val="00B11F15"/>
    <w:rsid w:val="00B1252A"/>
    <w:rsid w:val="00B125F1"/>
    <w:rsid w:val="00B1268A"/>
    <w:rsid w:val="00B12A2B"/>
    <w:rsid w:val="00B12A67"/>
    <w:rsid w:val="00B12A9C"/>
    <w:rsid w:val="00B12AC5"/>
    <w:rsid w:val="00B12C6B"/>
    <w:rsid w:val="00B12DDC"/>
    <w:rsid w:val="00B12E1C"/>
    <w:rsid w:val="00B1334A"/>
    <w:rsid w:val="00B133EE"/>
    <w:rsid w:val="00B1381F"/>
    <w:rsid w:val="00B13A43"/>
    <w:rsid w:val="00B13B78"/>
    <w:rsid w:val="00B14233"/>
    <w:rsid w:val="00B14316"/>
    <w:rsid w:val="00B1431E"/>
    <w:rsid w:val="00B147A9"/>
    <w:rsid w:val="00B148F9"/>
    <w:rsid w:val="00B149F8"/>
    <w:rsid w:val="00B14D3E"/>
    <w:rsid w:val="00B14DF7"/>
    <w:rsid w:val="00B1559B"/>
    <w:rsid w:val="00B15A38"/>
    <w:rsid w:val="00B15A40"/>
    <w:rsid w:val="00B163B0"/>
    <w:rsid w:val="00B16462"/>
    <w:rsid w:val="00B16806"/>
    <w:rsid w:val="00B16AB1"/>
    <w:rsid w:val="00B16E38"/>
    <w:rsid w:val="00B1744C"/>
    <w:rsid w:val="00B1761D"/>
    <w:rsid w:val="00B17632"/>
    <w:rsid w:val="00B1779A"/>
    <w:rsid w:val="00B17A25"/>
    <w:rsid w:val="00B2003A"/>
    <w:rsid w:val="00B200DF"/>
    <w:rsid w:val="00B201BF"/>
    <w:rsid w:val="00B20938"/>
    <w:rsid w:val="00B20BA5"/>
    <w:rsid w:val="00B211D1"/>
    <w:rsid w:val="00B211DD"/>
    <w:rsid w:val="00B21269"/>
    <w:rsid w:val="00B215A5"/>
    <w:rsid w:val="00B21D0B"/>
    <w:rsid w:val="00B21D86"/>
    <w:rsid w:val="00B2278E"/>
    <w:rsid w:val="00B22E35"/>
    <w:rsid w:val="00B24011"/>
    <w:rsid w:val="00B24374"/>
    <w:rsid w:val="00B2482A"/>
    <w:rsid w:val="00B25672"/>
    <w:rsid w:val="00B25BA8"/>
    <w:rsid w:val="00B26A15"/>
    <w:rsid w:val="00B26BC8"/>
    <w:rsid w:val="00B2738D"/>
    <w:rsid w:val="00B27588"/>
    <w:rsid w:val="00B27CE6"/>
    <w:rsid w:val="00B27DD3"/>
    <w:rsid w:val="00B27E20"/>
    <w:rsid w:val="00B302F8"/>
    <w:rsid w:val="00B3050B"/>
    <w:rsid w:val="00B3097C"/>
    <w:rsid w:val="00B30A80"/>
    <w:rsid w:val="00B30EA5"/>
    <w:rsid w:val="00B31641"/>
    <w:rsid w:val="00B31652"/>
    <w:rsid w:val="00B317D7"/>
    <w:rsid w:val="00B31CC4"/>
    <w:rsid w:val="00B32007"/>
    <w:rsid w:val="00B3216B"/>
    <w:rsid w:val="00B329FC"/>
    <w:rsid w:val="00B32A25"/>
    <w:rsid w:val="00B32D5E"/>
    <w:rsid w:val="00B3429A"/>
    <w:rsid w:val="00B3432C"/>
    <w:rsid w:val="00B343C0"/>
    <w:rsid w:val="00B346F7"/>
    <w:rsid w:val="00B34B29"/>
    <w:rsid w:val="00B35343"/>
    <w:rsid w:val="00B3585A"/>
    <w:rsid w:val="00B35F40"/>
    <w:rsid w:val="00B36A5C"/>
    <w:rsid w:val="00B3737E"/>
    <w:rsid w:val="00B379F4"/>
    <w:rsid w:val="00B37BAF"/>
    <w:rsid w:val="00B40465"/>
    <w:rsid w:val="00B40642"/>
    <w:rsid w:val="00B40846"/>
    <w:rsid w:val="00B40D90"/>
    <w:rsid w:val="00B4141D"/>
    <w:rsid w:val="00B427E4"/>
    <w:rsid w:val="00B42DF8"/>
    <w:rsid w:val="00B42E0A"/>
    <w:rsid w:val="00B42F16"/>
    <w:rsid w:val="00B441A2"/>
    <w:rsid w:val="00B4436C"/>
    <w:rsid w:val="00B445BF"/>
    <w:rsid w:val="00B44E66"/>
    <w:rsid w:val="00B4535D"/>
    <w:rsid w:val="00B45574"/>
    <w:rsid w:val="00B45AA0"/>
    <w:rsid w:val="00B460BB"/>
    <w:rsid w:val="00B460E6"/>
    <w:rsid w:val="00B4737A"/>
    <w:rsid w:val="00B473C0"/>
    <w:rsid w:val="00B477B9"/>
    <w:rsid w:val="00B4788E"/>
    <w:rsid w:val="00B479C4"/>
    <w:rsid w:val="00B505C5"/>
    <w:rsid w:val="00B5088B"/>
    <w:rsid w:val="00B50C1B"/>
    <w:rsid w:val="00B50CA4"/>
    <w:rsid w:val="00B50D4F"/>
    <w:rsid w:val="00B50EB7"/>
    <w:rsid w:val="00B51526"/>
    <w:rsid w:val="00B51937"/>
    <w:rsid w:val="00B521AF"/>
    <w:rsid w:val="00B5267D"/>
    <w:rsid w:val="00B52D41"/>
    <w:rsid w:val="00B53044"/>
    <w:rsid w:val="00B531F8"/>
    <w:rsid w:val="00B532F6"/>
    <w:rsid w:val="00B533B6"/>
    <w:rsid w:val="00B53BBE"/>
    <w:rsid w:val="00B53DBA"/>
    <w:rsid w:val="00B54368"/>
    <w:rsid w:val="00B54CBD"/>
    <w:rsid w:val="00B5505F"/>
    <w:rsid w:val="00B55651"/>
    <w:rsid w:val="00B55C5A"/>
    <w:rsid w:val="00B55F5B"/>
    <w:rsid w:val="00B56A6A"/>
    <w:rsid w:val="00B56E87"/>
    <w:rsid w:val="00B5738B"/>
    <w:rsid w:val="00B6024F"/>
    <w:rsid w:val="00B605B2"/>
    <w:rsid w:val="00B609F0"/>
    <w:rsid w:val="00B61659"/>
    <w:rsid w:val="00B61EE7"/>
    <w:rsid w:val="00B61EF0"/>
    <w:rsid w:val="00B627DB"/>
    <w:rsid w:val="00B6307B"/>
    <w:rsid w:val="00B630B4"/>
    <w:rsid w:val="00B64454"/>
    <w:rsid w:val="00B6478C"/>
    <w:rsid w:val="00B64D41"/>
    <w:rsid w:val="00B64E41"/>
    <w:rsid w:val="00B64F4E"/>
    <w:rsid w:val="00B65779"/>
    <w:rsid w:val="00B65DC4"/>
    <w:rsid w:val="00B665A0"/>
    <w:rsid w:val="00B66606"/>
    <w:rsid w:val="00B666B9"/>
    <w:rsid w:val="00B6671D"/>
    <w:rsid w:val="00B66D88"/>
    <w:rsid w:val="00B66EB3"/>
    <w:rsid w:val="00B67277"/>
    <w:rsid w:val="00B672EB"/>
    <w:rsid w:val="00B67E36"/>
    <w:rsid w:val="00B702D1"/>
    <w:rsid w:val="00B704F2"/>
    <w:rsid w:val="00B70D9A"/>
    <w:rsid w:val="00B70E12"/>
    <w:rsid w:val="00B71550"/>
    <w:rsid w:val="00B7180F"/>
    <w:rsid w:val="00B71841"/>
    <w:rsid w:val="00B71B41"/>
    <w:rsid w:val="00B71CCD"/>
    <w:rsid w:val="00B71D6A"/>
    <w:rsid w:val="00B72009"/>
    <w:rsid w:val="00B72305"/>
    <w:rsid w:val="00B724AF"/>
    <w:rsid w:val="00B72C58"/>
    <w:rsid w:val="00B73A3A"/>
    <w:rsid w:val="00B73FFB"/>
    <w:rsid w:val="00B746FC"/>
    <w:rsid w:val="00B74869"/>
    <w:rsid w:val="00B75304"/>
    <w:rsid w:val="00B75391"/>
    <w:rsid w:val="00B755AF"/>
    <w:rsid w:val="00B756F2"/>
    <w:rsid w:val="00B75764"/>
    <w:rsid w:val="00B7590E"/>
    <w:rsid w:val="00B759D5"/>
    <w:rsid w:val="00B75CA0"/>
    <w:rsid w:val="00B75D37"/>
    <w:rsid w:val="00B75E78"/>
    <w:rsid w:val="00B76D81"/>
    <w:rsid w:val="00B76FBC"/>
    <w:rsid w:val="00B772AC"/>
    <w:rsid w:val="00B77692"/>
    <w:rsid w:val="00B77B70"/>
    <w:rsid w:val="00B77B8B"/>
    <w:rsid w:val="00B80845"/>
    <w:rsid w:val="00B80B91"/>
    <w:rsid w:val="00B80C88"/>
    <w:rsid w:val="00B80D7A"/>
    <w:rsid w:val="00B8183B"/>
    <w:rsid w:val="00B82992"/>
    <w:rsid w:val="00B82AF0"/>
    <w:rsid w:val="00B82B04"/>
    <w:rsid w:val="00B82CC4"/>
    <w:rsid w:val="00B82F91"/>
    <w:rsid w:val="00B83064"/>
    <w:rsid w:val="00B83353"/>
    <w:rsid w:val="00B8340D"/>
    <w:rsid w:val="00B837B9"/>
    <w:rsid w:val="00B83DEA"/>
    <w:rsid w:val="00B83ECB"/>
    <w:rsid w:val="00B84025"/>
    <w:rsid w:val="00B845D8"/>
    <w:rsid w:val="00B84BCF"/>
    <w:rsid w:val="00B852C6"/>
    <w:rsid w:val="00B8675A"/>
    <w:rsid w:val="00B8699F"/>
    <w:rsid w:val="00B871BE"/>
    <w:rsid w:val="00B8745D"/>
    <w:rsid w:val="00B879F1"/>
    <w:rsid w:val="00B87A89"/>
    <w:rsid w:val="00B90116"/>
    <w:rsid w:val="00B90E30"/>
    <w:rsid w:val="00B9145D"/>
    <w:rsid w:val="00B91AAC"/>
    <w:rsid w:val="00B91CEF"/>
    <w:rsid w:val="00B91D58"/>
    <w:rsid w:val="00B9225B"/>
    <w:rsid w:val="00B922F6"/>
    <w:rsid w:val="00B92AA2"/>
    <w:rsid w:val="00B93119"/>
    <w:rsid w:val="00B93605"/>
    <w:rsid w:val="00B9375B"/>
    <w:rsid w:val="00B93FB6"/>
    <w:rsid w:val="00B9408A"/>
    <w:rsid w:val="00B94186"/>
    <w:rsid w:val="00B94439"/>
    <w:rsid w:val="00B9449B"/>
    <w:rsid w:val="00B949BB"/>
    <w:rsid w:val="00B94F5D"/>
    <w:rsid w:val="00B9507A"/>
    <w:rsid w:val="00B957D7"/>
    <w:rsid w:val="00B95D0D"/>
    <w:rsid w:val="00B961FE"/>
    <w:rsid w:val="00B9634C"/>
    <w:rsid w:val="00B964DC"/>
    <w:rsid w:val="00B96F1C"/>
    <w:rsid w:val="00B9711B"/>
    <w:rsid w:val="00BA02EC"/>
    <w:rsid w:val="00BA08AF"/>
    <w:rsid w:val="00BA0A7D"/>
    <w:rsid w:val="00BA0A9D"/>
    <w:rsid w:val="00BA0C41"/>
    <w:rsid w:val="00BA0CA9"/>
    <w:rsid w:val="00BA1442"/>
    <w:rsid w:val="00BA159D"/>
    <w:rsid w:val="00BA1726"/>
    <w:rsid w:val="00BA1734"/>
    <w:rsid w:val="00BA201E"/>
    <w:rsid w:val="00BA2805"/>
    <w:rsid w:val="00BA2AB9"/>
    <w:rsid w:val="00BA313A"/>
    <w:rsid w:val="00BA331A"/>
    <w:rsid w:val="00BA38C2"/>
    <w:rsid w:val="00BA3A2C"/>
    <w:rsid w:val="00BA3B43"/>
    <w:rsid w:val="00BA4137"/>
    <w:rsid w:val="00BA4C4B"/>
    <w:rsid w:val="00BA5090"/>
    <w:rsid w:val="00BA5500"/>
    <w:rsid w:val="00BA5524"/>
    <w:rsid w:val="00BA572A"/>
    <w:rsid w:val="00BA587D"/>
    <w:rsid w:val="00BA600F"/>
    <w:rsid w:val="00BA6280"/>
    <w:rsid w:val="00BA74A9"/>
    <w:rsid w:val="00BA757C"/>
    <w:rsid w:val="00BB09EF"/>
    <w:rsid w:val="00BB0BE3"/>
    <w:rsid w:val="00BB1158"/>
    <w:rsid w:val="00BB13EE"/>
    <w:rsid w:val="00BB1A4E"/>
    <w:rsid w:val="00BB26DF"/>
    <w:rsid w:val="00BB2AAC"/>
    <w:rsid w:val="00BB2BB6"/>
    <w:rsid w:val="00BB2F75"/>
    <w:rsid w:val="00BB350C"/>
    <w:rsid w:val="00BB442B"/>
    <w:rsid w:val="00BB4A0E"/>
    <w:rsid w:val="00BB5AA0"/>
    <w:rsid w:val="00BB5E5A"/>
    <w:rsid w:val="00BB61FB"/>
    <w:rsid w:val="00BB6551"/>
    <w:rsid w:val="00BB6A17"/>
    <w:rsid w:val="00BB6EBC"/>
    <w:rsid w:val="00BB7152"/>
    <w:rsid w:val="00BB7238"/>
    <w:rsid w:val="00BB7386"/>
    <w:rsid w:val="00BB73BE"/>
    <w:rsid w:val="00BB75E4"/>
    <w:rsid w:val="00BB783F"/>
    <w:rsid w:val="00BB7B8E"/>
    <w:rsid w:val="00BB7D48"/>
    <w:rsid w:val="00BC002E"/>
    <w:rsid w:val="00BC0253"/>
    <w:rsid w:val="00BC046F"/>
    <w:rsid w:val="00BC04ED"/>
    <w:rsid w:val="00BC10B4"/>
    <w:rsid w:val="00BC1528"/>
    <w:rsid w:val="00BC1C14"/>
    <w:rsid w:val="00BC28B6"/>
    <w:rsid w:val="00BC2F09"/>
    <w:rsid w:val="00BC2F2F"/>
    <w:rsid w:val="00BC374E"/>
    <w:rsid w:val="00BC3866"/>
    <w:rsid w:val="00BC4909"/>
    <w:rsid w:val="00BC4E12"/>
    <w:rsid w:val="00BC5118"/>
    <w:rsid w:val="00BC544B"/>
    <w:rsid w:val="00BC5BD7"/>
    <w:rsid w:val="00BC5F92"/>
    <w:rsid w:val="00BC62F5"/>
    <w:rsid w:val="00BC65BE"/>
    <w:rsid w:val="00BC72FB"/>
    <w:rsid w:val="00BC7701"/>
    <w:rsid w:val="00BC7C9E"/>
    <w:rsid w:val="00BC7EA1"/>
    <w:rsid w:val="00BD079E"/>
    <w:rsid w:val="00BD0F31"/>
    <w:rsid w:val="00BD1967"/>
    <w:rsid w:val="00BD1ADA"/>
    <w:rsid w:val="00BD20BC"/>
    <w:rsid w:val="00BD212C"/>
    <w:rsid w:val="00BD278D"/>
    <w:rsid w:val="00BD34CF"/>
    <w:rsid w:val="00BD34EC"/>
    <w:rsid w:val="00BD386D"/>
    <w:rsid w:val="00BD38C8"/>
    <w:rsid w:val="00BD4A09"/>
    <w:rsid w:val="00BD4CAA"/>
    <w:rsid w:val="00BD577A"/>
    <w:rsid w:val="00BD5B93"/>
    <w:rsid w:val="00BD5BA3"/>
    <w:rsid w:val="00BD5C1E"/>
    <w:rsid w:val="00BD5D94"/>
    <w:rsid w:val="00BD627D"/>
    <w:rsid w:val="00BD64D9"/>
    <w:rsid w:val="00BD6991"/>
    <w:rsid w:val="00BD69D9"/>
    <w:rsid w:val="00BD777F"/>
    <w:rsid w:val="00BD7959"/>
    <w:rsid w:val="00BD7C64"/>
    <w:rsid w:val="00BE05D5"/>
    <w:rsid w:val="00BE06AB"/>
    <w:rsid w:val="00BE0D9C"/>
    <w:rsid w:val="00BE1509"/>
    <w:rsid w:val="00BE16D2"/>
    <w:rsid w:val="00BE182D"/>
    <w:rsid w:val="00BE1DE5"/>
    <w:rsid w:val="00BE234A"/>
    <w:rsid w:val="00BE24FB"/>
    <w:rsid w:val="00BE26A4"/>
    <w:rsid w:val="00BE2B1F"/>
    <w:rsid w:val="00BE3B5C"/>
    <w:rsid w:val="00BE3C41"/>
    <w:rsid w:val="00BE3DA3"/>
    <w:rsid w:val="00BE4A9C"/>
    <w:rsid w:val="00BE4AD1"/>
    <w:rsid w:val="00BE4C06"/>
    <w:rsid w:val="00BE5294"/>
    <w:rsid w:val="00BE7421"/>
    <w:rsid w:val="00BE7506"/>
    <w:rsid w:val="00BE75BC"/>
    <w:rsid w:val="00BF06C0"/>
    <w:rsid w:val="00BF0823"/>
    <w:rsid w:val="00BF0A2F"/>
    <w:rsid w:val="00BF0B3C"/>
    <w:rsid w:val="00BF10A9"/>
    <w:rsid w:val="00BF2485"/>
    <w:rsid w:val="00BF285F"/>
    <w:rsid w:val="00BF29D8"/>
    <w:rsid w:val="00BF2DEF"/>
    <w:rsid w:val="00BF343A"/>
    <w:rsid w:val="00BF3778"/>
    <w:rsid w:val="00BF3A72"/>
    <w:rsid w:val="00BF3B30"/>
    <w:rsid w:val="00BF3CE0"/>
    <w:rsid w:val="00BF4235"/>
    <w:rsid w:val="00BF4304"/>
    <w:rsid w:val="00BF4E6C"/>
    <w:rsid w:val="00BF504C"/>
    <w:rsid w:val="00BF55F1"/>
    <w:rsid w:val="00BF5D57"/>
    <w:rsid w:val="00BF5FC8"/>
    <w:rsid w:val="00BF62EF"/>
    <w:rsid w:val="00BF673D"/>
    <w:rsid w:val="00BF6CA7"/>
    <w:rsid w:val="00BF70AE"/>
    <w:rsid w:val="00BF7338"/>
    <w:rsid w:val="00BF7732"/>
    <w:rsid w:val="00BF77B2"/>
    <w:rsid w:val="00BF79B0"/>
    <w:rsid w:val="00C00152"/>
    <w:rsid w:val="00C00205"/>
    <w:rsid w:val="00C006D7"/>
    <w:rsid w:val="00C01475"/>
    <w:rsid w:val="00C01A73"/>
    <w:rsid w:val="00C01C91"/>
    <w:rsid w:val="00C01E3A"/>
    <w:rsid w:val="00C02824"/>
    <w:rsid w:val="00C02BB3"/>
    <w:rsid w:val="00C02C33"/>
    <w:rsid w:val="00C03288"/>
    <w:rsid w:val="00C033C3"/>
    <w:rsid w:val="00C0344F"/>
    <w:rsid w:val="00C03492"/>
    <w:rsid w:val="00C03E92"/>
    <w:rsid w:val="00C03F54"/>
    <w:rsid w:val="00C043E6"/>
    <w:rsid w:val="00C044AB"/>
    <w:rsid w:val="00C04A64"/>
    <w:rsid w:val="00C051F0"/>
    <w:rsid w:val="00C0544E"/>
    <w:rsid w:val="00C054A9"/>
    <w:rsid w:val="00C0553F"/>
    <w:rsid w:val="00C058B1"/>
    <w:rsid w:val="00C058BC"/>
    <w:rsid w:val="00C05A12"/>
    <w:rsid w:val="00C05C60"/>
    <w:rsid w:val="00C06177"/>
    <w:rsid w:val="00C06A73"/>
    <w:rsid w:val="00C06B37"/>
    <w:rsid w:val="00C06C93"/>
    <w:rsid w:val="00C06CBB"/>
    <w:rsid w:val="00C06CCA"/>
    <w:rsid w:val="00C077D2"/>
    <w:rsid w:val="00C104A2"/>
    <w:rsid w:val="00C10DB1"/>
    <w:rsid w:val="00C10F91"/>
    <w:rsid w:val="00C11290"/>
    <w:rsid w:val="00C11629"/>
    <w:rsid w:val="00C117D7"/>
    <w:rsid w:val="00C11A74"/>
    <w:rsid w:val="00C11B0E"/>
    <w:rsid w:val="00C1327F"/>
    <w:rsid w:val="00C137ED"/>
    <w:rsid w:val="00C13EC2"/>
    <w:rsid w:val="00C13F97"/>
    <w:rsid w:val="00C14032"/>
    <w:rsid w:val="00C14B07"/>
    <w:rsid w:val="00C14C64"/>
    <w:rsid w:val="00C1533D"/>
    <w:rsid w:val="00C15642"/>
    <w:rsid w:val="00C158E8"/>
    <w:rsid w:val="00C16406"/>
    <w:rsid w:val="00C16A43"/>
    <w:rsid w:val="00C16B51"/>
    <w:rsid w:val="00C16BFF"/>
    <w:rsid w:val="00C203F1"/>
    <w:rsid w:val="00C2103F"/>
    <w:rsid w:val="00C2115B"/>
    <w:rsid w:val="00C212C9"/>
    <w:rsid w:val="00C213C9"/>
    <w:rsid w:val="00C215B7"/>
    <w:rsid w:val="00C21916"/>
    <w:rsid w:val="00C2231D"/>
    <w:rsid w:val="00C223C2"/>
    <w:rsid w:val="00C22865"/>
    <w:rsid w:val="00C22959"/>
    <w:rsid w:val="00C22EFE"/>
    <w:rsid w:val="00C232B4"/>
    <w:rsid w:val="00C23660"/>
    <w:rsid w:val="00C24542"/>
    <w:rsid w:val="00C24573"/>
    <w:rsid w:val="00C24A21"/>
    <w:rsid w:val="00C24B88"/>
    <w:rsid w:val="00C24BD7"/>
    <w:rsid w:val="00C24C02"/>
    <w:rsid w:val="00C24E42"/>
    <w:rsid w:val="00C2509B"/>
    <w:rsid w:val="00C260FB"/>
    <w:rsid w:val="00C26449"/>
    <w:rsid w:val="00C26958"/>
    <w:rsid w:val="00C26C4F"/>
    <w:rsid w:val="00C26E9D"/>
    <w:rsid w:val="00C270BD"/>
    <w:rsid w:val="00C272B9"/>
    <w:rsid w:val="00C27B4F"/>
    <w:rsid w:val="00C306D2"/>
    <w:rsid w:val="00C30713"/>
    <w:rsid w:val="00C30868"/>
    <w:rsid w:val="00C30C66"/>
    <w:rsid w:val="00C30D12"/>
    <w:rsid w:val="00C30D2E"/>
    <w:rsid w:val="00C31188"/>
    <w:rsid w:val="00C316DA"/>
    <w:rsid w:val="00C31A11"/>
    <w:rsid w:val="00C31A7D"/>
    <w:rsid w:val="00C3259D"/>
    <w:rsid w:val="00C331EF"/>
    <w:rsid w:val="00C3391D"/>
    <w:rsid w:val="00C33A64"/>
    <w:rsid w:val="00C33C9D"/>
    <w:rsid w:val="00C342F9"/>
    <w:rsid w:val="00C34EDA"/>
    <w:rsid w:val="00C35077"/>
    <w:rsid w:val="00C3557F"/>
    <w:rsid w:val="00C35680"/>
    <w:rsid w:val="00C357F0"/>
    <w:rsid w:val="00C360FF"/>
    <w:rsid w:val="00C36400"/>
    <w:rsid w:val="00C364D7"/>
    <w:rsid w:val="00C36512"/>
    <w:rsid w:val="00C36726"/>
    <w:rsid w:val="00C369EA"/>
    <w:rsid w:val="00C36E83"/>
    <w:rsid w:val="00C36FF6"/>
    <w:rsid w:val="00C37232"/>
    <w:rsid w:val="00C3775B"/>
    <w:rsid w:val="00C37785"/>
    <w:rsid w:val="00C37A8E"/>
    <w:rsid w:val="00C40329"/>
    <w:rsid w:val="00C40532"/>
    <w:rsid w:val="00C408F4"/>
    <w:rsid w:val="00C40959"/>
    <w:rsid w:val="00C40F0E"/>
    <w:rsid w:val="00C412B5"/>
    <w:rsid w:val="00C41915"/>
    <w:rsid w:val="00C4213B"/>
    <w:rsid w:val="00C4272F"/>
    <w:rsid w:val="00C42CCB"/>
    <w:rsid w:val="00C42F98"/>
    <w:rsid w:val="00C43E6B"/>
    <w:rsid w:val="00C44293"/>
    <w:rsid w:val="00C44D88"/>
    <w:rsid w:val="00C44E94"/>
    <w:rsid w:val="00C44FE3"/>
    <w:rsid w:val="00C45511"/>
    <w:rsid w:val="00C457AD"/>
    <w:rsid w:val="00C45DF4"/>
    <w:rsid w:val="00C46029"/>
    <w:rsid w:val="00C46049"/>
    <w:rsid w:val="00C4628A"/>
    <w:rsid w:val="00C4635A"/>
    <w:rsid w:val="00C46693"/>
    <w:rsid w:val="00C4780E"/>
    <w:rsid w:val="00C47A9B"/>
    <w:rsid w:val="00C47EC6"/>
    <w:rsid w:val="00C508CA"/>
    <w:rsid w:val="00C508CB"/>
    <w:rsid w:val="00C50A89"/>
    <w:rsid w:val="00C50B29"/>
    <w:rsid w:val="00C5121A"/>
    <w:rsid w:val="00C52024"/>
    <w:rsid w:val="00C523B7"/>
    <w:rsid w:val="00C52656"/>
    <w:rsid w:val="00C529A7"/>
    <w:rsid w:val="00C52B04"/>
    <w:rsid w:val="00C52D79"/>
    <w:rsid w:val="00C52F75"/>
    <w:rsid w:val="00C533D2"/>
    <w:rsid w:val="00C53FEB"/>
    <w:rsid w:val="00C540D7"/>
    <w:rsid w:val="00C5452E"/>
    <w:rsid w:val="00C5478E"/>
    <w:rsid w:val="00C54C0A"/>
    <w:rsid w:val="00C54C77"/>
    <w:rsid w:val="00C54DDA"/>
    <w:rsid w:val="00C54FEC"/>
    <w:rsid w:val="00C55243"/>
    <w:rsid w:val="00C552D0"/>
    <w:rsid w:val="00C55319"/>
    <w:rsid w:val="00C55A03"/>
    <w:rsid w:val="00C55CB1"/>
    <w:rsid w:val="00C55D54"/>
    <w:rsid w:val="00C55E3D"/>
    <w:rsid w:val="00C569EC"/>
    <w:rsid w:val="00C5749C"/>
    <w:rsid w:val="00C575E5"/>
    <w:rsid w:val="00C57676"/>
    <w:rsid w:val="00C57CF4"/>
    <w:rsid w:val="00C60076"/>
    <w:rsid w:val="00C6009E"/>
    <w:rsid w:val="00C602BE"/>
    <w:rsid w:val="00C6090D"/>
    <w:rsid w:val="00C60A76"/>
    <w:rsid w:val="00C60F07"/>
    <w:rsid w:val="00C612E9"/>
    <w:rsid w:val="00C612FF"/>
    <w:rsid w:val="00C61C58"/>
    <w:rsid w:val="00C620BB"/>
    <w:rsid w:val="00C62C22"/>
    <w:rsid w:val="00C63261"/>
    <w:rsid w:val="00C63DD0"/>
    <w:rsid w:val="00C63E1D"/>
    <w:rsid w:val="00C6417C"/>
    <w:rsid w:val="00C64443"/>
    <w:rsid w:val="00C64EDC"/>
    <w:rsid w:val="00C6538D"/>
    <w:rsid w:val="00C65C66"/>
    <w:rsid w:val="00C661E8"/>
    <w:rsid w:val="00C663EA"/>
    <w:rsid w:val="00C66B46"/>
    <w:rsid w:val="00C66E55"/>
    <w:rsid w:val="00C6785B"/>
    <w:rsid w:val="00C67C0B"/>
    <w:rsid w:val="00C67CEB"/>
    <w:rsid w:val="00C67FE3"/>
    <w:rsid w:val="00C706FF"/>
    <w:rsid w:val="00C70A80"/>
    <w:rsid w:val="00C70FA4"/>
    <w:rsid w:val="00C71BB4"/>
    <w:rsid w:val="00C71DE3"/>
    <w:rsid w:val="00C72246"/>
    <w:rsid w:val="00C72613"/>
    <w:rsid w:val="00C7271A"/>
    <w:rsid w:val="00C72F21"/>
    <w:rsid w:val="00C7300E"/>
    <w:rsid w:val="00C73D12"/>
    <w:rsid w:val="00C747E5"/>
    <w:rsid w:val="00C749F4"/>
    <w:rsid w:val="00C74BBD"/>
    <w:rsid w:val="00C74C61"/>
    <w:rsid w:val="00C750F1"/>
    <w:rsid w:val="00C7524E"/>
    <w:rsid w:val="00C75347"/>
    <w:rsid w:val="00C75586"/>
    <w:rsid w:val="00C75F25"/>
    <w:rsid w:val="00C7640F"/>
    <w:rsid w:val="00C7653A"/>
    <w:rsid w:val="00C765D8"/>
    <w:rsid w:val="00C76608"/>
    <w:rsid w:val="00C76BFB"/>
    <w:rsid w:val="00C77BFA"/>
    <w:rsid w:val="00C77D5D"/>
    <w:rsid w:val="00C803C6"/>
    <w:rsid w:val="00C80816"/>
    <w:rsid w:val="00C809C2"/>
    <w:rsid w:val="00C80A03"/>
    <w:rsid w:val="00C80B5B"/>
    <w:rsid w:val="00C80B95"/>
    <w:rsid w:val="00C81BB4"/>
    <w:rsid w:val="00C82127"/>
    <w:rsid w:val="00C82201"/>
    <w:rsid w:val="00C8234B"/>
    <w:rsid w:val="00C82471"/>
    <w:rsid w:val="00C82E55"/>
    <w:rsid w:val="00C83B20"/>
    <w:rsid w:val="00C83E4D"/>
    <w:rsid w:val="00C84AE3"/>
    <w:rsid w:val="00C863D5"/>
    <w:rsid w:val="00C86E69"/>
    <w:rsid w:val="00C870A6"/>
    <w:rsid w:val="00C87123"/>
    <w:rsid w:val="00C87417"/>
    <w:rsid w:val="00C87450"/>
    <w:rsid w:val="00C901D3"/>
    <w:rsid w:val="00C903B3"/>
    <w:rsid w:val="00C903CC"/>
    <w:rsid w:val="00C909EC"/>
    <w:rsid w:val="00C90E8D"/>
    <w:rsid w:val="00C90FD3"/>
    <w:rsid w:val="00C914F4"/>
    <w:rsid w:val="00C91630"/>
    <w:rsid w:val="00C91A34"/>
    <w:rsid w:val="00C91DBC"/>
    <w:rsid w:val="00C92C7C"/>
    <w:rsid w:val="00C92E6A"/>
    <w:rsid w:val="00C92FDE"/>
    <w:rsid w:val="00C930FF"/>
    <w:rsid w:val="00C93218"/>
    <w:rsid w:val="00C94DC9"/>
    <w:rsid w:val="00C94FF3"/>
    <w:rsid w:val="00C952B9"/>
    <w:rsid w:val="00C95513"/>
    <w:rsid w:val="00C95C70"/>
    <w:rsid w:val="00C95FC4"/>
    <w:rsid w:val="00C960E9"/>
    <w:rsid w:val="00C969DE"/>
    <w:rsid w:val="00C96ACA"/>
    <w:rsid w:val="00C96B19"/>
    <w:rsid w:val="00C96B22"/>
    <w:rsid w:val="00C97087"/>
    <w:rsid w:val="00C97564"/>
    <w:rsid w:val="00C978CE"/>
    <w:rsid w:val="00C97B44"/>
    <w:rsid w:val="00C97FC5"/>
    <w:rsid w:val="00CA014E"/>
    <w:rsid w:val="00CA052D"/>
    <w:rsid w:val="00CA069D"/>
    <w:rsid w:val="00CA0E20"/>
    <w:rsid w:val="00CA118C"/>
    <w:rsid w:val="00CA1552"/>
    <w:rsid w:val="00CA193D"/>
    <w:rsid w:val="00CA19F5"/>
    <w:rsid w:val="00CA2210"/>
    <w:rsid w:val="00CA29B0"/>
    <w:rsid w:val="00CA2CEE"/>
    <w:rsid w:val="00CA33F5"/>
    <w:rsid w:val="00CA3BEA"/>
    <w:rsid w:val="00CA4145"/>
    <w:rsid w:val="00CA4C45"/>
    <w:rsid w:val="00CA5ECD"/>
    <w:rsid w:val="00CA5FBE"/>
    <w:rsid w:val="00CA615A"/>
    <w:rsid w:val="00CA67D7"/>
    <w:rsid w:val="00CA6B91"/>
    <w:rsid w:val="00CA7736"/>
    <w:rsid w:val="00CA7B9F"/>
    <w:rsid w:val="00CB00FC"/>
    <w:rsid w:val="00CB0275"/>
    <w:rsid w:val="00CB03A0"/>
    <w:rsid w:val="00CB06E4"/>
    <w:rsid w:val="00CB07E0"/>
    <w:rsid w:val="00CB0BF9"/>
    <w:rsid w:val="00CB0CAF"/>
    <w:rsid w:val="00CB13D5"/>
    <w:rsid w:val="00CB18B1"/>
    <w:rsid w:val="00CB1C3B"/>
    <w:rsid w:val="00CB207F"/>
    <w:rsid w:val="00CB269C"/>
    <w:rsid w:val="00CB285A"/>
    <w:rsid w:val="00CB28A6"/>
    <w:rsid w:val="00CB29F5"/>
    <w:rsid w:val="00CB2DD1"/>
    <w:rsid w:val="00CB2ED6"/>
    <w:rsid w:val="00CB3C00"/>
    <w:rsid w:val="00CB3DE2"/>
    <w:rsid w:val="00CB40CA"/>
    <w:rsid w:val="00CB4BC1"/>
    <w:rsid w:val="00CB4C0C"/>
    <w:rsid w:val="00CB4F52"/>
    <w:rsid w:val="00CB50E9"/>
    <w:rsid w:val="00CB5187"/>
    <w:rsid w:val="00CB5410"/>
    <w:rsid w:val="00CB58CA"/>
    <w:rsid w:val="00CB5A8F"/>
    <w:rsid w:val="00CB5DEB"/>
    <w:rsid w:val="00CB6760"/>
    <w:rsid w:val="00CB6BBF"/>
    <w:rsid w:val="00CB77F1"/>
    <w:rsid w:val="00CC0A59"/>
    <w:rsid w:val="00CC14BF"/>
    <w:rsid w:val="00CC17E5"/>
    <w:rsid w:val="00CC187E"/>
    <w:rsid w:val="00CC1CAF"/>
    <w:rsid w:val="00CC2E6F"/>
    <w:rsid w:val="00CC32AA"/>
    <w:rsid w:val="00CC358D"/>
    <w:rsid w:val="00CC3767"/>
    <w:rsid w:val="00CC3962"/>
    <w:rsid w:val="00CC3B34"/>
    <w:rsid w:val="00CC56EC"/>
    <w:rsid w:val="00CC5AE8"/>
    <w:rsid w:val="00CC5B45"/>
    <w:rsid w:val="00CC5EA2"/>
    <w:rsid w:val="00CC7080"/>
    <w:rsid w:val="00CC7469"/>
    <w:rsid w:val="00CC7AE5"/>
    <w:rsid w:val="00CC7C38"/>
    <w:rsid w:val="00CC7FFD"/>
    <w:rsid w:val="00CD0250"/>
    <w:rsid w:val="00CD057D"/>
    <w:rsid w:val="00CD0982"/>
    <w:rsid w:val="00CD1177"/>
    <w:rsid w:val="00CD133B"/>
    <w:rsid w:val="00CD15E6"/>
    <w:rsid w:val="00CD1932"/>
    <w:rsid w:val="00CD1C5B"/>
    <w:rsid w:val="00CD1E67"/>
    <w:rsid w:val="00CD2A9F"/>
    <w:rsid w:val="00CD2DBE"/>
    <w:rsid w:val="00CD2E27"/>
    <w:rsid w:val="00CD35D8"/>
    <w:rsid w:val="00CD414F"/>
    <w:rsid w:val="00CD483C"/>
    <w:rsid w:val="00CD484C"/>
    <w:rsid w:val="00CD4AB9"/>
    <w:rsid w:val="00CD4F2D"/>
    <w:rsid w:val="00CD559B"/>
    <w:rsid w:val="00CD573C"/>
    <w:rsid w:val="00CD59DA"/>
    <w:rsid w:val="00CD5C53"/>
    <w:rsid w:val="00CD6295"/>
    <w:rsid w:val="00CD662C"/>
    <w:rsid w:val="00CD6765"/>
    <w:rsid w:val="00CD6C19"/>
    <w:rsid w:val="00CD71BD"/>
    <w:rsid w:val="00CD7864"/>
    <w:rsid w:val="00CD786D"/>
    <w:rsid w:val="00CD7DF7"/>
    <w:rsid w:val="00CE0355"/>
    <w:rsid w:val="00CE0F0E"/>
    <w:rsid w:val="00CE1100"/>
    <w:rsid w:val="00CE173C"/>
    <w:rsid w:val="00CE26FD"/>
    <w:rsid w:val="00CE2A11"/>
    <w:rsid w:val="00CE2A62"/>
    <w:rsid w:val="00CE2A88"/>
    <w:rsid w:val="00CE2AE3"/>
    <w:rsid w:val="00CE313F"/>
    <w:rsid w:val="00CE3524"/>
    <w:rsid w:val="00CE3D0A"/>
    <w:rsid w:val="00CE4192"/>
    <w:rsid w:val="00CE4822"/>
    <w:rsid w:val="00CE485D"/>
    <w:rsid w:val="00CE4D65"/>
    <w:rsid w:val="00CE4E88"/>
    <w:rsid w:val="00CE4E92"/>
    <w:rsid w:val="00CE520F"/>
    <w:rsid w:val="00CE5432"/>
    <w:rsid w:val="00CE57B5"/>
    <w:rsid w:val="00CE58DE"/>
    <w:rsid w:val="00CE5E80"/>
    <w:rsid w:val="00CE63BA"/>
    <w:rsid w:val="00CE6A00"/>
    <w:rsid w:val="00CE74BE"/>
    <w:rsid w:val="00CE769A"/>
    <w:rsid w:val="00CF0244"/>
    <w:rsid w:val="00CF0471"/>
    <w:rsid w:val="00CF049D"/>
    <w:rsid w:val="00CF0BD5"/>
    <w:rsid w:val="00CF11C2"/>
    <w:rsid w:val="00CF129B"/>
    <w:rsid w:val="00CF1DD8"/>
    <w:rsid w:val="00CF204A"/>
    <w:rsid w:val="00CF2BAC"/>
    <w:rsid w:val="00CF2F91"/>
    <w:rsid w:val="00CF3172"/>
    <w:rsid w:val="00CF375D"/>
    <w:rsid w:val="00CF3A74"/>
    <w:rsid w:val="00CF4030"/>
    <w:rsid w:val="00CF4209"/>
    <w:rsid w:val="00CF4554"/>
    <w:rsid w:val="00CF4853"/>
    <w:rsid w:val="00CF51BA"/>
    <w:rsid w:val="00CF57AF"/>
    <w:rsid w:val="00CF5B81"/>
    <w:rsid w:val="00CF5DBF"/>
    <w:rsid w:val="00CF6116"/>
    <w:rsid w:val="00CF664B"/>
    <w:rsid w:val="00CF6A0E"/>
    <w:rsid w:val="00CF6B14"/>
    <w:rsid w:val="00CF6B87"/>
    <w:rsid w:val="00CF6EDC"/>
    <w:rsid w:val="00CF6F00"/>
    <w:rsid w:val="00CF70B9"/>
    <w:rsid w:val="00CF7815"/>
    <w:rsid w:val="00CF7ACA"/>
    <w:rsid w:val="00CF7DF5"/>
    <w:rsid w:val="00D0020A"/>
    <w:rsid w:val="00D00483"/>
    <w:rsid w:val="00D005EC"/>
    <w:rsid w:val="00D00890"/>
    <w:rsid w:val="00D00CC8"/>
    <w:rsid w:val="00D00D74"/>
    <w:rsid w:val="00D018A8"/>
    <w:rsid w:val="00D022FF"/>
    <w:rsid w:val="00D025D2"/>
    <w:rsid w:val="00D028EB"/>
    <w:rsid w:val="00D0343D"/>
    <w:rsid w:val="00D036D8"/>
    <w:rsid w:val="00D041A1"/>
    <w:rsid w:val="00D04335"/>
    <w:rsid w:val="00D04408"/>
    <w:rsid w:val="00D044E2"/>
    <w:rsid w:val="00D04584"/>
    <w:rsid w:val="00D049AA"/>
    <w:rsid w:val="00D04EC5"/>
    <w:rsid w:val="00D050E5"/>
    <w:rsid w:val="00D05567"/>
    <w:rsid w:val="00D055F8"/>
    <w:rsid w:val="00D0585D"/>
    <w:rsid w:val="00D05AFC"/>
    <w:rsid w:val="00D06841"/>
    <w:rsid w:val="00D0686A"/>
    <w:rsid w:val="00D07033"/>
    <w:rsid w:val="00D07039"/>
    <w:rsid w:val="00D073F9"/>
    <w:rsid w:val="00D07BE6"/>
    <w:rsid w:val="00D102D2"/>
    <w:rsid w:val="00D10446"/>
    <w:rsid w:val="00D10ADE"/>
    <w:rsid w:val="00D10CAF"/>
    <w:rsid w:val="00D11001"/>
    <w:rsid w:val="00D1181A"/>
    <w:rsid w:val="00D11DDB"/>
    <w:rsid w:val="00D11E91"/>
    <w:rsid w:val="00D11F0C"/>
    <w:rsid w:val="00D12036"/>
    <w:rsid w:val="00D12043"/>
    <w:rsid w:val="00D126DE"/>
    <w:rsid w:val="00D12F42"/>
    <w:rsid w:val="00D13432"/>
    <w:rsid w:val="00D13F05"/>
    <w:rsid w:val="00D14407"/>
    <w:rsid w:val="00D1450B"/>
    <w:rsid w:val="00D145D2"/>
    <w:rsid w:val="00D14C5D"/>
    <w:rsid w:val="00D14CBB"/>
    <w:rsid w:val="00D14E69"/>
    <w:rsid w:val="00D150C8"/>
    <w:rsid w:val="00D15CE0"/>
    <w:rsid w:val="00D16D34"/>
    <w:rsid w:val="00D17013"/>
    <w:rsid w:val="00D174B4"/>
    <w:rsid w:val="00D17952"/>
    <w:rsid w:val="00D17C23"/>
    <w:rsid w:val="00D17C6A"/>
    <w:rsid w:val="00D17E8D"/>
    <w:rsid w:val="00D20282"/>
    <w:rsid w:val="00D20943"/>
    <w:rsid w:val="00D20965"/>
    <w:rsid w:val="00D209DA"/>
    <w:rsid w:val="00D20EAB"/>
    <w:rsid w:val="00D20EF9"/>
    <w:rsid w:val="00D21470"/>
    <w:rsid w:val="00D21BE5"/>
    <w:rsid w:val="00D21EA9"/>
    <w:rsid w:val="00D2224D"/>
    <w:rsid w:val="00D22297"/>
    <w:rsid w:val="00D22613"/>
    <w:rsid w:val="00D23147"/>
    <w:rsid w:val="00D23B87"/>
    <w:rsid w:val="00D24000"/>
    <w:rsid w:val="00D24157"/>
    <w:rsid w:val="00D241C1"/>
    <w:rsid w:val="00D24305"/>
    <w:rsid w:val="00D24A1D"/>
    <w:rsid w:val="00D25659"/>
    <w:rsid w:val="00D25B6E"/>
    <w:rsid w:val="00D25DB9"/>
    <w:rsid w:val="00D2601E"/>
    <w:rsid w:val="00D26959"/>
    <w:rsid w:val="00D26C14"/>
    <w:rsid w:val="00D26D57"/>
    <w:rsid w:val="00D27457"/>
    <w:rsid w:val="00D279FD"/>
    <w:rsid w:val="00D27E09"/>
    <w:rsid w:val="00D30144"/>
    <w:rsid w:val="00D30446"/>
    <w:rsid w:val="00D308A3"/>
    <w:rsid w:val="00D31064"/>
    <w:rsid w:val="00D311DB"/>
    <w:rsid w:val="00D32752"/>
    <w:rsid w:val="00D3298E"/>
    <w:rsid w:val="00D32B2C"/>
    <w:rsid w:val="00D32F69"/>
    <w:rsid w:val="00D32FC0"/>
    <w:rsid w:val="00D339C1"/>
    <w:rsid w:val="00D33A45"/>
    <w:rsid w:val="00D33D67"/>
    <w:rsid w:val="00D3408E"/>
    <w:rsid w:val="00D345A4"/>
    <w:rsid w:val="00D3473F"/>
    <w:rsid w:val="00D34BB8"/>
    <w:rsid w:val="00D35084"/>
    <w:rsid w:val="00D35B1D"/>
    <w:rsid w:val="00D36837"/>
    <w:rsid w:val="00D368C2"/>
    <w:rsid w:val="00D37615"/>
    <w:rsid w:val="00D378FA"/>
    <w:rsid w:val="00D37F24"/>
    <w:rsid w:val="00D37F98"/>
    <w:rsid w:val="00D404C3"/>
    <w:rsid w:val="00D40C5C"/>
    <w:rsid w:val="00D40EBC"/>
    <w:rsid w:val="00D40F17"/>
    <w:rsid w:val="00D40F97"/>
    <w:rsid w:val="00D41718"/>
    <w:rsid w:val="00D41E19"/>
    <w:rsid w:val="00D425A1"/>
    <w:rsid w:val="00D426F6"/>
    <w:rsid w:val="00D4289B"/>
    <w:rsid w:val="00D42AB2"/>
    <w:rsid w:val="00D42E68"/>
    <w:rsid w:val="00D43FBD"/>
    <w:rsid w:val="00D44450"/>
    <w:rsid w:val="00D445FE"/>
    <w:rsid w:val="00D44CAC"/>
    <w:rsid w:val="00D44D4D"/>
    <w:rsid w:val="00D44F34"/>
    <w:rsid w:val="00D45639"/>
    <w:rsid w:val="00D46ED7"/>
    <w:rsid w:val="00D47140"/>
    <w:rsid w:val="00D47647"/>
    <w:rsid w:val="00D476FA"/>
    <w:rsid w:val="00D47BFD"/>
    <w:rsid w:val="00D502F5"/>
    <w:rsid w:val="00D5031F"/>
    <w:rsid w:val="00D506F1"/>
    <w:rsid w:val="00D50FB1"/>
    <w:rsid w:val="00D51C5E"/>
    <w:rsid w:val="00D52121"/>
    <w:rsid w:val="00D52EDB"/>
    <w:rsid w:val="00D53039"/>
    <w:rsid w:val="00D532B3"/>
    <w:rsid w:val="00D537D2"/>
    <w:rsid w:val="00D53810"/>
    <w:rsid w:val="00D53A0A"/>
    <w:rsid w:val="00D53E02"/>
    <w:rsid w:val="00D547BC"/>
    <w:rsid w:val="00D54C7B"/>
    <w:rsid w:val="00D54DEA"/>
    <w:rsid w:val="00D54E7B"/>
    <w:rsid w:val="00D55519"/>
    <w:rsid w:val="00D565C7"/>
    <w:rsid w:val="00D567E8"/>
    <w:rsid w:val="00D56D5B"/>
    <w:rsid w:val="00D56F16"/>
    <w:rsid w:val="00D5707C"/>
    <w:rsid w:val="00D570E2"/>
    <w:rsid w:val="00D57310"/>
    <w:rsid w:val="00D57477"/>
    <w:rsid w:val="00D576E1"/>
    <w:rsid w:val="00D5792A"/>
    <w:rsid w:val="00D57932"/>
    <w:rsid w:val="00D6018E"/>
    <w:rsid w:val="00D6034B"/>
    <w:rsid w:val="00D60969"/>
    <w:rsid w:val="00D60ED1"/>
    <w:rsid w:val="00D6134E"/>
    <w:rsid w:val="00D619BA"/>
    <w:rsid w:val="00D620B8"/>
    <w:rsid w:val="00D623F2"/>
    <w:rsid w:val="00D62BFC"/>
    <w:rsid w:val="00D62F43"/>
    <w:rsid w:val="00D6328B"/>
    <w:rsid w:val="00D6362E"/>
    <w:rsid w:val="00D636C2"/>
    <w:rsid w:val="00D63A99"/>
    <w:rsid w:val="00D6407D"/>
    <w:rsid w:val="00D6411D"/>
    <w:rsid w:val="00D64559"/>
    <w:rsid w:val="00D64CE2"/>
    <w:rsid w:val="00D655A4"/>
    <w:rsid w:val="00D65635"/>
    <w:rsid w:val="00D65999"/>
    <w:rsid w:val="00D65C68"/>
    <w:rsid w:val="00D65F18"/>
    <w:rsid w:val="00D665AF"/>
    <w:rsid w:val="00D666DE"/>
    <w:rsid w:val="00D66CA4"/>
    <w:rsid w:val="00D66FA4"/>
    <w:rsid w:val="00D675C3"/>
    <w:rsid w:val="00D67877"/>
    <w:rsid w:val="00D6794D"/>
    <w:rsid w:val="00D67CA1"/>
    <w:rsid w:val="00D70877"/>
    <w:rsid w:val="00D7115C"/>
    <w:rsid w:val="00D7176B"/>
    <w:rsid w:val="00D71AC8"/>
    <w:rsid w:val="00D71E3F"/>
    <w:rsid w:val="00D71FD1"/>
    <w:rsid w:val="00D721A3"/>
    <w:rsid w:val="00D722EC"/>
    <w:rsid w:val="00D725AC"/>
    <w:rsid w:val="00D72AF0"/>
    <w:rsid w:val="00D72BC9"/>
    <w:rsid w:val="00D72C5A"/>
    <w:rsid w:val="00D72FE1"/>
    <w:rsid w:val="00D73B5E"/>
    <w:rsid w:val="00D73BCC"/>
    <w:rsid w:val="00D73D08"/>
    <w:rsid w:val="00D74159"/>
    <w:rsid w:val="00D7452F"/>
    <w:rsid w:val="00D745ED"/>
    <w:rsid w:val="00D75060"/>
    <w:rsid w:val="00D753CB"/>
    <w:rsid w:val="00D77288"/>
    <w:rsid w:val="00D772E2"/>
    <w:rsid w:val="00D77D1F"/>
    <w:rsid w:val="00D77D97"/>
    <w:rsid w:val="00D80B57"/>
    <w:rsid w:val="00D80EF0"/>
    <w:rsid w:val="00D81F9B"/>
    <w:rsid w:val="00D82019"/>
    <w:rsid w:val="00D821A7"/>
    <w:rsid w:val="00D82268"/>
    <w:rsid w:val="00D823B0"/>
    <w:rsid w:val="00D824C3"/>
    <w:rsid w:val="00D832DB"/>
    <w:rsid w:val="00D83371"/>
    <w:rsid w:val="00D833A2"/>
    <w:rsid w:val="00D835DB"/>
    <w:rsid w:val="00D8391B"/>
    <w:rsid w:val="00D83ED5"/>
    <w:rsid w:val="00D840FC"/>
    <w:rsid w:val="00D841CA"/>
    <w:rsid w:val="00D8462E"/>
    <w:rsid w:val="00D8483E"/>
    <w:rsid w:val="00D84F13"/>
    <w:rsid w:val="00D860D8"/>
    <w:rsid w:val="00D86488"/>
    <w:rsid w:val="00D8738A"/>
    <w:rsid w:val="00D87638"/>
    <w:rsid w:val="00D879A4"/>
    <w:rsid w:val="00D87A1D"/>
    <w:rsid w:val="00D87C9A"/>
    <w:rsid w:val="00D907D5"/>
    <w:rsid w:val="00D90925"/>
    <w:rsid w:val="00D9094B"/>
    <w:rsid w:val="00D91068"/>
    <w:rsid w:val="00D91DE8"/>
    <w:rsid w:val="00D92C1A"/>
    <w:rsid w:val="00D93ABE"/>
    <w:rsid w:val="00D93CAB"/>
    <w:rsid w:val="00D93DB5"/>
    <w:rsid w:val="00D9451C"/>
    <w:rsid w:val="00D9504C"/>
    <w:rsid w:val="00D9525A"/>
    <w:rsid w:val="00D95D4C"/>
    <w:rsid w:val="00D9710B"/>
    <w:rsid w:val="00D97574"/>
    <w:rsid w:val="00D97A7B"/>
    <w:rsid w:val="00D97B92"/>
    <w:rsid w:val="00DA0119"/>
    <w:rsid w:val="00DA01AF"/>
    <w:rsid w:val="00DA0204"/>
    <w:rsid w:val="00DA02A0"/>
    <w:rsid w:val="00DA0334"/>
    <w:rsid w:val="00DA0614"/>
    <w:rsid w:val="00DA1F95"/>
    <w:rsid w:val="00DA224A"/>
    <w:rsid w:val="00DA22A5"/>
    <w:rsid w:val="00DA24B0"/>
    <w:rsid w:val="00DA282C"/>
    <w:rsid w:val="00DA2DA9"/>
    <w:rsid w:val="00DA332B"/>
    <w:rsid w:val="00DA3BF2"/>
    <w:rsid w:val="00DA3CB7"/>
    <w:rsid w:val="00DA3EB1"/>
    <w:rsid w:val="00DA3F25"/>
    <w:rsid w:val="00DA41BA"/>
    <w:rsid w:val="00DA4342"/>
    <w:rsid w:val="00DA496E"/>
    <w:rsid w:val="00DA4F42"/>
    <w:rsid w:val="00DA52B4"/>
    <w:rsid w:val="00DA58E0"/>
    <w:rsid w:val="00DA5A95"/>
    <w:rsid w:val="00DA5BBF"/>
    <w:rsid w:val="00DA61EE"/>
    <w:rsid w:val="00DA6252"/>
    <w:rsid w:val="00DA63CF"/>
    <w:rsid w:val="00DA6D83"/>
    <w:rsid w:val="00DA6E77"/>
    <w:rsid w:val="00DA7798"/>
    <w:rsid w:val="00DA7E06"/>
    <w:rsid w:val="00DA7E25"/>
    <w:rsid w:val="00DB0153"/>
    <w:rsid w:val="00DB061B"/>
    <w:rsid w:val="00DB0C2A"/>
    <w:rsid w:val="00DB0F2D"/>
    <w:rsid w:val="00DB2918"/>
    <w:rsid w:val="00DB2B96"/>
    <w:rsid w:val="00DB32D3"/>
    <w:rsid w:val="00DB3928"/>
    <w:rsid w:val="00DB404F"/>
    <w:rsid w:val="00DB4BC2"/>
    <w:rsid w:val="00DB549E"/>
    <w:rsid w:val="00DB5691"/>
    <w:rsid w:val="00DB57A5"/>
    <w:rsid w:val="00DB5CBA"/>
    <w:rsid w:val="00DB5EF4"/>
    <w:rsid w:val="00DB5EFF"/>
    <w:rsid w:val="00DB657A"/>
    <w:rsid w:val="00DB6621"/>
    <w:rsid w:val="00DB6774"/>
    <w:rsid w:val="00DB6ED2"/>
    <w:rsid w:val="00DB705B"/>
    <w:rsid w:val="00DB74B7"/>
    <w:rsid w:val="00DB7C64"/>
    <w:rsid w:val="00DB7CC1"/>
    <w:rsid w:val="00DB7E27"/>
    <w:rsid w:val="00DC01A3"/>
    <w:rsid w:val="00DC074E"/>
    <w:rsid w:val="00DC0DC2"/>
    <w:rsid w:val="00DC115D"/>
    <w:rsid w:val="00DC14BF"/>
    <w:rsid w:val="00DC1C16"/>
    <w:rsid w:val="00DC27A9"/>
    <w:rsid w:val="00DC2F77"/>
    <w:rsid w:val="00DC2FD2"/>
    <w:rsid w:val="00DC34B5"/>
    <w:rsid w:val="00DC3722"/>
    <w:rsid w:val="00DC400F"/>
    <w:rsid w:val="00DC40F9"/>
    <w:rsid w:val="00DC439C"/>
    <w:rsid w:val="00DC4488"/>
    <w:rsid w:val="00DC4928"/>
    <w:rsid w:val="00DC50CF"/>
    <w:rsid w:val="00DC517C"/>
    <w:rsid w:val="00DC568E"/>
    <w:rsid w:val="00DC5A06"/>
    <w:rsid w:val="00DC643C"/>
    <w:rsid w:val="00DC6A4C"/>
    <w:rsid w:val="00DC6F88"/>
    <w:rsid w:val="00DC7263"/>
    <w:rsid w:val="00DC7791"/>
    <w:rsid w:val="00DC7ABB"/>
    <w:rsid w:val="00DC7CE9"/>
    <w:rsid w:val="00DD0175"/>
    <w:rsid w:val="00DD056C"/>
    <w:rsid w:val="00DD067C"/>
    <w:rsid w:val="00DD0A5D"/>
    <w:rsid w:val="00DD15EE"/>
    <w:rsid w:val="00DD17B3"/>
    <w:rsid w:val="00DD279B"/>
    <w:rsid w:val="00DD284F"/>
    <w:rsid w:val="00DD2E10"/>
    <w:rsid w:val="00DD2FDD"/>
    <w:rsid w:val="00DD3016"/>
    <w:rsid w:val="00DD33BC"/>
    <w:rsid w:val="00DD3993"/>
    <w:rsid w:val="00DD428B"/>
    <w:rsid w:val="00DD4BDB"/>
    <w:rsid w:val="00DD4F93"/>
    <w:rsid w:val="00DD51D7"/>
    <w:rsid w:val="00DD53CA"/>
    <w:rsid w:val="00DD53E5"/>
    <w:rsid w:val="00DD54CD"/>
    <w:rsid w:val="00DD56D3"/>
    <w:rsid w:val="00DD577E"/>
    <w:rsid w:val="00DD5BA8"/>
    <w:rsid w:val="00DD65AF"/>
    <w:rsid w:val="00DD65F3"/>
    <w:rsid w:val="00DD6979"/>
    <w:rsid w:val="00DD6E2C"/>
    <w:rsid w:val="00DD6FD3"/>
    <w:rsid w:val="00DD708F"/>
    <w:rsid w:val="00DD7617"/>
    <w:rsid w:val="00DD7D2F"/>
    <w:rsid w:val="00DD7DF9"/>
    <w:rsid w:val="00DE0998"/>
    <w:rsid w:val="00DE0AAA"/>
    <w:rsid w:val="00DE0E1F"/>
    <w:rsid w:val="00DE14F8"/>
    <w:rsid w:val="00DE211B"/>
    <w:rsid w:val="00DE263E"/>
    <w:rsid w:val="00DE275C"/>
    <w:rsid w:val="00DE2ADD"/>
    <w:rsid w:val="00DE2B29"/>
    <w:rsid w:val="00DE30AF"/>
    <w:rsid w:val="00DE34B6"/>
    <w:rsid w:val="00DE3E70"/>
    <w:rsid w:val="00DE4160"/>
    <w:rsid w:val="00DE475A"/>
    <w:rsid w:val="00DE47CB"/>
    <w:rsid w:val="00DE4819"/>
    <w:rsid w:val="00DE4B31"/>
    <w:rsid w:val="00DE5348"/>
    <w:rsid w:val="00DE545E"/>
    <w:rsid w:val="00DE5B60"/>
    <w:rsid w:val="00DE6060"/>
    <w:rsid w:val="00DE6B3E"/>
    <w:rsid w:val="00DE6E1A"/>
    <w:rsid w:val="00DE6F25"/>
    <w:rsid w:val="00DE7179"/>
    <w:rsid w:val="00DE78D4"/>
    <w:rsid w:val="00DE796F"/>
    <w:rsid w:val="00DE7B61"/>
    <w:rsid w:val="00DE7FD0"/>
    <w:rsid w:val="00DF027A"/>
    <w:rsid w:val="00DF098A"/>
    <w:rsid w:val="00DF0F58"/>
    <w:rsid w:val="00DF123C"/>
    <w:rsid w:val="00DF1D42"/>
    <w:rsid w:val="00DF1E64"/>
    <w:rsid w:val="00DF2131"/>
    <w:rsid w:val="00DF224C"/>
    <w:rsid w:val="00DF228E"/>
    <w:rsid w:val="00DF27C9"/>
    <w:rsid w:val="00DF27CE"/>
    <w:rsid w:val="00DF2D40"/>
    <w:rsid w:val="00DF3356"/>
    <w:rsid w:val="00DF37A2"/>
    <w:rsid w:val="00DF3B71"/>
    <w:rsid w:val="00DF3E29"/>
    <w:rsid w:val="00DF43C0"/>
    <w:rsid w:val="00DF5917"/>
    <w:rsid w:val="00DF5AD5"/>
    <w:rsid w:val="00DF63F8"/>
    <w:rsid w:val="00DF6530"/>
    <w:rsid w:val="00DF6AC8"/>
    <w:rsid w:val="00DF6E18"/>
    <w:rsid w:val="00DF7085"/>
    <w:rsid w:val="00DF71A3"/>
    <w:rsid w:val="00DF7612"/>
    <w:rsid w:val="00DF7F58"/>
    <w:rsid w:val="00E000AB"/>
    <w:rsid w:val="00E0017E"/>
    <w:rsid w:val="00E007B9"/>
    <w:rsid w:val="00E014F4"/>
    <w:rsid w:val="00E0187C"/>
    <w:rsid w:val="00E018C3"/>
    <w:rsid w:val="00E02171"/>
    <w:rsid w:val="00E02DE4"/>
    <w:rsid w:val="00E02F75"/>
    <w:rsid w:val="00E0310F"/>
    <w:rsid w:val="00E03880"/>
    <w:rsid w:val="00E03E8D"/>
    <w:rsid w:val="00E04116"/>
    <w:rsid w:val="00E04385"/>
    <w:rsid w:val="00E0438D"/>
    <w:rsid w:val="00E04815"/>
    <w:rsid w:val="00E04B64"/>
    <w:rsid w:val="00E05362"/>
    <w:rsid w:val="00E056CA"/>
    <w:rsid w:val="00E05F98"/>
    <w:rsid w:val="00E0707C"/>
    <w:rsid w:val="00E07CD9"/>
    <w:rsid w:val="00E101BF"/>
    <w:rsid w:val="00E11FBC"/>
    <w:rsid w:val="00E12906"/>
    <w:rsid w:val="00E12E92"/>
    <w:rsid w:val="00E13029"/>
    <w:rsid w:val="00E13052"/>
    <w:rsid w:val="00E138A8"/>
    <w:rsid w:val="00E13C6A"/>
    <w:rsid w:val="00E13F23"/>
    <w:rsid w:val="00E141CC"/>
    <w:rsid w:val="00E1422D"/>
    <w:rsid w:val="00E143AA"/>
    <w:rsid w:val="00E147FF"/>
    <w:rsid w:val="00E14BC6"/>
    <w:rsid w:val="00E150A3"/>
    <w:rsid w:val="00E151A8"/>
    <w:rsid w:val="00E15855"/>
    <w:rsid w:val="00E15856"/>
    <w:rsid w:val="00E15997"/>
    <w:rsid w:val="00E15B95"/>
    <w:rsid w:val="00E16250"/>
    <w:rsid w:val="00E16353"/>
    <w:rsid w:val="00E16659"/>
    <w:rsid w:val="00E167D1"/>
    <w:rsid w:val="00E1723A"/>
    <w:rsid w:val="00E17872"/>
    <w:rsid w:val="00E1794F"/>
    <w:rsid w:val="00E17DF1"/>
    <w:rsid w:val="00E20474"/>
    <w:rsid w:val="00E20892"/>
    <w:rsid w:val="00E20FF5"/>
    <w:rsid w:val="00E21744"/>
    <w:rsid w:val="00E21DA2"/>
    <w:rsid w:val="00E21E38"/>
    <w:rsid w:val="00E22125"/>
    <w:rsid w:val="00E22585"/>
    <w:rsid w:val="00E22643"/>
    <w:rsid w:val="00E2300C"/>
    <w:rsid w:val="00E2422A"/>
    <w:rsid w:val="00E24B67"/>
    <w:rsid w:val="00E24CD3"/>
    <w:rsid w:val="00E25827"/>
    <w:rsid w:val="00E258E0"/>
    <w:rsid w:val="00E25F99"/>
    <w:rsid w:val="00E261FF"/>
    <w:rsid w:val="00E26200"/>
    <w:rsid w:val="00E26323"/>
    <w:rsid w:val="00E267D3"/>
    <w:rsid w:val="00E268C7"/>
    <w:rsid w:val="00E269B2"/>
    <w:rsid w:val="00E26ADC"/>
    <w:rsid w:val="00E26B23"/>
    <w:rsid w:val="00E26BD2"/>
    <w:rsid w:val="00E277FE"/>
    <w:rsid w:val="00E2799F"/>
    <w:rsid w:val="00E27A89"/>
    <w:rsid w:val="00E30616"/>
    <w:rsid w:val="00E3137A"/>
    <w:rsid w:val="00E3186A"/>
    <w:rsid w:val="00E31C38"/>
    <w:rsid w:val="00E3206D"/>
    <w:rsid w:val="00E32B58"/>
    <w:rsid w:val="00E330B9"/>
    <w:rsid w:val="00E339BC"/>
    <w:rsid w:val="00E34272"/>
    <w:rsid w:val="00E34589"/>
    <w:rsid w:val="00E34B0E"/>
    <w:rsid w:val="00E35052"/>
    <w:rsid w:val="00E35172"/>
    <w:rsid w:val="00E364E9"/>
    <w:rsid w:val="00E36643"/>
    <w:rsid w:val="00E373A9"/>
    <w:rsid w:val="00E37479"/>
    <w:rsid w:val="00E376C5"/>
    <w:rsid w:val="00E37EE3"/>
    <w:rsid w:val="00E4013F"/>
    <w:rsid w:val="00E40663"/>
    <w:rsid w:val="00E40D76"/>
    <w:rsid w:val="00E41321"/>
    <w:rsid w:val="00E417C4"/>
    <w:rsid w:val="00E41CDF"/>
    <w:rsid w:val="00E425E1"/>
    <w:rsid w:val="00E42A7F"/>
    <w:rsid w:val="00E43FC9"/>
    <w:rsid w:val="00E44366"/>
    <w:rsid w:val="00E443C6"/>
    <w:rsid w:val="00E44657"/>
    <w:rsid w:val="00E446B9"/>
    <w:rsid w:val="00E4486D"/>
    <w:rsid w:val="00E450FA"/>
    <w:rsid w:val="00E45617"/>
    <w:rsid w:val="00E45626"/>
    <w:rsid w:val="00E46273"/>
    <w:rsid w:val="00E464A9"/>
    <w:rsid w:val="00E46F7F"/>
    <w:rsid w:val="00E4768E"/>
    <w:rsid w:val="00E47AFB"/>
    <w:rsid w:val="00E50252"/>
    <w:rsid w:val="00E50316"/>
    <w:rsid w:val="00E50A2A"/>
    <w:rsid w:val="00E50A7A"/>
    <w:rsid w:val="00E50FBF"/>
    <w:rsid w:val="00E51FE0"/>
    <w:rsid w:val="00E52254"/>
    <w:rsid w:val="00E529BC"/>
    <w:rsid w:val="00E52D3F"/>
    <w:rsid w:val="00E52DAD"/>
    <w:rsid w:val="00E53452"/>
    <w:rsid w:val="00E534C3"/>
    <w:rsid w:val="00E53C0D"/>
    <w:rsid w:val="00E54020"/>
    <w:rsid w:val="00E54528"/>
    <w:rsid w:val="00E5460D"/>
    <w:rsid w:val="00E548E1"/>
    <w:rsid w:val="00E54BA6"/>
    <w:rsid w:val="00E55282"/>
    <w:rsid w:val="00E55899"/>
    <w:rsid w:val="00E55D86"/>
    <w:rsid w:val="00E55DFA"/>
    <w:rsid w:val="00E56D57"/>
    <w:rsid w:val="00E575FA"/>
    <w:rsid w:val="00E57726"/>
    <w:rsid w:val="00E57A63"/>
    <w:rsid w:val="00E6012C"/>
    <w:rsid w:val="00E60182"/>
    <w:rsid w:val="00E60246"/>
    <w:rsid w:val="00E60569"/>
    <w:rsid w:val="00E605B1"/>
    <w:rsid w:val="00E60C40"/>
    <w:rsid w:val="00E617D9"/>
    <w:rsid w:val="00E61809"/>
    <w:rsid w:val="00E61BE6"/>
    <w:rsid w:val="00E61BFF"/>
    <w:rsid w:val="00E61CA9"/>
    <w:rsid w:val="00E61D33"/>
    <w:rsid w:val="00E6237D"/>
    <w:rsid w:val="00E6278D"/>
    <w:rsid w:val="00E627EA"/>
    <w:rsid w:val="00E62C45"/>
    <w:rsid w:val="00E62D78"/>
    <w:rsid w:val="00E63A29"/>
    <w:rsid w:val="00E63BCB"/>
    <w:rsid w:val="00E6439C"/>
    <w:rsid w:val="00E644AD"/>
    <w:rsid w:val="00E64AA6"/>
    <w:rsid w:val="00E64D9D"/>
    <w:rsid w:val="00E65118"/>
    <w:rsid w:val="00E65A2A"/>
    <w:rsid w:val="00E65BC7"/>
    <w:rsid w:val="00E66213"/>
    <w:rsid w:val="00E66300"/>
    <w:rsid w:val="00E66863"/>
    <w:rsid w:val="00E66AE2"/>
    <w:rsid w:val="00E66E0D"/>
    <w:rsid w:val="00E67491"/>
    <w:rsid w:val="00E67A60"/>
    <w:rsid w:val="00E67ADC"/>
    <w:rsid w:val="00E67B5C"/>
    <w:rsid w:val="00E702C2"/>
    <w:rsid w:val="00E704B5"/>
    <w:rsid w:val="00E70627"/>
    <w:rsid w:val="00E70A01"/>
    <w:rsid w:val="00E71308"/>
    <w:rsid w:val="00E71A28"/>
    <w:rsid w:val="00E72009"/>
    <w:rsid w:val="00E723AF"/>
    <w:rsid w:val="00E72876"/>
    <w:rsid w:val="00E729F1"/>
    <w:rsid w:val="00E72E7B"/>
    <w:rsid w:val="00E733DD"/>
    <w:rsid w:val="00E739B4"/>
    <w:rsid w:val="00E74F5C"/>
    <w:rsid w:val="00E75122"/>
    <w:rsid w:val="00E753B5"/>
    <w:rsid w:val="00E76992"/>
    <w:rsid w:val="00E76C80"/>
    <w:rsid w:val="00E76DE4"/>
    <w:rsid w:val="00E7749A"/>
    <w:rsid w:val="00E775EC"/>
    <w:rsid w:val="00E77AAD"/>
    <w:rsid w:val="00E77EE2"/>
    <w:rsid w:val="00E801DE"/>
    <w:rsid w:val="00E802EC"/>
    <w:rsid w:val="00E8073C"/>
    <w:rsid w:val="00E80A81"/>
    <w:rsid w:val="00E80D54"/>
    <w:rsid w:val="00E80D80"/>
    <w:rsid w:val="00E80F29"/>
    <w:rsid w:val="00E8299A"/>
    <w:rsid w:val="00E82A01"/>
    <w:rsid w:val="00E82A72"/>
    <w:rsid w:val="00E833E5"/>
    <w:rsid w:val="00E83D57"/>
    <w:rsid w:val="00E83EE4"/>
    <w:rsid w:val="00E84C50"/>
    <w:rsid w:val="00E84CE1"/>
    <w:rsid w:val="00E84ECF"/>
    <w:rsid w:val="00E853AB"/>
    <w:rsid w:val="00E8551C"/>
    <w:rsid w:val="00E85632"/>
    <w:rsid w:val="00E85762"/>
    <w:rsid w:val="00E85EE9"/>
    <w:rsid w:val="00E85FEC"/>
    <w:rsid w:val="00E861DF"/>
    <w:rsid w:val="00E86350"/>
    <w:rsid w:val="00E86615"/>
    <w:rsid w:val="00E86657"/>
    <w:rsid w:val="00E86934"/>
    <w:rsid w:val="00E8693E"/>
    <w:rsid w:val="00E8799C"/>
    <w:rsid w:val="00E87AE0"/>
    <w:rsid w:val="00E90235"/>
    <w:rsid w:val="00E9062D"/>
    <w:rsid w:val="00E90C17"/>
    <w:rsid w:val="00E90F11"/>
    <w:rsid w:val="00E914CA"/>
    <w:rsid w:val="00E914FF"/>
    <w:rsid w:val="00E919A9"/>
    <w:rsid w:val="00E91D61"/>
    <w:rsid w:val="00E92231"/>
    <w:rsid w:val="00E92412"/>
    <w:rsid w:val="00E924DA"/>
    <w:rsid w:val="00E928BF"/>
    <w:rsid w:val="00E928E8"/>
    <w:rsid w:val="00E9346D"/>
    <w:rsid w:val="00E9357F"/>
    <w:rsid w:val="00E938C1"/>
    <w:rsid w:val="00E938EE"/>
    <w:rsid w:val="00E93B54"/>
    <w:rsid w:val="00E93E44"/>
    <w:rsid w:val="00E9464A"/>
    <w:rsid w:val="00E948ED"/>
    <w:rsid w:val="00E94C3B"/>
    <w:rsid w:val="00E94DBD"/>
    <w:rsid w:val="00E94FE8"/>
    <w:rsid w:val="00E96E31"/>
    <w:rsid w:val="00E97111"/>
    <w:rsid w:val="00E97218"/>
    <w:rsid w:val="00E974EB"/>
    <w:rsid w:val="00E97637"/>
    <w:rsid w:val="00E97B9B"/>
    <w:rsid w:val="00E97BEB"/>
    <w:rsid w:val="00EA0D5B"/>
    <w:rsid w:val="00EA0F73"/>
    <w:rsid w:val="00EA0FBE"/>
    <w:rsid w:val="00EA0FDA"/>
    <w:rsid w:val="00EA1074"/>
    <w:rsid w:val="00EA14C9"/>
    <w:rsid w:val="00EA1CA1"/>
    <w:rsid w:val="00EA1F2A"/>
    <w:rsid w:val="00EA215B"/>
    <w:rsid w:val="00EA232B"/>
    <w:rsid w:val="00EA2C65"/>
    <w:rsid w:val="00EA2CCD"/>
    <w:rsid w:val="00EA318F"/>
    <w:rsid w:val="00EA3602"/>
    <w:rsid w:val="00EA3957"/>
    <w:rsid w:val="00EA39DD"/>
    <w:rsid w:val="00EA3A30"/>
    <w:rsid w:val="00EA3C4E"/>
    <w:rsid w:val="00EA3CAB"/>
    <w:rsid w:val="00EA5B63"/>
    <w:rsid w:val="00EA5E32"/>
    <w:rsid w:val="00EA676A"/>
    <w:rsid w:val="00EA6D11"/>
    <w:rsid w:val="00EA77F2"/>
    <w:rsid w:val="00EA7892"/>
    <w:rsid w:val="00EB1DB2"/>
    <w:rsid w:val="00EB2031"/>
    <w:rsid w:val="00EB228D"/>
    <w:rsid w:val="00EB233B"/>
    <w:rsid w:val="00EB2685"/>
    <w:rsid w:val="00EB2B49"/>
    <w:rsid w:val="00EB2CFA"/>
    <w:rsid w:val="00EB32B9"/>
    <w:rsid w:val="00EB359A"/>
    <w:rsid w:val="00EB3D1A"/>
    <w:rsid w:val="00EB413E"/>
    <w:rsid w:val="00EB4363"/>
    <w:rsid w:val="00EB4471"/>
    <w:rsid w:val="00EB48F4"/>
    <w:rsid w:val="00EB4E24"/>
    <w:rsid w:val="00EB5128"/>
    <w:rsid w:val="00EB529F"/>
    <w:rsid w:val="00EB5419"/>
    <w:rsid w:val="00EB55C3"/>
    <w:rsid w:val="00EB5662"/>
    <w:rsid w:val="00EB64A5"/>
    <w:rsid w:val="00EB64E6"/>
    <w:rsid w:val="00EB6645"/>
    <w:rsid w:val="00EB67F6"/>
    <w:rsid w:val="00EB6ABD"/>
    <w:rsid w:val="00EB6EC1"/>
    <w:rsid w:val="00EB7807"/>
    <w:rsid w:val="00EB7F4F"/>
    <w:rsid w:val="00EC003E"/>
    <w:rsid w:val="00EC0C48"/>
    <w:rsid w:val="00EC0E32"/>
    <w:rsid w:val="00EC161D"/>
    <w:rsid w:val="00EC183F"/>
    <w:rsid w:val="00EC1B19"/>
    <w:rsid w:val="00EC1D51"/>
    <w:rsid w:val="00EC1E36"/>
    <w:rsid w:val="00EC2007"/>
    <w:rsid w:val="00EC205D"/>
    <w:rsid w:val="00EC22FA"/>
    <w:rsid w:val="00EC268E"/>
    <w:rsid w:val="00EC3024"/>
    <w:rsid w:val="00EC353B"/>
    <w:rsid w:val="00EC3613"/>
    <w:rsid w:val="00EC4278"/>
    <w:rsid w:val="00EC46EE"/>
    <w:rsid w:val="00EC4897"/>
    <w:rsid w:val="00EC532B"/>
    <w:rsid w:val="00EC540D"/>
    <w:rsid w:val="00EC5F59"/>
    <w:rsid w:val="00EC65E6"/>
    <w:rsid w:val="00EC6788"/>
    <w:rsid w:val="00EC686C"/>
    <w:rsid w:val="00EC68AC"/>
    <w:rsid w:val="00EC6F90"/>
    <w:rsid w:val="00EC703A"/>
    <w:rsid w:val="00EC7175"/>
    <w:rsid w:val="00EC71CC"/>
    <w:rsid w:val="00EC73C5"/>
    <w:rsid w:val="00EC7734"/>
    <w:rsid w:val="00EC77B8"/>
    <w:rsid w:val="00EC7C98"/>
    <w:rsid w:val="00ED07BA"/>
    <w:rsid w:val="00ED0958"/>
    <w:rsid w:val="00ED11E8"/>
    <w:rsid w:val="00ED1422"/>
    <w:rsid w:val="00ED1727"/>
    <w:rsid w:val="00ED178F"/>
    <w:rsid w:val="00ED1796"/>
    <w:rsid w:val="00ED17B5"/>
    <w:rsid w:val="00ED188B"/>
    <w:rsid w:val="00ED197B"/>
    <w:rsid w:val="00ED1B45"/>
    <w:rsid w:val="00ED1E85"/>
    <w:rsid w:val="00ED2DFE"/>
    <w:rsid w:val="00ED2E58"/>
    <w:rsid w:val="00ED4201"/>
    <w:rsid w:val="00ED4422"/>
    <w:rsid w:val="00ED4EF6"/>
    <w:rsid w:val="00ED559B"/>
    <w:rsid w:val="00ED5862"/>
    <w:rsid w:val="00ED59F1"/>
    <w:rsid w:val="00ED5DC1"/>
    <w:rsid w:val="00ED6005"/>
    <w:rsid w:val="00ED6190"/>
    <w:rsid w:val="00ED65BD"/>
    <w:rsid w:val="00ED65FD"/>
    <w:rsid w:val="00ED660B"/>
    <w:rsid w:val="00ED7D47"/>
    <w:rsid w:val="00EE00E3"/>
    <w:rsid w:val="00EE047F"/>
    <w:rsid w:val="00EE0511"/>
    <w:rsid w:val="00EE08E5"/>
    <w:rsid w:val="00EE0A60"/>
    <w:rsid w:val="00EE0C26"/>
    <w:rsid w:val="00EE0C5C"/>
    <w:rsid w:val="00EE0F2E"/>
    <w:rsid w:val="00EE1A3B"/>
    <w:rsid w:val="00EE1BCB"/>
    <w:rsid w:val="00EE2309"/>
    <w:rsid w:val="00EE2696"/>
    <w:rsid w:val="00EE26ED"/>
    <w:rsid w:val="00EE37D2"/>
    <w:rsid w:val="00EE444D"/>
    <w:rsid w:val="00EE49BF"/>
    <w:rsid w:val="00EE4CBA"/>
    <w:rsid w:val="00EE4E63"/>
    <w:rsid w:val="00EE5129"/>
    <w:rsid w:val="00EE53BF"/>
    <w:rsid w:val="00EE576B"/>
    <w:rsid w:val="00EE585E"/>
    <w:rsid w:val="00EE5F5B"/>
    <w:rsid w:val="00EE616F"/>
    <w:rsid w:val="00EE62EF"/>
    <w:rsid w:val="00EE68E3"/>
    <w:rsid w:val="00EE6BFA"/>
    <w:rsid w:val="00EE6CAD"/>
    <w:rsid w:val="00EE7148"/>
    <w:rsid w:val="00EE7373"/>
    <w:rsid w:val="00EE738E"/>
    <w:rsid w:val="00EE776A"/>
    <w:rsid w:val="00EE7AF4"/>
    <w:rsid w:val="00EE7BA0"/>
    <w:rsid w:val="00EF0385"/>
    <w:rsid w:val="00EF048D"/>
    <w:rsid w:val="00EF04C8"/>
    <w:rsid w:val="00EF0743"/>
    <w:rsid w:val="00EF0D28"/>
    <w:rsid w:val="00EF10F5"/>
    <w:rsid w:val="00EF14AA"/>
    <w:rsid w:val="00EF16AD"/>
    <w:rsid w:val="00EF18F0"/>
    <w:rsid w:val="00EF227F"/>
    <w:rsid w:val="00EF2519"/>
    <w:rsid w:val="00EF295F"/>
    <w:rsid w:val="00EF2D05"/>
    <w:rsid w:val="00EF3B3C"/>
    <w:rsid w:val="00EF42F2"/>
    <w:rsid w:val="00EF43EB"/>
    <w:rsid w:val="00EF456A"/>
    <w:rsid w:val="00EF481E"/>
    <w:rsid w:val="00EF488B"/>
    <w:rsid w:val="00EF4942"/>
    <w:rsid w:val="00EF4981"/>
    <w:rsid w:val="00EF4FE2"/>
    <w:rsid w:val="00EF56A8"/>
    <w:rsid w:val="00EF5A52"/>
    <w:rsid w:val="00EF62F3"/>
    <w:rsid w:val="00EF6BD2"/>
    <w:rsid w:val="00EF7B4C"/>
    <w:rsid w:val="00F00196"/>
    <w:rsid w:val="00F00281"/>
    <w:rsid w:val="00F008E2"/>
    <w:rsid w:val="00F00F8D"/>
    <w:rsid w:val="00F01568"/>
    <w:rsid w:val="00F01832"/>
    <w:rsid w:val="00F01E71"/>
    <w:rsid w:val="00F0311F"/>
    <w:rsid w:val="00F032B3"/>
    <w:rsid w:val="00F043D3"/>
    <w:rsid w:val="00F044AB"/>
    <w:rsid w:val="00F044C7"/>
    <w:rsid w:val="00F0485A"/>
    <w:rsid w:val="00F048B6"/>
    <w:rsid w:val="00F04B0B"/>
    <w:rsid w:val="00F04F96"/>
    <w:rsid w:val="00F05197"/>
    <w:rsid w:val="00F05DF4"/>
    <w:rsid w:val="00F06068"/>
    <w:rsid w:val="00F06F96"/>
    <w:rsid w:val="00F071D5"/>
    <w:rsid w:val="00F07542"/>
    <w:rsid w:val="00F10081"/>
    <w:rsid w:val="00F1055E"/>
    <w:rsid w:val="00F108EA"/>
    <w:rsid w:val="00F10959"/>
    <w:rsid w:val="00F10CA2"/>
    <w:rsid w:val="00F10E0C"/>
    <w:rsid w:val="00F10FF5"/>
    <w:rsid w:val="00F116BA"/>
    <w:rsid w:val="00F11A31"/>
    <w:rsid w:val="00F12478"/>
    <w:rsid w:val="00F1256D"/>
    <w:rsid w:val="00F12891"/>
    <w:rsid w:val="00F128A0"/>
    <w:rsid w:val="00F1298B"/>
    <w:rsid w:val="00F12A5F"/>
    <w:rsid w:val="00F138CA"/>
    <w:rsid w:val="00F139B0"/>
    <w:rsid w:val="00F13BD6"/>
    <w:rsid w:val="00F13CA1"/>
    <w:rsid w:val="00F13D3F"/>
    <w:rsid w:val="00F14255"/>
    <w:rsid w:val="00F143C4"/>
    <w:rsid w:val="00F14D39"/>
    <w:rsid w:val="00F14E1E"/>
    <w:rsid w:val="00F15658"/>
    <w:rsid w:val="00F15D29"/>
    <w:rsid w:val="00F161CE"/>
    <w:rsid w:val="00F162B9"/>
    <w:rsid w:val="00F16AA4"/>
    <w:rsid w:val="00F17921"/>
    <w:rsid w:val="00F179E3"/>
    <w:rsid w:val="00F17B66"/>
    <w:rsid w:val="00F205D5"/>
    <w:rsid w:val="00F20D67"/>
    <w:rsid w:val="00F20E2C"/>
    <w:rsid w:val="00F20EBF"/>
    <w:rsid w:val="00F215E1"/>
    <w:rsid w:val="00F21F16"/>
    <w:rsid w:val="00F22002"/>
    <w:rsid w:val="00F228AC"/>
    <w:rsid w:val="00F22D52"/>
    <w:rsid w:val="00F23333"/>
    <w:rsid w:val="00F23D31"/>
    <w:rsid w:val="00F24032"/>
    <w:rsid w:val="00F2425A"/>
    <w:rsid w:val="00F244F4"/>
    <w:rsid w:val="00F24866"/>
    <w:rsid w:val="00F2498F"/>
    <w:rsid w:val="00F250FE"/>
    <w:rsid w:val="00F2520F"/>
    <w:rsid w:val="00F25868"/>
    <w:rsid w:val="00F26423"/>
    <w:rsid w:val="00F26A86"/>
    <w:rsid w:val="00F26AD9"/>
    <w:rsid w:val="00F26EE0"/>
    <w:rsid w:val="00F26FBE"/>
    <w:rsid w:val="00F27434"/>
    <w:rsid w:val="00F274DC"/>
    <w:rsid w:val="00F27DD9"/>
    <w:rsid w:val="00F27F56"/>
    <w:rsid w:val="00F300B7"/>
    <w:rsid w:val="00F30E45"/>
    <w:rsid w:val="00F31292"/>
    <w:rsid w:val="00F3198E"/>
    <w:rsid w:val="00F31E0D"/>
    <w:rsid w:val="00F321E4"/>
    <w:rsid w:val="00F32858"/>
    <w:rsid w:val="00F32C5E"/>
    <w:rsid w:val="00F32E5D"/>
    <w:rsid w:val="00F33036"/>
    <w:rsid w:val="00F335A5"/>
    <w:rsid w:val="00F3364F"/>
    <w:rsid w:val="00F337C2"/>
    <w:rsid w:val="00F33C5D"/>
    <w:rsid w:val="00F33E94"/>
    <w:rsid w:val="00F34052"/>
    <w:rsid w:val="00F35B64"/>
    <w:rsid w:val="00F3619F"/>
    <w:rsid w:val="00F36482"/>
    <w:rsid w:val="00F36FD4"/>
    <w:rsid w:val="00F37889"/>
    <w:rsid w:val="00F37B34"/>
    <w:rsid w:val="00F37D7F"/>
    <w:rsid w:val="00F37DCD"/>
    <w:rsid w:val="00F37F11"/>
    <w:rsid w:val="00F40639"/>
    <w:rsid w:val="00F4106B"/>
    <w:rsid w:val="00F41CFD"/>
    <w:rsid w:val="00F42365"/>
    <w:rsid w:val="00F42401"/>
    <w:rsid w:val="00F42440"/>
    <w:rsid w:val="00F42C19"/>
    <w:rsid w:val="00F42E6C"/>
    <w:rsid w:val="00F42F79"/>
    <w:rsid w:val="00F43355"/>
    <w:rsid w:val="00F43E11"/>
    <w:rsid w:val="00F44F33"/>
    <w:rsid w:val="00F45623"/>
    <w:rsid w:val="00F45CF0"/>
    <w:rsid w:val="00F4620E"/>
    <w:rsid w:val="00F4676F"/>
    <w:rsid w:val="00F46D42"/>
    <w:rsid w:val="00F47217"/>
    <w:rsid w:val="00F47376"/>
    <w:rsid w:val="00F4749C"/>
    <w:rsid w:val="00F47866"/>
    <w:rsid w:val="00F479C2"/>
    <w:rsid w:val="00F50032"/>
    <w:rsid w:val="00F5021B"/>
    <w:rsid w:val="00F50410"/>
    <w:rsid w:val="00F50B9A"/>
    <w:rsid w:val="00F50BA4"/>
    <w:rsid w:val="00F50E27"/>
    <w:rsid w:val="00F511ED"/>
    <w:rsid w:val="00F5131F"/>
    <w:rsid w:val="00F52499"/>
    <w:rsid w:val="00F52925"/>
    <w:rsid w:val="00F5352B"/>
    <w:rsid w:val="00F53ACD"/>
    <w:rsid w:val="00F53AE1"/>
    <w:rsid w:val="00F549A7"/>
    <w:rsid w:val="00F54E16"/>
    <w:rsid w:val="00F54E71"/>
    <w:rsid w:val="00F55108"/>
    <w:rsid w:val="00F554C1"/>
    <w:rsid w:val="00F556DB"/>
    <w:rsid w:val="00F55CC1"/>
    <w:rsid w:val="00F55F98"/>
    <w:rsid w:val="00F5623D"/>
    <w:rsid w:val="00F566C3"/>
    <w:rsid w:val="00F568D1"/>
    <w:rsid w:val="00F56E9C"/>
    <w:rsid w:val="00F5724A"/>
    <w:rsid w:val="00F600A7"/>
    <w:rsid w:val="00F602EA"/>
    <w:rsid w:val="00F60380"/>
    <w:rsid w:val="00F60611"/>
    <w:rsid w:val="00F6100A"/>
    <w:rsid w:val="00F610BF"/>
    <w:rsid w:val="00F6125B"/>
    <w:rsid w:val="00F61453"/>
    <w:rsid w:val="00F61861"/>
    <w:rsid w:val="00F6187B"/>
    <w:rsid w:val="00F6188B"/>
    <w:rsid w:val="00F618F8"/>
    <w:rsid w:val="00F61AE2"/>
    <w:rsid w:val="00F61E43"/>
    <w:rsid w:val="00F62927"/>
    <w:rsid w:val="00F63D2E"/>
    <w:rsid w:val="00F64B4E"/>
    <w:rsid w:val="00F64F13"/>
    <w:rsid w:val="00F651D4"/>
    <w:rsid w:val="00F65439"/>
    <w:rsid w:val="00F65F9D"/>
    <w:rsid w:val="00F660BD"/>
    <w:rsid w:val="00F666A7"/>
    <w:rsid w:val="00F667EE"/>
    <w:rsid w:val="00F6693B"/>
    <w:rsid w:val="00F66D71"/>
    <w:rsid w:val="00F676C2"/>
    <w:rsid w:val="00F67B4E"/>
    <w:rsid w:val="00F704A7"/>
    <w:rsid w:val="00F705AC"/>
    <w:rsid w:val="00F708B9"/>
    <w:rsid w:val="00F70921"/>
    <w:rsid w:val="00F71A4D"/>
    <w:rsid w:val="00F72325"/>
    <w:rsid w:val="00F72C0F"/>
    <w:rsid w:val="00F72C4E"/>
    <w:rsid w:val="00F72E7B"/>
    <w:rsid w:val="00F72FC2"/>
    <w:rsid w:val="00F73624"/>
    <w:rsid w:val="00F74288"/>
    <w:rsid w:val="00F743C2"/>
    <w:rsid w:val="00F748C1"/>
    <w:rsid w:val="00F74C1A"/>
    <w:rsid w:val="00F74E7C"/>
    <w:rsid w:val="00F75FEE"/>
    <w:rsid w:val="00F760F0"/>
    <w:rsid w:val="00F764D6"/>
    <w:rsid w:val="00F7711F"/>
    <w:rsid w:val="00F773D3"/>
    <w:rsid w:val="00F77D1A"/>
    <w:rsid w:val="00F8000F"/>
    <w:rsid w:val="00F800CC"/>
    <w:rsid w:val="00F801AC"/>
    <w:rsid w:val="00F80FC2"/>
    <w:rsid w:val="00F81152"/>
    <w:rsid w:val="00F811AC"/>
    <w:rsid w:val="00F8128C"/>
    <w:rsid w:val="00F81AA7"/>
    <w:rsid w:val="00F81E2C"/>
    <w:rsid w:val="00F8225F"/>
    <w:rsid w:val="00F82617"/>
    <w:rsid w:val="00F836CE"/>
    <w:rsid w:val="00F838E8"/>
    <w:rsid w:val="00F83A17"/>
    <w:rsid w:val="00F83BD7"/>
    <w:rsid w:val="00F843DD"/>
    <w:rsid w:val="00F848A3"/>
    <w:rsid w:val="00F84D36"/>
    <w:rsid w:val="00F84D86"/>
    <w:rsid w:val="00F85014"/>
    <w:rsid w:val="00F854AF"/>
    <w:rsid w:val="00F85D9D"/>
    <w:rsid w:val="00F85E28"/>
    <w:rsid w:val="00F868DE"/>
    <w:rsid w:val="00F86A43"/>
    <w:rsid w:val="00F86C30"/>
    <w:rsid w:val="00F87478"/>
    <w:rsid w:val="00F874E8"/>
    <w:rsid w:val="00F877E8"/>
    <w:rsid w:val="00F87D2F"/>
    <w:rsid w:val="00F90778"/>
    <w:rsid w:val="00F90D16"/>
    <w:rsid w:val="00F90D21"/>
    <w:rsid w:val="00F9176A"/>
    <w:rsid w:val="00F91B95"/>
    <w:rsid w:val="00F91D05"/>
    <w:rsid w:val="00F92541"/>
    <w:rsid w:val="00F92A63"/>
    <w:rsid w:val="00F92D5B"/>
    <w:rsid w:val="00F92D8A"/>
    <w:rsid w:val="00F92E78"/>
    <w:rsid w:val="00F93528"/>
    <w:rsid w:val="00F9366E"/>
    <w:rsid w:val="00F93C15"/>
    <w:rsid w:val="00F941D1"/>
    <w:rsid w:val="00F9467B"/>
    <w:rsid w:val="00F94A8D"/>
    <w:rsid w:val="00F94ADD"/>
    <w:rsid w:val="00F94B6D"/>
    <w:rsid w:val="00F94E7A"/>
    <w:rsid w:val="00F94ED3"/>
    <w:rsid w:val="00F94F55"/>
    <w:rsid w:val="00F9596F"/>
    <w:rsid w:val="00F95AE5"/>
    <w:rsid w:val="00F95C64"/>
    <w:rsid w:val="00F95DD8"/>
    <w:rsid w:val="00F9639E"/>
    <w:rsid w:val="00F9655F"/>
    <w:rsid w:val="00F96601"/>
    <w:rsid w:val="00F979E5"/>
    <w:rsid w:val="00F97DF0"/>
    <w:rsid w:val="00FA0558"/>
    <w:rsid w:val="00FA05B8"/>
    <w:rsid w:val="00FA0782"/>
    <w:rsid w:val="00FA0F34"/>
    <w:rsid w:val="00FA1315"/>
    <w:rsid w:val="00FA17B3"/>
    <w:rsid w:val="00FA181E"/>
    <w:rsid w:val="00FA1FBC"/>
    <w:rsid w:val="00FA2065"/>
    <w:rsid w:val="00FA207B"/>
    <w:rsid w:val="00FA2237"/>
    <w:rsid w:val="00FA2340"/>
    <w:rsid w:val="00FA25BD"/>
    <w:rsid w:val="00FA2975"/>
    <w:rsid w:val="00FA2BAE"/>
    <w:rsid w:val="00FA2DD2"/>
    <w:rsid w:val="00FA303A"/>
    <w:rsid w:val="00FA3B8B"/>
    <w:rsid w:val="00FA3BBC"/>
    <w:rsid w:val="00FA407A"/>
    <w:rsid w:val="00FA4593"/>
    <w:rsid w:val="00FA4685"/>
    <w:rsid w:val="00FA4938"/>
    <w:rsid w:val="00FA4B83"/>
    <w:rsid w:val="00FA5406"/>
    <w:rsid w:val="00FA59E1"/>
    <w:rsid w:val="00FA5BAE"/>
    <w:rsid w:val="00FA5E54"/>
    <w:rsid w:val="00FA5EC1"/>
    <w:rsid w:val="00FA660E"/>
    <w:rsid w:val="00FA6CD3"/>
    <w:rsid w:val="00FA6DC3"/>
    <w:rsid w:val="00FA711E"/>
    <w:rsid w:val="00FA71B1"/>
    <w:rsid w:val="00FA79E4"/>
    <w:rsid w:val="00FB02FB"/>
    <w:rsid w:val="00FB0318"/>
    <w:rsid w:val="00FB09F3"/>
    <w:rsid w:val="00FB130F"/>
    <w:rsid w:val="00FB16E7"/>
    <w:rsid w:val="00FB175E"/>
    <w:rsid w:val="00FB19AD"/>
    <w:rsid w:val="00FB2130"/>
    <w:rsid w:val="00FB21E3"/>
    <w:rsid w:val="00FB23C2"/>
    <w:rsid w:val="00FB2B9A"/>
    <w:rsid w:val="00FB2CF5"/>
    <w:rsid w:val="00FB374E"/>
    <w:rsid w:val="00FB396E"/>
    <w:rsid w:val="00FB3F52"/>
    <w:rsid w:val="00FB51AC"/>
    <w:rsid w:val="00FB5225"/>
    <w:rsid w:val="00FB5413"/>
    <w:rsid w:val="00FB575B"/>
    <w:rsid w:val="00FB593F"/>
    <w:rsid w:val="00FB5DCC"/>
    <w:rsid w:val="00FB5E9F"/>
    <w:rsid w:val="00FB5FB3"/>
    <w:rsid w:val="00FB6216"/>
    <w:rsid w:val="00FB6241"/>
    <w:rsid w:val="00FB64D9"/>
    <w:rsid w:val="00FB6724"/>
    <w:rsid w:val="00FB67EA"/>
    <w:rsid w:val="00FB6E3E"/>
    <w:rsid w:val="00FB6F8F"/>
    <w:rsid w:val="00FB78A2"/>
    <w:rsid w:val="00FB7ABF"/>
    <w:rsid w:val="00FC0280"/>
    <w:rsid w:val="00FC033A"/>
    <w:rsid w:val="00FC0A85"/>
    <w:rsid w:val="00FC2011"/>
    <w:rsid w:val="00FC205F"/>
    <w:rsid w:val="00FC23F0"/>
    <w:rsid w:val="00FC3230"/>
    <w:rsid w:val="00FC350E"/>
    <w:rsid w:val="00FC383C"/>
    <w:rsid w:val="00FC391A"/>
    <w:rsid w:val="00FC3C25"/>
    <w:rsid w:val="00FC3CC4"/>
    <w:rsid w:val="00FC3D56"/>
    <w:rsid w:val="00FC3E31"/>
    <w:rsid w:val="00FC43D0"/>
    <w:rsid w:val="00FC49F8"/>
    <w:rsid w:val="00FC4DFB"/>
    <w:rsid w:val="00FC4F0E"/>
    <w:rsid w:val="00FC5183"/>
    <w:rsid w:val="00FC52A3"/>
    <w:rsid w:val="00FC5A16"/>
    <w:rsid w:val="00FC636E"/>
    <w:rsid w:val="00FC6B7F"/>
    <w:rsid w:val="00FC6E0A"/>
    <w:rsid w:val="00FC77D9"/>
    <w:rsid w:val="00FC7C28"/>
    <w:rsid w:val="00FD0D1C"/>
    <w:rsid w:val="00FD168E"/>
    <w:rsid w:val="00FD1A1F"/>
    <w:rsid w:val="00FD1BF4"/>
    <w:rsid w:val="00FD1D4D"/>
    <w:rsid w:val="00FD1FFF"/>
    <w:rsid w:val="00FD2327"/>
    <w:rsid w:val="00FD2470"/>
    <w:rsid w:val="00FD24D8"/>
    <w:rsid w:val="00FD27B8"/>
    <w:rsid w:val="00FD27D4"/>
    <w:rsid w:val="00FD2D66"/>
    <w:rsid w:val="00FD2F3A"/>
    <w:rsid w:val="00FD30E0"/>
    <w:rsid w:val="00FD35CE"/>
    <w:rsid w:val="00FD3B63"/>
    <w:rsid w:val="00FD45C0"/>
    <w:rsid w:val="00FD4841"/>
    <w:rsid w:val="00FD4B17"/>
    <w:rsid w:val="00FD4B6D"/>
    <w:rsid w:val="00FD4BB1"/>
    <w:rsid w:val="00FD4E46"/>
    <w:rsid w:val="00FD4E60"/>
    <w:rsid w:val="00FD53B1"/>
    <w:rsid w:val="00FD57D5"/>
    <w:rsid w:val="00FD5AB9"/>
    <w:rsid w:val="00FD6BC5"/>
    <w:rsid w:val="00FD7008"/>
    <w:rsid w:val="00FD72B3"/>
    <w:rsid w:val="00FD7C9B"/>
    <w:rsid w:val="00FE0BAB"/>
    <w:rsid w:val="00FE0C0F"/>
    <w:rsid w:val="00FE0CF5"/>
    <w:rsid w:val="00FE1347"/>
    <w:rsid w:val="00FE183A"/>
    <w:rsid w:val="00FE2301"/>
    <w:rsid w:val="00FE257C"/>
    <w:rsid w:val="00FE2DB7"/>
    <w:rsid w:val="00FE3048"/>
    <w:rsid w:val="00FE3764"/>
    <w:rsid w:val="00FE37EF"/>
    <w:rsid w:val="00FE3B4A"/>
    <w:rsid w:val="00FE3EB5"/>
    <w:rsid w:val="00FE4734"/>
    <w:rsid w:val="00FE60CB"/>
    <w:rsid w:val="00FE6D72"/>
    <w:rsid w:val="00FE75F5"/>
    <w:rsid w:val="00FE7889"/>
    <w:rsid w:val="00FE7F5B"/>
    <w:rsid w:val="00FF0E9E"/>
    <w:rsid w:val="00FF153B"/>
    <w:rsid w:val="00FF1F25"/>
    <w:rsid w:val="00FF1F89"/>
    <w:rsid w:val="00FF2A82"/>
    <w:rsid w:val="00FF2D3D"/>
    <w:rsid w:val="00FF2DBC"/>
    <w:rsid w:val="00FF33D0"/>
    <w:rsid w:val="00FF3409"/>
    <w:rsid w:val="00FF3B93"/>
    <w:rsid w:val="00FF3CFF"/>
    <w:rsid w:val="00FF41BF"/>
    <w:rsid w:val="00FF4AB0"/>
    <w:rsid w:val="00FF4B84"/>
    <w:rsid w:val="00FF4FD0"/>
    <w:rsid w:val="00FF511A"/>
    <w:rsid w:val="00FF57B9"/>
    <w:rsid w:val="00FF5815"/>
    <w:rsid w:val="00FF6825"/>
    <w:rsid w:val="00FF6F5E"/>
    <w:rsid w:val="00FF7381"/>
    <w:rsid w:val="00FF74FB"/>
    <w:rsid w:val="00FF79FB"/>
    <w:rsid w:val="00FF7A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C7F977"/>
  <w15:docId w15:val="{83C5D78B-C82E-42B1-95FC-5D1FA030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B93"/>
    <w:pPr>
      <w:jc w:val="both"/>
    </w:pPr>
    <w:rPr>
      <w:rFonts w:ascii="Century Gothic" w:eastAsia="Times New Roman" w:hAnsi="Century Gothic"/>
      <w:lang w:eastAsia="en-US"/>
    </w:rPr>
  </w:style>
  <w:style w:type="paragraph" w:styleId="Heading1">
    <w:name w:val="heading 1"/>
    <w:aliases w:val="Heading.CAPS,h1,Section Header"/>
    <w:basedOn w:val="Normal"/>
    <w:next w:val="Normal"/>
    <w:link w:val="Heading1Char"/>
    <w:uiPriority w:val="9"/>
    <w:qFormat/>
    <w:rsid w:val="00612773"/>
    <w:pPr>
      <w:jc w:val="center"/>
      <w:outlineLvl w:val="0"/>
    </w:pPr>
    <w:rPr>
      <w:b/>
      <w:sz w:val="22"/>
      <w:szCs w:val="22"/>
    </w:rPr>
  </w:style>
  <w:style w:type="paragraph" w:styleId="Heading2">
    <w:name w:val="heading 2"/>
    <w:aliases w:val="h2"/>
    <w:basedOn w:val="Normal"/>
    <w:next w:val="Normal"/>
    <w:link w:val="Heading2Char"/>
    <w:uiPriority w:val="9"/>
    <w:qFormat/>
    <w:rsid w:val="00612773"/>
    <w:pPr>
      <w:outlineLvl w:val="1"/>
    </w:pPr>
    <w:rPr>
      <w:b/>
    </w:rPr>
  </w:style>
  <w:style w:type="paragraph" w:styleId="Heading3">
    <w:name w:val="heading 3"/>
    <w:aliases w:val="h3,H3"/>
    <w:basedOn w:val="Heading2"/>
    <w:next w:val="NormalIndent"/>
    <w:link w:val="Heading3Char"/>
    <w:uiPriority w:val="9"/>
    <w:qFormat/>
    <w:rsid w:val="004834C0"/>
    <w:pPr>
      <w:tabs>
        <w:tab w:val="num" w:pos="709"/>
      </w:tabs>
      <w:spacing w:after="240"/>
      <w:ind w:left="709" w:hanging="709"/>
      <w:jc w:val="left"/>
      <w:outlineLvl w:val="2"/>
    </w:pPr>
    <w:rPr>
      <w:rFonts w:ascii="Trebuchet MS" w:eastAsiaTheme="majorEastAsia" w:hAnsi="Trebuchet MS" w:cstheme="majorBidi"/>
      <w:b w:val="0"/>
      <w:bCs/>
      <w:kern w:val="16"/>
      <w:szCs w:val="26"/>
      <w:lang w:eastAsia="en-GB"/>
    </w:rPr>
  </w:style>
  <w:style w:type="paragraph" w:styleId="Heading4">
    <w:name w:val="heading 4"/>
    <w:aliases w:val="h4"/>
    <w:basedOn w:val="Heading3"/>
    <w:link w:val="Heading4Char"/>
    <w:uiPriority w:val="9"/>
    <w:qFormat/>
    <w:rsid w:val="004834C0"/>
    <w:pPr>
      <w:tabs>
        <w:tab w:val="clear" w:pos="709"/>
        <w:tab w:val="num" w:pos="1417"/>
      </w:tabs>
      <w:spacing w:after="120"/>
      <w:ind w:left="1417" w:hanging="708"/>
      <w:outlineLvl w:val="3"/>
    </w:pPr>
    <w:rPr>
      <w:bCs w:val="0"/>
      <w:iCs/>
    </w:rPr>
  </w:style>
  <w:style w:type="paragraph" w:styleId="Heading5">
    <w:name w:val="heading 5"/>
    <w:aliases w:val="h5"/>
    <w:basedOn w:val="Normal"/>
    <w:next w:val="Normal"/>
    <w:link w:val="Heading5Char"/>
    <w:uiPriority w:val="9"/>
    <w:unhideWhenUsed/>
    <w:qFormat/>
    <w:rsid w:val="006002C4"/>
    <w:pPr>
      <w:keepNext/>
      <w:keepLines/>
      <w:spacing w:before="200"/>
      <w:outlineLvl w:val="4"/>
    </w:pPr>
    <w:rPr>
      <w:rFonts w:ascii="Cambria" w:hAnsi="Cambria"/>
      <w:color w:val="243F60"/>
    </w:rPr>
  </w:style>
  <w:style w:type="paragraph" w:styleId="Heading6">
    <w:name w:val="heading 6"/>
    <w:basedOn w:val="BodyText"/>
    <w:next w:val="Normal"/>
    <w:link w:val="Heading6Char"/>
    <w:uiPriority w:val="9"/>
    <w:qFormat/>
    <w:rsid w:val="0073107A"/>
    <w:pPr>
      <w:keepNext/>
      <w:tabs>
        <w:tab w:val="left" w:pos="4394"/>
        <w:tab w:val="right" w:pos="8789"/>
      </w:tabs>
      <w:spacing w:before="200" w:after="100"/>
      <w:ind w:left="3686" w:hanging="709"/>
      <w:outlineLvl w:val="5"/>
    </w:pPr>
    <w:rPr>
      <w:rFonts w:ascii="Arial" w:eastAsia="Batang" w:hAnsi="Arial"/>
      <w:b/>
      <w:lang w:eastAsia="en-GB"/>
    </w:rPr>
  </w:style>
  <w:style w:type="paragraph" w:styleId="Heading7">
    <w:name w:val="heading 7"/>
    <w:basedOn w:val="BodyText"/>
    <w:next w:val="Normal"/>
    <w:link w:val="Heading7Char"/>
    <w:uiPriority w:val="9"/>
    <w:qFormat/>
    <w:rsid w:val="0073107A"/>
    <w:pPr>
      <w:keepNext/>
      <w:tabs>
        <w:tab w:val="right" w:pos="8789"/>
      </w:tabs>
      <w:spacing w:before="200" w:after="100"/>
      <w:ind w:left="4394" w:hanging="708"/>
      <w:outlineLvl w:val="6"/>
    </w:pPr>
    <w:rPr>
      <w:rFonts w:ascii="Arial" w:eastAsia="Batang" w:hAnsi="Arial"/>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EE4"/>
    <w:pPr>
      <w:ind w:left="720"/>
    </w:pPr>
  </w:style>
  <w:style w:type="paragraph" w:styleId="BalloonText">
    <w:name w:val="Balloon Text"/>
    <w:basedOn w:val="Normal"/>
    <w:link w:val="BalloonTextChar"/>
    <w:uiPriority w:val="99"/>
    <w:semiHidden/>
    <w:unhideWhenUsed/>
    <w:rsid w:val="00D24305"/>
    <w:rPr>
      <w:rFonts w:ascii="Tahoma" w:hAnsi="Tahoma" w:cs="Tahoma"/>
      <w:sz w:val="16"/>
      <w:szCs w:val="16"/>
    </w:rPr>
  </w:style>
  <w:style w:type="character" w:customStyle="1" w:styleId="BalloonTextChar">
    <w:name w:val="Balloon Text Char"/>
    <w:link w:val="BalloonText"/>
    <w:uiPriority w:val="99"/>
    <w:semiHidden/>
    <w:rsid w:val="00D24305"/>
    <w:rPr>
      <w:rFonts w:ascii="Tahoma" w:eastAsia="Times New Roman" w:hAnsi="Tahoma" w:cs="Tahoma"/>
      <w:sz w:val="16"/>
      <w:szCs w:val="16"/>
    </w:rPr>
  </w:style>
  <w:style w:type="table" w:styleId="TableGrid">
    <w:name w:val="Table Grid"/>
    <w:basedOn w:val="TableNormal"/>
    <w:uiPriority w:val="59"/>
    <w:rsid w:val="008176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w:link w:val="Heading2"/>
    <w:rsid w:val="00612773"/>
    <w:rPr>
      <w:rFonts w:ascii="Century Gothic" w:eastAsia="Times New Roman" w:hAnsi="Century Gothic"/>
      <w:b/>
      <w:lang w:eastAsia="en-US"/>
    </w:rPr>
  </w:style>
  <w:style w:type="paragraph" w:styleId="BodyText">
    <w:name w:val="Body Text"/>
    <w:basedOn w:val="Normal"/>
    <w:link w:val="BodyTextChar"/>
    <w:rsid w:val="006E5659"/>
    <w:pPr>
      <w:spacing w:after="120"/>
    </w:pPr>
  </w:style>
  <w:style w:type="character" w:customStyle="1" w:styleId="BodyTextChar">
    <w:name w:val="Body Text Char"/>
    <w:link w:val="BodyText"/>
    <w:rsid w:val="006E5659"/>
    <w:rPr>
      <w:rFonts w:ascii="Times New Roman" w:eastAsia="Times New Roman" w:hAnsi="Times New Roman" w:cs="Times New Roman"/>
      <w:sz w:val="20"/>
      <w:szCs w:val="20"/>
    </w:rPr>
  </w:style>
  <w:style w:type="character" w:styleId="Hyperlink">
    <w:name w:val="Hyperlink"/>
    <w:rsid w:val="006E5659"/>
    <w:rPr>
      <w:color w:val="0000FF"/>
      <w:u w:val="single"/>
    </w:rPr>
  </w:style>
  <w:style w:type="paragraph" w:customStyle="1" w:styleId="MarginText">
    <w:name w:val="Margin Text"/>
    <w:basedOn w:val="Normal"/>
    <w:link w:val="MarginTextChar"/>
    <w:rsid w:val="006E5659"/>
    <w:pPr>
      <w:adjustRightInd w:val="0"/>
      <w:spacing w:after="240"/>
    </w:pPr>
    <w:rPr>
      <w:rFonts w:eastAsia="STZhongsong"/>
      <w:sz w:val="22"/>
      <w:lang w:eastAsia="zh-CN"/>
    </w:rPr>
  </w:style>
  <w:style w:type="paragraph" w:customStyle="1" w:styleId="ListBullet1">
    <w:name w:val="List Bullet 1"/>
    <w:basedOn w:val="Normal"/>
    <w:rsid w:val="006E5659"/>
    <w:pPr>
      <w:numPr>
        <w:numId w:val="1"/>
      </w:numPr>
      <w:adjustRightInd w:val="0"/>
      <w:spacing w:after="240"/>
    </w:pPr>
    <w:rPr>
      <w:rFonts w:eastAsia="STZhongsong"/>
      <w:sz w:val="22"/>
      <w:lang w:eastAsia="zh-CN"/>
    </w:rPr>
  </w:style>
  <w:style w:type="paragraph" w:styleId="ListBullet2">
    <w:name w:val="List Bullet 2"/>
    <w:basedOn w:val="Normal"/>
    <w:rsid w:val="006E5659"/>
    <w:pPr>
      <w:numPr>
        <w:ilvl w:val="1"/>
        <w:numId w:val="1"/>
      </w:numPr>
      <w:adjustRightInd w:val="0"/>
      <w:spacing w:after="240"/>
    </w:pPr>
    <w:rPr>
      <w:rFonts w:eastAsia="STZhongsong"/>
      <w:sz w:val="22"/>
      <w:lang w:eastAsia="zh-CN"/>
    </w:rPr>
  </w:style>
  <w:style w:type="character" w:customStyle="1" w:styleId="MarginTextChar">
    <w:name w:val="Margin Text Char"/>
    <w:link w:val="MarginText"/>
    <w:rsid w:val="006E5659"/>
    <w:rPr>
      <w:rFonts w:ascii="Times New Roman" w:eastAsia="STZhongsong" w:hAnsi="Times New Roman" w:cs="Times New Roman"/>
      <w:sz w:val="20"/>
      <w:szCs w:val="20"/>
      <w:lang w:eastAsia="zh-CN"/>
    </w:rPr>
  </w:style>
  <w:style w:type="paragraph" w:styleId="ListBullet3">
    <w:name w:val="List Bullet 3"/>
    <w:basedOn w:val="Normal"/>
    <w:rsid w:val="006E5659"/>
    <w:pPr>
      <w:numPr>
        <w:ilvl w:val="2"/>
        <w:numId w:val="1"/>
      </w:numPr>
      <w:adjustRightInd w:val="0"/>
      <w:spacing w:after="240"/>
    </w:pPr>
    <w:rPr>
      <w:rFonts w:eastAsia="STZhongsong"/>
      <w:sz w:val="22"/>
      <w:lang w:eastAsia="zh-CN"/>
    </w:rPr>
  </w:style>
  <w:style w:type="paragraph" w:styleId="ListBullet4">
    <w:name w:val="List Bullet 4"/>
    <w:basedOn w:val="Normal"/>
    <w:rsid w:val="006E5659"/>
    <w:pPr>
      <w:numPr>
        <w:ilvl w:val="3"/>
        <w:numId w:val="1"/>
      </w:numPr>
      <w:adjustRightInd w:val="0"/>
      <w:spacing w:after="240"/>
    </w:pPr>
    <w:rPr>
      <w:rFonts w:eastAsia="STZhongsong"/>
      <w:sz w:val="22"/>
      <w:lang w:eastAsia="zh-CN"/>
    </w:rPr>
  </w:style>
  <w:style w:type="paragraph" w:styleId="ListBullet5">
    <w:name w:val="List Bullet 5"/>
    <w:basedOn w:val="Normal"/>
    <w:rsid w:val="006E5659"/>
    <w:pPr>
      <w:numPr>
        <w:ilvl w:val="4"/>
        <w:numId w:val="1"/>
      </w:numPr>
      <w:adjustRightInd w:val="0"/>
      <w:spacing w:after="240"/>
    </w:pPr>
    <w:rPr>
      <w:rFonts w:eastAsia="STZhongsong"/>
      <w:sz w:val="22"/>
      <w:lang w:eastAsia="zh-CN"/>
    </w:rPr>
  </w:style>
  <w:style w:type="paragraph" w:customStyle="1" w:styleId="ListBullet6">
    <w:name w:val="List Bullet 6"/>
    <w:basedOn w:val="Normal"/>
    <w:rsid w:val="006E5659"/>
    <w:pPr>
      <w:numPr>
        <w:ilvl w:val="5"/>
        <w:numId w:val="1"/>
      </w:numPr>
      <w:adjustRightInd w:val="0"/>
      <w:spacing w:after="240"/>
    </w:pPr>
    <w:rPr>
      <w:rFonts w:eastAsia="STZhongsong"/>
      <w:sz w:val="22"/>
      <w:lang w:eastAsia="zh-CN"/>
    </w:rPr>
  </w:style>
  <w:style w:type="paragraph" w:customStyle="1" w:styleId="ListBullet7">
    <w:name w:val="List Bullet 7"/>
    <w:basedOn w:val="Normal"/>
    <w:rsid w:val="006E5659"/>
    <w:pPr>
      <w:numPr>
        <w:ilvl w:val="6"/>
        <w:numId w:val="1"/>
      </w:numPr>
      <w:adjustRightInd w:val="0"/>
      <w:spacing w:after="240"/>
    </w:pPr>
    <w:rPr>
      <w:rFonts w:eastAsia="STZhongsong"/>
      <w:sz w:val="22"/>
      <w:lang w:eastAsia="zh-CN"/>
    </w:rPr>
  </w:style>
  <w:style w:type="paragraph" w:customStyle="1" w:styleId="ListBullet8">
    <w:name w:val="List Bullet 8"/>
    <w:basedOn w:val="Normal"/>
    <w:rsid w:val="006E5659"/>
    <w:pPr>
      <w:numPr>
        <w:ilvl w:val="7"/>
        <w:numId w:val="1"/>
      </w:numPr>
      <w:adjustRightInd w:val="0"/>
      <w:spacing w:after="240"/>
    </w:pPr>
    <w:rPr>
      <w:rFonts w:eastAsia="STZhongsong"/>
      <w:sz w:val="22"/>
      <w:lang w:eastAsia="zh-CN"/>
    </w:rPr>
  </w:style>
  <w:style w:type="paragraph" w:customStyle="1" w:styleId="ListBullet9">
    <w:name w:val="List Bullet 9"/>
    <w:basedOn w:val="Normal"/>
    <w:rsid w:val="006E5659"/>
    <w:pPr>
      <w:numPr>
        <w:ilvl w:val="8"/>
        <w:numId w:val="1"/>
      </w:numPr>
      <w:adjustRightInd w:val="0"/>
      <w:spacing w:after="240"/>
    </w:pPr>
    <w:rPr>
      <w:rFonts w:eastAsia="STZhongsong"/>
      <w:sz w:val="22"/>
      <w:lang w:eastAsia="zh-CN"/>
    </w:rPr>
  </w:style>
  <w:style w:type="paragraph" w:customStyle="1" w:styleId="DefaultText">
    <w:name w:val="Default Text"/>
    <w:basedOn w:val="Normal"/>
    <w:rsid w:val="006E5659"/>
  </w:style>
  <w:style w:type="paragraph" w:customStyle="1" w:styleId="-Body-text">
    <w:name w:val="- Body - text"/>
    <w:basedOn w:val="Normal"/>
    <w:rsid w:val="006E5659"/>
    <w:pPr>
      <w:keepLines/>
      <w:widowControl w:val="0"/>
      <w:tabs>
        <w:tab w:val="left" w:pos="340"/>
      </w:tabs>
      <w:suppressAutoHyphens/>
      <w:autoSpaceDE w:val="0"/>
      <w:autoSpaceDN w:val="0"/>
      <w:adjustRightInd w:val="0"/>
      <w:spacing w:after="120" w:line="288" w:lineRule="auto"/>
      <w:textAlignment w:val="center"/>
    </w:pPr>
    <w:rPr>
      <w:rFonts w:ascii="Arial" w:hAnsi="Arial" w:cs="HelveticaNeueLTStd-Lt"/>
      <w:color w:val="000000"/>
      <w:sz w:val="17"/>
      <w:szCs w:val="17"/>
      <w:lang w:eastAsia="en-GB"/>
    </w:rPr>
  </w:style>
  <w:style w:type="paragraph" w:customStyle="1" w:styleId="Default">
    <w:name w:val="Default"/>
    <w:rsid w:val="006E5659"/>
    <w:pPr>
      <w:autoSpaceDE w:val="0"/>
      <w:autoSpaceDN w:val="0"/>
      <w:adjustRightInd w:val="0"/>
    </w:pPr>
    <w:rPr>
      <w:rFonts w:ascii="Times New Roman" w:eastAsia="Times New Roman" w:hAnsi="Times New Roman"/>
      <w:color w:val="000000"/>
      <w:sz w:val="24"/>
      <w:szCs w:val="24"/>
      <w:lang w:val="en-US"/>
    </w:rPr>
  </w:style>
  <w:style w:type="paragraph" w:customStyle="1" w:styleId="Auditreport-1">
    <w:name w:val="Audit report - 1"/>
    <w:rsid w:val="006E5659"/>
    <w:pPr>
      <w:widowControl w:val="0"/>
      <w:autoSpaceDE w:val="0"/>
      <w:autoSpaceDN w:val="0"/>
      <w:adjustRightInd w:val="0"/>
      <w:jc w:val="both"/>
    </w:pPr>
    <w:rPr>
      <w:rFonts w:ascii="Times New Roman" w:eastAsia="Times New Roman" w:hAnsi="Times New Roman"/>
      <w:color w:val="000000"/>
      <w:sz w:val="22"/>
      <w:szCs w:val="22"/>
      <w:lang w:val="en-US" w:eastAsia="en-US"/>
    </w:rPr>
  </w:style>
  <w:style w:type="paragraph" w:customStyle="1" w:styleId="Auditreport-2">
    <w:name w:val="Audit report - 2"/>
    <w:uiPriority w:val="99"/>
    <w:rsid w:val="006E5659"/>
    <w:pPr>
      <w:widowControl w:val="0"/>
      <w:autoSpaceDE w:val="0"/>
      <w:autoSpaceDN w:val="0"/>
      <w:adjustRightInd w:val="0"/>
      <w:jc w:val="both"/>
    </w:pPr>
    <w:rPr>
      <w:rFonts w:ascii="Times New Roman" w:eastAsia="Times New Roman" w:hAnsi="Times New Roman"/>
      <w:b/>
      <w:bCs/>
      <w:color w:val="000000"/>
      <w:sz w:val="22"/>
      <w:szCs w:val="22"/>
      <w:lang w:val="en-US" w:eastAsia="en-US"/>
    </w:rPr>
  </w:style>
  <w:style w:type="character" w:customStyle="1" w:styleId="Heading5Char">
    <w:name w:val="Heading 5 Char"/>
    <w:aliases w:val="h5 Char"/>
    <w:link w:val="Heading5"/>
    <w:uiPriority w:val="9"/>
    <w:rsid w:val="006002C4"/>
    <w:rPr>
      <w:rFonts w:ascii="Cambria" w:eastAsia="Times New Roman" w:hAnsi="Cambria" w:cs="Times New Roman"/>
      <w:color w:val="243F60"/>
      <w:sz w:val="20"/>
      <w:szCs w:val="20"/>
    </w:rPr>
  </w:style>
  <w:style w:type="paragraph" w:customStyle="1" w:styleId="HeadBreak">
    <w:name w:val="Head /Break"/>
    <w:basedOn w:val="Normal"/>
    <w:rsid w:val="006002C4"/>
    <w:pPr>
      <w:pageBreakBefore/>
      <w:jc w:val="center"/>
    </w:pPr>
    <w:rPr>
      <w:rFonts w:ascii="Optima" w:hAnsi="Optima"/>
      <w:b/>
      <w:sz w:val="26"/>
    </w:rPr>
  </w:style>
  <w:style w:type="paragraph" w:customStyle="1" w:styleId="Notes">
    <w:name w:val="Notes"/>
    <w:basedOn w:val="Normal"/>
    <w:link w:val="NotesChar1"/>
    <w:rsid w:val="006002C4"/>
    <w:pPr>
      <w:tabs>
        <w:tab w:val="right" w:pos="8460"/>
      </w:tabs>
      <w:spacing w:after="120" w:line="240" w:lineRule="atLeast"/>
    </w:pPr>
    <w:rPr>
      <w:rFonts w:ascii="Optima" w:hAnsi="Optima"/>
      <w:sz w:val="22"/>
    </w:rPr>
  </w:style>
  <w:style w:type="character" w:customStyle="1" w:styleId="NotesChar1">
    <w:name w:val="Notes Char1"/>
    <w:link w:val="Notes"/>
    <w:rsid w:val="006002C4"/>
    <w:rPr>
      <w:rFonts w:ascii="Optima" w:eastAsia="Times New Roman" w:hAnsi="Optima" w:cs="Times New Roman"/>
      <w:szCs w:val="20"/>
    </w:rPr>
  </w:style>
  <w:style w:type="paragraph" w:styleId="BodyText2">
    <w:name w:val="Body Text 2"/>
    <w:basedOn w:val="Normal"/>
    <w:link w:val="BodyText2Char"/>
    <w:uiPriority w:val="99"/>
    <w:semiHidden/>
    <w:unhideWhenUsed/>
    <w:rsid w:val="006002C4"/>
    <w:pPr>
      <w:spacing w:after="120" w:line="480" w:lineRule="auto"/>
    </w:pPr>
  </w:style>
  <w:style w:type="character" w:customStyle="1" w:styleId="BodyText2Char">
    <w:name w:val="Body Text 2 Char"/>
    <w:link w:val="BodyText2"/>
    <w:uiPriority w:val="99"/>
    <w:semiHidden/>
    <w:rsid w:val="006002C4"/>
    <w:rPr>
      <w:rFonts w:ascii="Times New Roman" w:eastAsia="Times New Roman" w:hAnsi="Times New Roman" w:cs="Times New Roman"/>
      <w:sz w:val="20"/>
      <w:szCs w:val="20"/>
    </w:rPr>
  </w:style>
  <w:style w:type="paragraph" w:customStyle="1" w:styleId="2Document">
    <w:name w:val="2Document"/>
    <w:rsid w:val="00F801AC"/>
    <w:pPr>
      <w:widowControl w:val="0"/>
      <w:jc w:val="both"/>
    </w:pPr>
    <w:rPr>
      <w:rFonts w:ascii="CG Times" w:eastAsia="Times New Roman" w:hAnsi="CG Times"/>
      <w:snapToGrid w:val="0"/>
      <w:sz w:val="24"/>
      <w:lang w:val="en-US" w:eastAsia="en-US"/>
    </w:rPr>
  </w:style>
  <w:style w:type="character" w:customStyle="1" w:styleId="Heading1Text">
    <w:name w:val="Heading 1 Text"/>
    <w:rsid w:val="001B77E3"/>
    <w:rPr>
      <w:b/>
      <w:smallCaps/>
    </w:rPr>
  </w:style>
  <w:style w:type="character" w:customStyle="1" w:styleId="Heading2Text">
    <w:name w:val="Heading 2 Text"/>
    <w:rsid w:val="001B77E3"/>
    <w:rPr>
      <w:b/>
    </w:rPr>
  </w:style>
  <w:style w:type="paragraph" w:styleId="Title">
    <w:name w:val="Title"/>
    <w:basedOn w:val="Normal"/>
    <w:link w:val="TitleChar"/>
    <w:qFormat/>
    <w:rsid w:val="001B77E3"/>
    <w:pPr>
      <w:spacing w:line="264" w:lineRule="auto"/>
      <w:jc w:val="center"/>
    </w:pPr>
    <w:rPr>
      <w:rFonts w:ascii="Arial" w:eastAsia="Arial Unicode MS" w:hAnsi="Arial" w:cs="Arial"/>
      <w:sz w:val="21"/>
      <w:szCs w:val="21"/>
      <w:lang w:eastAsia="zh-CN"/>
    </w:rPr>
  </w:style>
  <w:style w:type="character" w:customStyle="1" w:styleId="TitleChar">
    <w:name w:val="Title Char"/>
    <w:link w:val="Title"/>
    <w:rsid w:val="001B77E3"/>
    <w:rPr>
      <w:rFonts w:ascii="Arial" w:eastAsia="Arial Unicode MS" w:hAnsi="Arial" w:cs="Arial"/>
      <w:sz w:val="21"/>
      <w:szCs w:val="21"/>
      <w:lang w:val="en-GB" w:eastAsia="zh-CN"/>
    </w:rPr>
  </w:style>
  <w:style w:type="character" w:styleId="CommentReference">
    <w:name w:val="annotation reference"/>
    <w:uiPriority w:val="99"/>
    <w:semiHidden/>
    <w:unhideWhenUsed/>
    <w:rsid w:val="00204DCC"/>
    <w:rPr>
      <w:sz w:val="16"/>
      <w:szCs w:val="16"/>
    </w:rPr>
  </w:style>
  <w:style w:type="paragraph" w:styleId="CommentText">
    <w:name w:val="annotation text"/>
    <w:basedOn w:val="Normal"/>
    <w:link w:val="CommentTextChar"/>
    <w:uiPriority w:val="99"/>
    <w:semiHidden/>
    <w:unhideWhenUsed/>
    <w:rsid w:val="00204DCC"/>
  </w:style>
  <w:style w:type="character" w:customStyle="1" w:styleId="CommentTextChar">
    <w:name w:val="Comment Text Char"/>
    <w:link w:val="CommentText"/>
    <w:uiPriority w:val="99"/>
    <w:semiHidden/>
    <w:rsid w:val="00204DC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04DCC"/>
    <w:rPr>
      <w:b/>
      <w:bCs/>
    </w:rPr>
  </w:style>
  <w:style w:type="character" w:customStyle="1" w:styleId="CommentSubjectChar">
    <w:name w:val="Comment Subject Char"/>
    <w:link w:val="CommentSubject"/>
    <w:uiPriority w:val="99"/>
    <w:semiHidden/>
    <w:rsid w:val="00204DCC"/>
    <w:rPr>
      <w:rFonts w:ascii="Times New Roman" w:eastAsia="Times New Roman" w:hAnsi="Times New Roman"/>
      <w:b/>
      <w:bCs/>
      <w:lang w:eastAsia="en-US"/>
    </w:rPr>
  </w:style>
  <w:style w:type="paragraph" w:styleId="Revision">
    <w:name w:val="Revision"/>
    <w:hidden/>
    <w:uiPriority w:val="99"/>
    <w:semiHidden/>
    <w:rsid w:val="006C50EE"/>
    <w:rPr>
      <w:rFonts w:ascii="Times New Roman" w:eastAsia="Times New Roman" w:hAnsi="Times New Roman"/>
      <w:lang w:eastAsia="en-US"/>
    </w:rPr>
  </w:style>
  <w:style w:type="paragraph" w:styleId="NormalWeb">
    <w:name w:val="Normal (Web)"/>
    <w:basedOn w:val="Normal"/>
    <w:uiPriority w:val="99"/>
    <w:unhideWhenUsed/>
    <w:rsid w:val="00603180"/>
    <w:pPr>
      <w:spacing w:before="100" w:beforeAutospacing="1" w:after="240" w:line="285" w:lineRule="atLeast"/>
    </w:pPr>
    <w:rPr>
      <w:color w:val="333333"/>
      <w:lang w:eastAsia="en-GB"/>
    </w:rPr>
  </w:style>
  <w:style w:type="character" w:styleId="Strong">
    <w:name w:val="Strong"/>
    <w:uiPriority w:val="22"/>
    <w:qFormat/>
    <w:rsid w:val="003536F1"/>
    <w:rPr>
      <w:rFonts w:ascii="Arial" w:hAnsi="Arial" w:cs="Arial" w:hint="default"/>
      <w:b/>
      <w:bCs/>
    </w:rPr>
  </w:style>
  <w:style w:type="paragraph" w:styleId="Header">
    <w:name w:val="header"/>
    <w:basedOn w:val="Normal"/>
    <w:link w:val="HeaderChar"/>
    <w:uiPriority w:val="99"/>
    <w:unhideWhenUsed/>
    <w:rsid w:val="00022A03"/>
    <w:pPr>
      <w:tabs>
        <w:tab w:val="center" w:pos="4513"/>
        <w:tab w:val="right" w:pos="9026"/>
      </w:tabs>
    </w:pPr>
  </w:style>
  <w:style w:type="character" w:customStyle="1" w:styleId="HeaderChar">
    <w:name w:val="Header Char"/>
    <w:link w:val="Header"/>
    <w:uiPriority w:val="99"/>
    <w:rsid w:val="00022A03"/>
    <w:rPr>
      <w:rFonts w:ascii="Times New Roman" w:eastAsia="Times New Roman" w:hAnsi="Times New Roman"/>
      <w:lang w:eastAsia="en-US"/>
    </w:rPr>
  </w:style>
  <w:style w:type="paragraph" w:styleId="Footer">
    <w:name w:val="footer"/>
    <w:basedOn w:val="Normal"/>
    <w:link w:val="FooterChar"/>
    <w:uiPriority w:val="99"/>
    <w:unhideWhenUsed/>
    <w:rsid w:val="00022A03"/>
    <w:pPr>
      <w:tabs>
        <w:tab w:val="center" w:pos="4513"/>
        <w:tab w:val="right" w:pos="9026"/>
      </w:tabs>
    </w:pPr>
  </w:style>
  <w:style w:type="character" w:customStyle="1" w:styleId="FooterChar">
    <w:name w:val="Footer Char"/>
    <w:link w:val="Footer"/>
    <w:uiPriority w:val="99"/>
    <w:rsid w:val="00022A03"/>
    <w:rPr>
      <w:rFonts w:ascii="Times New Roman" w:eastAsia="Times New Roman" w:hAnsi="Times New Roman"/>
      <w:lang w:eastAsia="en-US"/>
    </w:rPr>
  </w:style>
  <w:style w:type="character" w:styleId="FollowedHyperlink">
    <w:name w:val="FollowedHyperlink"/>
    <w:uiPriority w:val="99"/>
    <w:semiHidden/>
    <w:unhideWhenUsed/>
    <w:rsid w:val="00606647"/>
    <w:rPr>
      <w:color w:val="800080"/>
      <w:u w:val="single"/>
    </w:rPr>
  </w:style>
  <w:style w:type="character" w:customStyle="1" w:styleId="p">
    <w:name w:val="p"/>
    <w:rsid w:val="00606647"/>
  </w:style>
  <w:style w:type="paragraph" w:customStyle="1" w:styleId="hs">
    <w:name w:val="hs"/>
    <w:basedOn w:val="Normal"/>
    <w:rsid w:val="00EA5B63"/>
    <w:rPr>
      <w:rFonts w:ascii="Calibri" w:hAnsi="Calibri" w:cs="Calibri"/>
      <w:sz w:val="22"/>
      <w:szCs w:val="22"/>
      <w:lang w:eastAsia="en-GB"/>
    </w:rPr>
  </w:style>
  <w:style w:type="character" w:customStyle="1" w:styleId="Heading1Char">
    <w:name w:val="Heading 1 Char"/>
    <w:aliases w:val="Heading.CAPS Char,h1 Char,Section Header Char"/>
    <w:basedOn w:val="DefaultParagraphFont"/>
    <w:link w:val="Heading1"/>
    <w:uiPriority w:val="9"/>
    <w:rsid w:val="00612773"/>
    <w:rPr>
      <w:rFonts w:ascii="Century Gothic" w:eastAsia="Times New Roman" w:hAnsi="Century Gothic"/>
      <w:b/>
      <w:sz w:val="22"/>
      <w:szCs w:val="22"/>
      <w:lang w:eastAsia="en-US"/>
    </w:rPr>
  </w:style>
  <w:style w:type="paragraph" w:customStyle="1" w:styleId="z">
    <w:name w:val="z"/>
    <w:basedOn w:val="Normal"/>
    <w:rsid w:val="005F7E3E"/>
    <w:pPr>
      <w:spacing w:after="200" w:line="276" w:lineRule="auto"/>
    </w:pPr>
    <w:rPr>
      <w:rFonts w:ascii="Calibri" w:hAnsi="Calibri" w:cs="Calibri"/>
      <w:sz w:val="22"/>
      <w:szCs w:val="22"/>
      <w:lang w:eastAsia="en-GB"/>
    </w:rPr>
  </w:style>
  <w:style w:type="character" w:customStyle="1" w:styleId="u">
    <w:name w:val="u"/>
    <w:basedOn w:val="DefaultParagraphFont"/>
    <w:rsid w:val="005F7E3E"/>
    <w:rPr>
      <w:u w:val="single"/>
    </w:rPr>
  </w:style>
  <w:style w:type="character" w:customStyle="1" w:styleId="aag">
    <w:name w:val="aag"/>
    <w:basedOn w:val="DefaultParagraphFont"/>
    <w:rsid w:val="00E50A2A"/>
  </w:style>
  <w:style w:type="paragraph" w:customStyle="1" w:styleId="TableText">
    <w:name w:val="Table Text"/>
    <w:basedOn w:val="Normal"/>
    <w:rsid w:val="00901C89"/>
    <w:pPr>
      <w:jc w:val="left"/>
    </w:pPr>
    <w:rPr>
      <w:rFonts w:ascii="Times New Roman" w:hAnsi="Times New Roman"/>
      <w:sz w:val="22"/>
    </w:rPr>
  </w:style>
  <w:style w:type="paragraph" w:customStyle="1" w:styleId="aa">
    <w:name w:val="aa"/>
    <w:basedOn w:val="Normal"/>
    <w:rsid w:val="00E928E8"/>
    <w:rPr>
      <w:rFonts w:ascii="Calibri" w:hAnsi="Calibri" w:cs="Calibri"/>
      <w:sz w:val="22"/>
      <w:szCs w:val="22"/>
      <w:lang w:eastAsia="en-GB"/>
    </w:rPr>
  </w:style>
  <w:style w:type="character" w:customStyle="1" w:styleId="aw">
    <w:name w:val="aw"/>
    <w:basedOn w:val="DefaultParagraphFont"/>
    <w:rsid w:val="005A3AE4"/>
    <w:rPr>
      <w:rFonts w:ascii="Arial" w:hAnsi="Arial" w:cs="Arial" w:hint="default"/>
      <w:sz w:val="20"/>
      <w:szCs w:val="20"/>
    </w:rPr>
  </w:style>
  <w:style w:type="paragraph" w:styleId="NoSpacing">
    <w:name w:val="No Spacing"/>
    <w:uiPriority w:val="1"/>
    <w:qFormat/>
    <w:rsid w:val="0068416C"/>
    <w:pPr>
      <w:jc w:val="both"/>
    </w:pPr>
    <w:rPr>
      <w:rFonts w:ascii="Century Gothic" w:eastAsia="Times New Roman" w:hAnsi="Century Gothic"/>
      <w:lang w:eastAsia="en-US"/>
    </w:rPr>
  </w:style>
  <w:style w:type="paragraph" w:styleId="NormalIndent">
    <w:name w:val="Normal Indent"/>
    <w:basedOn w:val="Normal"/>
    <w:uiPriority w:val="99"/>
    <w:rsid w:val="00CB4F52"/>
    <w:pPr>
      <w:spacing w:after="120"/>
      <w:ind w:left="567"/>
      <w:jc w:val="left"/>
    </w:pPr>
    <w:rPr>
      <w:rFonts w:ascii="Times New Roman" w:hAnsi="Times New Roman"/>
    </w:rPr>
  </w:style>
  <w:style w:type="paragraph" w:customStyle="1" w:styleId="bb">
    <w:name w:val="bb"/>
    <w:basedOn w:val="Normal"/>
    <w:rsid w:val="00CB4F52"/>
    <w:rPr>
      <w:rFonts w:ascii="Times New Roman" w:hAnsi="Times New Roman"/>
      <w:sz w:val="24"/>
      <w:szCs w:val="24"/>
      <w:lang w:eastAsia="en-GB"/>
    </w:rPr>
  </w:style>
  <w:style w:type="paragraph" w:customStyle="1" w:styleId="t">
    <w:name w:val="t"/>
    <w:basedOn w:val="Normal"/>
    <w:rsid w:val="00CB4F52"/>
    <w:pPr>
      <w:spacing w:before="100" w:beforeAutospacing="1" w:after="100" w:afterAutospacing="1"/>
    </w:pPr>
    <w:rPr>
      <w:rFonts w:ascii="Times New Roman" w:eastAsiaTheme="minorHAnsi" w:hAnsi="Times New Roman"/>
      <w:b/>
      <w:bCs/>
      <w:sz w:val="24"/>
      <w:szCs w:val="24"/>
      <w:lang w:eastAsia="en-GB"/>
    </w:rPr>
  </w:style>
  <w:style w:type="character" w:customStyle="1" w:styleId="r">
    <w:name w:val="r"/>
    <w:basedOn w:val="DefaultParagraphFont"/>
    <w:rsid w:val="00CB4F52"/>
    <w:rPr>
      <w:rFonts w:ascii="Calibri" w:hAnsi="Calibri" w:hint="default"/>
    </w:rPr>
  </w:style>
  <w:style w:type="character" w:customStyle="1" w:styleId="v">
    <w:name w:val="v"/>
    <w:basedOn w:val="DefaultParagraphFont"/>
    <w:rsid w:val="00CB4F52"/>
    <w:rPr>
      <w:rFonts w:ascii="Calibri" w:hAnsi="Calibri" w:hint="default"/>
    </w:rPr>
  </w:style>
  <w:style w:type="paragraph" w:customStyle="1" w:styleId="Bodytext0">
    <w:name w:val="Bodytext"/>
    <w:basedOn w:val="Normal"/>
    <w:qFormat/>
    <w:rsid w:val="00AC1FF7"/>
    <w:pPr>
      <w:jc w:val="left"/>
    </w:pPr>
    <w:rPr>
      <w:rFonts w:ascii="Arial" w:eastAsiaTheme="minorHAnsi" w:hAnsi="Arial" w:cstheme="minorBidi"/>
      <w:szCs w:val="24"/>
    </w:rPr>
  </w:style>
  <w:style w:type="character" w:customStyle="1" w:styleId="apple-converted-space">
    <w:name w:val="apple-converted-space"/>
    <w:basedOn w:val="DefaultParagraphFont"/>
    <w:rsid w:val="00E000AB"/>
  </w:style>
  <w:style w:type="paragraph" w:styleId="PlainText">
    <w:name w:val="Plain Text"/>
    <w:basedOn w:val="Normal"/>
    <w:link w:val="PlainTextChar"/>
    <w:uiPriority w:val="99"/>
    <w:semiHidden/>
    <w:unhideWhenUsed/>
    <w:rsid w:val="003B7527"/>
    <w:rPr>
      <w:rFonts w:ascii="Consolas" w:hAnsi="Consolas" w:cs="Consolas"/>
      <w:sz w:val="21"/>
      <w:szCs w:val="21"/>
    </w:rPr>
  </w:style>
  <w:style w:type="character" w:customStyle="1" w:styleId="PlainTextChar">
    <w:name w:val="Plain Text Char"/>
    <w:basedOn w:val="DefaultParagraphFont"/>
    <w:link w:val="PlainText"/>
    <w:uiPriority w:val="99"/>
    <w:semiHidden/>
    <w:rsid w:val="003B7527"/>
    <w:rPr>
      <w:rFonts w:ascii="Consolas" w:eastAsia="Times New Roman" w:hAnsi="Consolas" w:cs="Consolas"/>
      <w:sz w:val="21"/>
      <w:szCs w:val="21"/>
      <w:lang w:eastAsia="en-US"/>
    </w:rPr>
  </w:style>
  <w:style w:type="paragraph" w:customStyle="1" w:styleId="ai">
    <w:name w:val="ai"/>
    <w:basedOn w:val="Normal"/>
    <w:rsid w:val="00205A83"/>
    <w:pPr>
      <w:spacing w:before="100" w:beforeAutospacing="1" w:after="100" w:afterAutospacing="1"/>
      <w:jc w:val="left"/>
    </w:pPr>
    <w:rPr>
      <w:rFonts w:ascii="Times New Roman" w:eastAsiaTheme="minorEastAsia" w:hAnsi="Times New Roman"/>
    </w:rPr>
  </w:style>
  <w:style w:type="character" w:customStyle="1" w:styleId="Heading3Char">
    <w:name w:val="Heading 3 Char"/>
    <w:aliases w:val="h3 Char,H3 Char"/>
    <w:basedOn w:val="DefaultParagraphFont"/>
    <w:link w:val="Heading3"/>
    <w:uiPriority w:val="9"/>
    <w:rsid w:val="004834C0"/>
    <w:rPr>
      <w:rFonts w:ascii="Trebuchet MS" w:eastAsiaTheme="majorEastAsia" w:hAnsi="Trebuchet MS" w:cstheme="majorBidi"/>
      <w:bCs/>
      <w:kern w:val="16"/>
      <w:szCs w:val="26"/>
    </w:rPr>
  </w:style>
  <w:style w:type="character" w:customStyle="1" w:styleId="Heading4Char">
    <w:name w:val="Heading 4 Char"/>
    <w:aliases w:val="h4 Char"/>
    <w:basedOn w:val="DefaultParagraphFont"/>
    <w:link w:val="Heading4"/>
    <w:uiPriority w:val="9"/>
    <w:rsid w:val="004834C0"/>
    <w:rPr>
      <w:rFonts w:ascii="Trebuchet MS" w:eastAsiaTheme="majorEastAsia" w:hAnsi="Trebuchet MS" w:cstheme="majorBidi"/>
      <w:iCs/>
      <w:kern w:val="16"/>
      <w:szCs w:val="26"/>
    </w:rPr>
  </w:style>
  <w:style w:type="character" w:customStyle="1" w:styleId="Heading6Char">
    <w:name w:val="Heading 6 Char"/>
    <w:basedOn w:val="DefaultParagraphFont"/>
    <w:link w:val="Heading6"/>
    <w:uiPriority w:val="9"/>
    <w:rsid w:val="0073107A"/>
    <w:rPr>
      <w:rFonts w:ascii="Arial" w:eastAsia="Batang" w:hAnsi="Arial"/>
      <w:b/>
    </w:rPr>
  </w:style>
  <w:style w:type="character" w:customStyle="1" w:styleId="Heading7Char">
    <w:name w:val="Heading 7 Char"/>
    <w:basedOn w:val="DefaultParagraphFont"/>
    <w:link w:val="Heading7"/>
    <w:uiPriority w:val="9"/>
    <w:rsid w:val="0073107A"/>
    <w:rPr>
      <w:rFonts w:ascii="Arial" w:eastAsia="Batang" w:hAnsi="Arial"/>
      <w:b/>
    </w:rPr>
  </w:style>
  <w:style w:type="paragraph" w:customStyle="1" w:styleId="Para3">
    <w:name w:val="Para 3"/>
    <w:basedOn w:val="Heading3"/>
    <w:qFormat/>
    <w:rsid w:val="0073107A"/>
    <w:pPr>
      <w:numPr>
        <w:ilvl w:val="2"/>
      </w:numPr>
      <w:tabs>
        <w:tab w:val="num" w:pos="709"/>
        <w:tab w:val="num" w:pos="1560"/>
        <w:tab w:val="left" w:pos="2268"/>
        <w:tab w:val="left" w:pos="2977"/>
        <w:tab w:val="left" w:pos="3686"/>
        <w:tab w:val="left" w:pos="4394"/>
        <w:tab w:val="right" w:pos="8789"/>
      </w:tabs>
      <w:spacing w:before="100" w:after="100"/>
      <w:ind w:left="1560" w:hanging="850"/>
      <w:jc w:val="both"/>
    </w:pPr>
    <w:rPr>
      <w:rFonts w:ascii="Arial" w:eastAsia="Batang" w:hAnsi="Arial" w:cs="Times New Roman"/>
      <w:bCs w:val="0"/>
      <w:kern w:val="0"/>
      <w:szCs w:val="20"/>
    </w:rPr>
  </w:style>
  <w:style w:type="paragraph" w:customStyle="1" w:styleId="BluefieldBody">
    <w:name w:val="Bluefield Body"/>
    <w:basedOn w:val="Normal"/>
    <w:qFormat/>
    <w:rsid w:val="00B837B9"/>
    <w:rPr>
      <w:rFonts w:ascii="Georgia" w:hAnsi="Georgia"/>
      <w:color w:val="404040" w:themeColor="text1" w:themeTint="BF"/>
    </w:rPr>
  </w:style>
  <w:style w:type="paragraph" w:customStyle="1" w:styleId="wordsection1">
    <w:name w:val="wordsection1"/>
    <w:basedOn w:val="Normal"/>
    <w:uiPriority w:val="99"/>
    <w:rsid w:val="00542297"/>
    <w:pPr>
      <w:jc w:val="left"/>
    </w:pPr>
    <w:rPr>
      <w:rFonts w:ascii="Times New Roman" w:eastAsiaTheme="minorEastAsia" w:hAnsi="Times New Roman"/>
      <w:sz w:val="24"/>
      <w:szCs w:val="24"/>
      <w:lang w:eastAsia="en-GB"/>
    </w:rPr>
  </w:style>
  <w:style w:type="character" w:customStyle="1" w:styleId="UnresolvedMention">
    <w:name w:val="Unresolved Mention"/>
    <w:basedOn w:val="DefaultParagraphFont"/>
    <w:uiPriority w:val="99"/>
    <w:semiHidden/>
    <w:unhideWhenUsed/>
    <w:rsid w:val="00D32FC0"/>
    <w:rPr>
      <w:color w:val="605E5C"/>
      <w:shd w:val="clear" w:color="auto" w:fill="E1DFDD"/>
    </w:rPr>
  </w:style>
  <w:style w:type="character" w:customStyle="1" w:styleId="clmsitalic-charstyles-46b4289e-0109-58fc-3470-e3c8dc13e2b4">
    <w:name w:val="clms_italic-char_styles-46b4289e-0109-58fc-3470-e3c8dc13e2b4"/>
    <w:rsid w:val="007D3A96"/>
    <w:rPr>
      <w:i/>
    </w:rPr>
  </w:style>
  <w:style w:type="character" w:customStyle="1" w:styleId="clmsbold-charstyles-46b4289e-0109-58fc-3470-e3c8dc13e2b4">
    <w:name w:val="clms_bold-char_styles-46b4289e-0109-58fc-3470-e3c8dc13e2b4"/>
    <w:rsid w:val="007D3A96"/>
    <w:rPr>
      <w:b/>
    </w:rPr>
  </w:style>
  <w:style w:type="character" w:customStyle="1" w:styleId="clmsbolditalic-charstyles-46b4289e-0109-58fc-3470-e3c8dc13e2b4">
    <w:name w:val="clms_bolditalic-char_styles-46b4289e-0109-58fc-3470-e3c8dc13e2b4"/>
    <w:rsid w:val="007D3A96"/>
    <w:rPr>
      <w:b/>
      <w:i/>
    </w:rPr>
  </w:style>
  <w:style w:type="paragraph" w:customStyle="1" w:styleId="clmsnormalstyles-46b4289e-0109-58fc-3470-e3c8dc13e2b4">
    <w:name w:val="clms_normal_styles-46b4289e-0109-58fc-3470-e3c8dc13e2b4"/>
    <w:rsid w:val="007D3A96"/>
    <w:pPr>
      <w:spacing w:after="160" w:line="259" w:lineRule="auto"/>
      <w:jc w:val="both"/>
    </w:pPr>
    <w:rPr>
      <w:rFonts w:ascii="Arial" w:eastAsiaTheme="minorHAnsi" w:hAnsi="Arial" w:cs="Arial"/>
      <w:sz w:val="18"/>
      <w:szCs w:val="22"/>
      <w:lang w:val="en-US" w:eastAsia="en-US"/>
    </w:rPr>
  </w:style>
  <w:style w:type="numbering" w:customStyle="1" w:styleId="clmsbullet-liststyles-46b4289e-0109-58fc-3470-e3c8dc13e2b4">
    <w:name w:val="clms_bullet-list_styles-46b4289e-0109-58fc-3470-e3c8dc13e2b4"/>
    <w:rsid w:val="007D3A96"/>
    <w:pPr>
      <w:numPr>
        <w:numId w:val="37"/>
      </w:numPr>
    </w:pPr>
  </w:style>
  <w:style w:type="paragraph" w:customStyle="1" w:styleId="clmsbullet-level1styles-46b4289e-0109-58fc-3470-e3c8dc13e2b4">
    <w:name w:val="clms_bullet-level1_styles-46b4289e-0109-58fc-3470-e3c8dc13e2b4"/>
    <w:basedOn w:val="clmsnormalstyles-46b4289e-0109-58fc-3470-e3c8dc13e2b4"/>
    <w:rsid w:val="007D3A96"/>
    <w:pPr>
      <w:numPr>
        <w:numId w:val="37"/>
      </w:numPr>
      <w:spacing w:before="120" w:after="120"/>
      <w:contextualSpacing/>
    </w:pPr>
    <w:rPr>
      <w:color w:val="000000"/>
    </w:rPr>
  </w:style>
  <w:style w:type="paragraph" w:customStyle="1" w:styleId="clmsbullet-level2styles-46b4289e-0109-58fc-3470-e3c8dc13e2b4">
    <w:name w:val="clms_bullet-level2_styles-46b4289e-0109-58fc-3470-e3c8dc13e2b4"/>
    <w:basedOn w:val="clmsnormalstyles-46b4289e-0109-58fc-3470-e3c8dc13e2b4"/>
    <w:rsid w:val="007D3A96"/>
    <w:pPr>
      <w:numPr>
        <w:ilvl w:val="1"/>
        <w:numId w:val="37"/>
      </w:numPr>
      <w:spacing w:before="120" w:after="120"/>
      <w:contextualSpacing/>
    </w:pPr>
    <w:rPr>
      <w:color w:val="000000"/>
    </w:rPr>
  </w:style>
  <w:style w:type="paragraph" w:customStyle="1" w:styleId="clmsbullet-level3styles-46b4289e-0109-58fc-3470-e3c8dc13e2b4">
    <w:name w:val="clms_bullet-level3_styles-46b4289e-0109-58fc-3470-e3c8dc13e2b4"/>
    <w:basedOn w:val="clmsnormalstyles-46b4289e-0109-58fc-3470-e3c8dc13e2b4"/>
    <w:rsid w:val="007D3A96"/>
    <w:pPr>
      <w:numPr>
        <w:ilvl w:val="2"/>
        <w:numId w:val="37"/>
      </w:numPr>
      <w:spacing w:before="120" w:after="120"/>
      <w:contextualSpacing/>
    </w:pPr>
    <w:rPr>
      <w:color w:val="000000"/>
    </w:rPr>
  </w:style>
  <w:style w:type="paragraph" w:customStyle="1" w:styleId="clmsbullet-level4styles-46b4289e-0109-58fc-3470-e3c8dc13e2b4">
    <w:name w:val="clms_bullet-level4_styles-46b4289e-0109-58fc-3470-e3c8dc13e2b4"/>
    <w:basedOn w:val="clmsnormalstyles-46b4289e-0109-58fc-3470-e3c8dc13e2b4"/>
    <w:rsid w:val="007D3A96"/>
    <w:pPr>
      <w:numPr>
        <w:ilvl w:val="3"/>
        <w:numId w:val="37"/>
      </w:numPr>
      <w:spacing w:before="120" w:after="120"/>
      <w:contextualSpacing/>
    </w:pPr>
    <w:rPr>
      <w:color w:val="000000"/>
    </w:rPr>
  </w:style>
  <w:style w:type="paragraph" w:customStyle="1" w:styleId="clmsbullet-level5styles-46b4289e-0109-58fc-3470-e3c8dc13e2b4">
    <w:name w:val="clms_bullet-level5_styles-46b4289e-0109-58fc-3470-e3c8dc13e2b4"/>
    <w:basedOn w:val="clmsnormalstyles-46b4289e-0109-58fc-3470-e3c8dc13e2b4"/>
    <w:rsid w:val="007D3A96"/>
    <w:pPr>
      <w:numPr>
        <w:ilvl w:val="4"/>
        <w:numId w:val="37"/>
      </w:numPr>
      <w:spacing w:before="120" w:after="120"/>
      <w:contextualSpacing/>
    </w:pPr>
    <w:rPr>
      <w:color w:val="000000"/>
    </w:rPr>
  </w:style>
  <w:style w:type="paragraph" w:customStyle="1" w:styleId="clmsbullet-level6styles-46b4289e-0109-58fc-3470-e3c8dc13e2b4">
    <w:name w:val="clms_bullet-level6_styles-46b4289e-0109-58fc-3470-e3c8dc13e2b4"/>
    <w:basedOn w:val="clmsnormalstyles-46b4289e-0109-58fc-3470-e3c8dc13e2b4"/>
    <w:rsid w:val="007D3A96"/>
    <w:pPr>
      <w:numPr>
        <w:ilvl w:val="5"/>
        <w:numId w:val="37"/>
      </w:numPr>
      <w:spacing w:before="120" w:after="120"/>
      <w:contextualSpacing/>
    </w:pPr>
    <w:rPr>
      <w:color w:val="000000"/>
    </w:rPr>
  </w:style>
  <w:style w:type="paragraph" w:customStyle="1" w:styleId="clmsbullet-level7styles-46b4289e-0109-58fc-3470-e3c8dc13e2b4">
    <w:name w:val="clms_bullet-level7_styles-46b4289e-0109-58fc-3470-e3c8dc13e2b4"/>
    <w:basedOn w:val="clmsnormalstyles-46b4289e-0109-58fc-3470-e3c8dc13e2b4"/>
    <w:rsid w:val="007D3A96"/>
    <w:pPr>
      <w:numPr>
        <w:ilvl w:val="6"/>
        <w:numId w:val="37"/>
      </w:numPr>
      <w:spacing w:before="120" w:after="120"/>
      <w:contextualSpacing/>
    </w:pPr>
    <w:rPr>
      <w:color w:val="000000"/>
    </w:rPr>
  </w:style>
  <w:style w:type="paragraph" w:customStyle="1" w:styleId="clmsbullet-level8styles-46b4289e-0109-58fc-3470-e3c8dc13e2b4">
    <w:name w:val="clms_bullet-level8_styles-46b4289e-0109-58fc-3470-e3c8dc13e2b4"/>
    <w:basedOn w:val="clmsnormalstyles-46b4289e-0109-58fc-3470-e3c8dc13e2b4"/>
    <w:rsid w:val="007D3A96"/>
    <w:pPr>
      <w:numPr>
        <w:ilvl w:val="7"/>
        <w:numId w:val="37"/>
      </w:numPr>
      <w:spacing w:before="120" w:after="120"/>
      <w:contextualSpacing/>
    </w:pPr>
    <w:rPr>
      <w:color w:val="000000"/>
    </w:rPr>
  </w:style>
  <w:style w:type="paragraph" w:customStyle="1" w:styleId="clmsbullet-level9styles-46b4289e-0109-58fc-3470-e3c8dc13e2b4">
    <w:name w:val="clms_bullet-level9_styles-46b4289e-0109-58fc-3470-e3c8dc13e2b4"/>
    <w:basedOn w:val="clmsnormalstyles-46b4289e-0109-58fc-3470-e3c8dc13e2b4"/>
    <w:rsid w:val="007D3A96"/>
    <w:pPr>
      <w:numPr>
        <w:ilvl w:val="8"/>
        <w:numId w:val="37"/>
      </w:numPr>
      <w:spacing w:before="120" w:after="120"/>
      <w:contextualSpacing/>
    </w:pPr>
    <w:rPr>
      <w:color w:val="000000"/>
    </w:rPr>
  </w:style>
  <w:style w:type="table" w:customStyle="1" w:styleId="clmsbordered-tablestyles-46b4289e-0109-58fc-3470-e3c8dc13e2b4">
    <w:name w:val="clms_bordered-table_styles-46b4289e-0109-58fc-3470-e3c8dc13e2b4"/>
    <w:rsid w:val="007D3A96"/>
    <w:pPr>
      <w:spacing w:after="160" w:line="259" w:lineRule="auto"/>
    </w:pPr>
    <w:rPr>
      <w:rFonts w:asciiTheme="minorHAnsi" w:eastAsiaTheme="minorHAnsi" w:hAnsiTheme="minorHAnsi" w:cstheme="minorBidi"/>
      <w:sz w:val="22"/>
      <w:szCs w:val="22"/>
      <w:lang w:val="en-US" w:eastAsia="en-US"/>
    </w:rPr>
    <w:tblPr>
      <w:tblStyleRowBandSize w:val="1"/>
      <w:tblStyleColBandSize w:val="1"/>
      <w:tblInd w:w="0" w:type="dxa"/>
      <w:tblBorders>
        <w:top w:val="single" w:sz="6" w:space="0" w:color="0F6FC6"/>
        <w:bottom w:val="single" w:sz="6" w:space="0" w:color="0F6FC6"/>
        <w:insideH w:val="single" w:sz="6" w:space="0" w:color="0F6FC6"/>
      </w:tblBorders>
      <w:tblCellMar>
        <w:top w:w="0" w:type="dxa"/>
        <w:left w:w="108" w:type="dxa"/>
        <w:bottom w:w="0" w:type="dxa"/>
        <w:right w:w="108" w:type="dxa"/>
      </w:tblCellMar>
    </w:tblPr>
    <w:tblStylePr w:type="firstRow">
      <w:tblPr/>
      <w:tcPr>
        <w:shd w:val="clear" w:color="auto" w:fill="0066CC"/>
        <w:tcMar>
          <w:top w:w="56" w:type="dxa"/>
          <w:left w:w="108" w:type="dxa"/>
          <w:bottom w:w="0" w:type="dxa"/>
          <w:right w:w="108" w:type="dxa"/>
        </w:tcMar>
      </w:tcPr>
    </w:tblStylePr>
  </w:style>
  <w:style w:type="paragraph" w:customStyle="1" w:styleId="clmsnormaltable-borderedstyles-46b4289e-0109-58fc-3470-e3c8dc13e2b4">
    <w:name w:val="clms_normal_table-bordered_styles-46b4289e-0109-58fc-3470-e3c8dc13e2b4"/>
    <w:basedOn w:val="clmsnormalstyles-46b4289e-0109-58fc-3470-e3c8dc13e2b4"/>
    <w:rsid w:val="007D3A96"/>
  </w:style>
  <w:style w:type="paragraph" w:customStyle="1" w:styleId="clmsnormaltable-bordered-firstrowstyles-46b4289e-0109-58fc-3470-e3c8dc13e2b4">
    <w:name w:val="clms_normal_table-bordered-firstrow_styles-46b4289e-0109-58fc-3470-e3c8dc13e2b4"/>
    <w:basedOn w:val="clmsnormaltable-borderedstyles-46b4289e-0109-58fc-3470-e3c8dc13e2b4"/>
    <w:rsid w:val="007D3A96"/>
    <w:rPr>
      <w:i/>
      <w:color w:val="FFFFFF"/>
    </w:rPr>
  </w:style>
  <w:style w:type="paragraph" w:customStyle="1" w:styleId="23BodyText">
    <w:name w:val="23 Body Text"/>
    <w:basedOn w:val="Normal"/>
    <w:rsid w:val="00C36E83"/>
    <w:pPr>
      <w:spacing w:before="100" w:line="264" w:lineRule="auto"/>
      <w:jc w:val="left"/>
    </w:pPr>
    <w:rPr>
      <w:rFonts w:ascii="Arial" w:eastAsia="LF_Kai" w:hAnsi="Arial" w:cs="Arial"/>
      <w:color w:val="000000"/>
      <w:szCs w:val="24"/>
      <w:lang w:eastAsia="zh-CN" w:bidi="yi-Hebr"/>
    </w:rPr>
  </w:style>
  <w:style w:type="paragraph" w:styleId="Date">
    <w:name w:val="Date"/>
    <w:basedOn w:val="Normal"/>
    <w:next w:val="Normal"/>
    <w:link w:val="DateChar"/>
    <w:uiPriority w:val="99"/>
    <w:semiHidden/>
    <w:unhideWhenUsed/>
    <w:rsid w:val="009E4CA7"/>
  </w:style>
  <w:style w:type="character" w:customStyle="1" w:styleId="DateChar">
    <w:name w:val="Date Char"/>
    <w:basedOn w:val="DefaultParagraphFont"/>
    <w:link w:val="Date"/>
    <w:uiPriority w:val="99"/>
    <w:semiHidden/>
    <w:rsid w:val="009E4CA7"/>
    <w:rPr>
      <w:rFonts w:ascii="Century Gothic" w:eastAsia="Times New Roman" w:hAnsi="Century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097">
      <w:bodyDiv w:val="1"/>
      <w:marLeft w:val="0"/>
      <w:marRight w:val="0"/>
      <w:marTop w:val="0"/>
      <w:marBottom w:val="0"/>
      <w:divBdr>
        <w:top w:val="none" w:sz="0" w:space="0" w:color="auto"/>
        <w:left w:val="none" w:sz="0" w:space="0" w:color="auto"/>
        <w:bottom w:val="none" w:sz="0" w:space="0" w:color="auto"/>
        <w:right w:val="none" w:sz="0" w:space="0" w:color="auto"/>
      </w:divBdr>
    </w:div>
    <w:div w:id="19405597">
      <w:bodyDiv w:val="1"/>
      <w:marLeft w:val="0"/>
      <w:marRight w:val="0"/>
      <w:marTop w:val="0"/>
      <w:marBottom w:val="0"/>
      <w:divBdr>
        <w:top w:val="none" w:sz="0" w:space="0" w:color="auto"/>
        <w:left w:val="none" w:sz="0" w:space="0" w:color="auto"/>
        <w:bottom w:val="none" w:sz="0" w:space="0" w:color="auto"/>
        <w:right w:val="none" w:sz="0" w:space="0" w:color="auto"/>
      </w:divBdr>
    </w:div>
    <w:div w:id="29653452">
      <w:bodyDiv w:val="1"/>
      <w:marLeft w:val="0"/>
      <w:marRight w:val="0"/>
      <w:marTop w:val="0"/>
      <w:marBottom w:val="0"/>
      <w:divBdr>
        <w:top w:val="none" w:sz="0" w:space="0" w:color="auto"/>
        <w:left w:val="none" w:sz="0" w:space="0" w:color="auto"/>
        <w:bottom w:val="none" w:sz="0" w:space="0" w:color="auto"/>
        <w:right w:val="none" w:sz="0" w:space="0" w:color="auto"/>
      </w:divBdr>
    </w:div>
    <w:div w:id="29962243">
      <w:bodyDiv w:val="1"/>
      <w:marLeft w:val="0"/>
      <w:marRight w:val="0"/>
      <w:marTop w:val="0"/>
      <w:marBottom w:val="0"/>
      <w:divBdr>
        <w:top w:val="none" w:sz="0" w:space="0" w:color="auto"/>
        <w:left w:val="none" w:sz="0" w:space="0" w:color="auto"/>
        <w:bottom w:val="none" w:sz="0" w:space="0" w:color="auto"/>
        <w:right w:val="none" w:sz="0" w:space="0" w:color="auto"/>
      </w:divBdr>
    </w:div>
    <w:div w:id="85005361">
      <w:bodyDiv w:val="1"/>
      <w:marLeft w:val="0"/>
      <w:marRight w:val="0"/>
      <w:marTop w:val="0"/>
      <w:marBottom w:val="0"/>
      <w:divBdr>
        <w:top w:val="none" w:sz="0" w:space="0" w:color="auto"/>
        <w:left w:val="none" w:sz="0" w:space="0" w:color="auto"/>
        <w:bottom w:val="none" w:sz="0" w:space="0" w:color="auto"/>
        <w:right w:val="none" w:sz="0" w:space="0" w:color="auto"/>
      </w:divBdr>
    </w:div>
    <w:div w:id="140510206">
      <w:bodyDiv w:val="1"/>
      <w:marLeft w:val="0"/>
      <w:marRight w:val="0"/>
      <w:marTop w:val="0"/>
      <w:marBottom w:val="0"/>
      <w:divBdr>
        <w:top w:val="none" w:sz="0" w:space="0" w:color="auto"/>
        <w:left w:val="none" w:sz="0" w:space="0" w:color="auto"/>
        <w:bottom w:val="none" w:sz="0" w:space="0" w:color="auto"/>
        <w:right w:val="none" w:sz="0" w:space="0" w:color="auto"/>
      </w:divBdr>
    </w:div>
    <w:div w:id="142431637">
      <w:bodyDiv w:val="1"/>
      <w:marLeft w:val="0"/>
      <w:marRight w:val="0"/>
      <w:marTop w:val="0"/>
      <w:marBottom w:val="0"/>
      <w:divBdr>
        <w:top w:val="none" w:sz="0" w:space="0" w:color="auto"/>
        <w:left w:val="none" w:sz="0" w:space="0" w:color="auto"/>
        <w:bottom w:val="none" w:sz="0" w:space="0" w:color="auto"/>
        <w:right w:val="none" w:sz="0" w:space="0" w:color="auto"/>
      </w:divBdr>
    </w:div>
    <w:div w:id="189926571">
      <w:bodyDiv w:val="1"/>
      <w:marLeft w:val="0"/>
      <w:marRight w:val="0"/>
      <w:marTop w:val="0"/>
      <w:marBottom w:val="0"/>
      <w:divBdr>
        <w:top w:val="none" w:sz="0" w:space="0" w:color="auto"/>
        <w:left w:val="none" w:sz="0" w:space="0" w:color="auto"/>
        <w:bottom w:val="none" w:sz="0" w:space="0" w:color="auto"/>
        <w:right w:val="none" w:sz="0" w:space="0" w:color="auto"/>
      </w:divBdr>
    </w:div>
    <w:div w:id="201865805">
      <w:bodyDiv w:val="1"/>
      <w:marLeft w:val="0"/>
      <w:marRight w:val="0"/>
      <w:marTop w:val="0"/>
      <w:marBottom w:val="0"/>
      <w:divBdr>
        <w:top w:val="none" w:sz="0" w:space="0" w:color="auto"/>
        <w:left w:val="none" w:sz="0" w:space="0" w:color="auto"/>
        <w:bottom w:val="none" w:sz="0" w:space="0" w:color="auto"/>
        <w:right w:val="none" w:sz="0" w:space="0" w:color="auto"/>
      </w:divBdr>
    </w:div>
    <w:div w:id="229854405">
      <w:bodyDiv w:val="1"/>
      <w:marLeft w:val="0"/>
      <w:marRight w:val="0"/>
      <w:marTop w:val="0"/>
      <w:marBottom w:val="0"/>
      <w:divBdr>
        <w:top w:val="none" w:sz="0" w:space="0" w:color="auto"/>
        <w:left w:val="none" w:sz="0" w:space="0" w:color="auto"/>
        <w:bottom w:val="none" w:sz="0" w:space="0" w:color="auto"/>
        <w:right w:val="none" w:sz="0" w:space="0" w:color="auto"/>
      </w:divBdr>
    </w:div>
    <w:div w:id="271589926">
      <w:bodyDiv w:val="1"/>
      <w:marLeft w:val="0"/>
      <w:marRight w:val="0"/>
      <w:marTop w:val="0"/>
      <w:marBottom w:val="0"/>
      <w:divBdr>
        <w:top w:val="none" w:sz="0" w:space="0" w:color="auto"/>
        <w:left w:val="none" w:sz="0" w:space="0" w:color="auto"/>
        <w:bottom w:val="none" w:sz="0" w:space="0" w:color="auto"/>
        <w:right w:val="none" w:sz="0" w:space="0" w:color="auto"/>
      </w:divBdr>
    </w:div>
    <w:div w:id="276639149">
      <w:bodyDiv w:val="1"/>
      <w:marLeft w:val="0"/>
      <w:marRight w:val="0"/>
      <w:marTop w:val="0"/>
      <w:marBottom w:val="0"/>
      <w:divBdr>
        <w:top w:val="none" w:sz="0" w:space="0" w:color="auto"/>
        <w:left w:val="none" w:sz="0" w:space="0" w:color="auto"/>
        <w:bottom w:val="none" w:sz="0" w:space="0" w:color="auto"/>
        <w:right w:val="none" w:sz="0" w:space="0" w:color="auto"/>
      </w:divBdr>
    </w:div>
    <w:div w:id="281497002">
      <w:bodyDiv w:val="1"/>
      <w:marLeft w:val="0"/>
      <w:marRight w:val="0"/>
      <w:marTop w:val="0"/>
      <w:marBottom w:val="0"/>
      <w:divBdr>
        <w:top w:val="none" w:sz="0" w:space="0" w:color="auto"/>
        <w:left w:val="none" w:sz="0" w:space="0" w:color="auto"/>
        <w:bottom w:val="none" w:sz="0" w:space="0" w:color="auto"/>
        <w:right w:val="none" w:sz="0" w:space="0" w:color="auto"/>
      </w:divBdr>
    </w:div>
    <w:div w:id="308677832">
      <w:bodyDiv w:val="1"/>
      <w:marLeft w:val="0"/>
      <w:marRight w:val="0"/>
      <w:marTop w:val="0"/>
      <w:marBottom w:val="0"/>
      <w:divBdr>
        <w:top w:val="none" w:sz="0" w:space="0" w:color="auto"/>
        <w:left w:val="none" w:sz="0" w:space="0" w:color="auto"/>
        <w:bottom w:val="none" w:sz="0" w:space="0" w:color="auto"/>
        <w:right w:val="none" w:sz="0" w:space="0" w:color="auto"/>
      </w:divBdr>
    </w:div>
    <w:div w:id="318464944">
      <w:bodyDiv w:val="1"/>
      <w:marLeft w:val="0"/>
      <w:marRight w:val="0"/>
      <w:marTop w:val="0"/>
      <w:marBottom w:val="0"/>
      <w:divBdr>
        <w:top w:val="none" w:sz="0" w:space="0" w:color="auto"/>
        <w:left w:val="none" w:sz="0" w:space="0" w:color="auto"/>
        <w:bottom w:val="none" w:sz="0" w:space="0" w:color="auto"/>
        <w:right w:val="none" w:sz="0" w:space="0" w:color="auto"/>
      </w:divBdr>
    </w:div>
    <w:div w:id="376662409">
      <w:bodyDiv w:val="1"/>
      <w:marLeft w:val="0"/>
      <w:marRight w:val="0"/>
      <w:marTop w:val="0"/>
      <w:marBottom w:val="0"/>
      <w:divBdr>
        <w:top w:val="none" w:sz="0" w:space="0" w:color="auto"/>
        <w:left w:val="none" w:sz="0" w:space="0" w:color="auto"/>
        <w:bottom w:val="none" w:sz="0" w:space="0" w:color="auto"/>
        <w:right w:val="none" w:sz="0" w:space="0" w:color="auto"/>
      </w:divBdr>
    </w:div>
    <w:div w:id="394662545">
      <w:bodyDiv w:val="1"/>
      <w:marLeft w:val="0"/>
      <w:marRight w:val="0"/>
      <w:marTop w:val="0"/>
      <w:marBottom w:val="0"/>
      <w:divBdr>
        <w:top w:val="none" w:sz="0" w:space="0" w:color="auto"/>
        <w:left w:val="none" w:sz="0" w:space="0" w:color="auto"/>
        <w:bottom w:val="none" w:sz="0" w:space="0" w:color="auto"/>
        <w:right w:val="none" w:sz="0" w:space="0" w:color="auto"/>
      </w:divBdr>
    </w:div>
    <w:div w:id="425853928">
      <w:bodyDiv w:val="1"/>
      <w:marLeft w:val="0"/>
      <w:marRight w:val="0"/>
      <w:marTop w:val="0"/>
      <w:marBottom w:val="0"/>
      <w:divBdr>
        <w:top w:val="none" w:sz="0" w:space="0" w:color="auto"/>
        <w:left w:val="none" w:sz="0" w:space="0" w:color="auto"/>
        <w:bottom w:val="none" w:sz="0" w:space="0" w:color="auto"/>
        <w:right w:val="none" w:sz="0" w:space="0" w:color="auto"/>
      </w:divBdr>
    </w:div>
    <w:div w:id="432165435">
      <w:bodyDiv w:val="1"/>
      <w:marLeft w:val="0"/>
      <w:marRight w:val="0"/>
      <w:marTop w:val="0"/>
      <w:marBottom w:val="0"/>
      <w:divBdr>
        <w:top w:val="none" w:sz="0" w:space="0" w:color="auto"/>
        <w:left w:val="none" w:sz="0" w:space="0" w:color="auto"/>
        <w:bottom w:val="none" w:sz="0" w:space="0" w:color="auto"/>
        <w:right w:val="none" w:sz="0" w:space="0" w:color="auto"/>
      </w:divBdr>
    </w:div>
    <w:div w:id="444352087">
      <w:bodyDiv w:val="1"/>
      <w:marLeft w:val="0"/>
      <w:marRight w:val="0"/>
      <w:marTop w:val="0"/>
      <w:marBottom w:val="0"/>
      <w:divBdr>
        <w:top w:val="none" w:sz="0" w:space="0" w:color="auto"/>
        <w:left w:val="none" w:sz="0" w:space="0" w:color="auto"/>
        <w:bottom w:val="none" w:sz="0" w:space="0" w:color="auto"/>
        <w:right w:val="none" w:sz="0" w:space="0" w:color="auto"/>
      </w:divBdr>
    </w:div>
    <w:div w:id="460003984">
      <w:bodyDiv w:val="1"/>
      <w:marLeft w:val="0"/>
      <w:marRight w:val="0"/>
      <w:marTop w:val="0"/>
      <w:marBottom w:val="0"/>
      <w:divBdr>
        <w:top w:val="none" w:sz="0" w:space="0" w:color="auto"/>
        <w:left w:val="none" w:sz="0" w:space="0" w:color="auto"/>
        <w:bottom w:val="none" w:sz="0" w:space="0" w:color="auto"/>
        <w:right w:val="none" w:sz="0" w:space="0" w:color="auto"/>
      </w:divBdr>
    </w:div>
    <w:div w:id="465664107">
      <w:bodyDiv w:val="1"/>
      <w:marLeft w:val="0"/>
      <w:marRight w:val="0"/>
      <w:marTop w:val="0"/>
      <w:marBottom w:val="0"/>
      <w:divBdr>
        <w:top w:val="none" w:sz="0" w:space="0" w:color="auto"/>
        <w:left w:val="none" w:sz="0" w:space="0" w:color="auto"/>
        <w:bottom w:val="none" w:sz="0" w:space="0" w:color="auto"/>
        <w:right w:val="none" w:sz="0" w:space="0" w:color="auto"/>
      </w:divBdr>
    </w:div>
    <w:div w:id="557329399">
      <w:bodyDiv w:val="1"/>
      <w:marLeft w:val="0"/>
      <w:marRight w:val="0"/>
      <w:marTop w:val="0"/>
      <w:marBottom w:val="0"/>
      <w:divBdr>
        <w:top w:val="none" w:sz="0" w:space="0" w:color="auto"/>
        <w:left w:val="none" w:sz="0" w:space="0" w:color="auto"/>
        <w:bottom w:val="none" w:sz="0" w:space="0" w:color="auto"/>
        <w:right w:val="none" w:sz="0" w:space="0" w:color="auto"/>
      </w:divBdr>
    </w:div>
    <w:div w:id="566302978">
      <w:bodyDiv w:val="1"/>
      <w:marLeft w:val="0"/>
      <w:marRight w:val="0"/>
      <w:marTop w:val="0"/>
      <w:marBottom w:val="0"/>
      <w:divBdr>
        <w:top w:val="none" w:sz="0" w:space="0" w:color="auto"/>
        <w:left w:val="none" w:sz="0" w:space="0" w:color="auto"/>
        <w:bottom w:val="none" w:sz="0" w:space="0" w:color="auto"/>
        <w:right w:val="none" w:sz="0" w:space="0" w:color="auto"/>
      </w:divBdr>
      <w:divsChild>
        <w:div w:id="542912336">
          <w:marLeft w:val="0"/>
          <w:marRight w:val="0"/>
          <w:marTop w:val="0"/>
          <w:marBottom w:val="0"/>
          <w:divBdr>
            <w:top w:val="none" w:sz="0" w:space="0" w:color="auto"/>
            <w:left w:val="none" w:sz="0" w:space="0" w:color="auto"/>
            <w:bottom w:val="none" w:sz="0" w:space="0" w:color="auto"/>
            <w:right w:val="none" w:sz="0" w:space="0" w:color="auto"/>
          </w:divBdr>
          <w:divsChild>
            <w:div w:id="9330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5750">
      <w:bodyDiv w:val="1"/>
      <w:marLeft w:val="0"/>
      <w:marRight w:val="0"/>
      <w:marTop w:val="0"/>
      <w:marBottom w:val="0"/>
      <w:divBdr>
        <w:top w:val="none" w:sz="0" w:space="0" w:color="auto"/>
        <w:left w:val="none" w:sz="0" w:space="0" w:color="auto"/>
        <w:bottom w:val="none" w:sz="0" w:space="0" w:color="auto"/>
        <w:right w:val="none" w:sz="0" w:space="0" w:color="auto"/>
      </w:divBdr>
    </w:div>
    <w:div w:id="629091057">
      <w:bodyDiv w:val="1"/>
      <w:marLeft w:val="0"/>
      <w:marRight w:val="0"/>
      <w:marTop w:val="0"/>
      <w:marBottom w:val="0"/>
      <w:divBdr>
        <w:top w:val="none" w:sz="0" w:space="0" w:color="auto"/>
        <w:left w:val="none" w:sz="0" w:space="0" w:color="auto"/>
        <w:bottom w:val="none" w:sz="0" w:space="0" w:color="auto"/>
        <w:right w:val="none" w:sz="0" w:space="0" w:color="auto"/>
      </w:divBdr>
    </w:div>
    <w:div w:id="708844000">
      <w:bodyDiv w:val="1"/>
      <w:marLeft w:val="0"/>
      <w:marRight w:val="0"/>
      <w:marTop w:val="0"/>
      <w:marBottom w:val="0"/>
      <w:divBdr>
        <w:top w:val="none" w:sz="0" w:space="0" w:color="auto"/>
        <w:left w:val="none" w:sz="0" w:space="0" w:color="auto"/>
        <w:bottom w:val="none" w:sz="0" w:space="0" w:color="auto"/>
        <w:right w:val="none" w:sz="0" w:space="0" w:color="auto"/>
      </w:divBdr>
    </w:div>
    <w:div w:id="711924793">
      <w:bodyDiv w:val="1"/>
      <w:marLeft w:val="0"/>
      <w:marRight w:val="0"/>
      <w:marTop w:val="0"/>
      <w:marBottom w:val="0"/>
      <w:divBdr>
        <w:top w:val="none" w:sz="0" w:space="0" w:color="auto"/>
        <w:left w:val="none" w:sz="0" w:space="0" w:color="auto"/>
        <w:bottom w:val="none" w:sz="0" w:space="0" w:color="auto"/>
        <w:right w:val="none" w:sz="0" w:space="0" w:color="auto"/>
      </w:divBdr>
    </w:div>
    <w:div w:id="728454012">
      <w:bodyDiv w:val="1"/>
      <w:marLeft w:val="0"/>
      <w:marRight w:val="0"/>
      <w:marTop w:val="0"/>
      <w:marBottom w:val="0"/>
      <w:divBdr>
        <w:top w:val="none" w:sz="0" w:space="0" w:color="auto"/>
        <w:left w:val="none" w:sz="0" w:space="0" w:color="auto"/>
        <w:bottom w:val="none" w:sz="0" w:space="0" w:color="auto"/>
        <w:right w:val="none" w:sz="0" w:space="0" w:color="auto"/>
      </w:divBdr>
    </w:div>
    <w:div w:id="743799991">
      <w:bodyDiv w:val="1"/>
      <w:marLeft w:val="0"/>
      <w:marRight w:val="0"/>
      <w:marTop w:val="0"/>
      <w:marBottom w:val="0"/>
      <w:divBdr>
        <w:top w:val="none" w:sz="0" w:space="0" w:color="auto"/>
        <w:left w:val="none" w:sz="0" w:space="0" w:color="auto"/>
        <w:bottom w:val="none" w:sz="0" w:space="0" w:color="auto"/>
        <w:right w:val="none" w:sz="0" w:space="0" w:color="auto"/>
      </w:divBdr>
    </w:div>
    <w:div w:id="813788996">
      <w:bodyDiv w:val="1"/>
      <w:marLeft w:val="0"/>
      <w:marRight w:val="0"/>
      <w:marTop w:val="0"/>
      <w:marBottom w:val="0"/>
      <w:divBdr>
        <w:top w:val="none" w:sz="0" w:space="0" w:color="auto"/>
        <w:left w:val="none" w:sz="0" w:space="0" w:color="auto"/>
        <w:bottom w:val="none" w:sz="0" w:space="0" w:color="auto"/>
        <w:right w:val="none" w:sz="0" w:space="0" w:color="auto"/>
      </w:divBdr>
    </w:div>
    <w:div w:id="826869722">
      <w:bodyDiv w:val="1"/>
      <w:marLeft w:val="0"/>
      <w:marRight w:val="0"/>
      <w:marTop w:val="0"/>
      <w:marBottom w:val="0"/>
      <w:divBdr>
        <w:top w:val="none" w:sz="0" w:space="0" w:color="auto"/>
        <w:left w:val="none" w:sz="0" w:space="0" w:color="auto"/>
        <w:bottom w:val="none" w:sz="0" w:space="0" w:color="auto"/>
        <w:right w:val="none" w:sz="0" w:space="0" w:color="auto"/>
      </w:divBdr>
    </w:div>
    <w:div w:id="828789999">
      <w:bodyDiv w:val="1"/>
      <w:marLeft w:val="0"/>
      <w:marRight w:val="0"/>
      <w:marTop w:val="0"/>
      <w:marBottom w:val="0"/>
      <w:divBdr>
        <w:top w:val="none" w:sz="0" w:space="0" w:color="auto"/>
        <w:left w:val="none" w:sz="0" w:space="0" w:color="auto"/>
        <w:bottom w:val="none" w:sz="0" w:space="0" w:color="auto"/>
        <w:right w:val="none" w:sz="0" w:space="0" w:color="auto"/>
      </w:divBdr>
    </w:div>
    <w:div w:id="839734407">
      <w:bodyDiv w:val="1"/>
      <w:marLeft w:val="0"/>
      <w:marRight w:val="0"/>
      <w:marTop w:val="0"/>
      <w:marBottom w:val="0"/>
      <w:divBdr>
        <w:top w:val="none" w:sz="0" w:space="0" w:color="auto"/>
        <w:left w:val="none" w:sz="0" w:space="0" w:color="auto"/>
        <w:bottom w:val="none" w:sz="0" w:space="0" w:color="auto"/>
        <w:right w:val="none" w:sz="0" w:space="0" w:color="auto"/>
      </w:divBdr>
    </w:div>
    <w:div w:id="844174767">
      <w:bodyDiv w:val="1"/>
      <w:marLeft w:val="0"/>
      <w:marRight w:val="0"/>
      <w:marTop w:val="0"/>
      <w:marBottom w:val="0"/>
      <w:divBdr>
        <w:top w:val="none" w:sz="0" w:space="0" w:color="auto"/>
        <w:left w:val="none" w:sz="0" w:space="0" w:color="auto"/>
        <w:bottom w:val="none" w:sz="0" w:space="0" w:color="auto"/>
        <w:right w:val="none" w:sz="0" w:space="0" w:color="auto"/>
      </w:divBdr>
    </w:div>
    <w:div w:id="850142117">
      <w:bodyDiv w:val="1"/>
      <w:marLeft w:val="0"/>
      <w:marRight w:val="0"/>
      <w:marTop w:val="0"/>
      <w:marBottom w:val="0"/>
      <w:divBdr>
        <w:top w:val="none" w:sz="0" w:space="0" w:color="auto"/>
        <w:left w:val="none" w:sz="0" w:space="0" w:color="auto"/>
        <w:bottom w:val="none" w:sz="0" w:space="0" w:color="auto"/>
        <w:right w:val="none" w:sz="0" w:space="0" w:color="auto"/>
      </w:divBdr>
    </w:div>
    <w:div w:id="891232502">
      <w:bodyDiv w:val="1"/>
      <w:marLeft w:val="0"/>
      <w:marRight w:val="0"/>
      <w:marTop w:val="0"/>
      <w:marBottom w:val="0"/>
      <w:divBdr>
        <w:top w:val="none" w:sz="0" w:space="0" w:color="auto"/>
        <w:left w:val="none" w:sz="0" w:space="0" w:color="auto"/>
        <w:bottom w:val="none" w:sz="0" w:space="0" w:color="auto"/>
        <w:right w:val="none" w:sz="0" w:space="0" w:color="auto"/>
      </w:divBdr>
    </w:div>
    <w:div w:id="898707096">
      <w:bodyDiv w:val="1"/>
      <w:marLeft w:val="0"/>
      <w:marRight w:val="0"/>
      <w:marTop w:val="0"/>
      <w:marBottom w:val="0"/>
      <w:divBdr>
        <w:top w:val="none" w:sz="0" w:space="0" w:color="auto"/>
        <w:left w:val="none" w:sz="0" w:space="0" w:color="auto"/>
        <w:bottom w:val="none" w:sz="0" w:space="0" w:color="auto"/>
        <w:right w:val="none" w:sz="0" w:space="0" w:color="auto"/>
      </w:divBdr>
    </w:div>
    <w:div w:id="916476230">
      <w:bodyDiv w:val="1"/>
      <w:marLeft w:val="0"/>
      <w:marRight w:val="0"/>
      <w:marTop w:val="0"/>
      <w:marBottom w:val="0"/>
      <w:divBdr>
        <w:top w:val="none" w:sz="0" w:space="0" w:color="auto"/>
        <w:left w:val="none" w:sz="0" w:space="0" w:color="auto"/>
        <w:bottom w:val="none" w:sz="0" w:space="0" w:color="auto"/>
        <w:right w:val="none" w:sz="0" w:space="0" w:color="auto"/>
      </w:divBdr>
    </w:div>
    <w:div w:id="953437686">
      <w:bodyDiv w:val="1"/>
      <w:marLeft w:val="0"/>
      <w:marRight w:val="0"/>
      <w:marTop w:val="0"/>
      <w:marBottom w:val="0"/>
      <w:divBdr>
        <w:top w:val="none" w:sz="0" w:space="0" w:color="auto"/>
        <w:left w:val="none" w:sz="0" w:space="0" w:color="auto"/>
        <w:bottom w:val="none" w:sz="0" w:space="0" w:color="auto"/>
        <w:right w:val="none" w:sz="0" w:space="0" w:color="auto"/>
      </w:divBdr>
    </w:div>
    <w:div w:id="973607494">
      <w:bodyDiv w:val="1"/>
      <w:marLeft w:val="0"/>
      <w:marRight w:val="0"/>
      <w:marTop w:val="0"/>
      <w:marBottom w:val="0"/>
      <w:divBdr>
        <w:top w:val="none" w:sz="0" w:space="0" w:color="auto"/>
        <w:left w:val="none" w:sz="0" w:space="0" w:color="auto"/>
        <w:bottom w:val="none" w:sz="0" w:space="0" w:color="auto"/>
        <w:right w:val="none" w:sz="0" w:space="0" w:color="auto"/>
      </w:divBdr>
    </w:div>
    <w:div w:id="992877730">
      <w:bodyDiv w:val="1"/>
      <w:marLeft w:val="0"/>
      <w:marRight w:val="0"/>
      <w:marTop w:val="0"/>
      <w:marBottom w:val="0"/>
      <w:divBdr>
        <w:top w:val="none" w:sz="0" w:space="0" w:color="auto"/>
        <w:left w:val="none" w:sz="0" w:space="0" w:color="auto"/>
        <w:bottom w:val="none" w:sz="0" w:space="0" w:color="auto"/>
        <w:right w:val="none" w:sz="0" w:space="0" w:color="auto"/>
      </w:divBdr>
      <w:divsChild>
        <w:div w:id="1384406111">
          <w:marLeft w:val="0"/>
          <w:marRight w:val="0"/>
          <w:marTop w:val="0"/>
          <w:marBottom w:val="0"/>
          <w:divBdr>
            <w:top w:val="none" w:sz="0" w:space="0" w:color="auto"/>
            <w:left w:val="none" w:sz="0" w:space="0" w:color="auto"/>
            <w:bottom w:val="none" w:sz="0" w:space="0" w:color="auto"/>
            <w:right w:val="none" w:sz="0" w:space="0" w:color="auto"/>
          </w:divBdr>
          <w:divsChild>
            <w:div w:id="1244610560">
              <w:marLeft w:val="0"/>
              <w:marRight w:val="0"/>
              <w:marTop w:val="0"/>
              <w:marBottom w:val="0"/>
              <w:divBdr>
                <w:top w:val="none" w:sz="0" w:space="0" w:color="auto"/>
                <w:left w:val="none" w:sz="0" w:space="0" w:color="auto"/>
                <w:bottom w:val="none" w:sz="0" w:space="0" w:color="auto"/>
                <w:right w:val="none" w:sz="0" w:space="0" w:color="auto"/>
              </w:divBdr>
              <w:divsChild>
                <w:div w:id="1941642774">
                  <w:marLeft w:val="0"/>
                  <w:marRight w:val="0"/>
                  <w:marTop w:val="0"/>
                  <w:marBottom w:val="0"/>
                  <w:divBdr>
                    <w:top w:val="none" w:sz="0" w:space="0" w:color="auto"/>
                    <w:left w:val="none" w:sz="0" w:space="0" w:color="auto"/>
                    <w:bottom w:val="none" w:sz="0" w:space="0" w:color="auto"/>
                    <w:right w:val="none" w:sz="0" w:space="0" w:color="auto"/>
                  </w:divBdr>
                  <w:divsChild>
                    <w:div w:id="618990632">
                      <w:marLeft w:val="0"/>
                      <w:marRight w:val="0"/>
                      <w:marTop w:val="0"/>
                      <w:marBottom w:val="0"/>
                      <w:divBdr>
                        <w:top w:val="none" w:sz="0" w:space="0" w:color="auto"/>
                        <w:left w:val="none" w:sz="0" w:space="0" w:color="auto"/>
                        <w:bottom w:val="none" w:sz="0" w:space="0" w:color="auto"/>
                        <w:right w:val="none" w:sz="0" w:space="0" w:color="auto"/>
                      </w:divBdr>
                      <w:divsChild>
                        <w:div w:id="1598833236">
                          <w:marLeft w:val="0"/>
                          <w:marRight w:val="0"/>
                          <w:marTop w:val="0"/>
                          <w:marBottom w:val="0"/>
                          <w:divBdr>
                            <w:top w:val="none" w:sz="0" w:space="0" w:color="auto"/>
                            <w:left w:val="none" w:sz="0" w:space="0" w:color="auto"/>
                            <w:bottom w:val="none" w:sz="0" w:space="0" w:color="auto"/>
                            <w:right w:val="none" w:sz="0" w:space="0" w:color="auto"/>
                          </w:divBdr>
                          <w:divsChild>
                            <w:div w:id="442462528">
                              <w:marLeft w:val="0"/>
                              <w:marRight w:val="0"/>
                              <w:marTop w:val="0"/>
                              <w:marBottom w:val="0"/>
                              <w:divBdr>
                                <w:top w:val="none" w:sz="0" w:space="0" w:color="auto"/>
                                <w:left w:val="none" w:sz="0" w:space="0" w:color="auto"/>
                                <w:bottom w:val="none" w:sz="0" w:space="0" w:color="auto"/>
                                <w:right w:val="none" w:sz="0" w:space="0" w:color="auto"/>
                              </w:divBdr>
                              <w:divsChild>
                                <w:div w:id="341707580">
                                  <w:marLeft w:val="0"/>
                                  <w:marRight w:val="0"/>
                                  <w:marTop w:val="0"/>
                                  <w:marBottom w:val="0"/>
                                  <w:divBdr>
                                    <w:top w:val="none" w:sz="0" w:space="0" w:color="auto"/>
                                    <w:left w:val="none" w:sz="0" w:space="0" w:color="auto"/>
                                    <w:bottom w:val="none" w:sz="0" w:space="0" w:color="auto"/>
                                    <w:right w:val="none" w:sz="0" w:space="0" w:color="auto"/>
                                  </w:divBdr>
                                  <w:divsChild>
                                    <w:div w:id="280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788603">
      <w:bodyDiv w:val="1"/>
      <w:marLeft w:val="0"/>
      <w:marRight w:val="0"/>
      <w:marTop w:val="0"/>
      <w:marBottom w:val="0"/>
      <w:divBdr>
        <w:top w:val="none" w:sz="0" w:space="0" w:color="auto"/>
        <w:left w:val="none" w:sz="0" w:space="0" w:color="auto"/>
        <w:bottom w:val="none" w:sz="0" w:space="0" w:color="auto"/>
        <w:right w:val="none" w:sz="0" w:space="0" w:color="auto"/>
      </w:divBdr>
    </w:div>
    <w:div w:id="1047028633">
      <w:bodyDiv w:val="1"/>
      <w:marLeft w:val="0"/>
      <w:marRight w:val="0"/>
      <w:marTop w:val="0"/>
      <w:marBottom w:val="0"/>
      <w:divBdr>
        <w:top w:val="none" w:sz="0" w:space="0" w:color="auto"/>
        <w:left w:val="none" w:sz="0" w:space="0" w:color="auto"/>
        <w:bottom w:val="none" w:sz="0" w:space="0" w:color="auto"/>
        <w:right w:val="none" w:sz="0" w:space="0" w:color="auto"/>
      </w:divBdr>
    </w:div>
    <w:div w:id="1061559672">
      <w:bodyDiv w:val="1"/>
      <w:marLeft w:val="0"/>
      <w:marRight w:val="0"/>
      <w:marTop w:val="0"/>
      <w:marBottom w:val="0"/>
      <w:divBdr>
        <w:top w:val="none" w:sz="0" w:space="0" w:color="auto"/>
        <w:left w:val="none" w:sz="0" w:space="0" w:color="auto"/>
        <w:bottom w:val="none" w:sz="0" w:space="0" w:color="auto"/>
        <w:right w:val="none" w:sz="0" w:space="0" w:color="auto"/>
      </w:divBdr>
    </w:div>
    <w:div w:id="1061707967">
      <w:bodyDiv w:val="1"/>
      <w:marLeft w:val="0"/>
      <w:marRight w:val="0"/>
      <w:marTop w:val="0"/>
      <w:marBottom w:val="0"/>
      <w:divBdr>
        <w:top w:val="none" w:sz="0" w:space="0" w:color="auto"/>
        <w:left w:val="none" w:sz="0" w:space="0" w:color="auto"/>
        <w:bottom w:val="none" w:sz="0" w:space="0" w:color="auto"/>
        <w:right w:val="none" w:sz="0" w:space="0" w:color="auto"/>
      </w:divBdr>
    </w:div>
    <w:div w:id="1070347875">
      <w:bodyDiv w:val="1"/>
      <w:marLeft w:val="0"/>
      <w:marRight w:val="0"/>
      <w:marTop w:val="0"/>
      <w:marBottom w:val="0"/>
      <w:divBdr>
        <w:top w:val="none" w:sz="0" w:space="0" w:color="auto"/>
        <w:left w:val="none" w:sz="0" w:space="0" w:color="auto"/>
        <w:bottom w:val="none" w:sz="0" w:space="0" w:color="auto"/>
        <w:right w:val="none" w:sz="0" w:space="0" w:color="auto"/>
      </w:divBdr>
    </w:div>
    <w:div w:id="1097747229">
      <w:bodyDiv w:val="1"/>
      <w:marLeft w:val="0"/>
      <w:marRight w:val="0"/>
      <w:marTop w:val="0"/>
      <w:marBottom w:val="0"/>
      <w:divBdr>
        <w:top w:val="none" w:sz="0" w:space="0" w:color="auto"/>
        <w:left w:val="none" w:sz="0" w:space="0" w:color="auto"/>
        <w:bottom w:val="none" w:sz="0" w:space="0" w:color="auto"/>
        <w:right w:val="none" w:sz="0" w:space="0" w:color="auto"/>
      </w:divBdr>
      <w:divsChild>
        <w:div w:id="61224231">
          <w:marLeft w:val="0"/>
          <w:marRight w:val="0"/>
          <w:marTop w:val="0"/>
          <w:marBottom w:val="0"/>
          <w:divBdr>
            <w:top w:val="none" w:sz="0" w:space="0" w:color="auto"/>
            <w:left w:val="none" w:sz="0" w:space="0" w:color="auto"/>
            <w:bottom w:val="none" w:sz="0" w:space="0" w:color="auto"/>
            <w:right w:val="none" w:sz="0" w:space="0" w:color="auto"/>
          </w:divBdr>
          <w:divsChild>
            <w:div w:id="152261214">
              <w:marLeft w:val="0"/>
              <w:marRight w:val="0"/>
              <w:marTop w:val="0"/>
              <w:marBottom w:val="0"/>
              <w:divBdr>
                <w:top w:val="none" w:sz="0" w:space="0" w:color="auto"/>
                <w:left w:val="none" w:sz="0" w:space="0" w:color="auto"/>
                <w:bottom w:val="none" w:sz="0" w:space="0" w:color="auto"/>
                <w:right w:val="none" w:sz="0" w:space="0" w:color="auto"/>
              </w:divBdr>
              <w:divsChild>
                <w:div w:id="597106804">
                  <w:marLeft w:val="0"/>
                  <w:marRight w:val="0"/>
                  <w:marTop w:val="0"/>
                  <w:marBottom w:val="0"/>
                  <w:divBdr>
                    <w:top w:val="none" w:sz="0" w:space="0" w:color="auto"/>
                    <w:left w:val="none" w:sz="0" w:space="0" w:color="auto"/>
                    <w:bottom w:val="none" w:sz="0" w:space="0" w:color="auto"/>
                    <w:right w:val="none" w:sz="0" w:space="0" w:color="auto"/>
                  </w:divBdr>
                  <w:divsChild>
                    <w:div w:id="1212379185">
                      <w:marLeft w:val="0"/>
                      <w:marRight w:val="0"/>
                      <w:marTop w:val="0"/>
                      <w:marBottom w:val="0"/>
                      <w:divBdr>
                        <w:top w:val="none" w:sz="0" w:space="0" w:color="auto"/>
                        <w:left w:val="none" w:sz="0" w:space="0" w:color="auto"/>
                        <w:bottom w:val="none" w:sz="0" w:space="0" w:color="auto"/>
                        <w:right w:val="none" w:sz="0" w:space="0" w:color="auto"/>
                      </w:divBdr>
                      <w:divsChild>
                        <w:div w:id="1678263659">
                          <w:marLeft w:val="0"/>
                          <w:marRight w:val="0"/>
                          <w:marTop w:val="0"/>
                          <w:marBottom w:val="0"/>
                          <w:divBdr>
                            <w:top w:val="none" w:sz="0" w:space="0" w:color="auto"/>
                            <w:left w:val="none" w:sz="0" w:space="0" w:color="auto"/>
                            <w:bottom w:val="none" w:sz="0" w:space="0" w:color="auto"/>
                            <w:right w:val="none" w:sz="0" w:space="0" w:color="auto"/>
                          </w:divBdr>
                          <w:divsChild>
                            <w:div w:id="1345593649">
                              <w:marLeft w:val="0"/>
                              <w:marRight w:val="0"/>
                              <w:marTop w:val="0"/>
                              <w:marBottom w:val="0"/>
                              <w:divBdr>
                                <w:top w:val="none" w:sz="0" w:space="0" w:color="auto"/>
                                <w:left w:val="none" w:sz="0" w:space="0" w:color="auto"/>
                                <w:bottom w:val="none" w:sz="0" w:space="0" w:color="auto"/>
                                <w:right w:val="none" w:sz="0" w:space="0" w:color="auto"/>
                              </w:divBdr>
                              <w:divsChild>
                                <w:div w:id="848059701">
                                  <w:marLeft w:val="0"/>
                                  <w:marRight w:val="0"/>
                                  <w:marTop w:val="0"/>
                                  <w:marBottom w:val="0"/>
                                  <w:divBdr>
                                    <w:top w:val="none" w:sz="0" w:space="0" w:color="auto"/>
                                    <w:left w:val="none" w:sz="0" w:space="0" w:color="auto"/>
                                    <w:bottom w:val="none" w:sz="0" w:space="0" w:color="auto"/>
                                    <w:right w:val="none" w:sz="0" w:space="0" w:color="auto"/>
                                  </w:divBdr>
                                  <w:divsChild>
                                    <w:div w:id="1101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4641">
      <w:bodyDiv w:val="1"/>
      <w:marLeft w:val="0"/>
      <w:marRight w:val="0"/>
      <w:marTop w:val="0"/>
      <w:marBottom w:val="0"/>
      <w:divBdr>
        <w:top w:val="none" w:sz="0" w:space="0" w:color="auto"/>
        <w:left w:val="none" w:sz="0" w:space="0" w:color="auto"/>
        <w:bottom w:val="none" w:sz="0" w:space="0" w:color="auto"/>
        <w:right w:val="none" w:sz="0" w:space="0" w:color="auto"/>
      </w:divBdr>
    </w:div>
    <w:div w:id="1113205186">
      <w:bodyDiv w:val="1"/>
      <w:marLeft w:val="0"/>
      <w:marRight w:val="0"/>
      <w:marTop w:val="0"/>
      <w:marBottom w:val="0"/>
      <w:divBdr>
        <w:top w:val="none" w:sz="0" w:space="0" w:color="auto"/>
        <w:left w:val="none" w:sz="0" w:space="0" w:color="auto"/>
        <w:bottom w:val="none" w:sz="0" w:space="0" w:color="auto"/>
        <w:right w:val="none" w:sz="0" w:space="0" w:color="auto"/>
      </w:divBdr>
    </w:div>
    <w:div w:id="1184049618">
      <w:bodyDiv w:val="1"/>
      <w:marLeft w:val="0"/>
      <w:marRight w:val="0"/>
      <w:marTop w:val="0"/>
      <w:marBottom w:val="0"/>
      <w:divBdr>
        <w:top w:val="none" w:sz="0" w:space="0" w:color="auto"/>
        <w:left w:val="none" w:sz="0" w:space="0" w:color="auto"/>
        <w:bottom w:val="none" w:sz="0" w:space="0" w:color="auto"/>
        <w:right w:val="none" w:sz="0" w:space="0" w:color="auto"/>
      </w:divBdr>
    </w:div>
    <w:div w:id="1193300488">
      <w:bodyDiv w:val="1"/>
      <w:marLeft w:val="0"/>
      <w:marRight w:val="0"/>
      <w:marTop w:val="0"/>
      <w:marBottom w:val="0"/>
      <w:divBdr>
        <w:top w:val="none" w:sz="0" w:space="0" w:color="auto"/>
        <w:left w:val="none" w:sz="0" w:space="0" w:color="auto"/>
        <w:bottom w:val="none" w:sz="0" w:space="0" w:color="auto"/>
        <w:right w:val="none" w:sz="0" w:space="0" w:color="auto"/>
      </w:divBdr>
    </w:div>
    <w:div w:id="1195970493">
      <w:bodyDiv w:val="1"/>
      <w:marLeft w:val="0"/>
      <w:marRight w:val="0"/>
      <w:marTop w:val="0"/>
      <w:marBottom w:val="0"/>
      <w:divBdr>
        <w:top w:val="none" w:sz="0" w:space="0" w:color="auto"/>
        <w:left w:val="none" w:sz="0" w:space="0" w:color="auto"/>
        <w:bottom w:val="none" w:sz="0" w:space="0" w:color="auto"/>
        <w:right w:val="none" w:sz="0" w:space="0" w:color="auto"/>
      </w:divBdr>
    </w:div>
    <w:div w:id="1199512125">
      <w:bodyDiv w:val="1"/>
      <w:marLeft w:val="0"/>
      <w:marRight w:val="0"/>
      <w:marTop w:val="0"/>
      <w:marBottom w:val="0"/>
      <w:divBdr>
        <w:top w:val="none" w:sz="0" w:space="0" w:color="auto"/>
        <w:left w:val="none" w:sz="0" w:space="0" w:color="auto"/>
        <w:bottom w:val="none" w:sz="0" w:space="0" w:color="auto"/>
        <w:right w:val="none" w:sz="0" w:space="0" w:color="auto"/>
      </w:divBdr>
    </w:div>
    <w:div w:id="1229849008">
      <w:bodyDiv w:val="1"/>
      <w:marLeft w:val="0"/>
      <w:marRight w:val="0"/>
      <w:marTop w:val="0"/>
      <w:marBottom w:val="0"/>
      <w:divBdr>
        <w:top w:val="none" w:sz="0" w:space="0" w:color="auto"/>
        <w:left w:val="none" w:sz="0" w:space="0" w:color="auto"/>
        <w:bottom w:val="none" w:sz="0" w:space="0" w:color="auto"/>
        <w:right w:val="none" w:sz="0" w:space="0" w:color="auto"/>
      </w:divBdr>
    </w:div>
    <w:div w:id="1275790628">
      <w:bodyDiv w:val="1"/>
      <w:marLeft w:val="0"/>
      <w:marRight w:val="0"/>
      <w:marTop w:val="0"/>
      <w:marBottom w:val="0"/>
      <w:divBdr>
        <w:top w:val="none" w:sz="0" w:space="0" w:color="auto"/>
        <w:left w:val="none" w:sz="0" w:space="0" w:color="auto"/>
        <w:bottom w:val="none" w:sz="0" w:space="0" w:color="auto"/>
        <w:right w:val="none" w:sz="0" w:space="0" w:color="auto"/>
      </w:divBdr>
    </w:div>
    <w:div w:id="1283420639">
      <w:bodyDiv w:val="1"/>
      <w:marLeft w:val="0"/>
      <w:marRight w:val="0"/>
      <w:marTop w:val="0"/>
      <w:marBottom w:val="0"/>
      <w:divBdr>
        <w:top w:val="none" w:sz="0" w:space="0" w:color="auto"/>
        <w:left w:val="none" w:sz="0" w:space="0" w:color="auto"/>
        <w:bottom w:val="none" w:sz="0" w:space="0" w:color="auto"/>
        <w:right w:val="none" w:sz="0" w:space="0" w:color="auto"/>
      </w:divBdr>
    </w:div>
    <w:div w:id="1316841203">
      <w:bodyDiv w:val="1"/>
      <w:marLeft w:val="0"/>
      <w:marRight w:val="0"/>
      <w:marTop w:val="0"/>
      <w:marBottom w:val="0"/>
      <w:divBdr>
        <w:top w:val="none" w:sz="0" w:space="0" w:color="auto"/>
        <w:left w:val="none" w:sz="0" w:space="0" w:color="auto"/>
        <w:bottom w:val="none" w:sz="0" w:space="0" w:color="auto"/>
        <w:right w:val="none" w:sz="0" w:space="0" w:color="auto"/>
      </w:divBdr>
    </w:div>
    <w:div w:id="1358700761">
      <w:bodyDiv w:val="1"/>
      <w:marLeft w:val="0"/>
      <w:marRight w:val="0"/>
      <w:marTop w:val="0"/>
      <w:marBottom w:val="0"/>
      <w:divBdr>
        <w:top w:val="none" w:sz="0" w:space="0" w:color="auto"/>
        <w:left w:val="none" w:sz="0" w:space="0" w:color="auto"/>
        <w:bottom w:val="none" w:sz="0" w:space="0" w:color="auto"/>
        <w:right w:val="none" w:sz="0" w:space="0" w:color="auto"/>
      </w:divBdr>
    </w:div>
    <w:div w:id="1375545874">
      <w:bodyDiv w:val="1"/>
      <w:marLeft w:val="0"/>
      <w:marRight w:val="0"/>
      <w:marTop w:val="0"/>
      <w:marBottom w:val="0"/>
      <w:divBdr>
        <w:top w:val="none" w:sz="0" w:space="0" w:color="auto"/>
        <w:left w:val="none" w:sz="0" w:space="0" w:color="auto"/>
        <w:bottom w:val="none" w:sz="0" w:space="0" w:color="auto"/>
        <w:right w:val="none" w:sz="0" w:space="0" w:color="auto"/>
      </w:divBdr>
    </w:div>
    <w:div w:id="1376585145">
      <w:bodyDiv w:val="1"/>
      <w:marLeft w:val="0"/>
      <w:marRight w:val="0"/>
      <w:marTop w:val="0"/>
      <w:marBottom w:val="0"/>
      <w:divBdr>
        <w:top w:val="none" w:sz="0" w:space="0" w:color="auto"/>
        <w:left w:val="none" w:sz="0" w:space="0" w:color="auto"/>
        <w:bottom w:val="none" w:sz="0" w:space="0" w:color="auto"/>
        <w:right w:val="none" w:sz="0" w:space="0" w:color="auto"/>
      </w:divBdr>
    </w:div>
    <w:div w:id="1382825431">
      <w:bodyDiv w:val="1"/>
      <w:marLeft w:val="0"/>
      <w:marRight w:val="0"/>
      <w:marTop w:val="0"/>
      <w:marBottom w:val="0"/>
      <w:divBdr>
        <w:top w:val="none" w:sz="0" w:space="0" w:color="auto"/>
        <w:left w:val="none" w:sz="0" w:space="0" w:color="auto"/>
        <w:bottom w:val="none" w:sz="0" w:space="0" w:color="auto"/>
        <w:right w:val="none" w:sz="0" w:space="0" w:color="auto"/>
      </w:divBdr>
    </w:div>
    <w:div w:id="1409310304">
      <w:bodyDiv w:val="1"/>
      <w:marLeft w:val="0"/>
      <w:marRight w:val="0"/>
      <w:marTop w:val="0"/>
      <w:marBottom w:val="0"/>
      <w:divBdr>
        <w:top w:val="none" w:sz="0" w:space="0" w:color="auto"/>
        <w:left w:val="none" w:sz="0" w:space="0" w:color="auto"/>
        <w:bottom w:val="none" w:sz="0" w:space="0" w:color="auto"/>
        <w:right w:val="none" w:sz="0" w:space="0" w:color="auto"/>
      </w:divBdr>
    </w:div>
    <w:div w:id="1414399942">
      <w:bodyDiv w:val="1"/>
      <w:marLeft w:val="0"/>
      <w:marRight w:val="0"/>
      <w:marTop w:val="0"/>
      <w:marBottom w:val="0"/>
      <w:divBdr>
        <w:top w:val="none" w:sz="0" w:space="0" w:color="auto"/>
        <w:left w:val="none" w:sz="0" w:space="0" w:color="auto"/>
        <w:bottom w:val="none" w:sz="0" w:space="0" w:color="auto"/>
        <w:right w:val="none" w:sz="0" w:space="0" w:color="auto"/>
      </w:divBdr>
    </w:div>
    <w:div w:id="1438330649">
      <w:bodyDiv w:val="1"/>
      <w:marLeft w:val="0"/>
      <w:marRight w:val="0"/>
      <w:marTop w:val="0"/>
      <w:marBottom w:val="0"/>
      <w:divBdr>
        <w:top w:val="none" w:sz="0" w:space="0" w:color="auto"/>
        <w:left w:val="none" w:sz="0" w:space="0" w:color="auto"/>
        <w:bottom w:val="none" w:sz="0" w:space="0" w:color="auto"/>
        <w:right w:val="none" w:sz="0" w:space="0" w:color="auto"/>
      </w:divBdr>
    </w:div>
    <w:div w:id="1458836294">
      <w:bodyDiv w:val="1"/>
      <w:marLeft w:val="0"/>
      <w:marRight w:val="0"/>
      <w:marTop w:val="0"/>
      <w:marBottom w:val="0"/>
      <w:divBdr>
        <w:top w:val="none" w:sz="0" w:space="0" w:color="auto"/>
        <w:left w:val="none" w:sz="0" w:space="0" w:color="auto"/>
        <w:bottom w:val="none" w:sz="0" w:space="0" w:color="auto"/>
        <w:right w:val="none" w:sz="0" w:space="0" w:color="auto"/>
      </w:divBdr>
    </w:div>
    <w:div w:id="1472014364">
      <w:bodyDiv w:val="1"/>
      <w:marLeft w:val="0"/>
      <w:marRight w:val="0"/>
      <w:marTop w:val="0"/>
      <w:marBottom w:val="0"/>
      <w:divBdr>
        <w:top w:val="none" w:sz="0" w:space="0" w:color="auto"/>
        <w:left w:val="none" w:sz="0" w:space="0" w:color="auto"/>
        <w:bottom w:val="none" w:sz="0" w:space="0" w:color="auto"/>
        <w:right w:val="none" w:sz="0" w:space="0" w:color="auto"/>
      </w:divBdr>
    </w:div>
    <w:div w:id="1475683212">
      <w:bodyDiv w:val="1"/>
      <w:marLeft w:val="0"/>
      <w:marRight w:val="0"/>
      <w:marTop w:val="0"/>
      <w:marBottom w:val="0"/>
      <w:divBdr>
        <w:top w:val="none" w:sz="0" w:space="0" w:color="auto"/>
        <w:left w:val="none" w:sz="0" w:space="0" w:color="auto"/>
        <w:bottom w:val="none" w:sz="0" w:space="0" w:color="auto"/>
        <w:right w:val="none" w:sz="0" w:space="0" w:color="auto"/>
      </w:divBdr>
    </w:div>
    <w:div w:id="1500534757">
      <w:bodyDiv w:val="1"/>
      <w:marLeft w:val="0"/>
      <w:marRight w:val="0"/>
      <w:marTop w:val="0"/>
      <w:marBottom w:val="0"/>
      <w:divBdr>
        <w:top w:val="none" w:sz="0" w:space="0" w:color="auto"/>
        <w:left w:val="none" w:sz="0" w:space="0" w:color="auto"/>
        <w:bottom w:val="none" w:sz="0" w:space="0" w:color="auto"/>
        <w:right w:val="none" w:sz="0" w:space="0" w:color="auto"/>
      </w:divBdr>
    </w:div>
    <w:div w:id="1512715180">
      <w:bodyDiv w:val="1"/>
      <w:marLeft w:val="0"/>
      <w:marRight w:val="0"/>
      <w:marTop w:val="0"/>
      <w:marBottom w:val="0"/>
      <w:divBdr>
        <w:top w:val="none" w:sz="0" w:space="0" w:color="auto"/>
        <w:left w:val="none" w:sz="0" w:space="0" w:color="auto"/>
        <w:bottom w:val="none" w:sz="0" w:space="0" w:color="auto"/>
        <w:right w:val="none" w:sz="0" w:space="0" w:color="auto"/>
      </w:divBdr>
    </w:div>
    <w:div w:id="1560480256">
      <w:bodyDiv w:val="1"/>
      <w:marLeft w:val="0"/>
      <w:marRight w:val="0"/>
      <w:marTop w:val="0"/>
      <w:marBottom w:val="0"/>
      <w:divBdr>
        <w:top w:val="none" w:sz="0" w:space="0" w:color="auto"/>
        <w:left w:val="none" w:sz="0" w:space="0" w:color="auto"/>
        <w:bottom w:val="none" w:sz="0" w:space="0" w:color="auto"/>
        <w:right w:val="none" w:sz="0" w:space="0" w:color="auto"/>
      </w:divBdr>
    </w:div>
    <w:div w:id="1569881685">
      <w:bodyDiv w:val="1"/>
      <w:marLeft w:val="0"/>
      <w:marRight w:val="0"/>
      <w:marTop w:val="0"/>
      <w:marBottom w:val="0"/>
      <w:divBdr>
        <w:top w:val="none" w:sz="0" w:space="0" w:color="auto"/>
        <w:left w:val="none" w:sz="0" w:space="0" w:color="auto"/>
        <w:bottom w:val="none" w:sz="0" w:space="0" w:color="auto"/>
        <w:right w:val="none" w:sz="0" w:space="0" w:color="auto"/>
      </w:divBdr>
    </w:div>
    <w:div w:id="1632587568">
      <w:bodyDiv w:val="1"/>
      <w:marLeft w:val="0"/>
      <w:marRight w:val="0"/>
      <w:marTop w:val="0"/>
      <w:marBottom w:val="0"/>
      <w:divBdr>
        <w:top w:val="none" w:sz="0" w:space="0" w:color="auto"/>
        <w:left w:val="none" w:sz="0" w:space="0" w:color="auto"/>
        <w:bottom w:val="none" w:sz="0" w:space="0" w:color="auto"/>
        <w:right w:val="none" w:sz="0" w:space="0" w:color="auto"/>
      </w:divBdr>
    </w:div>
    <w:div w:id="1693607961">
      <w:bodyDiv w:val="1"/>
      <w:marLeft w:val="0"/>
      <w:marRight w:val="0"/>
      <w:marTop w:val="0"/>
      <w:marBottom w:val="0"/>
      <w:divBdr>
        <w:top w:val="none" w:sz="0" w:space="0" w:color="auto"/>
        <w:left w:val="none" w:sz="0" w:space="0" w:color="auto"/>
        <w:bottom w:val="none" w:sz="0" w:space="0" w:color="auto"/>
        <w:right w:val="none" w:sz="0" w:space="0" w:color="auto"/>
      </w:divBdr>
    </w:div>
    <w:div w:id="1726636157">
      <w:bodyDiv w:val="1"/>
      <w:marLeft w:val="0"/>
      <w:marRight w:val="0"/>
      <w:marTop w:val="0"/>
      <w:marBottom w:val="0"/>
      <w:divBdr>
        <w:top w:val="none" w:sz="0" w:space="0" w:color="auto"/>
        <w:left w:val="none" w:sz="0" w:space="0" w:color="auto"/>
        <w:bottom w:val="none" w:sz="0" w:space="0" w:color="auto"/>
        <w:right w:val="none" w:sz="0" w:space="0" w:color="auto"/>
      </w:divBdr>
    </w:div>
    <w:div w:id="1762098595">
      <w:bodyDiv w:val="1"/>
      <w:marLeft w:val="0"/>
      <w:marRight w:val="0"/>
      <w:marTop w:val="0"/>
      <w:marBottom w:val="0"/>
      <w:divBdr>
        <w:top w:val="none" w:sz="0" w:space="0" w:color="auto"/>
        <w:left w:val="none" w:sz="0" w:space="0" w:color="auto"/>
        <w:bottom w:val="none" w:sz="0" w:space="0" w:color="auto"/>
        <w:right w:val="none" w:sz="0" w:space="0" w:color="auto"/>
      </w:divBdr>
    </w:div>
    <w:div w:id="1792161942">
      <w:bodyDiv w:val="1"/>
      <w:marLeft w:val="0"/>
      <w:marRight w:val="0"/>
      <w:marTop w:val="0"/>
      <w:marBottom w:val="0"/>
      <w:divBdr>
        <w:top w:val="none" w:sz="0" w:space="0" w:color="auto"/>
        <w:left w:val="none" w:sz="0" w:space="0" w:color="auto"/>
        <w:bottom w:val="none" w:sz="0" w:space="0" w:color="auto"/>
        <w:right w:val="none" w:sz="0" w:space="0" w:color="auto"/>
      </w:divBdr>
    </w:div>
    <w:div w:id="1792552248">
      <w:bodyDiv w:val="1"/>
      <w:marLeft w:val="0"/>
      <w:marRight w:val="0"/>
      <w:marTop w:val="0"/>
      <w:marBottom w:val="0"/>
      <w:divBdr>
        <w:top w:val="none" w:sz="0" w:space="0" w:color="auto"/>
        <w:left w:val="none" w:sz="0" w:space="0" w:color="auto"/>
        <w:bottom w:val="none" w:sz="0" w:space="0" w:color="auto"/>
        <w:right w:val="none" w:sz="0" w:space="0" w:color="auto"/>
      </w:divBdr>
    </w:div>
    <w:div w:id="1887568734">
      <w:bodyDiv w:val="1"/>
      <w:marLeft w:val="0"/>
      <w:marRight w:val="0"/>
      <w:marTop w:val="0"/>
      <w:marBottom w:val="0"/>
      <w:divBdr>
        <w:top w:val="none" w:sz="0" w:space="0" w:color="auto"/>
        <w:left w:val="none" w:sz="0" w:space="0" w:color="auto"/>
        <w:bottom w:val="none" w:sz="0" w:space="0" w:color="auto"/>
        <w:right w:val="none" w:sz="0" w:space="0" w:color="auto"/>
      </w:divBdr>
    </w:div>
    <w:div w:id="1917398640">
      <w:bodyDiv w:val="1"/>
      <w:marLeft w:val="0"/>
      <w:marRight w:val="0"/>
      <w:marTop w:val="0"/>
      <w:marBottom w:val="0"/>
      <w:divBdr>
        <w:top w:val="none" w:sz="0" w:space="0" w:color="auto"/>
        <w:left w:val="none" w:sz="0" w:space="0" w:color="auto"/>
        <w:bottom w:val="none" w:sz="0" w:space="0" w:color="auto"/>
        <w:right w:val="none" w:sz="0" w:space="0" w:color="auto"/>
      </w:divBdr>
      <w:divsChild>
        <w:div w:id="814875074">
          <w:marLeft w:val="0"/>
          <w:marRight w:val="0"/>
          <w:marTop w:val="0"/>
          <w:marBottom w:val="0"/>
          <w:divBdr>
            <w:top w:val="none" w:sz="0" w:space="0" w:color="auto"/>
            <w:left w:val="none" w:sz="0" w:space="0" w:color="auto"/>
            <w:bottom w:val="none" w:sz="0" w:space="0" w:color="auto"/>
            <w:right w:val="none" w:sz="0" w:space="0" w:color="auto"/>
          </w:divBdr>
          <w:divsChild>
            <w:div w:id="20002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0433">
      <w:bodyDiv w:val="1"/>
      <w:marLeft w:val="0"/>
      <w:marRight w:val="0"/>
      <w:marTop w:val="0"/>
      <w:marBottom w:val="0"/>
      <w:divBdr>
        <w:top w:val="none" w:sz="0" w:space="0" w:color="auto"/>
        <w:left w:val="none" w:sz="0" w:space="0" w:color="auto"/>
        <w:bottom w:val="none" w:sz="0" w:space="0" w:color="auto"/>
        <w:right w:val="none" w:sz="0" w:space="0" w:color="auto"/>
      </w:divBdr>
    </w:div>
    <w:div w:id="1927374079">
      <w:bodyDiv w:val="1"/>
      <w:marLeft w:val="0"/>
      <w:marRight w:val="0"/>
      <w:marTop w:val="0"/>
      <w:marBottom w:val="0"/>
      <w:divBdr>
        <w:top w:val="none" w:sz="0" w:space="0" w:color="auto"/>
        <w:left w:val="none" w:sz="0" w:space="0" w:color="auto"/>
        <w:bottom w:val="none" w:sz="0" w:space="0" w:color="auto"/>
        <w:right w:val="none" w:sz="0" w:space="0" w:color="auto"/>
      </w:divBdr>
    </w:div>
    <w:div w:id="1965234333">
      <w:bodyDiv w:val="1"/>
      <w:marLeft w:val="0"/>
      <w:marRight w:val="0"/>
      <w:marTop w:val="0"/>
      <w:marBottom w:val="0"/>
      <w:divBdr>
        <w:top w:val="none" w:sz="0" w:space="0" w:color="auto"/>
        <w:left w:val="none" w:sz="0" w:space="0" w:color="auto"/>
        <w:bottom w:val="none" w:sz="0" w:space="0" w:color="auto"/>
        <w:right w:val="none" w:sz="0" w:space="0" w:color="auto"/>
      </w:divBdr>
    </w:div>
    <w:div w:id="1966230125">
      <w:bodyDiv w:val="1"/>
      <w:marLeft w:val="0"/>
      <w:marRight w:val="0"/>
      <w:marTop w:val="0"/>
      <w:marBottom w:val="0"/>
      <w:divBdr>
        <w:top w:val="none" w:sz="0" w:space="0" w:color="auto"/>
        <w:left w:val="none" w:sz="0" w:space="0" w:color="auto"/>
        <w:bottom w:val="none" w:sz="0" w:space="0" w:color="auto"/>
        <w:right w:val="none" w:sz="0" w:space="0" w:color="auto"/>
      </w:divBdr>
    </w:div>
    <w:div w:id="2035300301">
      <w:bodyDiv w:val="1"/>
      <w:marLeft w:val="0"/>
      <w:marRight w:val="0"/>
      <w:marTop w:val="0"/>
      <w:marBottom w:val="0"/>
      <w:divBdr>
        <w:top w:val="none" w:sz="0" w:space="0" w:color="auto"/>
        <w:left w:val="none" w:sz="0" w:space="0" w:color="auto"/>
        <w:bottom w:val="none" w:sz="0" w:space="0" w:color="auto"/>
        <w:right w:val="none" w:sz="0" w:space="0" w:color="auto"/>
      </w:divBdr>
    </w:div>
    <w:div w:id="2063477346">
      <w:bodyDiv w:val="1"/>
      <w:marLeft w:val="0"/>
      <w:marRight w:val="0"/>
      <w:marTop w:val="0"/>
      <w:marBottom w:val="0"/>
      <w:divBdr>
        <w:top w:val="none" w:sz="0" w:space="0" w:color="auto"/>
        <w:left w:val="none" w:sz="0" w:space="0" w:color="auto"/>
        <w:bottom w:val="none" w:sz="0" w:space="0" w:color="auto"/>
        <w:right w:val="none" w:sz="0" w:space="0" w:color="auto"/>
      </w:divBdr>
    </w:div>
    <w:div w:id="21344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customXml" Target="../customXml/item299.xml"/><Relationship Id="rId303" Type="http://schemas.openxmlformats.org/officeDocument/2006/relationships/customXml" Target="../customXml/item303.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324" Type="http://schemas.openxmlformats.org/officeDocument/2006/relationships/customXml" Target="../customXml/item324.xml"/><Relationship Id="rId345" Type="http://schemas.openxmlformats.org/officeDocument/2006/relationships/hyperlink" Target="http://www.rtwfunds.com/venture-fund" TargetMode="External"/><Relationship Id="rId366" Type="http://schemas.microsoft.com/office/2018/08/relationships/commentsExtensible" Target="commentsExtensible.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customXml" Target="../customXml/item226.xml"/><Relationship Id="rId247" Type="http://schemas.openxmlformats.org/officeDocument/2006/relationships/customXml" Target="../customXml/item247.xml"/><Relationship Id="rId107" Type="http://schemas.openxmlformats.org/officeDocument/2006/relationships/customXml" Target="../customXml/item107.xml"/><Relationship Id="rId268" Type="http://schemas.openxmlformats.org/officeDocument/2006/relationships/customXml" Target="../customXml/item268.xml"/><Relationship Id="rId289" Type="http://schemas.openxmlformats.org/officeDocument/2006/relationships/customXml" Target="../customXml/item289.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314" Type="http://schemas.openxmlformats.org/officeDocument/2006/relationships/customXml" Target="../customXml/item314.xml"/><Relationship Id="rId335" Type="http://schemas.openxmlformats.org/officeDocument/2006/relationships/styles" Target="styles.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customXml" Target="../customXml/item216.xml"/><Relationship Id="rId237" Type="http://schemas.openxmlformats.org/officeDocument/2006/relationships/customXml" Target="../customXml/item237.xml"/><Relationship Id="rId258" Type="http://schemas.openxmlformats.org/officeDocument/2006/relationships/customXml" Target="../customXml/item258.xml"/><Relationship Id="rId279" Type="http://schemas.openxmlformats.org/officeDocument/2006/relationships/customXml" Target="../customXml/item279.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290" Type="http://schemas.openxmlformats.org/officeDocument/2006/relationships/customXml" Target="../customXml/item290.xml"/><Relationship Id="rId304" Type="http://schemas.openxmlformats.org/officeDocument/2006/relationships/customXml" Target="../customXml/item304.xml"/><Relationship Id="rId325" Type="http://schemas.openxmlformats.org/officeDocument/2006/relationships/customXml" Target="../customXml/item325.xml"/><Relationship Id="rId346" Type="http://schemas.openxmlformats.org/officeDocument/2006/relationships/hyperlink" Target="http://www.rtwfunds.com/venture-fund" TargetMode="Externa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227" Type="http://schemas.openxmlformats.org/officeDocument/2006/relationships/customXml" Target="../customXml/item227.xml"/><Relationship Id="rId248" Type="http://schemas.openxmlformats.org/officeDocument/2006/relationships/customXml" Target="../customXml/item248.xml"/><Relationship Id="rId269" Type="http://schemas.openxmlformats.org/officeDocument/2006/relationships/customXml" Target="../customXml/item269.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280" Type="http://schemas.openxmlformats.org/officeDocument/2006/relationships/customXml" Target="../customXml/item280.xml"/><Relationship Id="rId315" Type="http://schemas.openxmlformats.org/officeDocument/2006/relationships/customXml" Target="../customXml/item315.xml"/><Relationship Id="rId336" Type="http://schemas.openxmlformats.org/officeDocument/2006/relationships/settings" Target="settings.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customXml" Target="../customXml/item217.xml"/><Relationship Id="rId6" Type="http://schemas.openxmlformats.org/officeDocument/2006/relationships/customXml" Target="../customXml/item6.xml"/><Relationship Id="rId238" Type="http://schemas.openxmlformats.org/officeDocument/2006/relationships/customXml" Target="../customXml/item238.xml"/><Relationship Id="rId259" Type="http://schemas.openxmlformats.org/officeDocument/2006/relationships/customXml" Target="../customXml/item259.xm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customXml" Target="../customXml/item270.xml"/><Relationship Id="rId291" Type="http://schemas.openxmlformats.org/officeDocument/2006/relationships/customXml" Target="../customXml/item291.xml"/><Relationship Id="rId305" Type="http://schemas.openxmlformats.org/officeDocument/2006/relationships/customXml" Target="../customXml/item305.xml"/><Relationship Id="rId326" Type="http://schemas.openxmlformats.org/officeDocument/2006/relationships/customXml" Target="../customXml/item326.xml"/><Relationship Id="rId347" Type="http://schemas.openxmlformats.org/officeDocument/2006/relationships/hyperlink" Target="http://www.rtwfunds.com/venture-fund" TargetMode="Externa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customXml" Target="../customXml/item207.xml"/><Relationship Id="rId228" Type="http://schemas.openxmlformats.org/officeDocument/2006/relationships/customXml" Target="../customXml/item228.xml"/><Relationship Id="rId249" Type="http://schemas.openxmlformats.org/officeDocument/2006/relationships/customXml" Target="../customXml/item249.xm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customXml" Target="../customXml/item260.xml"/><Relationship Id="rId281" Type="http://schemas.openxmlformats.org/officeDocument/2006/relationships/customXml" Target="../customXml/item281.xml"/><Relationship Id="rId316" Type="http://schemas.openxmlformats.org/officeDocument/2006/relationships/customXml" Target="../customXml/item316.xml"/><Relationship Id="rId337" Type="http://schemas.openxmlformats.org/officeDocument/2006/relationships/webSettings" Target="webSettings.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18" Type="http://schemas.openxmlformats.org/officeDocument/2006/relationships/customXml" Target="../customXml/item218.xml"/><Relationship Id="rId239" Type="http://schemas.openxmlformats.org/officeDocument/2006/relationships/customXml" Target="../customXml/item239.xml"/><Relationship Id="rId250" Type="http://schemas.openxmlformats.org/officeDocument/2006/relationships/customXml" Target="../customXml/item250.xml"/><Relationship Id="rId271" Type="http://schemas.openxmlformats.org/officeDocument/2006/relationships/customXml" Target="../customXml/item271.xml"/><Relationship Id="rId292" Type="http://schemas.openxmlformats.org/officeDocument/2006/relationships/customXml" Target="../customXml/item292.xml"/><Relationship Id="rId306" Type="http://schemas.openxmlformats.org/officeDocument/2006/relationships/customXml" Target="../customXml/item306.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327" Type="http://schemas.openxmlformats.org/officeDocument/2006/relationships/customXml" Target="../customXml/item327.xml"/><Relationship Id="rId348" Type="http://schemas.openxmlformats.org/officeDocument/2006/relationships/hyperlink" Target="http://www.frc.org.uk/auditorsresponsibilities" TargetMode="Externa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customXml" Target="../customXml/item208.xml"/><Relationship Id="rId229" Type="http://schemas.openxmlformats.org/officeDocument/2006/relationships/customXml" Target="../customXml/item229.xml"/><Relationship Id="rId240" Type="http://schemas.openxmlformats.org/officeDocument/2006/relationships/customXml" Target="../customXml/item240.xml"/><Relationship Id="rId261" Type="http://schemas.openxmlformats.org/officeDocument/2006/relationships/customXml" Target="../customXml/item261.xml"/><Relationship Id="rId14" Type="http://schemas.openxmlformats.org/officeDocument/2006/relationships/customXml" Target="../customXml/item14.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customXml" Target="../customXml/item282.xml"/><Relationship Id="rId317" Type="http://schemas.openxmlformats.org/officeDocument/2006/relationships/customXml" Target="../customXml/item317.xml"/><Relationship Id="rId338" Type="http://schemas.openxmlformats.org/officeDocument/2006/relationships/footnotes" Target="footnotes.xml"/><Relationship Id="rId8" Type="http://schemas.openxmlformats.org/officeDocument/2006/relationships/customXml" Target="../customXml/item8.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219" Type="http://schemas.openxmlformats.org/officeDocument/2006/relationships/customXml" Target="../customXml/item219.xml"/><Relationship Id="rId230" Type="http://schemas.openxmlformats.org/officeDocument/2006/relationships/customXml" Target="../customXml/item230.xml"/><Relationship Id="rId251" Type="http://schemas.openxmlformats.org/officeDocument/2006/relationships/customXml" Target="../customXml/item25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272" Type="http://schemas.openxmlformats.org/officeDocument/2006/relationships/customXml" Target="../customXml/item272.xml"/><Relationship Id="rId293" Type="http://schemas.openxmlformats.org/officeDocument/2006/relationships/customXml" Target="../customXml/item293.xml"/><Relationship Id="rId307" Type="http://schemas.openxmlformats.org/officeDocument/2006/relationships/customXml" Target="../customXml/item307.xml"/><Relationship Id="rId328" Type="http://schemas.openxmlformats.org/officeDocument/2006/relationships/customXml" Target="../customXml/item328.xml"/><Relationship Id="rId349" Type="http://schemas.openxmlformats.org/officeDocument/2006/relationships/hyperlink" Target="http://www.rtwfunds.com/venture-fund" TargetMode="Externa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95" Type="http://schemas.openxmlformats.org/officeDocument/2006/relationships/customXml" Target="../customXml/item195.xml"/><Relationship Id="rId209" Type="http://schemas.openxmlformats.org/officeDocument/2006/relationships/customXml" Target="../customXml/item209.xml"/><Relationship Id="rId190" Type="http://schemas.openxmlformats.org/officeDocument/2006/relationships/customXml" Target="../customXml/item190.xml"/><Relationship Id="rId204" Type="http://schemas.openxmlformats.org/officeDocument/2006/relationships/customXml" Target="../customXml/item204.xml"/><Relationship Id="rId220" Type="http://schemas.openxmlformats.org/officeDocument/2006/relationships/customXml" Target="../customXml/item220.xml"/><Relationship Id="rId225" Type="http://schemas.openxmlformats.org/officeDocument/2006/relationships/customXml" Target="../customXml/item225.xml"/><Relationship Id="rId241" Type="http://schemas.openxmlformats.org/officeDocument/2006/relationships/customXml" Target="../customXml/item241.xml"/><Relationship Id="rId246" Type="http://schemas.openxmlformats.org/officeDocument/2006/relationships/customXml" Target="../customXml/item246.xml"/><Relationship Id="rId267" Type="http://schemas.openxmlformats.org/officeDocument/2006/relationships/customXml" Target="../customXml/item267.xml"/><Relationship Id="rId288" Type="http://schemas.openxmlformats.org/officeDocument/2006/relationships/customXml" Target="../customXml/item288.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262" Type="http://schemas.openxmlformats.org/officeDocument/2006/relationships/customXml" Target="../customXml/item262.xml"/><Relationship Id="rId283" Type="http://schemas.openxmlformats.org/officeDocument/2006/relationships/customXml" Target="../customXml/item283.xml"/><Relationship Id="rId313" Type="http://schemas.openxmlformats.org/officeDocument/2006/relationships/customXml" Target="../customXml/item313.xml"/><Relationship Id="rId318" Type="http://schemas.openxmlformats.org/officeDocument/2006/relationships/customXml" Target="../customXml/item318.xml"/><Relationship Id="rId339" Type="http://schemas.openxmlformats.org/officeDocument/2006/relationships/endnotes" Target="endnotes.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334" Type="http://schemas.openxmlformats.org/officeDocument/2006/relationships/numbering" Target="numbering.xml"/><Relationship Id="rId350" Type="http://schemas.openxmlformats.org/officeDocument/2006/relationships/hyperlink" Target="https://www.theaic.co.uk/sites/default/files/hidden-files/AICOngoingChargesCalculationMay12.pdf"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customXml" Target="../customXml/item210.xml"/><Relationship Id="rId215" Type="http://schemas.openxmlformats.org/officeDocument/2006/relationships/customXml" Target="../customXml/item215.xml"/><Relationship Id="rId236" Type="http://schemas.openxmlformats.org/officeDocument/2006/relationships/customXml" Target="../customXml/item236.xml"/><Relationship Id="rId257" Type="http://schemas.openxmlformats.org/officeDocument/2006/relationships/customXml" Target="../customXml/item257.xml"/><Relationship Id="rId278" Type="http://schemas.openxmlformats.org/officeDocument/2006/relationships/customXml" Target="../customXml/item278.xml"/><Relationship Id="rId26" Type="http://schemas.openxmlformats.org/officeDocument/2006/relationships/customXml" Target="../customXml/item26.xml"/><Relationship Id="rId231" Type="http://schemas.openxmlformats.org/officeDocument/2006/relationships/customXml" Target="../customXml/item231.xml"/><Relationship Id="rId252" Type="http://schemas.openxmlformats.org/officeDocument/2006/relationships/customXml" Target="../customXml/item252.xml"/><Relationship Id="rId273" Type="http://schemas.openxmlformats.org/officeDocument/2006/relationships/customXml" Target="../customXml/item273.xml"/><Relationship Id="rId294" Type="http://schemas.openxmlformats.org/officeDocument/2006/relationships/customXml" Target="../customXml/item294.xml"/><Relationship Id="rId308" Type="http://schemas.openxmlformats.org/officeDocument/2006/relationships/customXml" Target="../customXml/item308.xml"/><Relationship Id="rId329" Type="http://schemas.openxmlformats.org/officeDocument/2006/relationships/customXml" Target="../customXml/item329.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340" Type="http://schemas.openxmlformats.org/officeDocument/2006/relationships/hyperlink" Target="https://zoom.us/webinar/register/WN_-KP823daS76Z2fI9x6Ddiw" TargetMode="Externa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customXml" Target="../customXml/item242.xml"/><Relationship Id="rId263" Type="http://schemas.openxmlformats.org/officeDocument/2006/relationships/customXml" Target="../customXml/item263.xml"/><Relationship Id="rId284" Type="http://schemas.openxmlformats.org/officeDocument/2006/relationships/customXml" Target="../customXml/item284.xml"/><Relationship Id="rId319" Type="http://schemas.openxmlformats.org/officeDocument/2006/relationships/customXml" Target="../customXml/item319.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330" Type="http://schemas.openxmlformats.org/officeDocument/2006/relationships/customXml" Target="../customXml/item330.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351" Type="http://schemas.openxmlformats.org/officeDocument/2006/relationships/header" Target="header1.xml"/><Relationship Id="rId211" Type="http://schemas.openxmlformats.org/officeDocument/2006/relationships/customXml" Target="../customXml/item211.xml"/><Relationship Id="rId232" Type="http://schemas.openxmlformats.org/officeDocument/2006/relationships/customXml" Target="../customXml/item232.xml"/><Relationship Id="rId253" Type="http://schemas.openxmlformats.org/officeDocument/2006/relationships/customXml" Target="../customXml/item253.xml"/><Relationship Id="rId274" Type="http://schemas.openxmlformats.org/officeDocument/2006/relationships/customXml" Target="../customXml/item274.xml"/><Relationship Id="rId295" Type="http://schemas.openxmlformats.org/officeDocument/2006/relationships/customXml" Target="../customXml/item295.xml"/><Relationship Id="rId309" Type="http://schemas.openxmlformats.org/officeDocument/2006/relationships/customXml" Target="../customXml/item309.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320" Type="http://schemas.openxmlformats.org/officeDocument/2006/relationships/customXml" Target="../customXml/item320.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341" Type="http://schemas.openxmlformats.org/officeDocument/2006/relationships/hyperlink" Target="mailto:RTWVentureFund@rtwfunds.com" TargetMode="Externa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customXml" Target="../customXml/item243.xml"/><Relationship Id="rId264" Type="http://schemas.openxmlformats.org/officeDocument/2006/relationships/customXml" Target="../customXml/item264.xml"/><Relationship Id="rId285" Type="http://schemas.openxmlformats.org/officeDocument/2006/relationships/customXml" Target="../customXml/item285.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310" Type="http://schemas.openxmlformats.org/officeDocument/2006/relationships/customXml" Target="../customXml/item310.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331" Type="http://schemas.openxmlformats.org/officeDocument/2006/relationships/customXml" Target="../customXml/item331.xml"/><Relationship Id="rId352" Type="http://schemas.openxmlformats.org/officeDocument/2006/relationships/header" Target="header2.xml"/><Relationship Id="rId1" Type="http://schemas.openxmlformats.org/officeDocument/2006/relationships/customXml" Target="../customXml/item1.xml"/><Relationship Id="rId212" Type="http://schemas.openxmlformats.org/officeDocument/2006/relationships/customXml" Target="../customXml/item212.xml"/><Relationship Id="rId233" Type="http://schemas.openxmlformats.org/officeDocument/2006/relationships/customXml" Target="../customXml/item233.xml"/><Relationship Id="rId254" Type="http://schemas.openxmlformats.org/officeDocument/2006/relationships/customXml" Target="../customXml/item254.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275" Type="http://schemas.openxmlformats.org/officeDocument/2006/relationships/customXml" Target="../customXml/item275.xml"/><Relationship Id="rId296" Type="http://schemas.openxmlformats.org/officeDocument/2006/relationships/customXml" Target="../customXml/item296.xml"/><Relationship Id="rId300" Type="http://schemas.openxmlformats.org/officeDocument/2006/relationships/customXml" Target="../customXml/item300.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321" Type="http://schemas.openxmlformats.org/officeDocument/2006/relationships/customXml" Target="../customXml/item321.xml"/><Relationship Id="rId342" Type="http://schemas.openxmlformats.org/officeDocument/2006/relationships/hyperlink" Target="https://protect.mimecast-offshore.com/s/eY8OCgLEp4SlY4JEFN_vEF" TargetMode="External"/><Relationship Id="rId202" Type="http://schemas.openxmlformats.org/officeDocument/2006/relationships/customXml" Target="../customXml/item202.xml"/><Relationship Id="rId223" Type="http://schemas.openxmlformats.org/officeDocument/2006/relationships/customXml" Target="../customXml/item223.xml"/><Relationship Id="rId244" Type="http://schemas.openxmlformats.org/officeDocument/2006/relationships/customXml" Target="../customXml/item244.xml"/><Relationship Id="rId18" Type="http://schemas.openxmlformats.org/officeDocument/2006/relationships/customXml" Target="../customXml/item18.xml"/><Relationship Id="rId39" Type="http://schemas.openxmlformats.org/officeDocument/2006/relationships/customXml" Target="../customXml/item39.xml"/><Relationship Id="rId265" Type="http://schemas.openxmlformats.org/officeDocument/2006/relationships/customXml" Target="../customXml/item265.xml"/><Relationship Id="rId286" Type="http://schemas.openxmlformats.org/officeDocument/2006/relationships/customXml" Target="../customXml/item286.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customXml" Target="../customXml/item311.xml"/><Relationship Id="rId332" Type="http://schemas.openxmlformats.org/officeDocument/2006/relationships/customXml" Target="../customXml/item332.xml"/><Relationship Id="rId353" Type="http://schemas.openxmlformats.org/officeDocument/2006/relationships/fontTable" Target="fontTable.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customXml" Target="../customXml/item234.xm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customXml" Target="../customXml/item255.xml"/><Relationship Id="rId276" Type="http://schemas.openxmlformats.org/officeDocument/2006/relationships/customXml" Target="../customXml/item276.xml"/><Relationship Id="rId297" Type="http://schemas.openxmlformats.org/officeDocument/2006/relationships/customXml" Target="../customXml/item297.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customXml" Target="../customXml/item301.xml"/><Relationship Id="rId322" Type="http://schemas.openxmlformats.org/officeDocument/2006/relationships/customXml" Target="../customXml/item322.xml"/><Relationship Id="rId343" Type="http://schemas.openxmlformats.org/officeDocument/2006/relationships/hyperlink" Target="mailto:RTWVentureFund@rtwfunds.com" TargetMode="Externa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customXml" Target="../customXml/item245.xml"/><Relationship Id="rId266" Type="http://schemas.openxmlformats.org/officeDocument/2006/relationships/customXml" Target="../customXml/item266.xml"/><Relationship Id="rId287" Type="http://schemas.openxmlformats.org/officeDocument/2006/relationships/customXml" Target="../customXml/item287.xm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customXml" Target="../customXml/item312.xml"/><Relationship Id="rId333" Type="http://schemas.openxmlformats.org/officeDocument/2006/relationships/customXml" Target="../customXml/item333.xml"/><Relationship Id="rId354" Type="http://schemas.openxmlformats.org/officeDocument/2006/relationships/theme" Target="theme/theme1.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customXml" Target="../customXml/item235.xml"/><Relationship Id="rId256" Type="http://schemas.openxmlformats.org/officeDocument/2006/relationships/customXml" Target="../customXml/item256.xml"/><Relationship Id="rId277" Type="http://schemas.openxmlformats.org/officeDocument/2006/relationships/customXml" Target="../customXml/item277.xml"/><Relationship Id="rId298" Type="http://schemas.openxmlformats.org/officeDocument/2006/relationships/customXml" Target="../customXml/item298.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customXml" Target="../customXml/item302.xml"/><Relationship Id="rId323" Type="http://schemas.openxmlformats.org/officeDocument/2006/relationships/customXml" Target="../customXml/item323.xml"/><Relationship Id="rId344" Type="http://schemas.openxmlformats.org/officeDocument/2006/relationships/hyperlink" Target="http://www.frc.org.uk"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 Id="rId36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ct:contentTypeSchema xmlns:ct="http://schemas.microsoft.com/office/2006/metadata/contentType" xmlns:ma="http://schemas.microsoft.com/office/2006/metadata/properties/metaAttributes" ct:_="" ma:_="" ma:contentTypeName="Document" ma:contentTypeID="0x010100769FF41BC8779445B8BED6D77BDFD0BF" ma:contentTypeVersion="12" ma:contentTypeDescription="Create a new document." ma:contentTypeScope="" ma:versionID="b710bdcd5f9294f8347ee9dc3197eba1">
  <xsd:schema xmlns:xsd="http://www.w3.org/2001/XMLSchema" xmlns:xs="http://www.w3.org/2001/XMLSchema" xmlns:p="http://schemas.microsoft.com/office/2006/metadata/properties" xmlns:ns2="ba6694bc-41ce-4342-b796-40763f2f1432" xmlns:ns3="2db11f1a-a6b6-4210-842b-ac5ed3abb301" targetNamespace="http://schemas.microsoft.com/office/2006/metadata/properties" ma:root="true" ma:fieldsID="67fa61fa2f419abca7b4a04260e419aa" ns2:_="" ns3:_="">
    <xsd:import namespace="ba6694bc-41ce-4342-b796-40763f2f1432"/>
    <xsd:import namespace="2db11f1a-a6b6-4210-842b-ac5ed3abb3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694bc-41ce-4342-b796-40763f2f14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b11f1a-a6b6-4210-842b-ac5ed3abb3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ct:contentTypeSchema xmlns:ct="http://schemas.microsoft.com/office/2006/metadata/contentType" xmlns:ma="http://schemas.microsoft.com/office/2006/metadata/properties/metaAttributes" ct:_="" ma:_="" ma:contentTypeName="Document" ma:contentTypeID="0x010100769FF41BC8779445B8BED6D77BDFD0BF" ma:contentTypeVersion="12" ma:contentTypeDescription="Create a new document." ma:contentTypeScope="" ma:versionID="b710bdcd5f9294f8347ee9dc3197eba1">
  <xsd:schema xmlns:xsd="http://www.w3.org/2001/XMLSchema" xmlns:xs="http://www.w3.org/2001/XMLSchema" xmlns:p="http://schemas.microsoft.com/office/2006/metadata/properties" xmlns:ns2="ba6694bc-41ce-4342-b796-40763f2f1432" xmlns:ns3="2db11f1a-a6b6-4210-842b-ac5ed3abb301" targetNamespace="http://schemas.microsoft.com/office/2006/metadata/properties" ma:root="true" ma:fieldsID="67fa61fa2f419abca7b4a04260e419aa" ns2:_="" ns3:_="">
    <xsd:import namespace="ba6694bc-41ce-4342-b796-40763f2f1432"/>
    <xsd:import namespace="2db11f1a-a6b6-4210-842b-ac5ed3abb3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694bc-41ce-4342-b796-40763f2f14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b11f1a-a6b6-4210-842b-ac5ed3abb3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07.xml><?xml version="1.0" encoding="utf-8"?>
<b:Sources xmlns:b="http://schemas.openxmlformats.org/officeDocument/2006/bibliography" xmlns="http://schemas.openxmlformats.org/officeDocument/2006/bibliography" SelectedStyle="\APA.XSL" StyleName="APA"/>
</file>

<file path=customXml/item208.xml><?xml version="1.0" encoding="utf-8"?>
<b:Sources xmlns:b="http://schemas.openxmlformats.org/officeDocument/2006/bibliography" xmlns="http://schemas.openxmlformats.org/officeDocument/2006/bibliography" SelectedStyle="\APA.XSL" StyleName="APA"/>
</file>

<file path=customXml/item209.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10.xml><?xml version="1.0" encoding="utf-8"?>
<b:Sources xmlns:b="http://schemas.openxmlformats.org/officeDocument/2006/bibliography" xmlns="http://schemas.openxmlformats.org/officeDocument/2006/bibliography" SelectedStyle="\APA.XSL" StyleName="APA"/>
</file>

<file path=customXml/item211.xml><?xml version="1.0" encoding="utf-8"?>
<b:Sources xmlns:b="http://schemas.openxmlformats.org/officeDocument/2006/bibliography" xmlns="http://schemas.openxmlformats.org/officeDocument/2006/bibliography" SelectedStyle="\APA.XSL" StyleName="APA"/>
</file>

<file path=customXml/item212.xml><?xml version="1.0" encoding="utf-8"?>
<b:Sources xmlns:b="http://schemas.openxmlformats.org/officeDocument/2006/bibliography" xmlns="http://schemas.openxmlformats.org/officeDocument/2006/bibliography" SelectedStyle="\APA.XSL" StyleName="APA"/>
</file>

<file path=customXml/item213.xml><?xml version="1.0" encoding="utf-8"?>
<b:Sources xmlns:b="http://schemas.openxmlformats.org/officeDocument/2006/bibliography" xmlns="http://schemas.openxmlformats.org/officeDocument/2006/bibliography" SelectedStyle="\APA.XSL" StyleName="APA"/>
</file>

<file path=customXml/item214.xml><?xml version="1.0" encoding="utf-8"?>
<b:Sources xmlns:b="http://schemas.openxmlformats.org/officeDocument/2006/bibliography" xmlns="http://schemas.openxmlformats.org/officeDocument/2006/bibliography" SelectedStyle="\APA.XSL" StyleName="APA"/>
</file>

<file path=customXml/item215.xml><?xml version="1.0" encoding="utf-8"?>
<b:Sources xmlns:b="http://schemas.openxmlformats.org/officeDocument/2006/bibliography" xmlns="http://schemas.openxmlformats.org/officeDocument/2006/bibliography" SelectedStyle="\APA.XSL" StyleName="APA"/>
</file>

<file path=customXml/item216.xml><?xml version="1.0" encoding="utf-8"?>
<b:Sources xmlns:b="http://schemas.openxmlformats.org/officeDocument/2006/bibliography" xmlns="http://schemas.openxmlformats.org/officeDocument/2006/bibliography" SelectedStyle="\APA.XSL" StyleName="APA"/>
</file>

<file path=customXml/item217.xml><?xml version="1.0" encoding="utf-8"?>
<b:Sources xmlns:b="http://schemas.openxmlformats.org/officeDocument/2006/bibliography" xmlns="http://schemas.openxmlformats.org/officeDocument/2006/bibliography" SelectedStyle="\APA.XSL" StyleName="APA"/>
</file>

<file path=customXml/item218.xml><?xml version="1.0" encoding="utf-8"?>
<b:Sources xmlns:b="http://schemas.openxmlformats.org/officeDocument/2006/bibliography" xmlns="http://schemas.openxmlformats.org/officeDocument/2006/bibliography" SelectedStyle="\APA.XSL" StyleName="APA"/>
</file>

<file path=customXml/item219.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20.xml><?xml version="1.0" encoding="utf-8"?>
<b:Sources xmlns:b="http://schemas.openxmlformats.org/officeDocument/2006/bibliography" xmlns="http://schemas.openxmlformats.org/officeDocument/2006/bibliography" SelectedStyle="\APA.XSL" StyleName="APA"/>
</file>

<file path=customXml/item221.xml><?xml version="1.0" encoding="utf-8"?>
<b:Sources xmlns:b="http://schemas.openxmlformats.org/officeDocument/2006/bibliography" xmlns="http://schemas.openxmlformats.org/officeDocument/2006/bibliography" SelectedStyle="\APA.XSL" StyleName="APA"/>
</file>

<file path=customXml/item222.xml><?xml version="1.0" encoding="utf-8"?>
<b:Sources xmlns:b="http://schemas.openxmlformats.org/officeDocument/2006/bibliography" xmlns="http://schemas.openxmlformats.org/officeDocument/2006/bibliography" SelectedStyle="\APA.XSL" StyleName="APA"/>
</file>

<file path=customXml/item223.xml><?xml version="1.0" encoding="utf-8"?>
<b:Sources xmlns:b="http://schemas.openxmlformats.org/officeDocument/2006/bibliography" xmlns="http://schemas.openxmlformats.org/officeDocument/2006/bibliography" SelectedStyle="\APA.XSL" StyleName="APA"/>
</file>

<file path=customXml/item224.xml><?xml version="1.0" encoding="utf-8"?>
<b:Sources xmlns:b="http://schemas.openxmlformats.org/officeDocument/2006/bibliography" xmlns="http://schemas.openxmlformats.org/officeDocument/2006/bibliography" SelectedStyle="\APA.XSL" StyleName="APA"/>
</file>

<file path=customXml/item225.xml><?xml version="1.0" encoding="utf-8"?>
<b:Sources xmlns:b="http://schemas.openxmlformats.org/officeDocument/2006/bibliography" xmlns="http://schemas.openxmlformats.org/officeDocument/2006/bibliography" SelectedStyle="\APA.XSL" StyleName="APA"/>
</file>

<file path=customXml/item226.xml><?xml version="1.0" encoding="utf-8"?>
<b:Sources xmlns:b="http://schemas.openxmlformats.org/officeDocument/2006/bibliography" xmlns="http://schemas.openxmlformats.org/officeDocument/2006/bibliography" SelectedStyle="\APA.XSL" StyleName="APA"/>
</file>

<file path=customXml/item227.xml><?xml version="1.0" encoding="utf-8"?>
<b:Sources xmlns:b="http://schemas.openxmlformats.org/officeDocument/2006/bibliography" xmlns="http://schemas.openxmlformats.org/officeDocument/2006/bibliography" SelectedStyle="\APA.XSL" StyleName="APA"/>
</file>

<file path=customXml/item228.xml><?xml version="1.0" encoding="utf-8"?>
<b:Sources xmlns:b="http://schemas.openxmlformats.org/officeDocument/2006/bibliography" xmlns="http://schemas.openxmlformats.org/officeDocument/2006/bibliography" SelectedStyle="\APA.XSL" StyleName="APA"/>
</file>

<file path=customXml/item229.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30.xml><?xml version="1.0" encoding="utf-8"?>
<b:Sources xmlns:b="http://schemas.openxmlformats.org/officeDocument/2006/bibliography" xmlns="http://schemas.openxmlformats.org/officeDocument/2006/bibliography" SelectedStyle="\APA.XSL" StyleName="APA"/>
</file>

<file path=customXml/item231.xml><?xml version="1.0" encoding="utf-8"?>
<b:Sources xmlns:b="http://schemas.openxmlformats.org/officeDocument/2006/bibliography" xmlns="http://schemas.openxmlformats.org/officeDocument/2006/bibliography" SelectedStyle="\APA.XSL" StyleName="APA"/>
</file>

<file path=customXml/item232.xml><?xml version="1.0" encoding="utf-8"?>
<b:Sources xmlns:b="http://schemas.openxmlformats.org/officeDocument/2006/bibliography" xmlns="http://schemas.openxmlformats.org/officeDocument/2006/bibliography" SelectedStyle="\APA.XSL" StyleName="APA"/>
</file>

<file path=customXml/item233.xml><?xml version="1.0" encoding="utf-8"?>
<b:Sources xmlns:b="http://schemas.openxmlformats.org/officeDocument/2006/bibliography" xmlns="http://schemas.openxmlformats.org/officeDocument/2006/bibliography" SelectedStyle="\APA.XSL" StyleName="APA"/>
</file>

<file path=customXml/item234.xml><?xml version="1.0" encoding="utf-8"?>
<b:Sources xmlns:b="http://schemas.openxmlformats.org/officeDocument/2006/bibliography" xmlns="http://schemas.openxmlformats.org/officeDocument/2006/bibliography" SelectedStyle="\APA.XSL" StyleName="APA"/>
</file>

<file path=customXml/item235.xml><?xml version="1.0" encoding="utf-8"?>
<b:Sources xmlns:b="http://schemas.openxmlformats.org/officeDocument/2006/bibliography" xmlns="http://schemas.openxmlformats.org/officeDocument/2006/bibliography" SelectedStyle="\APA.XSL" StyleName="APA"/>
</file>

<file path=customXml/item236.xml><?xml version="1.0" encoding="utf-8"?>
<b:Sources xmlns:b="http://schemas.openxmlformats.org/officeDocument/2006/bibliography" xmlns="http://schemas.openxmlformats.org/officeDocument/2006/bibliography" SelectedStyle="\APA.XSL" StyleName="APA"/>
</file>

<file path=customXml/item237.xml><?xml version="1.0" encoding="utf-8"?>
<b:Sources xmlns:b="http://schemas.openxmlformats.org/officeDocument/2006/bibliography" xmlns="http://schemas.openxmlformats.org/officeDocument/2006/bibliography" SelectedStyle="\APA.XSL" StyleName="APA"/>
</file>

<file path=customXml/item238.xml><?xml version="1.0" encoding="utf-8"?>
<b:Sources xmlns:b="http://schemas.openxmlformats.org/officeDocument/2006/bibliography" xmlns="http://schemas.openxmlformats.org/officeDocument/2006/bibliography" SelectedStyle="\APA.XSL" StyleName="APA"/>
</file>

<file path=customXml/item239.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40.xml><?xml version="1.0" encoding="utf-8"?>
<b:Sources xmlns:b="http://schemas.openxmlformats.org/officeDocument/2006/bibliography" xmlns="http://schemas.openxmlformats.org/officeDocument/2006/bibliography" SelectedStyle="\APA.XSL" StyleName="APA"/>
</file>

<file path=customXml/item241.xml><?xml version="1.0" encoding="utf-8"?>
<b:Sources xmlns:b="http://schemas.openxmlformats.org/officeDocument/2006/bibliography" xmlns="http://schemas.openxmlformats.org/officeDocument/2006/bibliography" SelectedStyle="\APA.XSL" StyleName="APA"/>
</file>

<file path=customXml/item242.xml><?xml version="1.0" encoding="utf-8"?>
<b:Sources xmlns:b="http://schemas.openxmlformats.org/officeDocument/2006/bibliography" xmlns="http://schemas.openxmlformats.org/officeDocument/2006/bibliography" SelectedStyle="\APA.XSL" StyleName="APA"/>
</file>

<file path=customXml/item243.xml><?xml version="1.0" encoding="utf-8"?>
<b:Sources xmlns:b="http://schemas.openxmlformats.org/officeDocument/2006/bibliography" xmlns="http://schemas.openxmlformats.org/officeDocument/2006/bibliography" SelectedStyle="\APA.XSL" StyleName="APA"/>
</file>

<file path=customXml/item244.xml><?xml version="1.0" encoding="utf-8"?>
<b:Sources xmlns:b="http://schemas.openxmlformats.org/officeDocument/2006/bibliography" xmlns="http://schemas.openxmlformats.org/officeDocument/2006/bibliography" SelectedStyle="\APA.XSL" StyleName="APA"/>
</file>

<file path=customXml/item245.xml><?xml version="1.0" encoding="utf-8"?>
<b:Sources xmlns:b="http://schemas.openxmlformats.org/officeDocument/2006/bibliography" xmlns="http://schemas.openxmlformats.org/officeDocument/2006/bibliography" SelectedStyle="\APA.XSL" StyleName="APA"/>
</file>

<file path=customXml/item246.xml><?xml version="1.0" encoding="utf-8"?>
<b:Sources xmlns:b="http://schemas.openxmlformats.org/officeDocument/2006/bibliography" xmlns="http://schemas.openxmlformats.org/officeDocument/2006/bibliography" SelectedStyle="\APA.XSL" StyleName="APA"/>
</file>

<file path=customXml/item247.xml><?xml version="1.0" encoding="utf-8"?>
<b:Sources xmlns:b="http://schemas.openxmlformats.org/officeDocument/2006/bibliography" xmlns="http://schemas.openxmlformats.org/officeDocument/2006/bibliography" SelectedStyle="\APA.XSL" StyleName="APA"/>
</file>

<file path=customXml/item248.xml><?xml version="1.0" encoding="utf-8"?>
<b:Sources xmlns:b="http://schemas.openxmlformats.org/officeDocument/2006/bibliography" xmlns="http://schemas.openxmlformats.org/officeDocument/2006/bibliography" SelectedStyle="\APA.XSL" StyleName="APA"/>
</file>

<file path=customXml/item249.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50.xml><?xml version="1.0" encoding="utf-8"?>
<b:Sources xmlns:b="http://schemas.openxmlformats.org/officeDocument/2006/bibliography" xmlns="http://schemas.openxmlformats.org/officeDocument/2006/bibliography" SelectedStyle="\APA.XSL" StyleName="APA"/>
</file>

<file path=customXml/item251.xml><?xml version="1.0" encoding="utf-8"?>
<b:Sources xmlns:b="http://schemas.openxmlformats.org/officeDocument/2006/bibliography" xmlns="http://schemas.openxmlformats.org/officeDocument/2006/bibliography" SelectedStyle="\APA.XSL" StyleName="APA"/>
</file>

<file path=customXml/item252.xml><?xml version="1.0" encoding="utf-8"?>
<b:Sources xmlns:b="http://schemas.openxmlformats.org/officeDocument/2006/bibliography" xmlns="http://schemas.openxmlformats.org/officeDocument/2006/bibliography" SelectedStyle="\APA.XSL" StyleName="APA"/>
</file>

<file path=customXml/item253.xml><?xml version="1.0" encoding="utf-8"?>
<b:Sources xmlns:b="http://schemas.openxmlformats.org/officeDocument/2006/bibliography" xmlns="http://schemas.openxmlformats.org/officeDocument/2006/bibliography" SelectedStyle="\APA.XSL" StyleName="APA"/>
</file>

<file path=customXml/item254.xml><?xml version="1.0" encoding="utf-8"?>
<b:Sources xmlns:b="http://schemas.openxmlformats.org/officeDocument/2006/bibliography" xmlns="http://schemas.openxmlformats.org/officeDocument/2006/bibliography" SelectedStyle="\APA.XSL" StyleName="APA"/>
</file>

<file path=customXml/item255.xml><?xml version="1.0" encoding="utf-8"?>
<b:Sources xmlns:b="http://schemas.openxmlformats.org/officeDocument/2006/bibliography" xmlns="http://schemas.openxmlformats.org/officeDocument/2006/bibliography" SelectedStyle="\APA.XSL" StyleName="APA"/>
</file>

<file path=customXml/item256.xml><?xml version="1.0" encoding="utf-8"?>
<b:Sources xmlns:b="http://schemas.openxmlformats.org/officeDocument/2006/bibliography" xmlns="http://schemas.openxmlformats.org/officeDocument/2006/bibliography" SelectedStyle="\APA.XSL" StyleName="APA"/>
</file>

<file path=customXml/item257.xml><?xml version="1.0" encoding="utf-8"?>
<b:Sources xmlns:b="http://schemas.openxmlformats.org/officeDocument/2006/bibliography" xmlns="http://schemas.openxmlformats.org/officeDocument/2006/bibliography" SelectedStyle="\APA.XSL" StyleName="APA"/>
</file>

<file path=customXml/item258.xml><?xml version="1.0" encoding="utf-8"?>
<b:Sources xmlns:b="http://schemas.openxmlformats.org/officeDocument/2006/bibliography" xmlns="http://schemas.openxmlformats.org/officeDocument/2006/bibliography" SelectedStyle="\APA.XSL" StyleName="APA"/>
</file>

<file path=customXml/item259.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60.xml><?xml version="1.0" encoding="utf-8"?>
<b:Sources xmlns:b="http://schemas.openxmlformats.org/officeDocument/2006/bibliography" xmlns="http://schemas.openxmlformats.org/officeDocument/2006/bibliography" SelectedStyle="\APA.XSL" StyleName="APA"/>
</file>

<file path=customXml/item261.xml><?xml version="1.0" encoding="utf-8"?>
<b:Sources xmlns:b="http://schemas.openxmlformats.org/officeDocument/2006/bibliography" xmlns="http://schemas.openxmlformats.org/officeDocument/2006/bibliography" SelectedStyle="\APA.XSL" StyleName="APA"/>
</file>

<file path=customXml/item262.xml><?xml version="1.0" encoding="utf-8"?>
<b:Sources xmlns:b="http://schemas.openxmlformats.org/officeDocument/2006/bibliography" xmlns="http://schemas.openxmlformats.org/officeDocument/2006/bibliography" SelectedStyle="\APA.XSL" StyleName="APA"/>
</file>

<file path=customXml/item263.xml><?xml version="1.0" encoding="utf-8"?>
<b:Sources xmlns:b="http://schemas.openxmlformats.org/officeDocument/2006/bibliography" xmlns="http://schemas.openxmlformats.org/officeDocument/2006/bibliography" SelectedStyle="\APA.XSL" StyleName="APA"/>
</file>

<file path=customXml/item264.xml><?xml version="1.0" encoding="utf-8"?>
<b:Sources xmlns:b="http://schemas.openxmlformats.org/officeDocument/2006/bibliography" xmlns="http://schemas.openxmlformats.org/officeDocument/2006/bibliography" SelectedStyle="\APA.XSL" StyleName="APA"/>
</file>

<file path=customXml/item265.xml><?xml version="1.0" encoding="utf-8"?>
<b:Sources xmlns:b="http://schemas.openxmlformats.org/officeDocument/2006/bibliography" xmlns="http://schemas.openxmlformats.org/officeDocument/2006/bibliography" SelectedStyle="\APA.XSL" StyleName="APA"/>
</file>

<file path=customXml/item266.xml><?xml version="1.0" encoding="utf-8"?>
<b:Sources xmlns:b="http://schemas.openxmlformats.org/officeDocument/2006/bibliography" xmlns="http://schemas.openxmlformats.org/officeDocument/2006/bibliography" SelectedStyle="\APA.XSL" StyleName="APA"/>
</file>

<file path=customXml/item267.xml><?xml version="1.0" encoding="utf-8"?>
<b:Sources xmlns:b="http://schemas.openxmlformats.org/officeDocument/2006/bibliography" xmlns="http://schemas.openxmlformats.org/officeDocument/2006/bibliography" SelectedStyle="\APA.XSL" StyleName="APA"/>
</file>

<file path=customXml/item268.xml><?xml version="1.0" encoding="utf-8"?>
<b:Sources xmlns:b="http://schemas.openxmlformats.org/officeDocument/2006/bibliography" xmlns="http://schemas.openxmlformats.org/officeDocument/2006/bibliography" SelectedStyle="\APA.XSL" StyleName="APA"/>
</file>

<file path=customXml/item269.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70.xml><?xml version="1.0" encoding="utf-8"?>
<b:Sources xmlns:b="http://schemas.openxmlformats.org/officeDocument/2006/bibliography" xmlns="http://schemas.openxmlformats.org/officeDocument/2006/bibliography" SelectedStyle="\APA.XSL" StyleName="APA"/>
</file>

<file path=customXml/item271.xml><?xml version="1.0" encoding="utf-8"?>
<b:Sources xmlns:b="http://schemas.openxmlformats.org/officeDocument/2006/bibliography" xmlns="http://schemas.openxmlformats.org/officeDocument/2006/bibliography" SelectedStyle="\APA.XSL" StyleName="APA"/>
</file>

<file path=customXml/item272.xml><?xml version="1.0" encoding="utf-8"?>
<b:Sources xmlns:b="http://schemas.openxmlformats.org/officeDocument/2006/bibliography" xmlns="http://schemas.openxmlformats.org/officeDocument/2006/bibliography" SelectedStyle="\APA.XSL" StyleName="APA"/>
</file>

<file path=customXml/item273.xml><?xml version="1.0" encoding="utf-8"?>
<b:Sources xmlns:b="http://schemas.openxmlformats.org/officeDocument/2006/bibliography" xmlns="http://schemas.openxmlformats.org/officeDocument/2006/bibliography" SelectedStyle="\APA.XSL" StyleName="APA"/>
</file>

<file path=customXml/item274.xml><?xml version="1.0" encoding="utf-8"?>
<b:Sources xmlns:b="http://schemas.openxmlformats.org/officeDocument/2006/bibliography" xmlns="http://schemas.openxmlformats.org/officeDocument/2006/bibliography" SelectedStyle="\APA.XSL" StyleName="APA"/>
</file>

<file path=customXml/item275.xml><?xml version="1.0" encoding="utf-8"?>
<b:Sources xmlns:b="http://schemas.openxmlformats.org/officeDocument/2006/bibliography" xmlns="http://schemas.openxmlformats.org/officeDocument/2006/bibliography" SelectedStyle="\APA.XSL" StyleName="APA"/>
</file>

<file path=customXml/item276.xml><?xml version="1.0" encoding="utf-8"?>
<b:Sources xmlns:b="http://schemas.openxmlformats.org/officeDocument/2006/bibliography" xmlns="http://schemas.openxmlformats.org/officeDocument/2006/bibliography" SelectedStyle="\APA.XSL" StyleName="APA"/>
</file>

<file path=customXml/item277.xml><?xml version="1.0" encoding="utf-8"?>
<b:Sources xmlns:b="http://schemas.openxmlformats.org/officeDocument/2006/bibliography" xmlns="http://schemas.openxmlformats.org/officeDocument/2006/bibliography" SelectedStyle="\APA.XSL" StyleName="APA"/>
</file>

<file path=customXml/item278.xml><?xml version="1.0" encoding="utf-8"?>
<b:Sources xmlns:b="http://schemas.openxmlformats.org/officeDocument/2006/bibliography" xmlns="http://schemas.openxmlformats.org/officeDocument/2006/bibliography" SelectedStyle="\APA.XSL" StyleName="APA"/>
</file>

<file path=customXml/item279.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80.xml><?xml version="1.0" encoding="utf-8"?>
<b:Sources xmlns:b="http://schemas.openxmlformats.org/officeDocument/2006/bibliography" xmlns="http://schemas.openxmlformats.org/officeDocument/2006/bibliography" SelectedStyle="\APA.XSL" StyleName="APA"/>
</file>

<file path=customXml/item281.xml><?xml version="1.0" encoding="utf-8"?>
<b:Sources xmlns:b="http://schemas.openxmlformats.org/officeDocument/2006/bibliography" xmlns="http://schemas.openxmlformats.org/officeDocument/2006/bibliography" SelectedStyle="\APA.XSL" StyleName="APA"/>
</file>

<file path=customXml/item282.xml><?xml version="1.0" encoding="utf-8"?>
<b:Sources xmlns:b="http://schemas.openxmlformats.org/officeDocument/2006/bibliography" xmlns="http://schemas.openxmlformats.org/officeDocument/2006/bibliography" SelectedStyle="\APA.XSL" StyleName="APA"/>
</file>

<file path=customXml/item283.xml><?xml version="1.0" encoding="utf-8"?>
<b:Sources xmlns:b="http://schemas.openxmlformats.org/officeDocument/2006/bibliography" xmlns="http://schemas.openxmlformats.org/officeDocument/2006/bibliography" SelectedStyle="\APA.XSL" StyleName="APA"/>
</file>

<file path=customXml/item284.xml><?xml version="1.0" encoding="utf-8"?>
<b:Sources xmlns:b="http://schemas.openxmlformats.org/officeDocument/2006/bibliography" xmlns="http://schemas.openxmlformats.org/officeDocument/2006/bibliography" SelectedStyle="\APA.XSL" StyleName="APA"/>
</file>

<file path=customXml/item285.xml><?xml version="1.0" encoding="utf-8"?>
<b:Sources xmlns:b="http://schemas.openxmlformats.org/officeDocument/2006/bibliography" xmlns="http://schemas.openxmlformats.org/officeDocument/2006/bibliography" SelectedStyle="\APA.XSL" StyleName="APA"/>
</file>

<file path=customXml/item286.xml><?xml version="1.0" encoding="utf-8"?>
<b:Sources xmlns:b="http://schemas.openxmlformats.org/officeDocument/2006/bibliography" xmlns="http://schemas.openxmlformats.org/officeDocument/2006/bibliography" SelectedStyle="\APA.XSL" StyleName="APA"/>
</file>

<file path=customXml/item287.xml><?xml version="1.0" encoding="utf-8"?>
<b:Sources xmlns:b="http://schemas.openxmlformats.org/officeDocument/2006/bibliography" xmlns="http://schemas.openxmlformats.org/officeDocument/2006/bibliography" SelectedStyle="\APA.XSL" StyleName="APA"/>
</file>

<file path=customXml/item288.xml><?xml version="1.0" encoding="utf-8"?>
<b:Sources xmlns:b="http://schemas.openxmlformats.org/officeDocument/2006/bibliography" xmlns="http://schemas.openxmlformats.org/officeDocument/2006/bibliography" SelectedStyle="\APA.XSL" StyleName="APA"/>
</file>

<file path=customXml/item289.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290.xml><?xml version="1.0" encoding="utf-8"?>
<b:Sources xmlns:b="http://schemas.openxmlformats.org/officeDocument/2006/bibliography" xmlns="http://schemas.openxmlformats.org/officeDocument/2006/bibliography" SelectedStyle="\APA.XSL" StyleName="APA"/>
</file>

<file path=customXml/item291.xml><?xml version="1.0" encoding="utf-8"?>
<b:Sources xmlns:b="http://schemas.openxmlformats.org/officeDocument/2006/bibliography" xmlns="http://schemas.openxmlformats.org/officeDocument/2006/bibliography" SelectedStyle="\APA.XSL" StyleName="APA"/>
</file>

<file path=customXml/item292.xml><?xml version="1.0" encoding="utf-8"?>
<b:Sources xmlns:b="http://schemas.openxmlformats.org/officeDocument/2006/bibliography" xmlns="http://schemas.openxmlformats.org/officeDocument/2006/bibliography" SelectedStyle="\APA.XSL" StyleName="APA"/>
</file>

<file path=customXml/item293.xml><?xml version="1.0" encoding="utf-8"?>
<b:Sources xmlns:b="http://schemas.openxmlformats.org/officeDocument/2006/bibliography" xmlns="http://schemas.openxmlformats.org/officeDocument/2006/bibliography" SelectedStyle="\APA.XSL" StyleName="APA"/>
</file>

<file path=customXml/item294.xml><?xml version="1.0" encoding="utf-8"?>
<b:Sources xmlns:b="http://schemas.openxmlformats.org/officeDocument/2006/bibliography" xmlns="http://schemas.openxmlformats.org/officeDocument/2006/bibliography" SelectedStyle="\APA.XSL" StyleName="APA"/>
</file>

<file path=customXml/item295.xml><?xml version="1.0" encoding="utf-8"?>
<b:Sources xmlns:b="http://schemas.openxmlformats.org/officeDocument/2006/bibliography" xmlns="http://schemas.openxmlformats.org/officeDocument/2006/bibliography" SelectedStyle="\APA.XSL" StyleName="APA"/>
</file>

<file path=customXml/item296.xml><?xml version="1.0" encoding="utf-8"?>
<b:Sources xmlns:b="http://schemas.openxmlformats.org/officeDocument/2006/bibliography" xmlns="http://schemas.openxmlformats.org/officeDocument/2006/bibliography" SelectedStyle="\APA.XSL" StyleName="APA"/>
</file>

<file path=customXml/item297.xml><?xml version="1.0" encoding="utf-8"?>
<b:Sources xmlns:b="http://schemas.openxmlformats.org/officeDocument/2006/bibliography" xmlns="http://schemas.openxmlformats.org/officeDocument/2006/bibliography" SelectedStyle="\APA.XSL" StyleName="APA"/>
</file>

<file path=customXml/item298.xml><?xml version="1.0" encoding="utf-8"?>
<b:Sources xmlns:b="http://schemas.openxmlformats.org/officeDocument/2006/bibliography" xmlns="http://schemas.openxmlformats.org/officeDocument/2006/bibliography" SelectedStyle="\APA.XSL" StyleName="APA"/>
</file>

<file path=customXml/item29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00.xml><?xml version="1.0" encoding="utf-8"?>
<b:Sources xmlns:b="http://schemas.openxmlformats.org/officeDocument/2006/bibliography" xmlns="http://schemas.openxmlformats.org/officeDocument/2006/bibliography" SelectedStyle="\APA.XSL" StyleName="APA"/>
</file>

<file path=customXml/item301.xml><?xml version="1.0" encoding="utf-8"?>
<b:Sources xmlns:b="http://schemas.openxmlformats.org/officeDocument/2006/bibliography" xmlns="http://schemas.openxmlformats.org/officeDocument/2006/bibliography" SelectedStyle="\APA.XSL" StyleName="APA"/>
</file>

<file path=customXml/item302.xml><?xml version="1.0" encoding="utf-8"?>
<p:properties xmlns:p="http://schemas.microsoft.com/office/2006/metadata/properties" xmlns:xsi="http://www.w3.org/2001/XMLSchema-instance" xmlns:pc="http://schemas.microsoft.com/office/infopath/2007/PartnerControls">
  <documentManagement/>
</p:properties>
</file>

<file path=customXml/item303.xml><?xml version="1.0" encoding="utf-8"?>
<b:Sources xmlns:b="http://schemas.openxmlformats.org/officeDocument/2006/bibliography" xmlns="http://schemas.openxmlformats.org/officeDocument/2006/bibliography" SelectedStyle="\APA.XSL" StyleName="APA"/>
</file>

<file path=customXml/item304.xml><?xml version="1.0" encoding="utf-8"?>
<b:Sources xmlns:b="http://schemas.openxmlformats.org/officeDocument/2006/bibliography" xmlns="http://schemas.openxmlformats.org/officeDocument/2006/bibliography" SelectedStyle="\APA.XSL" StyleName="APA"/>
</file>

<file path=customXml/item305.xml><?xml version="1.0" encoding="utf-8"?>
<b:Sources xmlns:b="http://schemas.openxmlformats.org/officeDocument/2006/bibliography" xmlns="http://schemas.openxmlformats.org/officeDocument/2006/bibliography" SelectedStyle="\APA.XSL" StyleName="APA"/>
</file>

<file path=customXml/item306.xml><?xml version="1.0" encoding="utf-8"?>
<b:Sources xmlns:b="http://schemas.openxmlformats.org/officeDocument/2006/bibliography" xmlns="http://schemas.openxmlformats.org/officeDocument/2006/bibliography" SelectedStyle="\APA.XSL" StyleName="APA"/>
</file>

<file path=customXml/item307.xml><?xml version="1.0" encoding="utf-8"?>
<b:Sources xmlns:b="http://schemas.openxmlformats.org/officeDocument/2006/bibliography" xmlns="http://schemas.openxmlformats.org/officeDocument/2006/bibliography" SelectedStyle="\APA.XSL" StyleName="APA"/>
</file>

<file path=customXml/item308.xml><?xml version="1.0" encoding="utf-8"?>
<b:Sources xmlns:b="http://schemas.openxmlformats.org/officeDocument/2006/bibliography" xmlns="http://schemas.openxmlformats.org/officeDocument/2006/bibliography" SelectedStyle="\APA.XSL" StyleName="APA"/>
</file>

<file path=customXml/item309.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10.xml><?xml version="1.0" encoding="utf-8"?>
<b:Sources xmlns:b="http://schemas.openxmlformats.org/officeDocument/2006/bibliography" xmlns="http://schemas.openxmlformats.org/officeDocument/2006/bibliography" SelectedStyle="\APA.XSL" StyleName="APA"/>
</file>

<file path=customXml/item311.xml><?xml version="1.0" encoding="utf-8"?>
<b:Sources xmlns:b="http://schemas.openxmlformats.org/officeDocument/2006/bibliography" xmlns="http://schemas.openxmlformats.org/officeDocument/2006/bibliography" SelectedStyle="\APA.XSL" StyleName="APA"/>
</file>

<file path=customXml/item312.xml><?xml version="1.0" encoding="utf-8"?>
<b:Sources xmlns:b="http://schemas.openxmlformats.org/officeDocument/2006/bibliography" xmlns="http://schemas.openxmlformats.org/officeDocument/2006/bibliography" SelectedStyle="\APA.XSL" StyleName="APA"/>
</file>

<file path=customXml/item313.xml><?xml version="1.0" encoding="utf-8"?>
<b:Sources xmlns:b="http://schemas.openxmlformats.org/officeDocument/2006/bibliography" xmlns="http://schemas.openxmlformats.org/officeDocument/2006/bibliography" SelectedStyle="\APA.XSL" StyleName="APA"/>
</file>

<file path=customXml/item314.xml><?xml version="1.0" encoding="utf-8"?>
<b:Sources xmlns:b="http://schemas.openxmlformats.org/officeDocument/2006/bibliography" xmlns="http://schemas.openxmlformats.org/officeDocument/2006/bibliography" SelectedStyle="\APA.XSL" StyleName="APA"/>
</file>

<file path=customXml/item315.xml><?xml version="1.0" encoding="utf-8"?>
<b:Sources xmlns:b="http://schemas.openxmlformats.org/officeDocument/2006/bibliography" xmlns="http://schemas.openxmlformats.org/officeDocument/2006/bibliography" SelectedStyle="\APA.XSL" StyleName="APA"/>
</file>

<file path=customXml/item316.xml><?xml version="1.0" encoding="utf-8"?>
<b:Sources xmlns:b="http://schemas.openxmlformats.org/officeDocument/2006/bibliography" xmlns="http://schemas.openxmlformats.org/officeDocument/2006/bibliography" SelectedStyle="\APA.XSL" StyleName="APA"/>
</file>

<file path=customXml/item317.xml><?xml version="1.0" encoding="utf-8"?>
<b:Sources xmlns:b="http://schemas.openxmlformats.org/officeDocument/2006/bibliography" xmlns="http://schemas.openxmlformats.org/officeDocument/2006/bibliography" SelectedStyle="\APA.XSL" StyleName="APA"/>
</file>

<file path=customXml/item318.xml><?xml version="1.0" encoding="utf-8"?>
<b:Sources xmlns:b="http://schemas.openxmlformats.org/officeDocument/2006/bibliography" xmlns="http://schemas.openxmlformats.org/officeDocument/2006/bibliography" SelectedStyle="\APA.XSL" StyleName="APA"/>
</file>

<file path=customXml/item319.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20.xml><?xml version="1.0" encoding="utf-8"?>
<b:Sources xmlns:b="http://schemas.openxmlformats.org/officeDocument/2006/bibliography" xmlns="http://schemas.openxmlformats.org/officeDocument/2006/bibliography" SelectedStyle="\APA.XSL" StyleName="APA"/>
</file>

<file path=customXml/item321.xml><?xml version="1.0" encoding="utf-8"?>
<b:Sources xmlns:b="http://schemas.openxmlformats.org/officeDocument/2006/bibliography" xmlns="http://schemas.openxmlformats.org/officeDocument/2006/bibliography" SelectedStyle="\APA.XSL" StyleName="APA"/>
</file>

<file path=customXml/item322.xml><?xml version="1.0" encoding="utf-8"?>
<b:Sources xmlns:b="http://schemas.openxmlformats.org/officeDocument/2006/bibliography" xmlns="http://schemas.openxmlformats.org/officeDocument/2006/bibliography" SelectedStyle="\APA.XSL" StyleName="APA"/>
</file>

<file path=customXml/item323.xml><?xml version="1.0" encoding="utf-8"?>
<b:Sources xmlns:b="http://schemas.openxmlformats.org/officeDocument/2006/bibliography" xmlns="http://schemas.openxmlformats.org/officeDocument/2006/bibliography" SelectedStyle="\APA.XSL" StyleName="APA"/>
</file>

<file path=customXml/item324.xml><?xml version="1.0" encoding="utf-8"?>
<b:Sources xmlns:b="http://schemas.openxmlformats.org/officeDocument/2006/bibliography" xmlns="http://schemas.openxmlformats.org/officeDocument/2006/bibliography" SelectedStyle="\APA.XSL" StyleName="APA"/>
</file>

<file path=customXml/item325.xml><?xml version="1.0" encoding="utf-8"?>
<b:Sources xmlns:b="http://schemas.openxmlformats.org/officeDocument/2006/bibliography" xmlns="http://schemas.openxmlformats.org/officeDocument/2006/bibliography" SelectedStyle="\APA.XSL" StyleName="APA"/>
</file>

<file path=customXml/item326.xml><?xml version="1.0" encoding="utf-8"?>
<b:Sources xmlns:b="http://schemas.openxmlformats.org/officeDocument/2006/bibliography" xmlns="http://schemas.openxmlformats.org/officeDocument/2006/bibliography" SelectedStyle="\APA.XSL" StyleName="APA"/>
</file>

<file path=customXml/item327.xml><?xml version="1.0" encoding="utf-8"?>
<b:Sources xmlns:b="http://schemas.openxmlformats.org/officeDocument/2006/bibliography" xmlns="http://schemas.openxmlformats.org/officeDocument/2006/bibliography" SelectedStyle="\APA.XSL" StyleName="APA"/>
</file>

<file path=customXml/item328.xml><?xml version="1.0" encoding="utf-8"?>
<b:Sources xmlns:b="http://schemas.openxmlformats.org/officeDocument/2006/bibliography" xmlns="http://schemas.openxmlformats.org/officeDocument/2006/bibliography" SelectedStyle="\APA.XSL" StyleName="APA"/>
</file>

<file path=customXml/item329.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30.xml><?xml version="1.0" encoding="utf-8"?>
<b:Sources xmlns:b="http://schemas.openxmlformats.org/officeDocument/2006/bibliography" xmlns="http://schemas.openxmlformats.org/officeDocument/2006/bibliography" SelectedStyle="\APA.XSL" StyleName="APA"/>
</file>

<file path=customXml/item331.xml><?xml version="1.0" encoding="utf-8"?>
<b:Sources xmlns:b="http://schemas.openxmlformats.org/officeDocument/2006/bibliography" xmlns="http://schemas.openxmlformats.org/officeDocument/2006/bibliography" SelectedStyle="\APA.XSL" StyleName="APA"/>
</file>

<file path=customXml/item332.xml><?xml version="1.0" encoding="utf-8"?>
<b:Sources xmlns:b="http://schemas.openxmlformats.org/officeDocument/2006/bibliography" xmlns="http://schemas.openxmlformats.org/officeDocument/2006/bibliography" SelectedStyle="\APA.XSL" StyleName="APA"/>
</file>

<file path=customXml/item3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mso-contentType ?>
<FormTemplates xmlns="http://schemas.microsoft.com/sharepoint/v3/contenttype/forms">
  <Display>DocumentLibraryForm</Display>
  <Edit>DocumentLibraryForm</Edit>
  <New>DocumentLibraryForm</New>
</FormTemplates>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mso-contentType ?>
<FormTemplates xmlns="http://schemas.microsoft.com/sharepoint/v3/contenttype/forms">
  <Display>DocumentLibraryForm</Display>
  <Edit>DocumentLibraryForm</Edit>
  <New>DocumentLibraryForm</New>
</FormTemplates>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p:properties xmlns:p="http://schemas.microsoft.com/office/2006/metadata/properties" xmlns:xsi="http://www.w3.org/2001/XMLSchema-instance" xmlns:pc="http://schemas.microsoft.com/office/infopath/2007/PartnerControls">
  <documentManagement/>
</p:properties>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02982-CC9C-4962-A2C6-C4468186D5F3}">
  <ds:schemaRefs>
    <ds:schemaRef ds:uri="http://schemas.openxmlformats.org/officeDocument/2006/bibliography"/>
  </ds:schemaRefs>
</ds:datastoreItem>
</file>

<file path=customXml/itemProps10.xml><?xml version="1.0" encoding="utf-8"?>
<ds:datastoreItem xmlns:ds="http://schemas.openxmlformats.org/officeDocument/2006/customXml" ds:itemID="{A242B71A-BEC5-433A-9082-6DA0B10B0811}">
  <ds:schemaRefs>
    <ds:schemaRef ds:uri="http://schemas.openxmlformats.org/officeDocument/2006/bibliography"/>
  </ds:schemaRefs>
</ds:datastoreItem>
</file>

<file path=customXml/itemProps100.xml><?xml version="1.0" encoding="utf-8"?>
<ds:datastoreItem xmlns:ds="http://schemas.openxmlformats.org/officeDocument/2006/customXml" ds:itemID="{6AE0C88B-D972-48AA-A706-F649CA6B983C}">
  <ds:schemaRefs>
    <ds:schemaRef ds:uri="http://schemas.openxmlformats.org/officeDocument/2006/bibliography"/>
  </ds:schemaRefs>
</ds:datastoreItem>
</file>

<file path=customXml/itemProps101.xml><?xml version="1.0" encoding="utf-8"?>
<ds:datastoreItem xmlns:ds="http://schemas.openxmlformats.org/officeDocument/2006/customXml" ds:itemID="{EFDC3C66-5B26-48F1-B563-18AC400E3B59}">
  <ds:schemaRefs>
    <ds:schemaRef ds:uri="http://schemas.openxmlformats.org/officeDocument/2006/bibliography"/>
  </ds:schemaRefs>
</ds:datastoreItem>
</file>

<file path=customXml/itemProps102.xml><?xml version="1.0" encoding="utf-8"?>
<ds:datastoreItem xmlns:ds="http://schemas.openxmlformats.org/officeDocument/2006/customXml" ds:itemID="{8316A6DA-854D-4700-990D-5186A2254DB6}">
  <ds:schemaRefs>
    <ds:schemaRef ds:uri="http://schemas.openxmlformats.org/officeDocument/2006/bibliography"/>
  </ds:schemaRefs>
</ds:datastoreItem>
</file>

<file path=customXml/itemProps103.xml><?xml version="1.0" encoding="utf-8"?>
<ds:datastoreItem xmlns:ds="http://schemas.openxmlformats.org/officeDocument/2006/customXml" ds:itemID="{E7888B17-EC86-4A90-AA07-2C5294CE237D}">
  <ds:schemaRefs>
    <ds:schemaRef ds:uri="http://schemas.openxmlformats.org/officeDocument/2006/bibliography"/>
  </ds:schemaRefs>
</ds:datastoreItem>
</file>

<file path=customXml/itemProps104.xml><?xml version="1.0" encoding="utf-8"?>
<ds:datastoreItem xmlns:ds="http://schemas.openxmlformats.org/officeDocument/2006/customXml" ds:itemID="{59077B76-CA4B-42FF-B07A-BC211702EAE9}">
  <ds:schemaRefs>
    <ds:schemaRef ds:uri="http://schemas.openxmlformats.org/officeDocument/2006/bibliography"/>
  </ds:schemaRefs>
</ds:datastoreItem>
</file>

<file path=customXml/itemProps105.xml><?xml version="1.0" encoding="utf-8"?>
<ds:datastoreItem xmlns:ds="http://schemas.openxmlformats.org/officeDocument/2006/customXml" ds:itemID="{98330DDE-8920-4C71-9DAA-747DEB961D44}">
  <ds:schemaRefs>
    <ds:schemaRef ds:uri="http://schemas.openxmlformats.org/officeDocument/2006/bibliography"/>
  </ds:schemaRefs>
</ds:datastoreItem>
</file>

<file path=customXml/itemProps106.xml><?xml version="1.0" encoding="utf-8"?>
<ds:datastoreItem xmlns:ds="http://schemas.openxmlformats.org/officeDocument/2006/customXml" ds:itemID="{35AFF616-6112-42DE-976E-A355338FD2CF}">
  <ds:schemaRefs>
    <ds:schemaRef ds:uri="http://schemas.openxmlformats.org/officeDocument/2006/bibliography"/>
  </ds:schemaRefs>
</ds:datastoreItem>
</file>

<file path=customXml/itemProps107.xml><?xml version="1.0" encoding="utf-8"?>
<ds:datastoreItem xmlns:ds="http://schemas.openxmlformats.org/officeDocument/2006/customXml" ds:itemID="{A304D78D-D290-4E39-995F-5CF23CC5455C}">
  <ds:schemaRefs>
    <ds:schemaRef ds:uri="http://schemas.openxmlformats.org/officeDocument/2006/bibliography"/>
  </ds:schemaRefs>
</ds:datastoreItem>
</file>

<file path=customXml/itemProps108.xml><?xml version="1.0" encoding="utf-8"?>
<ds:datastoreItem xmlns:ds="http://schemas.openxmlformats.org/officeDocument/2006/customXml" ds:itemID="{54943A89-E8EC-4ED7-BE16-4313C3BE6375}">
  <ds:schemaRefs>
    <ds:schemaRef ds:uri="http://schemas.openxmlformats.org/officeDocument/2006/bibliography"/>
  </ds:schemaRefs>
</ds:datastoreItem>
</file>

<file path=customXml/itemProps109.xml><?xml version="1.0" encoding="utf-8"?>
<ds:datastoreItem xmlns:ds="http://schemas.openxmlformats.org/officeDocument/2006/customXml" ds:itemID="{8B6534A0-E192-4522-B820-E47EE879A003}">
  <ds:schemaRefs>
    <ds:schemaRef ds:uri="http://schemas.openxmlformats.org/officeDocument/2006/bibliography"/>
  </ds:schemaRefs>
</ds:datastoreItem>
</file>

<file path=customXml/itemProps11.xml><?xml version="1.0" encoding="utf-8"?>
<ds:datastoreItem xmlns:ds="http://schemas.openxmlformats.org/officeDocument/2006/customXml" ds:itemID="{2D8D50E7-55A7-4497-9035-05B65F2FA822}">
  <ds:schemaRefs>
    <ds:schemaRef ds:uri="http://schemas.openxmlformats.org/officeDocument/2006/bibliography"/>
  </ds:schemaRefs>
</ds:datastoreItem>
</file>

<file path=customXml/itemProps110.xml><?xml version="1.0" encoding="utf-8"?>
<ds:datastoreItem xmlns:ds="http://schemas.openxmlformats.org/officeDocument/2006/customXml" ds:itemID="{960AD6B7-8AE2-44D0-80E4-F8881536336C}">
  <ds:schemaRefs>
    <ds:schemaRef ds:uri="http://schemas.openxmlformats.org/officeDocument/2006/bibliography"/>
  </ds:schemaRefs>
</ds:datastoreItem>
</file>

<file path=customXml/itemProps111.xml><?xml version="1.0" encoding="utf-8"?>
<ds:datastoreItem xmlns:ds="http://schemas.openxmlformats.org/officeDocument/2006/customXml" ds:itemID="{BDE59619-0FE2-4FA1-9D62-DB1B77995AC8}">
  <ds:schemaRefs>
    <ds:schemaRef ds:uri="http://schemas.openxmlformats.org/officeDocument/2006/bibliography"/>
  </ds:schemaRefs>
</ds:datastoreItem>
</file>

<file path=customXml/itemProps112.xml><?xml version="1.0" encoding="utf-8"?>
<ds:datastoreItem xmlns:ds="http://schemas.openxmlformats.org/officeDocument/2006/customXml" ds:itemID="{0728DE09-DF03-4A50-83B5-1E5FE111B7DE}">
  <ds:schemaRefs>
    <ds:schemaRef ds:uri="http://schemas.openxmlformats.org/officeDocument/2006/bibliography"/>
  </ds:schemaRefs>
</ds:datastoreItem>
</file>

<file path=customXml/itemProps113.xml><?xml version="1.0" encoding="utf-8"?>
<ds:datastoreItem xmlns:ds="http://schemas.openxmlformats.org/officeDocument/2006/customXml" ds:itemID="{3A877A70-2095-453B-9AD2-63A243D31D27}">
  <ds:schemaRefs>
    <ds:schemaRef ds:uri="http://schemas.openxmlformats.org/officeDocument/2006/bibliography"/>
  </ds:schemaRefs>
</ds:datastoreItem>
</file>

<file path=customXml/itemProps114.xml><?xml version="1.0" encoding="utf-8"?>
<ds:datastoreItem xmlns:ds="http://schemas.openxmlformats.org/officeDocument/2006/customXml" ds:itemID="{B1219523-1F64-4942-9BB9-CE8C56053222}">
  <ds:schemaRefs>
    <ds:schemaRef ds:uri="http://schemas.openxmlformats.org/officeDocument/2006/bibliography"/>
  </ds:schemaRefs>
</ds:datastoreItem>
</file>

<file path=customXml/itemProps115.xml><?xml version="1.0" encoding="utf-8"?>
<ds:datastoreItem xmlns:ds="http://schemas.openxmlformats.org/officeDocument/2006/customXml" ds:itemID="{79D3B2B0-C703-4495-A4A1-0D69DFC35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694bc-41ce-4342-b796-40763f2f1432"/>
    <ds:schemaRef ds:uri="2db11f1a-a6b6-4210-842b-ac5ed3ab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6.xml><?xml version="1.0" encoding="utf-8"?>
<ds:datastoreItem xmlns:ds="http://schemas.openxmlformats.org/officeDocument/2006/customXml" ds:itemID="{7873B72B-0023-4FD2-9181-F49F81EF2E41}">
  <ds:schemaRefs>
    <ds:schemaRef ds:uri="http://schemas.openxmlformats.org/officeDocument/2006/bibliography"/>
  </ds:schemaRefs>
</ds:datastoreItem>
</file>

<file path=customXml/itemProps117.xml><?xml version="1.0" encoding="utf-8"?>
<ds:datastoreItem xmlns:ds="http://schemas.openxmlformats.org/officeDocument/2006/customXml" ds:itemID="{AB705B95-9A43-4E3C-AC93-D5032261569D}">
  <ds:schemaRefs>
    <ds:schemaRef ds:uri="http://schemas.openxmlformats.org/officeDocument/2006/bibliography"/>
  </ds:schemaRefs>
</ds:datastoreItem>
</file>

<file path=customXml/itemProps118.xml><?xml version="1.0" encoding="utf-8"?>
<ds:datastoreItem xmlns:ds="http://schemas.openxmlformats.org/officeDocument/2006/customXml" ds:itemID="{8CF7950C-2DDA-4430-82AB-148E604AABD5}">
  <ds:schemaRefs>
    <ds:schemaRef ds:uri="http://schemas.openxmlformats.org/officeDocument/2006/bibliography"/>
  </ds:schemaRefs>
</ds:datastoreItem>
</file>

<file path=customXml/itemProps119.xml><?xml version="1.0" encoding="utf-8"?>
<ds:datastoreItem xmlns:ds="http://schemas.openxmlformats.org/officeDocument/2006/customXml" ds:itemID="{EF9FF81A-B904-4802-9514-F7EF3CA72719}">
  <ds:schemaRefs>
    <ds:schemaRef ds:uri="http://schemas.openxmlformats.org/officeDocument/2006/bibliography"/>
  </ds:schemaRefs>
</ds:datastoreItem>
</file>

<file path=customXml/itemProps12.xml><?xml version="1.0" encoding="utf-8"?>
<ds:datastoreItem xmlns:ds="http://schemas.openxmlformats.org/officeDocument/2006/customXml" ds:itemID="{D4A9FB94-BE2C-4B80-A5E5-F05510DFF995}">
  <ds:schemaRefs>
    <ds:schemaRef ds:uri="http://schemas.openxmlformats.org/officeDocument/2006/bibliography"/>
  </ds:schemaRefs>
</ds:datastoreItem>
</file>

<file path=customXml/itemProps120.xml><?xml version="1.0" encoding="utf-8"?>
<ds:datastoreItem xmlns:ds="http://schemas.openxmlformats.org/officeDocument/2006/customXml" ds:itemID="{73632D3F-640F-419D-B84F-9A1FFF3B0DEF}">
  <ds:schemaRefs>
    <ds:schemaRef ds:uri="http://schemas.openxmlformats.org/officeDocument/2006/bibliography"/>
  </ds:schemaRefs>
</ds:datastoreItem>
</file>

<file path=customXml/itemProps121.xml><?xml version="1.0" encoding="utf-8"?>
<ds:datastoreItem xmlns:ds="http://schemas.openxmlformats.org/officeDocument/2006/customXml" ds:itemID="{0213E500-B7B6-4FA8-8479-4449508BC689}">
  <ds:schemaRefs>
    <ds:schemaRef ds:uri="http://schemas.openxmlformats.org/officeDocument/2006/bibliography"/>
  </ds:schemaRefs>
</ds:datastoreItem>
</file>

<file path=customXml/itemProps122.xml><?xml version="1.0" encoding="utf-8"?>
<ds:datastoreItem xmlns:ds="http://schemas.openxmlformats.org/officeDocument/2006/customXml" ds:itemID="{1F0626F7-DC6F-4579-851D-D81DD54BB230}">
  <ds:schemaRefs>
    <ds:schemaRef ds:uri="http://schemas.openxmlformats.org/officeDocument/2006/bibliography"/>
  </ds:schemaRefs>
</ds:datastoreItem>
</file>

<file path=customXml/itemProps123.xml><?xml version="1.0" encoding="utf-8"?>
<ds:datastoreItem xmlns:ds="http://schemas.openxmlformats.org/officeDocument/2006/customXml" ds:itemID="{6D647918-588E-486B-9C12-2BDCCBA1EC51}">
  <ds:schemaRefs>
    <ds:schemaRef ds:uri="http://schemas.openxmlformats.org/officeDocument/2006/bibliography"/>
  </ds:schemaRefs>
</ds:datastoreItem>
</file>

<file path=customXml/itemProps124.xml><?xml version="1.0" encoding="utf-8"?>
<ds:datastoreItem xmlns:ds="http://schemas.openxmlformats.org/officeDocument/2006/customXml" ds:itemID="{9A142426-FAC6-48C1-8EC0-0D7968773B5D}">
  <ds:schemaRefs>
    <ds:schemaRef ds:uri="http://schemas.openxmlformats.org/officeDocument/2006/bibliography"/>
  </ds:schemaRefs>
</ds:datastoreItem>
</file>

<file path=customXml/itemProps125.xml><?xml version="1.0" encoding="utf-8"?>
<ds:datastoreItem xmlns:ds="http://schemas.openxmlformats.org/officeDocument/2006/customXml" ds:itemID="{3A31C9BC-2202-4569-93A3-D6861452AC71}">
  <ds:schemaRefs>
    <ds:schemaRef ds:uri="http://schemas.openxmlformats.org/officeDocument/2006/bibliography"/>
  </ds:schemaRefs>
</ds:datastoreItem>
</file>

<file path=customXml/itemProps126.xml><?xml version="1.0" encoding="utf-8"?>
<ds:datastoreItem xmlns:ds="http://schemas.openxmlformats.org/officeDocument/2006/customXml" ds:itemID="{133CF90C-9B2A-416B-B7C1-3945BDD4B0F5}">
  <ds:schemaRefs>
    <ds:schemaRef ds:uri="http://schemas.openxmlformats.org/officeDocument/2006/bibliography"/>
  </ds:schemaRefs>
</ds:datastoreItem>
</file>

<file path=customXml/itemProps127.xml><?xml version="1.0" encoding="utf-8"?>
<ds:datastoreItem xmlns:ds="http://schemas.openxmlformats.org/officeDocument/2006/customXml" ds:itemID="{6E6E81C2-495F-46F7-A7E9-A2D64CD38043}">
  <ds:schemaRefs>
    <ds:schemaRef ds:uri="http://schemas.openxmlformats.org/officeDocument/2006/bibliography"/>
  </ds:schemaRefs>
</ds:datastoreItem>
</file>

<file path=customXml/itemProps128.xml><?xml version="1.0" encoding="utf-8"?>
<ds:datastoreItem xmlns:ds="http://schemas.openxmlformats.org/officeDocument/2006/customXml" ds:itemID="{F1289246-309C-4221-A9CF-D553F5E5D05E}">
  <ds:schemaRefs>
    <ds:schemaRef ds:uri="http://schemas.openxmlformats.org/officeDocument/2006/bibliography"/>
  </ds:schemaRefs>
</ds:datastoreItem>
</file>

<file path=customXml/itemProps129.xml><?xml version="1.0" encoding="utf-8"?>
<ds:datastoreItem xmlns:ds="http://schemas.openxmlformats.org/officeDocument/2006/customXml" ds:itemID="{2803758A-0B57-414F-A07E-683BA7D52788}">
  <ds:schemaRefs>
    <ds:schemaRef ds:uri="http://schemas.openxmlformats.org/officeDocument/2006/bibliography"/>
  </ds:schemaRefs>
</ds:datastoreItem>
</file>

<file path=customXml/itemProps13.xml><?xml version="1.0" encoding="utf-8"?>
<ds:datastoreItem xmlns:ds="http://schemas.openxmlformats.org/officeDocument/2006/customXml" ds:itemID="{B70D7BAE-FC94-4278-B77B-ADDAD74EF374}">
  <ds:schemaRefs>
    <ds:schemaRef ds:uri="http://schemas.openxmlformats.org/officeDocument/2006/bibliography"/>
  </ds:schemaRefs>
</ds:datastoreItem>
</file>

<file path=customXml/itemProps130.xml><?xml version="1.0" encoding="utf-8"?>
<ds:datastoreItem xmlns:ds="http://schemas.openxmlformats.org/officeDocument/2006/customXml" ds:itemID="{340D3474-47CD-4098-BFBF-E2AA8CBC9714}">
  <ds:schemaRefs>
    <ds:schemaRef ds:uri="http://schemas.openxmlformats.org/officeDocument/2006/bibliography"/>
  </ds:schemaRefs>
</ds:datastoreItem>
</file>

<file path=customXml/itemProps131.xml><?xml version="1.0" encoding="utf-8"?>
<ds:datastoreItem xmlns:ds="http://schemas.openxmlformats.org/officeDocument/2006/customXml" ds:itemID="{311B1068-FF41-4741-BF19-893F3EC36090}">
  <ds:schemaRefs>
    <ds:schemaRef ds:uri="http://schemas.openxmlformats.org/officeDocument/2006/bibliography"/>
  </ds:schemaRefs>
</ds:datastoreItem>
</file>

<file path=customXml/itemProps132.xml><?xml version="1.0" encoding="utf-8"?>
<ds:datastoreItem xmlns:ds="http://schemas.openxmlformats.org/officeDocument/2006/customXml" ds:itemID="{AB6EBB61-CAC2-4C59-99DC-1170C7DC1709}">
  <ds:schemaRefs>
    <ds:schemaRef ds:uri="http://schemas.openxmlformats.org/officeDocument/2006/bibliography"/>
  </ds:schemaRefs>
</ds:datastoreItem>
</file>

<file path=customXml/itemProps133.xml><?xml version="1.0" encoding="utf-8"?>
<ds:datastoreItem xmlns:ds="http://schemas.openxmlformats.org/officeDocument/2006/customXml" ds:itemID="{4A26530D-F916-470B-BC56-713738D4E598}">
  <ds:schemaRefs>
    <ds:schemaRef ds:uri="http://schemas.openxmlformats.org/officeDocument/2006/bibliography"/>
  </ds:schemaRefs>
</ds:datastoreItem>
</file>

<file path=customXml/itemProps134.xml><?xml version="1.0" encoding="utf-8"?>
<ds:datastoreItem xmlns:ds="http://schemas.openxmlformats.org/officeDocument/2006/customXml" ds:itemID="{070C8D56-5468-443B-9B53-5FDB993DE629}">
  <ds:schemaRefs>
    <ds:schemaRef ds:uri="http://schemas.openxmlformats.org/officeDocument/2006/bibliography"/>
  </ds:schemaRefs>
</ds:datastoreItem>
</file>

<file path=customXml/itemProps135.xml><?xml version="1.0" encoding="utf-8"?>
<ds:datastoreItem xmlns:ds="http://schemas.openxmlformats.org/officeDocument/2006/customXml" ds:itemID="{1FDE5A47-A328-4D6D-B74F-9B6DDBDA8DB9}">
  <ds:schemaRefs>
    <ds:schemaRef ds:uri="http://schemas.openxmlformats.org/officeDocument/2006/bibliography"/>
  </ds:schemaRefs>
</ds:datastoreItem>
</file>

<file path=customXml/itemProps136.xml><?xml version="1.0" encoding="utf-8"?>
<ds:datastoreItem xmlns:ds="http://schemas.openxmlformats.org/officeDocument/2006/customXml" ds:itemID="{B460F68C-F877-46FC-8515-63F8CF4C14F8}">
  <ds:schemaRefs>
    <ds:schemaRef ds:uri="http://schemas.openxmlformats.org/officeDocument/2006/bibliography"/>
  </ds:schemaRefs>
</ds:datastoreItem>
</file>

<file path=customXml/itemProps137.xml><?xml version="1.0" encoding="utf-8"?>
<ds:datastoreItem xmlns:ds="http://schemas.openxmlformats.org/officeDocument/2006/customXml" ds:itemID="{5484335C-E878-4529-B246-4732A665B03D}">
  <ds:schemaRefs>
    <ds:schemaRef ds:uri="http://schemas.openxmlformats.org/officeDocument/2006/bibliography"/>
  </ds:schemaRefs>
</ds:datastoreItem>
</file>

<file path=customXml/itemProps138.xml><?xml version="1.0" encoding="utf-8"?>
<ds:datastoreItem xmlns:ds="http://schemas.openxmlformats.org/officeDocument/2006/customXml" ds:itemID="{5A0B96A8-FFB0-4FFF-9855-A48D64225039}">
  <ds:schemaRefs>
    <ds:schemaRef ds:uri="http://schemas.openxmlformats.org/officeDocument/2006/bibliography"/>
  </ds:schemaRefs>
</ds:datastoreItem>
</file>

<file path=customXml/itemProps139.xml><?xml version="1.0" encoding="utf-8"?>
<ds:datastoreItem xmlns:ds="http://schemas.openxmlformats.org/officeDocument/2006/customXml" ds:itemID="{C05C906B-99D9-4FBA-A9B5-C736F3A33007}">
  <ds:schemaRefs>
    <ds:schemaRef ds:uri="http://schemas.openxmlformats.org/officeDocument/2006/bibliography"/>
  </ds:schemaRefs>
</ds:datastoreItem>
</file>

<file path=customXml/itemProps14.xml><?xml version="1.0" encoding="utf-8"?>
<ds:datastoreItem xmlns:ds="http://schemas.openxmlformats.org/officeDocument/2006/customXml" ds:itemID="{282B8092-D507-433B-A740-A866A81A4111}">
  <ds:schemaRefs>
    <ds:schemaRef ds:uri="http://schemas.openxmlformats.org/officeDocument/2006/bibliography"/>
  </ds:schemaRefs>
</ds:datastoreItem>
</file>

<file path=customXml/itemProps140.xml><?xml version="1.0" encoding="utf-8"?>
<ds:datastoreItem xmlns:ds="http://schemas.openxmlformats.org/officeDocument/2006/customXml" ds:itemID="{46A3E302-947A-4D4F-882A-49E6832AF67D}">
  <ds:schemaRefs>
    <ds:schemaRef ds:uri="http://schemas.openxmlformats.org/officeDocument/2006/bibliography"/>
  </ds:schemaRefs>
</ds:datastoreItem>
</file>

<file path=customXml/itemProps141.xml><?xml version="1.0" encoding="utf-8"?>
<ds:datastoreItem xmlns:ds="http://schemas.openxmlformats.org/officeDocument/2006/customXml" ds:itemID="{C1948975-CA7C-4D83-97E7-2FF144D2324D}">
  <ds:schemaRefs>
    <ds:schemaRef ds:uri="http://schemas.openxmlformats.org/officeDocument/2006/bibliography"/>
  </ds:schemaRefs>
</ds:datastoreItem>
</file>

<file path=customXml/itemProps142.xml><?xml version="1.0" encoding="utf-8"?>
<ds:datastoreItem xmlns:ds="http://schemas.openxmlformats.org/officeDocument/2006/customXml" ds:itemID="{0FE20CEB-312F-4850-9A78-A88B5629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694bc-41ce-4342-b796-40763f2f1432"/>
    <ds:schemaRef ds:uri="2db11f1a-a6b6-4210-842b-ac5ed3ab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3.xml><?xml version="1.0" encoding="utf-8"?>
<ds:datastoreItem xmlns:ds="http://schemas.openxmlformats.org/officeDocument/2006/customXml" ds:itemID="{1D8E8113-EE4F-471D-90DA-C26B19C346C0}">
  <ds:schemaRefs>
    <ds:schemaRef ds:uri="http://schemas.openxmlformats.org/officeDocument/2006/bibliography"/>
  </ds:schemaRefs>
</ds:datastoreItem>
</file>

<file path=customXml/itemProps144.xml><?xml version="1.0" encoding="utf-8"?>
<ds:datastoreItem xmlns:ds="http://schemas.openxmlformats.org/officeDocument/2006/customXml" ds:itemID="{04219E55-3034-4543-8E87-9BF962805CDF}">
  <ds:schemaRefs>
    <ds:schemaRef ds:uri="http://schemas.openxmlformats.org/officeDocument/2006/bibliography"/>
  </ds:schemaRefs>
</ds:datastoreItem>
</file>

<file path=customXml/itemProps145.xml><?xml version="1.0" encoding="utf-8"?>
<ds:datastoreItem xmlns:ds="http://schemas.openxmlformats.org/officeDocument/2006/customXml" ds:itemID="{ED2BFB1D-7C95-4215-805F-A5E4FD659534}">
  <ds:schemaRefs>
    <ds:schemaRef ds:uri="http://schemas.openxmlformats.org/officeDocument/2006/bibliography"/>
  </ds:schemaRefs>
</ds:datastoreItem>
</file>

<file path=customXml/itemProps146.xml><?xml version="1.0" encoding="utf-8"?>
<ds:datastoreItem xmlns:ds="http://schemas.openxmlformats.org/officeDocument/2006/customXml" ds:itemID="{E249DFF4-C69D-40D4-AB12-6F940B2A5B84}">
  <ds:schemaRefs>
    <ds:schemaRef ds:uri="http://schemas.openxmlformats.org/officeDocument/2006/bibliography"/>
  </ds:schemaRefs>
</ds:datastoreItem>
</file>

<file path=customXml/itemProps147.xml><?xml version="1.0" encoding="utf-8"?>
<ds:datastoreItem xmlns:ds="http://schemas.openxmlformats.org/officeDocument/2006/customXml" ds:itemID="{3B2A941D-F6EC-40E8-8F82-83D5E1A18C4D}">
  <ds:schemaRefs>
    <ds:schemaRef ds:uri="http://schemas.openxmlformats.org/officeDocument/2006/bibliography"/>
  </ds:schemaRefs>
</ds:datastoreItem>
</file>

<file path=customXml/itemProps148.xml><?xml version="1.0" encoding="utf-8"?>
<ds:datastoreItem xmlns:ds="http://schemas.openxmlformats.org/officeDocument/2006/customXml" ds:itemID="{9E4E0C13-0181-4EB5-A44C-6D69C118C9D1}">
  <ds:schemaRefs>
    <ds:schemaRef ds:uri="http://schemas.openxmlformats.org/officeDocument/2006/bibliography"/>
  </ds:schemaRefs>
</ds:datastoreItem>
</file>

<file path=customXml/itemProps149.xml><?xml version="1.0" encoding="utf-8"?>
<ds:datastoreItem xmlns:ds="http://schemas.openxmlformats.org/officeDocument/2006/customXml" ds:itemID="{D3DE3FE1-9AC3-4AFA-AD05-6E79BE505FC7}">
  <ds:schemaRefs>
    <ds:schemaRef ds:uri="http://schemas.openxmlformats.org/officeDocument/2006/bibliography"/>
  </ds:schemaRefs>
</ds:datastoreItem>
</file>

<file path=customXml/itemProps15.xml><?xml version="1.0" encoding="utf-8"?>
<ds:datastoreItem xmlns:ds="http://schemas.openxmlformats.org/officeDocument/2006/customXml" ds:itemID="{F7C7618E-60CE-4134-AFB5-FC00E58C2449}">
  <ds:schemaRefs>
    <ds:schemaRef ds:uri="http://schemas.openxmlformats.org/officeDocument/2006/bibliography"/>
  </ds:schemaRefs>
</ds:datastoreItem>
</file>

<file path=customXml/itemProps150.xml><?xml version="1.0" encoding="utf-8"?>
<ds:datastoreItem xmlns:ds="http://schemas.openxmlformats.org/officeDocument/2006/customXml" ds:itemID="{2DAA8392-D751-4351-AD68-DBA54A573424}">
  <ds:schemaRefs>
    <ds:schemaRef ds:uri="http://schemas.openxmlformats.org/officeDocument/2006/bibliography"/>
  </ds:schemaRefs>
</ds:datastoreItem>
</file>

<file path=customXml/itemProps151.xml><?xml version="1.0" encoding="utf-8"?>
<ds:datastoreItem xmlns:ds="http://schemas.openxmlformats.org/officeDocument/2006/customXml" ds:itemID="{11416347-554D-46EA-89CF-785BD6E10F01}">
  <ds:schemaRefs>
    <ds:schemaRef ds:uri="http://schemas.openxmlformats.org/officeDocument/2006/bibliography"/>
  </ds:schemaRefs>
</ds:datastoreItem>
</file>

<file path=customXml/itemProps152.xml><?xml version="1.0" encoding="utf-8"?>
<ds:datastoreItem xmlns:ds="http://schemas.openxmlformats.org/officeDocument/2006/customXml" ds:itemID="{77DDCAAA-5B20-48AC-9397-B30013D58BDF}">
  <ds:schemaRefs>
    <ds:schemaRef ds:uri="http://schemas.openxmlformats.org/officeDocument/2006/bibliography"/>
  </ds:schemaRefs>
</ds:datastoreItem>
</file>

<file path=customXml/itemProps153.xml><?xml version="1.0" encoding="utf-8"?>
<ds:datastoreItem xmlns:ds="http://schemas.openxmlformats.org/officeDocument/2006/customXml" ds:itemID="{817E33B2-B9A6-499C-BF48-0EE825A56B12}">
  <ds:schemaRefs>
    <ds:schemaRef ds:uri="http://schemas.openxmlformats.org/officeDocument/2006/bibliography"/>
  </ds:schemaRefs>
</ds:datastoreItem>
</file>

<file path=customXml/itemProps154.xml><?xml version="1.0" encoding="utf-8"?>
<ds:datastoreItem xmlns:ds="http://schemas.openxmlformats.org/officeDocument/2006/customXml" ds:itemID="{2D346A37-DD7E-45E1-AA8D-3734C1D47C29}">
  <ds:schemaRefs>
    <ds:schemaRef ds:uri="http://schemas.openxmlformats.org/officeDocument/2006/bibliography"/>
  </ds:schemaRefs>
</ds:datastoreItem>
</file>

<file path=customXml/itemProps155.xml><?xml version="1.0" encoding="utf-8"?>
<ds:datastoreItem xmlns:ds="http://schemas.openxmlformats.org/officeDocument/2006/customXml" ds:itemID="{F7ED6C24-6220-46B2-AFE6-FA050E752AFB}">
  <ds:schemaRefs>
    <ds:schemaRef ds:uri="http://schemas.openxmlformats.org/officeDocument/2006/bibliography"/>
  </ds:schemaRefs>
</ds:datastoreItem>
</file>

<file path=customXml/itemProps156.xml><?xml version="1.0" encoding="utf-8"?>
<ds:datastoreItem xmlns:ds="http://schemas.openxmlformats.org/officeDocument/2006/customXml" ds:itemID="{A5B4FC1F-9929-4BB8-8FF4-DC6BE1CF4934}">
  <ds:schemaRefs>
    <ds:schemaRef ds:uri="http://schemas.openxmlformats.org/officeDocument/2006/bibliography"/>
  </ds:schemaRefs>
</ds:datastoreItem>
</file>

<file path=customXml/itemProps157.xml><?xml version="1.0" encoding="utf-8"?>
<ds:datastoreItem xmlns:ds="http://schemas.openxmlformats.org/officeDocument/2006/customXml" ds:itemID="{1D486387-7091-4BCC-89C5-E10F8BDEC705}">
  <ds:schemaRefs>
    <ds:schemaRef ds:uri="http://schemas.openxmlformats.org/officeDocument/2006/bibliography"/>
  </ds:schemaRefs>
</ds:datastoreItem>
</file>

<file path=customXml/itemProps158.xml><?xml version="1.0" encoding="utf-8"?>
<ds:datastoreItem xmlns:ds="http://schemas.openxmlformats.org/officeDocument/2006/customXml" ds:itemID="{F24A9711-714A-4783-BCAC-41C8DC00921A}">
  <ds:schemaRefs>
    <ds:schemaRef ds:uri="http://schemas.openxmlformats.org/officeDocument/2006/bibliography"/>
  </ds:schemaRefs>
</ds:datastoreItem>
</file>

<file path=customXml/itemProps159.xml><?xml version="1.0" encoding="utf-8"?>
<ds:datastoreItem xmlns:ds="http://schemas.openxmlformats.org/officeDocument/2006/customXml" ds:itemID="{394CABB5-E588-4686-82BD-DABDF36C84C0}">
  <ds:schemaRefs>
    <ds:schemaRef ds:uri="http://schemas.openxmlformats.org/officeDocument/2006/bibliography"/>
  </ds:schemaRefs>
</ds:datastoreItem>
</file>

<file path=customXml/itemProps16.xml><?xml version="1.0" encoding="utf-8"?>
<ds:datastoreItem xmlns:ds="http://schemas.openxmlformats.org/officeDocument/2006/customXml" ds:itemID="{33DA7C9F-1F0C-4E11-8B20-BA4C3F7FB36D}">
  <ds:schemaRefs>
    <ds:schemaRef ds:uri="http://schemas.openxmlformats.org/officeDocument/2006/bibliography"/>
  </ds:schemaRefs>
</ds:datastoreItem>
</file>

<file path=customXml/itemProps160.xml><?xml version="1.0" encoding="utf-8"?>
<ds:datastoreItem xmlns:ds="http://schemas.openxmlformats.org/officeDocument/2006/customXml" ds:itemID="{6C410634-7F5A-4B93-97E0-2E1E95BBF8B7}">
  <ds:schemaRefs>
    <ds:schemaRef ds:uri="http://schemas.openxmlformats.org/officeDocument/2006/bibliography"/>
  </ds:schemaRefs>
</ds:datastoreItem>
</file>

<file path=customXml/itemProps161.xml><?xml version="1.0" encoding="utf-8"?>
<ds:datastoreItem xmlns:ds="http://schemas.openxmlformats.org/officeDocument/2006/customXml" ds:itemID="{AB1ED65C-E39E-4F19-B48A-4901999CE575}">
  <ds:schemaRefs>
    <ds:schemaRef ds:uri="http://schemas.openxmlformats.org/officeDocument/2006/bibliography"/>
  </ds:schemaRefs>
</ds:datastoreItem>
</file>

<file path=customXml/itemProps162.xml><?xml version="1.0" encoding="utf-8"?>
<ds:datastoreItem xmlns:ds="http://schemas.openxmlformats.org/officeDocument/2006/customXml" ds:itemID="{99D84B5A-DBD5-4F2D-96D3-58D237535E7C}">
  <ds:schemaRefs>
    <ds:schemaRef ds:uri="http://schemas.openxmlformats.org/officeDocument/2006/bibliography"/>
  </ds:schemaRefs>
</ds:datastoreItem>
</file>

<file path=customXml/itemProps163.xml><?xml version="1.0" encoding="utf-8"?>
<ds:datastoreItem xmlns:ds="http://schemas.openxmlformats.org/officeDocument/2006/customXml" ds:itemID="{DD5557E2-1436-45B7-A375-F6D6CBF3DCCE}">
  <ds:schemaRefs>
    <ds:schemaRef ds:uri="http://schemas.openxmlformats.org/officeDocument/2006/bibliography"/>
  </ds:schemaRefs>
</ds:datastoreItem>
</file>

<file path=customXml/itemProps164.xml><?xml version="1.0" encoding="utf-8"?>
<ds:datastoreItem xmlns:ds="http://schemas.openxmlformats.org/officeDocument/2006/customXml" ds:itemID="{892591F7-1AE2-46C1-820D-4EC98A3279EF}">
  <ds:schemaRefs>
    <ds:schemaRef ds:uri="http://schemas.openxmlformats.org/officeDocument/2006/bibliography"/>
  </ds:schemaRefs>
</ds:datastoreItem>
</file>

<file path=customXml/itemProps165.xml><?xml version="1.0" encoding="utf-8"?>
<ds:datastoreItem xmlns:ds="http://schemas.openxmlformats.org/officeDocument/2006/customXml" ds:itemID="{2C6248D1-45E6-4ACF-95D0-B427AD115C48}">
  <ds:schemaRefs>
    <ds:schemaRef ds:uri="http://schemas.openxmlformats.org/officeDocument/2006/bibliography"/>
  </ds:schemaRefs>
</ds:datastoreItem>
</file>

<file path=customXml/itemProps166.xml><?xml version="1.0" encoding="utf-8"?>
<ds:datastoreItem xmlns:ds="http://schemas.openxmlformats.org/officeDocument/2006/customXml" ds:itemID="{572C06BF-403C-46B9-9818-236BC34F7DB7}">
  <ds:schemaRefs>
    <ds:schemaRef ds:uri="http://schemas.openxmlformats.org/officeDocument/2006/bibliography"/>
  </ds:schemaRefs>
</ds:datastoreItem>
</file>

<file path=customXml/itemProps167.xml><?xml version="1.0" encoding="utf-8"?>
<ds:datastoreItem xmlns:ds="http://schemas.openxmlformats.org/officeDocument/2006/customXml" ds:itemID="{8375C6F2-2E49-49A1-AD67-C2B4B8750684}">
  <ds:schemaRefs>
    <ds:schemaRef ds:uri="http://schemas.openxmlformats.org/officeDocument/2006/bibliography"/>
  </ds:schemaRefs>
</ds:datastoreItem>
</file>

<file path=customXml/itemProps168.xml><?xml version="1.0" encoding="utf-8"?>
<ds:datastoreItem xmlns:ds="http://schemas.openxmlformats.org/officeDocument/2006/customXml" ds:itemID="{0B1ECDC3-E314-4203-BDA3-9CC21FFD9749}">
  <ds:schemaRefs>
    <ds:schemaRef ds:uri="http://schemas.openxmlformats.org/officeDocument/2006/bibliography"/>
  </ds:schemaRefs>
</ds:datastoreItem>
</file>

<file path=customXml/itemProps169.xml><?xml version="1.0" encoding="utf-8"?>
<ds:datastoreItem xmlns:ds="http://schemas.openxmlformats.org/officeDocument/2006/customXml" ds:itemID="{8B8E4EC5-AB0A-4507-B2A6-BEC721AC4E36}">
  <ds:schemaRefs>
    <ds:schemaRef ds:uri="http://schemas.openxmlformats.org/officeDocument/2006/bibliography"/>
  </ds:schemaRefs>
</ds:datastoreItem>
</file>

<file path=customXml/itemProps17.xml><?xml version="1.0" encoding="utf-8"?>
<ds:datastoreItem xmlns:ds="http://schemas.openxmlformats.org/officeDocument/2006/customXml" ds:itemID="{8C618587-6AEE-49D8-AD34-3038A9E1A49C}">
  <ds:schemaRefs>
    <ds:schemaRef ds:uri="http://schemas.openxmlformats.org/officeDocument/2006/bibliography"/>
  </ds:schemaRefs>
</ds:datastoreItem>
</file>

<file path=customXml/itemProps170.xml><?xml version="1.0" encoding="utf-8"?>
<ds:datastoreItem xmlns:ds="http://schemas.openxmlformats.org/officeDocument/2006/customXml" ds:itemID="{2ACC8B68-895F-4684-AF98-EA0E3A4E8CF6}">
  <ds:schemaRefs>
    <ds:schemaRef ds:uri="http://schemas.openxmlformats.org/officeDocument/2006/bibliography"/>
  </ds:schemaRefs>
</ds:datastoreItem>
</file>

<file path=customXml/itemProps171.xml><?xml version="1.0" encoding="utf-8"?>
<ds:datastoreItem xmlns:ds="http://schemas.openxmlformats.org/officeDocument/2006/customXml" ds:itemID="{6867F614-66B5-4F61-B0DC-38E344689624}">
  <ds:schemaRefs>
    <ds:schemaRef ds:uri="http://schemas.openxmlformats.org/officeDocument/2006/bibliography"/>
  </ds:schemaRefs>
</ds:datastoreItem>
</file>

<file path=customXml/itemProps172.xml><?xml version="1.0" encoding="utf-8"?>
<ds:datastoreItem xmlns:ds="http://schemas.openxmlformats.org/officeDocument/2006/customXml" ds:itemID="{05122C62-E69F-441F-A782-2C954E891E02}">
  <ds:schemaRefs>
    <ds:schemaRef ds:uri="http://schemas.openxmlformats.org/officeDocument/2006/bibliography"/>
  </ds:schemaRefs>
</ds:datastoreItem>
</file>

<file path=customXml/itemProps173.xml><?xml version="1.0" encoding="utf-8"?>
<ds:datastoreItem xmlns:ds="http://schemas.openxmlformats.org/officeDocument/2006/customXml" ds:itemID="{DC1778FA-C197-437D-94CC-8DC5B0F208B0}">
  <ds:schemaRefs>
    <ds:schemaRef ds:uri="http://schemas.openxmlformats.org/officeDocument/2006/bibliography"/>
  </ds:schemaRefs>
</ds:datastoreItem>
</file>

<file path=customXml/itemProps174.xml><?xml version="1.0" encoding="utf-8"?>
<ds:datastoreItem xmlns:ds="http://schemas.openxmlformats.org/officeDocument/2006/customXml" ds:itemID="{4929877D-9A09-4DE8-9DCD-ED23526E95C0}">
  <ds:schemaRefs>
    <ds:schemaRef ds:uri="http://schemas.openxmlformats.org/officeDocument/2006/bibliography"/>
  </ds:schemaRefs>
</ds:datastoreItem>
</file>

<file path=customXml/itemProps175.xml><?xml version="1.0" encoding="utf-8"?>
<ds:datastoreItem xmlns:ds="http://schemas.openxmlformats.org/officeDocument/2006/customXml" ds:itemID="{564970CE-86D0-4D15-AFCB-BE122CF7A73F}">
  <ds:schemaRefs>
    <ds:schemaRef ds:uri="http://schemas.openxmlformats.org/officeDocument/2006/bibliography"/>
  </ds:schemaRefs>
</ds:datastoreItem>
</file>

<file path=customXml/itemProps176.xml><?xml version="1.0" encoding="utf-8"?>
<ds:datastoreItem xmlns:ds="http://schemas.openxmlformats.org/officeDocument/2006/customXml" ds:itemID="{73120A30-0C9E-4C28-BA6A-CFBA941A3908}">
  <ds:schemaRefs>
    <ds:schemaRef ds:uri="http://schemas.openxmlformats.org/officeDocument/2006/bibliography"/>
  </ds:schemaRefs>
</ds:datastoreItem>
</file>

<file path=customXml/itemProps177.xml><?xml version="1.0" encoding="utf-8"?>
<ds:datastoreItem xmlns:ds="http://schemas.openxmlformats.org/officeDocument/2006/customXml" ds:itemID="{2DCC6854-3F01-42BF-8E0C-5B74DB322C5A}">
  <ds:schemaRefs>
    <ds:schemaRef ds:uri="http://schemas.openxmlformats.org/officeDocument/2006/bibliography"/>
  </ds:schemaRefs>
</ds:datastoreItem>
</file>

<file path=customXml/itemProps178.xml><?xml version="1.0" encoding="utf-8"?>
<ds:datastoreItem xmlns:ds="http://schemas.openxmlformats.org/officeDocument/2006/customXml" ds:itemID="{455D80FF-40FE-45B5-A5A7-57D5EB7631E4}">
  <ds:schemaRefs>
    <ds:schemaRef ds:uri="http://schemas.openxmlformats.org/officeDocument/2006/bibliography"/>
  </ds:schemaRefs>
</ds:datastoreItem>
</file>

<file path=customXml/itemProps179.xml><?xml version="1.0" encoding="utf-8"?>
<ds:datastoreItem xmlns:ds="http://schemas.openxmlformats.org/officeDocument/2006/customXml" ds:itemID="{0A658C2E-4F18-490A-BA0E-38D548478D4D}">
  <ds:schemaRefs>
    <ds:schemaRef ds:uri="http://schemas.openxmlformats.org/officeDocument/2006/bibliography"/>
  </ds:schemaRefs>
</ds:datastoreItem>
</file>

<file path=customXml/itemProps18.xml><?xml version="1.0" encoding="utf-8"?>
<ds:datastoreItem xmlns:ds="http://schemas.openxmlformats.org/officeDocument/2006/customXml" ds:itemID="{850D491E-21D2-4A28-89AD-78AD1440822B}">
  <ds:schemaRefs>
    <ds:schemaRef ds:uri="http://schemas.openxmlformats.org/officeDocument/2006/bibliography"/>
  </ds:schemaRefs>
</ds:datastoreItem>
</file>

<file path=customXml/itemProps180.xml><?xml version="1.0" encoding="utf-8"?>
<ds:datastoreItem xmlns:ds="http://schemas.openxmlformats.org/officeDocument/2006/customXml" ds:itemID="{023FCC64-855E-403D-831F-9E57E29A3B76}">
  <ds:schemaRefs>
    <ds:schemaRef ds:uri="http://schemas.openxmlformats.org/officeDocument/2006/bibliography"/>
  </ds:schemaRefs>
</ds:datastoreItem>
</file>

<file path=customXml/itemProps181.xml><?xml version="1.0" encoding="utf-8"?>
<ds:datastoreItem xmlns:ds="http://schemas.openxmlformats.org/officeDocument/2006/customXml" ds:itemID="{AE67EF0A-6810-42D6-A694-540536B69A06}">
  <ds:schemaRefs>
    <ds:schemaRef ds:uri="http://schemas.openxmlformats.org/officeDocument/2006/bibliography"/>
  </ds:schemaRefs>
</ds:datastoreItem>
</file>

<file path=customXml/itemProps182.xml><?xml version="1.0" encoding="utf-8"?>
<ds:datastoreItem xmlns:ds="http://schemas.openxmlformats.org/officeDocument/2006/customXml" ds:itemID="{428CDE67-DB4B-467F-BCA9-43BF429D07D7}">
  <ds:schemaRefs>
    <ds:schemaRef ds:uri="http://schemas.openxmlformats.org/officeDocument/2006/bibliography"/>
  </ds:schemaRefs>
</ds:datastoreItem>
</file>

<file path=customXml/itemProps183.xml><?xml version="1.0" encoding="utf-8"?>
<ds:datastoreItem xmlns:ds="http://schemas.openxmlformats.org/officeDocument/2006/customXml" ds:itemID="{3AEEC3A8-55BF-4C8F-936F-EE0FC3AC6466}">
  <ds:schemaRefs>
    <ds:schemaRef ds:uri="http://schemas.openxmlformats.org/officeDocument/2006/bibliography"/>
  </ds:schemaRefs>
</ds:datastoreItem>
</file>

<file path=customXml/itemProps184.xml><?xml version="1.0" encoding="utf-8"?>
<ds:datastoreItem xmlns:ds="http://schemas.openxmlformats.org/officeDocument/2006/customXml" ds:itemID="{C4F8D4AF-761F-466B-945D-428B5643B841}">
  <ds:schemaRefs>
    <ds:schemaRef ds:uri="http://schemas.openxmlformats.org/officeDocument/2006/bibliography"/>
  </ds:schemaRefs>
</ds:datastoreItem>
</file>

<file path=customXml/itemProps185.xml><?xml version="1.0" encoding="utf-8"?>
<ds:datastoreItem xmlns:ds="http://schemas.openxmlformats.org/officeDocument/2006/customXml" ds:itemID="{8A555B15-8635-4846-AAB2-BDF75EB608D3}">
  <ds:schemaRefs>
    <ds:schemaRef ds:uri="http://schemas.openxmlformats.org/officeDocument/2006/bibliography"/>
  </ds:schemaRefs>
</ds:datastoreItem>
</file>

<file path=customXml/itemProps186.xml><?xml version="1.0" encoding="utf-8"?>
<ds:datastoreItem xmlns:ds="http://schemas.openxmlformats.org/officeDocument/2006/customXml" ds:itemID="{3AA338EE-1C7A-4E2F-97DF-5B3F82EFCE46}">
  <ds:schemaRefs>
    <ds:schemaRef ds:uri="http://schemas.openxmlformats.org/officeDocument/2006/bibliography"/>
  </ds:schemaRefs>
</ds:datastoreItem>
</file>

<file path=customXml/itemProps187.xml><?xml version="1.0" encoding="utf-8"?>
<ds:datastoreItem xmlns:ds="http://schemas.openxmlformats.org/officeDocument/2006/customXml" ds:itemID="{C0FEB613-2A8D-46CA-B650-BD1A625894DB}">
  <ds:schemaRefs>
    <ds:schemaRef ds:uri="http://schemas.openxmlformats.org/officeDocument/2006/bibliography"/>
  </ds:schemaRefs>
</ds:datastoreItem>
</file>

<file path=customXml/itemProps188.xml><?xml version="1.0" encoding="utf-8"?>
<ds:datastoreItem xmlns:ds="http://schemas.openxmlformats.org/officeDocument/2006/customXml" ds:itemID="{0181C0D3-9D09-4290-94F3-2A3727334545}">
  <ds:schemaRefs>
    <ds:schemaRef ds:uri="http://schemas.openxmlformats.org/officeDocument/2006/bibliography"/>
  </ds:schemaRefs>
</ds:datastoreItem>
</file>

<file path=customXml/itemProps189.xml><?xml version="1.0" encoding="utf-8"?>
<ds:datastoreItem xmlns:ds="http://schemas.openxmlformats.org/officeDocument/2006/customXml" ds:itemID="{F0D70A47-FF6C-450C-956F-B628043B4B17}">
  <ds:schemaRefs>
    <ds:schemaRef ds:uri="http://schemas.openxmlformats.org/officeDocument/2006/bibliography"/>
  </ds:schemaRefs>
</ds:datastoreItem>
</file>

<file path=customXml/itemProps19.xml><?xml version="1.0" encoding="utf-8"?>
<ds:datastoreItem xmlns:ds="http://schemas.openxmlformats.org/officeDocument/2006/customXml" ds:itemID="{76A85DA2-9B28-464A-9D94-02BE28EDFE43}">
  <ds:schemaRefs>
    <ds:schemaRef ds:uri="http://schemas.openxmlformats.org/officeDocument/2006/bibliography"/>
  </ds:schemaRefs>
</ds:datastoreItem>
</file>

<file path=customXml/itemProps190.xml><?xml version="1.0" encoding="utf-8"?>
<ds:datastoreItem xmlns:ds="http://schemas.openxmlformats.org/officeDocument/2006/customXml" ds:itemID="{BA45E468-6BBB-4078-AEB2-E4D510C303C0}">
  <ds:schemaRefs>
    <ds:schemaRef ds:uri="http://schemas.openxmlformats.org/officeDocument/2006/bibliography"/>
  </ds:schemaRefs>
</ds:datastoreItem>
</file>

<file path=customXml/itemProps191.xml><?xml version="1.0" encoding="utf-8"?>
<ds:datastoreItem xmlns:ds="http://schemas.openxmlformats.org/officeDocument/2006/customXml" ds:itemID="{A8C2DD2F-CE1A-47D7-91DF-C384CF2A2612}">
  <ds:schemaRefs>
    <ds:schemaRef ds:uri="http://schemas.openxmlformats.org/officeDocument/2006/bibliography"/>
  </ds:schemaRefs>
</ds:datastoreItem>
</file>

<file path=customXml/itemProps192.xml><?xml version="1.0" encoding="utf-8"?>
<ds:datastoreItem xmlns:ds="http://schemas.openxmlformats.org/officeDocument/2006/customXml" ds:itemID="{6EF44B44-6570-487D-A4D9-5024CD57C09A}">
  <ds:schemaRefs>
    <ds:schemaRef ds:uri="http://schemas.openxmlformats.org/officeDocument/2006/bibliography"/>
  </ds:schemaRefs>
</ds:datastoreItem>
</file>

<file path=customXml/itemProps193.xml><?xml version="1.0" encoding="utf-8"?>
<ds:datastoreItem xmlns:ds="http://schemas.openxmlformats.org/officeDocument/2006/customXml" ds:itemID="{A81088A5-B4A7-4352-BDD1-B094478528EB}">
  <ds:schemaRefs>
    <ds:schemaRef ds:uri="http://schemas.openxmlformats.org/officeDocument/2006/bibliography"/>
  </ds:schemaRefs>
</ds:datastoreItem>
</file>

<file path=customXml/itemProps194.xml><?xml version="1.0" encoding="utf-8"?>
<ds:datastoreItem xmlns:ds="http://schemas.openxmlformats.org/officeDocument/2006/customXml" ds:itemID="{9BDC19B2-08F7-443E-9DA3-899B44ACFC38}">
  <ds:schemaRefs>
    <ds:schemaRef ds:uri="http://schemas.openxmlformats.org/officeDocument/2006/bibliography"/>
  </ds:schemaRefs>
</ds:datastoreItem>
</file>

<file path=customXml/itemProps195.xml><?xml version="1.0" encoding="utf-8"?>
<ds:datastoreItem xmlns:ds="http://schemas.openxmlformats.org/officeDocument/2006/customXml" ds:itemID="{09F42964-E8CE-4FEA-9262-8EA12C28F9F5}">
  <ds:schemaRefs>
    <ds:schemaRef ds:uri="http://schemas.openxmlformats.org/officeDocument/2006/bibliography"/>
  </ds:schemaRefs>
</ds:datastoreItem>
</file>

<file path=customXml/itemProps196.xml><?xml version="1.0" encoding="utf-8"?>
<ds:datastoreItem xmlns:ds="http://schemas.openxmlformats.org/officeDocument/2006/customXml" ds:itemID="{FBEADD44-D8A5-4C17-800A-D7A8E6CAAE70}">
  <ds:schemaRefs>
    <ds:schemaRef ds:uri="http://schemas.openxmlformats.org/officeDocument/2006/bibliography"/>
  </ds:schemaRefs>
</ds:datastoreItem>
</file>

<file path=customXml/itemProps197.xml><?xml version="1.0" encoding="utf-8"?>
<ds:datastoreItem xmlns:ds="http://schemas.openxmlformats.org/officeDocument/2006/customXml" ds:itemID="{FBCA393E-A699-4DED-9405-37547F6983BC}">
  <ds:schemaRefs>
    <ds:schemaRef ds:uri="http://schemas.openxmlformats.org/officeDocument/2006/bibliography"/>
  </ds:schemaRefs>
</ds:datastoreItem>
</file>

<file path=customXml/itemProps198.xml><?xml version="1.0" encoding="utf-8"?>
<ds:datastoreItem xmlns:ds="http://schemas.openxmlformats.org/officeDocument/2006/customXml" ds:itemID="{0A5BB051-E882-4092-9EB2-4F41B500CEF2}">
  <ds:schemaRefs>
    <ds:schemaRef ds:uri="http://schemas.openxmlformats.org/officeDocument/2006/bibliography"/>
  </ds:schemaRefs>
</ds:datastoreItem>
</file>

<file path=customXml/itemProps199.xml><?xml version="1.0" encoding="utf-8"?>
<ds:datastoreItem xmlns:ds="http://schemas.openxmlformats.org/officeDocument/2006/customXml" ds:itemID="{51546FE3-616B-4864-9163-6C0C4B193BBC}">
  <ds:schemaRefs>
    <ds:schemaRef ds:uri="http://schemas.openxmlformats.org/officeDocument/2006/bibliography"/>
  </ds:schemaRefs>
</ds:datastoreItem>
</file>

<file path=customXml/itemProps2.xml><?xml version="1.0" encoding="utf-8"?>
<ds:datastoreItem xmlns:ds="http://schemas.openxmlformats.org/officeDocument/2006/customXml" ds:itemID="{13ED96AF-169F-4FBF-A969-5470926ACDAC}">
  <ds:schemaRefs>
    <ds:schemaRef ds:uri="http://schemas.openxmlformats.org/officeDocument/2006/bibliography"/>
  </ds:schemaRefs>
</ds:datastoreItem>
</file>

<file path=customXml/itemProps20.xml><?xml version="1.0" encoding="utf-8"?>
<ds:datastoreItem xmlns:ds="http://schemas.openxmlformats.org/officeDocument/2006/customXml" ds:itemID="{EC5B08E5-C6C5-45D6-B6AE-7439110F00AF}">
  <ds:schemaRefs>
    <ds:schemaRef ds:uri="http://schemas.openxmlformats.org/officeDocument/2006/bibliography"/>
  </ds:schemaRefs>
</ds:datastoreItem>
</file>

<file path=customXml/itemProps200.xml><?xml version="1.0" encoding="utf-8"?>
<ds:datastoreItem xmlns:ds="http://schemas.openxmlformats.org/officeDocument/2006/customXml" ds:itemID="{E56AFA77-CE13-464E-BEFF-5D12CFEF0AEC}">
  <ds:schemaRefs>
    <ds:schemaRef ds:uri="http://schemas.openxmlformats.org/officeDocument/2006/bibliography"/>
  </ds:schemaRefs>
</ds:datastoreItem>
</file>

<file path=customXml/itemProps201.xml><?xml version="1.0" encoding="utf-8"?>
<ds:datastoreItem xmlns:ds="http://schemas.openxmlformats.org/officeDocument/2006/customXml" ds:itemID="{58696F3A-238F-44E2-9341-19CF8BF99B6D}">
  <ds:schemaRefs>
    <ds:schemaRef ds:uri="http://schemas.openxmlformats.org/officeDocument/2006/bibliography"/>
  </ds:schemaRefs>
</ds:datastoreItem>
</file>

<file path=customXml/itemProps202.xml><?xml version="1.0" encoding="utf-8"?>
<ds:datastoreItem xmlns:ds="http://schemas.openxmlformats.org/officeDocument/2006/customXml" ds:itemID="{84ACCBD4-AC22-46B9-A86E-222E7BDA31C8}">
  <ds:schemaRefs>
    <ds:schemaRef ds:uri="http://schemas.openxmlformats.org/officeDocument/2006/bibliography"/>
  </ds:schemaRefs>
</ds:datastoreItem>
</file>

<file path=customXml/itemProps203.xml><?xml version="1.0" encoding="utf-8"?>
<ds:datastoreItem xmlns:ds="http://schemas.openxmlformats.org/officeDocument/2006/customXml" ds:itemID="{B11CDEE4-80E2-4C7A-B8DE-E1565A094B74}">
  <ds:schemaRefs>
    <ds:schemaRef ds:uri="http://schemas.openxmlformats.org/officeDocument/2006/bibliography"/>
  </ds:schemaRefs>
</ds:datastoreItem>
</file>

<file path=customXml/itemProps204.xml><?xml version="1.0" encoding="utf-8"?>
<ds:datastoreItem xmlns:ds="http://schemas.openxmlformats.org/officeDocument/2006/customXml" ds:itemID="{3EC67107-ED9F-45D7-989C-310939561A05}">
  <ds:schemaRefs>
    <ds:schemaRef ds:uri="http://schemas.openxmlformats.org/officeDocument/2006/bibliography"/>
  </ds:schemaRefs>
</ds:datastoreItem>
</file>

<file path=customXml/itemProps205.xml><?xml version="1.0" encoding="utf-8"?>
<ds:datastoreItem xmlns:ds="http://schemas.openxmlformats.org/officeDocument/2006/customXml" ds:itemID="{3F94560E-63AD-48E4-B9A3-21D8D5E42AF7}">
  <ds:schemaRefs>
    <ds:schemaRef ds:uri="http://schemas.openxmlformats.org/officeDocument/2006/bibliography"/>
  </ds:schemaRefs>
</ds:datastoreItem>
</file>

<file path=customXml/itemProps206.xml><?xml version="1.0" encoding="utf-8"?>
<ds:datastoreItem xmlns:ds="http://schemas.openxmlformats.org/officeDocument/2006/customXml" ds:itemID="{434A5574-A794-4F53-8717-B851544C3E79}">
  <ds:schemaRefs>
    <ds:schemaRef ds:uri="http://schemas.openxmlformats.org/officeDocument/2006/bibliography"/>
  </ds:schemaRefs>
</ds:datastoreItem>
</file>

<file path=customXml/itemProps207.xml><?xml version="1.0" encoding="utf-8"?>
<ds:datastoreItem xmlns:ds="http://schemas.openxmlformats.org/officeDocument/2006/customXml" ds:itemID="{1FB6A277-C78F-4CE3-B730-0B9D69F88301}">
  <ds:schemaRefs>
    <ds:schemaRef ds:uri="http://schemas.openxmlformats.org/officeDocument/2006/bibliography"/>
  </ds:schemaRefs>
</ds:datastoreItem>
</file>

<file path=customXml/itemProps208.xml><?xml version="1.0" encoding="utf-8"?>
<ds:datastoreItem xmlns:ds="http://schemas.openxmlformats.org/officeDocument/2006/customXml" ds:itemID="{AAF6FB20-16E0-4139-B4D7-7FA80FBDF395}">
  <ds:schemaRefs>
    <ds:schemaRef ds:uri="http://schemas.openxmlformats.org/officeDocument/2006/bibliography"/>
  </ds:schemaRefs>
</ds:datastoreItem>
</file>

<file path=customXml/itemProps209.xml><?xml version="1.0" encoding="utf-8"?>
<ds:datastoreItem xmlns:ds="http://schemas.openxmlformats.org/officeDocument/2006/customXml" ds:itemID="{79897519-74E3-4CB1-8509-489A78D83086}">
  <ds:schemaRefs>
    <ds:schemaRef ds:uri="http://schemas.openxmlformats.org/officeDocument/2006/bibliography"/>
  </ds:schemaRefs>
</ds:datastoreItem>
</file>

<file path=customXml/itemProps21.xml><?xml version="1.0" encoding="utf-8"?>
<ds:datastoreItem xmlns:ds="http://schemas.openxmlformats.org/officeDocument/2006/customXml" ds:itemID="{165F1414-E95B-4105-958F-A8738246AEC5}">
  <ds:schemaRefs>
    <ds:schemaRef ds:uri="http://schemas.openxmlformats.org/officeDocument/2006/bibliography"/>
  </ds:schemaRefs>
</ds:datastoreItem>
</file>

<file path=customXml/itemProps210.xml><?xml version="1.0" encoding="utf-8"?>
<ds:datastoreItem xmlns:ds="http://schemas.openxmlformats.org/officeDocument/2006/customXml" ds:itemID="{FCB1EFF7-E1C2-4192-A5C3-797E9AF62D30}">
  <ds:schemaRefs>
    <ds:schemaRef ds:uri="http://schemas.openxmlformats.org/officeDocument/2006/bibliography"/>
  </ds:schemaRefs>
</ds:datastoreItem>
</file>

<file path=customXml/itemProps211.xml><?xml version="1.0" encoding="utf-8"?>
<ds:datastoreItem xmlns:ds="http://schemas.openxmlformats.org/officeDocument/2006/customXml" ds:itemID="{9A355693-6D19-40FA-ABB7-E658DFA4C8CA}">
  <ds:schemaRefs>
    <ds:schemaRef ds:uri="http://schemas.openxmlformats.org/officeDocument/2006/bibliography"/>
  </ds:schemaRefs>
</ds:datastoreItem>
</file>

<file path=customXml/itemProps212.xml><?xml version="1.0" encoding="utf-8"?>
<ds:datastoreItem xmlns:ds="http://schemas.openxmlformats.org/officeDocument/2006/customXml" ds:itemID="{A94A69B3-95A8-4083-9ECF-AF7701149259}">
  <ds:schemaRefs>
    <ds:schemaRef ds:uri="http://schemas.openxmlformats.org/officeDocument/2006/bibliography"/>
  </ds:schemaRefs>
</ds:datastoreItem>
</file>

<file path=customXml/itemProps213.xml><?xml version="1.0" encoding="utf-8"?>
<ds:datastoreItem xmlns:ds="http://schemas.openxmlformats.org/officeDocument/2006/customXml" ds:itemID="{B340D579-5093-4F9D-BED5-BEAE0B5C5409}">
  <ds:schemaRefs>
    <ds:schemaRef ds:uri="http://schemas.openxmlformats.org/officeDocument/2006/bibliography"/>
  </ds:schemaRefs>
</ds:datastoreItem>
</file>

<file path=customXml/itemProps214.xml><?xml version="1.0" encoding="utf-8"?>
<ds:datastoreItem xmlns:ds="http://schemas.openxmlformats.org/officeDocument/2006/customXml" ds:itemID="{8612D15B-61E2-4B13-807A-227DBA000877}">
  <ds:schemaRefs>
    <ds:schemaRef ds:uri="http://schemas.openxmlformats.org/officeDocument/2006/bibliography"/>
  </ds:schemaRefs>
</ds:datastoreItem>
</file>

<file path=customXml/itemProps215.xml><?xml version="1.0" encoding="utf-8"?>
<ds:datastoreItem xmlns:ds="http://schemas.openxmlformats.org/officeDocument/2006/customXml" ds:itemID="{0CDD8825-5C5F-4772-97F3-9145FF74A8C6}">
  <ds:schemaRefs>
    <ds:schemaRef ds:uri="http://schemas.openxmlformats.org/officeDocument/2006/bibliography"/>
  </ds:schemaRefs>
</ds:datastoreItem>
</file>

<file path=customXml/itemProps216.xml><?xml version="1.0" encoding="utf-8"?>
<ds:datastoreItem xmlns:ds="http://schemas.openxmlformats.org/officeDocument/2006/customXml" ds:itemID="{30E6EA5E-DEAC-49C9-9A47-8A4A9829B722}">
  <ds:schemaRefs>
    <ds:schemaRef ds:uri="http://schemas.openxmlformats.org/officeDocument/2006/bibliography"/>
  </ds:schemaRefs>
</ds:datastoreItem>
</file>

<file path=customXml/itemProps217.xml><?xml version="1.0" encoding="utf-8"?>
<ds:datastoreItem xmlns:ds="http://schemas.openxmlformats.org/officeDocument/2006/customXml" ds:itemID="{E0970CF3-51BB-49A0-8806-DCEC45160345}">
  <ds:schemaRefs>
    <ds:schemaRef ds:uri="http://schemas.openxmlformats.org/officeDocument/2006/bibliography"/>
  </ds:schemaRefs>
</ds:datastoreItem>
</file>

<file path=customXml/itemProps218.xml><?xml version="1.0" encoding="utf-8"?>
<ds:datastoreItem xmlns:ds="http://schemas.openxmlformats.org/officeDocument/2006/customXml" ds:itemID="{A0A81300-6D37-4217-BD34-2C084C1B8A2C}">
  <ds:schemaRefs>
    <ds:schemaRef ds:uri="http://schemas.openxmlformats.org/officeDocument/2006/bibliography"/>
  </ds:schemaRefs>
</ds:datastoreItem>
</file>

<file path=customXml/itemProps219.xml><?xml version="1.0" encoding="utf-8"?>
<ds:datastoreItem xmlns:ds="http://schemas.openxmlformats.org/officeDocument/2006/customXml" ds:itemID="{5954358D-BE61-4891-A413-C1103DE5B8D0}">
  <ds:schemaRefs>
    <ds:schemaRef ds:uri="http://schemas.openxmlformats.org/officeDocument/2006/bibliography"/>
  </ds:schemaRefs>
</ds:datastoreItem>
</file>

<file path=customXml/itemProps22.xml><?xml version="1.0" encoding="utf-8"?>
<ds:datastoreItem xmlns:ds="http://schemas.openxmlformats.org/officeDocument/2006/customXml" ds:itemID="{2645BD98-F2E2-49AC-A418-6CB5A49B2C90}">
  <ds:schemaRefs>
    <ds:schemaRef ds:uri="http://schemas.openxmlformats.org/officeDocument/2006/bibliography"/>
  </ds:schemaRefs>
</ds:datastoreItem>
</file>

<file path=customXml/itemProps220.xml><?xml version="1.0" encoding="utf-8"?>
<ds:datastoreItem xmlns:ds="http://schemas.openxmlformats.org/officeDocument/2006/customXml" ds:itemID="{35C17A82-6FAE-41DD-A158-71EFB41E88D1}">
  <ds:schemaRefs>
    <ds:schemaRef ds:uri="http://schemas.openxmlformats.org/officeDocument/2006/bibliography"/>
  </ds:schemaRefs>
</ds:datastoreItem>
</file>

<file path=customXml/itemProps221.xml><?xml version="1.0" encoding="utf-8"?>
<ds:datastoreItem xmlns:ds="http://schemas.openxmlformats.org/officeDocument/2006/customXml" ds:itemID="{DE2955F9-EC68-4D6B-B95B-B3F148D60487}">
  <ds:schemaRefs>
    <ds:schemaRef ds:uri="http://schemas.openxmlformats.org/officeDocument/2006/bibliography"/>
  </ds:schemaRefs>
</ds:datastoreItem>
</file>

<file path=customXml/itemProps222.xml><?xml version="1.0" encoding="utf-8"?>
<ds:datastoreItem xmlns:ds="http://schemas.openxmlformats.org/officeDocument/2006/customXml" ds:itemID="{BAB81F0D-6ED1-42AB-BA0A-E868AED30DB1}">
  <ds:schemaRefs>
    <ds:schemaRef ds:uri="http://schemas.openxmlformats.org/officeDocument/2006/bibliography"/>
  </ds:schemaRefs>
</ds:datastoreItem>
</file>

<file path=customXml/itemProps223.xml><?xml version="1.0" encoding="utf-8"?>
<ds:datastoreItem xmlns:ds="http://schemas.openxmlformats.org/officeDocument/2006/customXml" ds:itemID="{206E47A3-5653-44D2-8930-F74DEB288A8C}">
  <ds:schemaRefs>
    <ds:schemaRef ds:uri="http://schemas.openxmlformats.org/officeDocument/2006/bibliography"/>
  </ds:schemaRefs>
</ds:datastoreItem>
</file>

<file path=customXml/itemProps224.xml><?xml version="1.0" encoding="utf-8"?>
<ds:datastoreItem xmlns:ds="http://schemas.openxmlformats.org/officeDocument/2006/customXml" ds:itemID="{A50292E3-E882-48B4-B46E-B275BA358D7D}">
  <ds:schemaRefs>
    <ds:schemaRef ds:uri="http://schemas.openxmlformats.org/officeDocument/2006/bibliography"/>
  </ds:schemaRefs>
</ds:datastoreItem>
</file>

<file path=customXml/itemProps225.xml><?xml version="1.0" encoding="utf-8"?>
<ds:datastoreItem xmlns:ds="http://schemas.openxmlformats.org/officeDocument/2006/customXml" ds:itemID="{D37AEC04-C794-4F42-B613-AC15AB8C0886}">
  <ds:schemaRefs>
    <ds:schemaRef ds:uri="http://schemas.openxmlformats.org/officeDocument/2006/bibliography"/>
  </ds:schemaRefs>
</ds:datastoreItem>
</file>

<file path=customXml/itemProps226.xml><?xml version="1.0" encoding="utf-8"?>
<ds:datastoreItem xmlns:ds="http://schemas.openxmlformats.org/officeDocument/2006/customXml" ds:itemID="{3C6B584F-6DB8-4BB5-8D4F-143EE1E779D7}">
  <ds:schemaRefs>
    <ds:schemaRef ds:uri="http://schemas.openxmlformats.org/officeDocument/2006/bibliography"/>
  </ds:schemaRefs>
</ds:datastoreItem>
</file>

<file path=customXml/itemProps227.xml><?xml version="1.0" encoding="utf-8"?>
<ds:datastoreItem xmlns:ds="http://schemas.openxmlformats.org/officeDocument/2006/customXml" ds:itemID="{2E5BE5C3-F3C7-42CC-99EC-AC6580EB3B09}">
  <ds:schemaRefs>
    <ds:schemaRef ds:uri="http://schemas.openxmlformats.org/officeDocument/2006/bibliography"/>
  </ds:schemaRefs>
</ds:datastoreItem>
</file>

<file path=customXml/itemProps228.xml><?xml version="1.0" encoding="utf-8"?>
<ds:datastoreItem xmlns:ds="http://schemas.openxmlformats.org/officeDocument/2006/customXml" ds:itemID="{8DF57CA7-B610-45D8-8028-B39ED88EC7AB}">
  <ds:schemaRefs>
    <ds:schemaRef ds:uri="http://schemas.openxmlformats.org/officeDocument/2006/bibliography"/>
  </ds:schemaRefs>
</ds:datastoreItem>
</file>

<file path=customXml/itemProps229.xml><?xml version="1.0" encoding="utf-8"?>
<ds:datastoreItem xmlns:ds="http://schemas.openxmlformats.org/officeDocument/2006/customXml" ds:itemID="{F28EDC5E-E9B3-4DDC-9662-DFBC878E4088}">
  <ds:schemaRefs>
    <ds:schemaRef ds:uri="http://schemas.openxmlformats.org/officeDocument/2006/bibliography"/>
  </ds:schemaRefs>
</ds:datastoreItem>
</file>

<file path=customXml/itemProps23.xml><?xml version="1.0" encoding="utf-8"?>
<ds:datastoreItem xmlns:ds="http://schemas.openxmlformats.org/officeDocument/2006/customXml" ds:itemID="{96DEFCF5-F2A1-4109-BD40-08CA0BB430A7}">
  <ds:schemaRefs>
    <ds:schemaRef ds:uri="http://schemas.openxmlformats.org/officeDocument/2006/bibliography"/>
  </ds:schemaRefs>
</ds:datastoreItem>
</file>

<file path=customXml/itemProps230.xml><?xml version="1.0" encoding="utf-8"?>
<ds:datastoreItem xmlns:ds="http://schemas.openxmlformats.org/officeDocument/2006/customXml" ds:itemID="{587ADE0B-88C0-4D54-B44B-B9DF7D880D00}">
  <ds:schemaRefs>
    <ds:schemaRef ds:uri="http://schemas.openxmlformats.org/officeDocument/2006/bibliography"/>
  </ds:schemaRefs>
</ds:datastoreItem>
</file>

<file path=customXml/itemProps231.xml><?xml version="1.0" encoding="utf-8"?>
<ds:datastoreItem xmlns:ds="http://schemas.openxmlformats.org/officeDocument/2006/customXml" ds:itemID="{7A9EC4D8-02F5-4245-9F8E-6913882EC65D}">
  <ds:schemaRefs>
    <ds:schemaRef ds:uri="http://schemas.openxmlformats.org/officeDocument/2006/bibliography"/>
  </ds:schemaRefs>
</ds:datastoreItem>
</file>

<file path=customXml/itemProps232.xml><?xml version="1.0" encoding="utf-8"?>
<ds:datastoreItem xmlns:ds="http://schemas.openxmlformats.org/officeDocument/2006/customXml" ds:itemID="{027CA427-7694-4152-A591-A53A30ADBECE}">
  <ds:schemaRefs>
    <ds:schemaRef ds:uri="http://schemas.openxmlformats.org/officeDocument/2006/bibliography"/>
  </ds:schemaRefs>
</ds:datastoreItem>
</file>

<file path=customXml/itemProps233.xml><?xml version="1.0" encoding="utf-8"?>
<ds:datastoreItem xmlns:ds="http://schemas.openxmlformats.org/officeDocument/2006/customXml" ds:itemID="{AF361162-8B45-4C3D-AF21-42B33DCE8A4F}">
  <ds:schemaRefs>
    <ds:schemaRef ds:uri="http://schemas.openxmlformats.org/officeDocument/2006/bibliography"/>
  </ds:schemaRefs>
</ds:datastoreItem>
</file>

<file path=customXml/itemProps234.xml><?xml version="1.0" encoding="utf-8"?>
<ds:datastoreItem xmlns:ds="http://schemas.openxmlformats.org/officeDocument/2006/customXml" ds:itemID="{D12A97A8-0C4E-450C-BB58-A32F7053A92C}">
  <ds:schemaRefs>
    <ds:schemaRef ds:uri="http://schemas.openxmlformats.org/officeDocument/2006/bibliography"/>
  </ds:schemaRefs>
</ds:datastoreItem>
</file>

<file path=customXml/itemProps235.xml><?xml version="1.0" encoding="utf-8"?>
<ds:datastoreItem xmlns:ds="http://schemas.openxmlformats.org/officeDocument/2006/customXml" ds:itemID="{5B6FFFBF-3F5D-4407-9A35-779A5876C851}">
  <ds:schemaRefs>
    <ds:schemaRef ds:uri="http://schemas.openxmlformats.org/officeDocument/2006/bibliography"/>
  </ds:schemaRefs>
</ds:datastoreItem>
</file>

<file path=customXml/itemProps236.xml><?xml version="1.0" encoding="utf-8"?>
<ds:datastoreItem xmlns:ds="http://schemas.openxmlformats.org/officeDocument/2006/customXml" ds:itemID="{2767A33F-BD4A-4B74-968C-25A3BC3795A4}">
  <ds:schemaRefs>
    <ds:schemaRef ds:uri="http://schemas.openxmlformats.org/officeDocument/2006/bibliography"/>
  </ds:schemaRefs>
</ds:datastoreItem>
</file>

<file path=customXml/itemProps237.xml><?xml version="1.0" encoding="utf-8"?>
<ds:datastoreItem xmlns:ds="http://schemas.openxmlformats.org/officeDocument/2006/customXml" ds:itemID="{40908564-9BFA-4C09-9C7A-88742565C960}">
  <ds:schemaRefs>
    <ds:schemaRef ds:uri="http://schemas.openxmlformats.org/officeDocument/2006/bibliography"/>
  </ds:schemaRefs>
</ds:datastoreItem>
</file>

<file path=customXml/itemProps238.xml><?xml version="1.0" encoding="utf-8"?>
<ds:datastoreItem xmlns:ds="http://schemas.openxmlformats.org/officeDocument/2006/customXml" ds:itemID="{34F64D60-764E-49EC-BBC8-6BFA2DC6F24E}">
  <ds:schemaRefs>
    <ds:schemaRef ds:uri="http://schemas.openxmlformats.org/officeDocument/2006/bibliography"/>
  </ds:schemaRefs>
</ds:datastoreItem>
</file>

<file path=customXml/itemProps239.xml><?xml version="1.0" encoding="utf-8"?>
<ds:datastoreItem xmlns:ds="http://schemas.openxmlformats.org/officeDocument/2006/customXml" ds:itemID="{CD636639-BDBA-4C0B-9AF3-FA8752DD8D74}">
  <ds:schemaRefs>
    <ds:schemaRef ds:uri="http://schemas.openxmlformats.org/officeDocument/2006/bibliography"/>
  </ds:schemaRefs>
</ds:datastoreItem>
</file>

<file path=customXml/itemProps24.xml><?xml version="1.0" encoding="utf-8"?>
<ds:datastoreItem xmlns:ds="http://schemas.openxmlformats.org/officeDocument/2006/customXml" ds:itemID="{9EF3688C-5B19-4E87-8BA1-05A1A1FAA36A}">
  <ds:schemaRefs>
    <ds:schemaRef ds:uri="http://schemas.openxmlformats.org/officeDocument/2006/bibliography"/>
  </ds:schemaRefs>
</ds:datastoreItem>
</file>

<file path=customXml/itemProps240.xml><?xml version="1.0" encoding="utf-8"?>
<ds:datastoreItem xmlns:ds="http://schemas.openxmlformats.org/officeDocument/2006/customXml" ds:itemID="{BA805240-E244-4110-8F0D-5418C501F2C4}">
  <ds:schemaRefs>
    <ds:schemaRef ds:uri="http://schemas.openxmlformats.org/officeDocument/2006/bibliography"/>
  </ds:schemaRefs>
</ds:datastoreItem>
</file>

<file path=customXml/itemProps241.xml><?xml version="1.0" encoding="utf-8"?>
<ds:datastoreItem xmlns:ds="http://schemas.openxmlformats.org/officeDocument/2006/customXml" ds:itemID="{09A626E3-381F-4AB8-BE52-78DA8BBED1FF}">
  <ds:schemaRefs>
    <ds:schemaRef ds:uri="http://schemas.openxmlformats.org/officeDocument/2006/bibliography"/>
  </ds:schemaRefs>
</ds:datastoreItem>
</file>

<file path=customXml/itemProps242.xml><?xml version="1.0" encoding="utf-8"?>
<ds:datastoreItem xmlns:ds="http://schemas.openxmlformats.org/officeDocument/2006/customXml" ds:itemID="{8EDE9379-8108-46FD-B71A-00CFD7A2C4D5}">
  <ds:schemaRefs>
    <ds:schemaRef ds:uri="http://schemas.openxmlformats.org/officeDocument/2006/bibliography"/>
  </ds:schemaRefs>
</ds:datastoreItem>
</file>

<file path=customXml/itemProps243.xml><?xml version="1.0" encoding="utf-8"?>
<ds:datastoreItem xmlns:ds="http://schemas.openxmlformats.org/officeDocument/2006/customXml" ds:itemID="{89229397-B1A1-4C44-B333-CB380BC62C6C}">
  <ds:schemaRefs>
    <ds:schemaRef ds:uri="http://schemas.openxmlformats.org/officeDocument/2006/bibliography"/>
  </ds:schemaRefs>
</ds:datastoreItem>
</file>

<file path=customXml/itemProps244.xml><?xml version="1.0" encoding="utf-8"?>
<ds:datastoreItem xmlns:ds="http://schemas.openxmlformats.org/officeDocument/2006/customXml" ds:itemID="{243920B6-A684-4D72-9379-FEA10F68EE08}">
  <ds:schemaRefs>
    <ds:schemaRef ds:uri="http://schemas.openxmlformats.org/officeDocument/2006/bibliography"/>
  </ds:schemaRefs>
</ds:datastoreItem>
</file>

<file path=customXml/itemProps245.xml><?xml version="1.0" encoding="utf-8"?>
<ds:datastoreItem xmlns:ds="http://schemas.openxmlformats.org/officeDocument/2006/customXml" ds:itemID="{E636930C-EE99-46BF-A7EA-73E2F2C50E48}">
  <ds:schemaRefs>
    <ds:schemaRef ds:uri="http://schemas.openxmlformats.org/officeDocument/2006/bibliography"/>
  </ds:schemaRefs>
</ds:datastoreItem>
</file>

<file path=customXml/itemProps246.xml><?xml version="1.0" encoding="utf-8"?>
<ds:datastoreItem xmlns:ds="http://schemas.openxmlformats.org/officeDocument/2006/customXml" ds:itemID="{3D5CE357-56DE-43C9-9332-CC3DBF9C9BAA}">
  <ds:schemaRefs>
    <ds:schemaRef ds:uri="http://schemas.openxmlformats.org/officeDocument/2006/bibliography"/>
  </ds:schemaRefs>
</ds:datastoreItem>
</file>

<file path=customXml/itemProps247.xml><?xml version="1.0" encoding="utf-8"?>
<ds:datastoreItem xmlns:ds="http://schemas.openxmlformats.org/officeDocument/2006/customXml" ds:itemID="{8A14F238-4A55-4F72-8FB3-EE3E8F05A574}">
  <ds:schemaRefs>
    <ds:schemaRef ds:uri="http://schemas.openxmlformats.org/officeDocument/2006/bibliography"/>
  </ds:schemaRefs>
</ds:datastoreItem>
</file>

<file path=customXml/itemProps248.xml><?xml version="1.0" encoding="utf-8"?>
<ds:datastoreItem xmlns:ds="http://schemas.openxmlformats.org/officeDocument/2006/customXml" ds:itemID="{D646FFB9-8F7E-49EB-8DEC-BF1B19594DDA}">
  <ds:schemaRefs>
    <ds:schemaRef ds:uri="http://schemas.openxmlformats.org/officeDocument/2006/bibliography"/>
  </ds:schemaRefs>
</ds:datastoreItem>
</file>

<file path=customXml/itemProps249.xml><?xml version="1.0" encoding="utf-8"?>
<ds:datastoreItem xmlns:ds="http://schemas.openxmlformats.org/officeDocument/2006/customXml" ds:itemID="{B3687A55-7FAE-4364-9DC1-251B41DD91A8}">
  <ds:schemaRefs>
    <ds:schemaRef ds:uri="http://schemas.openxmlformats.org/officeDocument/2006/bibliography"/>
  </ds:schemaRefs>
</ds:datastoreItem>
</file>

<file path=customXml/itemProps25.xml><?xml version="1.0" encoding="utf-8"?>
<ds:datastoreItem xmlns:ds="http://schemas.openxmlformats.org/officeDocument/2006/customXml" ds:itemID="{1FF3A245-0689-4B0E-A1D7-3C00F2072FEF}">
  <ds:schemaRefs>
    <ds:schemaRef ds:uri="http://schemas.openxmlformats.org/officeDocument/2006/bibliography"/>
  </ds:schemaRefs>
</ds:datastoreItem>
</file>

<file path=customXml/itemProps250.xml><?xml version="1.0" encoding="utf-8"?>
<ds:datastoreItem xmlns:ds="http://schemas.openxmlformats.org/officeDocument/2006/customXml" ds:itemID="{C3928B05-C032-4DE7-8A01-F2695C597712}">
  <ds:schemaRefs>
    <ds:schemaRef ds:uri="http://schemas.openxmlformats.org/officeDocument/2006/bibliography"/>
  </ds:schemaRefs>
</ds:datastoreItem>
</file>

<file path=customXml/itemProps251.xml><?xml version="1.0" encoding="utf-8"?>
<ds:datastoreItem xmlns:ds="http://schemas.openxmlformats.org/officeDocument/2006/customXml" ds:itemID="{4DE4FF2C-6605-4526-A1CD-D6F1DA530A13}">
  <ds:schemaRefs>
    <ds:schemaRef ds:uri="http://schemas.openxmlformats.org/officeDocument/2006/bibliography"/>
  </ds:schemaRefs>
</ds:datastoreItem>
</file>

<file path=customXml/itemProps252.xml><?xml version="1.0" encoding="utf-8"?>
<ds:datastoreItem xmlns:ds="http://schemas.openxmlformats.org/officeDocument/2006/customXml" ds:itemID="{404C2FA7-816B-4F28-A65E-DE5B662A167C}">
  <ds:schemaRefs>
    <ds:schemaRef ds:uri="http://schemas.openxmlformats.org/officeDocument/2006/bibliography"/>
  </ds:schemaRefs>
</ds:datastoreItem>
</file>

<file path=customXml/itemProps253.xml><?xml version="1.0" encoding="utf-8"?>
<ds:datastoreItem xmlns:ds="http://schemas.openxmlformats.org/officeDocument/2006/customXml" ds:itemID="{8E7CEAE6-D257-4307-934C-BDBBC8DDF672}">
  <ds:schemaRefs>
    <ds:schemaRef ds:uri="http://schemas.openxmlformats.org/officeDocument/2006/bibliography"/>
  </ds:schemaRefs>
</ds:datastoreItem>
</file>

<file path=customXml/itemProps254.xml><?xml version="1.0" encoding="utf-8"?>
<ds:datastoreItem xmlns:ds="http://schemas.openxmlformats.org/officeDocument/2006/customXml" ds:itemID="{B2C6F7D0-0A47-4A35-B3FE-556D47578B81}">
  <ds:schemaRefs>
    <ds:schemaRef ds:uri="http://schemas.openxmlformats.org/officeDocument/2006/bibliography"/>
  </ds:schemaRefs>
</ds:datastoreItem>
</file>

<file path=customXml/itemProps255.xml><?xml version="1.0" encoding="utf-8"?>
<ds:datastoreItem xmlns:ds="http://schemas.openxmlformats.org/officeDocument/2006/customXml" ds:itemID="{DC670648-6A9A-4A6F-90CB-0EA1591A4575}">
  <ds:schemaRefs>
    <ds:schemaRef ds:uri="http://schemas.openxmlformats.org/officeDocument/2006/bibliography"/>
  </ds:schemaRefs>
</ds:datastoreItem>
</file>

<file path=customXml/itemProps256.xml><?xml version="1.0" encoding="utf-8"?>
<ds:datastoreItem xmlns:ds="http://schemas.openxmlformats.org/officeDocument/2006/customXml" ds:itemID="{FBD775CB-D6E1-43C0-BEB9-653B7FA84684}">
  <ds:schemaRefs>
    <ds:schemaRef ds:uri="http://schemas.openxmlformats.org/officeDocument/2006/bibliography"/>
  </ds:schemaRefs>
</ds:datastoreItem>
</file>

<file path=customXml/itemProps257.xml><?xml version="1.0" encoding="utf-8"?>
<ds:datastoreItem xmlns:ds="http://schemas.openxmlformats.org/officeDocument/2006/customXml" ds:itemID="{8E548031-F7B6-4CB3-8492-7BF0DD5BBBA6}">
  <ds:schemaRefs>
    <ds:schemaRef ds:uri="http://schemas.openxmlformats.org/officeDocument/2006/bibliography"/>
  </ds:schemaRefs>
</ds:datastoreItem>
</file>

<file path=customXml/itemProps258.xml><?xml version="1.0" encoding="utf-8"?>
<ds:datastoreItem xmlns:ds="http://schemas.openxmlformats.org/officeDocument/2006/customXml" ds:itemID="{A914B7D3-6D9F-4933-8B47-FFBBCF66D8D8}">
  <ds:schemaRefs>
    <ds:schemaRef ds:uri="http://schemas.openxmlformats.org/officeDocument/2006/bibliography"/>
  </ds:schemaRefs>
</ds:datastoreItem>
</file>

<file path=customXml/itemProps259.xml><?xml version="1.0" encoding="utf-8"?>
<ds:datastoreItem xmlns:ds="http://schemas.openxmlformats.org/officeDocument/2006/customXml" ds:itemID="{7BA90B3D-499F-4453-B7A4-909286D00853}">
  <ds:schemaRefs>
    <ds:schemaRef ds:uri="http://schemas.openxmlformats.org/officeDocument/2006/bibliography"/>
  </ds:schemaRefs>
</ds:datastoreItem>
</file>

<file path=customXml/itemProps26.xml><?xml version="1.0" encoding="utf-8"?>
<ds:datastoreItem xmlns:ds="http://schemas.openxmlformats.org/officeDocument/2006/customXml" ds:itemID="{D9238D80-D38B-439A-AAE1-A17F955EB71C}">
  <ds:schemaRefs>
    <ds:schemaRef ds:uri="http://schemas.openxmlformats.org/officeDocument/2006/bibliography"/>
  </ds:schemaRefs>
</ds:datastoreItem>
</file>

<file path=customXml/itemProps260.xml><?xml version="1.0" encoding="utf-8"?>
<ds:datastoreItem xmlns:ds="http://schemas.openxmlformats.org/officeDocument/2006/customXml" ds:itemID="{C3976C63-38ED-4A7D-874D-C13DC8FDBDB0}">
  <ds:schemaRefs>
    <ds:schemaRef ds:uri="http://schemas.openxmlformats.org/officeDocument/2006/bibliography"/>
  </ds:schemaRefs>
</ds:datastoreItem>
</file>

<file path=customXml/itemProps261.xml><?xml version="1.0" encoding="utf-8"?>
<ds:datastoreItem xmlns:ds="http://schemas.openxmlformats.org/officeDocument/2006/customXml" ds:itemID="{F3494C04-A2C2-4409-BF53-CF4610FDA3CC}">
  <ds:schemaRefs>
    <ds:schemaRef ds:uri="http://schemas.openxmlformats.org/officeDocument/2006/bibliography"/>
  </ds:schemaRefs>
</ds:datastoreItem>
</file>

<file path=customXml/itemProps262.xml><?xml version="1.0" encoding="utf-8"?>
<ds:datastoreItem xmlns:ds="http://schemas.openxmlformats.org/officeDocument/2006/customXml" ds:itemID="{0D3DFD78-4A34-46B9-A7C8-89B218F1CD00}">
  <ds:schemaRefs>
    <ds:schemaRef ds:uri="http://schemas.openxmlformats.org/officeDocument/2006/bibliography"/>
  </ds:schemaRefs>
</ds:datastoreItem>
</file>

<file path=customXml/itemProps263.xml><?xml version="1.0" encoding="utf-8"?>
<ds:datastoreItem xmlns:ds="http://schemas.openxmlformats.org/officeDocument/2006/customXml" ds:itemID="{743D3171-177E-4649-A395-DF068C9E2629}">
  <ds:schemaRefs>
    <ds:schemaRef ds:uri="http://schemas.openxmlformats.org/officeDocument/2006/bibliography"/>
  </ds:schemaRefs>
</ds:datastoreItem>
</file>

<file path=customXml/itemProps264.xml><?xml version="1.0" encoding="utf-8"?>
<ds:datastoreItem xmlns:ds="http://schemas.openxmlformats.org/officeDocument/2006/customXml" ds:itemID="{16454B38-C979-47FF-817D-FB480938BE00}">
  <ds:schemaRefs>
    <ds:schemaRef ds:uri="http://schemas.openxmlformats.org/officeDocument/2006/bibliography"/>
  </ds:schemaRefs>
</ds:datastoreItem>
</file>

<file path=customXml/itemProps265.xml><?xml version="1.0" encoding="utf-8"?>
<ds:datastoreItem xmlns:ds="http://schemas.openxmlformats.org/officeDocument/2006/customXml" ds:itemID="{EDEC1F91-E27F-412F-8B6C-6D4BD498FA21}">
  <ds:schemaRefs>
    <ds:schemaRef ds:uri="http://schemas.openxmlformats.org/officeDocument/2006/bibliography"/>
  </ds:schemaRefs>
</ds:datastoreItem>
</file>

<file path=customXml/itemProps266.xml><?xml version="1.0" encoding="utf-8"?>
<ds:datastoreItem xmlns:ds="http://schemas.openxmlformats.org/officeDocument/2006/customXml" ds:itemID="{8E80E248-8E94-4440-8D82-C1D2E38DB13C}">
  <ds:schemaRefs>
    <ds:schemaRef ds:uri="http://schemas.openxmlformats.org/officeDocument/2006/bibliography"/>
  </ds:schemaRefs>
</ds:datastoreItem>
</file>

<file path=customXml/itemProps267.xml><?xml version="1.0" encoding="utf-8"?>
<ds:datastoreItem xmlns:ds="http://schemas.openxmlformats.org/officeDocument/2006/customXml" ds:itemID="{B75716FB-8769-4F7A-AD45-DF9108A9713D}">
  <ds:schemaRefs>
    <ds:schemaRef ds:uri="http://schemas.openxmlformats.org/officeDocument/2006/bibliography"/>
  </ds:schemaRefs>
</ds:datastoreItem>
</file>

<file path=customXml/itemProps268.xml><?xml version="1.0" encoding="utf-8"?>
<ds:datastoreItem xmlns:ds="http://schemas.openxmlformats.org/officeDocument/2006/customXml" ds:itemID="{1F3093D3-AA09-4064-88F3-5788A52C58F8}">
  <ds:schemaRefs>
    <ds:schemaRef ds:uri="http://schemas.openxmlformats.org/officeDocument/2006/bibliography"/>
  </ds:schemaRefs>
</ds:datastoreItem>
</file>

<file path=customXml/itemProps269.xml><?xml version="1.0" encoding="utf-8"?>
<ds:datastoreItem xmlns:ds="http://schemas.openxmlformats.org/officeDocument/2006/customXml" ds:itemID="{84C85AE8-E805-45DA-BA4B-A1AC5C3F46C2}">
  <ds:schemaRefs>
    <ds:schemaRef ds:uri="http://schemas.openxmlformats.org/officeDocument/2006/bibliography"/>
  </ds:schemaRefs>
</ds:datastoreItem>
</file>

<file path=customXml/itemProps27.xml><?xml version="1.0" encoding="utf-8"?>
<ds:datastoreItem xmlns:ds="http://schemas.openxmlformats.org/officeDocument/2006/customXml" ds:itemID="{AEB24859-02B9-4A5C-9891-8A757CF3BB5C}">
  <ds:schemaRefs>
    <ds:schemaRef ds:uri="http://schemas.openxmlformats.org/officeDocument/2006/bibliography"/>
  </ds:schemaRefs>
</ds:datastoreItem>
</file>

<file path=customXml/itemProps270.xml><?xml version="1.0" encoding="utf-8"?>
<ds:datastoreItem xmlns:ds="http://schemas.openxmlformats.org/officeDocument/2006/customXml" ds:itemID="{5FE112A6-D5C9-404A-A33B-51E3996C93EB}">
  <ds:schemaRefs>
    <ds:schemaRef ds:uri="http://schemas.openxmlformats.org/officeDocument/2006/bibliography"/>
  </ds:schemaRefs>
</ds:datastoreItem>
</file>

<file path=customXml/itemProps271.xml><?xml version="1.0" encoding="utf-8"?>
<ds:datastoreItem xmlns:ds="http://schemas.openxmlformats.org/officeDocument/2006/customXml" ds:itemID="{7B46CF31-1AB1-4DA6-AE3C-F52D0EC90B79}">
  <ds:schemaRefs>
    <ds:schemaRef ds:uri="http://schemas.openxmlformats.org/officeDocument/2006/bibliography"/>
  </ds:schemaRefs>
</ds:datastoreItem>
</file>

<file path=customXml/itemProps272.xml><?xml version="1.0" encoding="utf-8"?>
<ds:datastoreItem xmlns:ds="http://schemas.openxmlformats.org/officeDocument/2006/customXml" ds:itemID="{93E2AB5C-7CBE-43E0-A18B-A79884246393}">
  <ds:schemaRefs>
    <ds:schemaRef ds:uri="http://schemas.openxmlformats.org/officeDocument/2006/bibliography"/>
  </ds:schemaRefs>
</ds:datastoreItem>
</file>

<file path=customXml/itemProps273.xml><?xml version="1.0" encoding="utf-8"?>
<ds:datastoreItem xmlns:ds="http://schemas.openxmlformats.org/officeDocument/2006/customXml" ds:itemID="{B5C4EAA5-0638-4E37-96A2-F4D8C722AC7B}">
  <ds:schemaRefs>
    <ds:schemaRef ds:uri="http://schemas.openxmlformats.org/officeDocument/2006/bibliography"/>
  </ds:schemaRefs>
</ds:datastoreItem>
</file>

<file path=customXml/itemProps274.xml><?xml version="1.0" encoding="utf-8"?>
<ds:datastoreItem xmlns:ds="http://schemas.openxmlformats.org/officeDocument/2006/customXml" ds:itemID="{E0E0DD2C-6321-471E-804E-492B4AFF49EE}">
  <ds:schemaRefs>
    <ds:schemaRef ds:uri="http://schemas.openxmlformats.org/officeDocument/2006/bibliography"/>
  </ds:schemaRefs>
</ds:datastoreItem>
</file>

<file path=customXml/itemProps275.xml><?xml version="1.0" encoding="utf-8"?>
<ds:datastoreItem xmlns:ds="http://schemas.openxmlformats.org/officeDocument/2006/customXml" ds:itemID="{4D0D2DDE-F169-4BF6-8BFF-B1467F037BA6}">
  <ds:schemaRefs>
    <ds:schemaRef ds:uri="http://schemas.openxmlformats.org/officeDocument/2006/bibliography"/>
  </ds:schemaRefs>
</ds:datastoreItem>
</file>

<file path=customXml/itemProps276.xml><?xml version="1.0" encoding="utf-8"?>
<ds:datastoreItem xmlns:ds="http://schemas.openxmlformats.org/officeDocument/2006/customXml" ds:itemID="{C1269E9E-C96A-4F02-8E53-EFDD9AFC051A}">
  <ds:schemaRefs>
    <ds:schemaRef ds:uri="http://schemas.openxmlformats.org/officeDocument/2006/bibliography"/>
  </ds:schemaRefs>
</ds:datastoreItem>
</file>

<file path=customXml/itemProps277.xml><?xml version="1.0" encoding="utf-8"?>
<ds:datastoreItem xmlns:ds="http://schemas.openxmlformats.org/officeDocument/2006/customXml" ds:itemID="{826A1065-041C-4DC9-9E40-6204D10FC86E}">
  <ds:schemaRefs>
    <ds:schemaRef ds:uri="http://schemas.openxmlformats.org/officeDocument/2006/bibliography"/>
  </ds:schemaRefs>
</ds:datastoreItem>
</file>

<file path=customXml/itemProps278.xml><?xml version="1.0" encoding="utf-8"?>
<ds:datastoreItem xmlns:ds="http://schemas.openxmlformats.org/officeDocument/2006/customXml" ds:itemID="{16168C02-5D38-4FFD-9661-8C7BB6856DA2}">
  <ds:schemaRefs>
    <ds:schemaRef ds:uri="http://schemas.openxmlformats.org/officeDocument/2006/bibliography"/>
  </ds:schemaRefs>
</ds:datastoreItem>
</file>

<file path=customXml/itemProps279.xml><?xml version="1.0" encoding="utf-8"?>
<ds:datastoreItem xmlns:ds="http://schemas.openxmlformats.org/officeDocument/2006/customXml" ds:itemID="{1565AF0D-C956-44AF-B83C-152316C0CB12}">
  <ds:schemaRefs>
    <ds:schemaRef ds:uri="http://schemas.openxmlformats.org/officeDocument/2006/bibliography"/>
  </ds:schemaRefs>
</ds:datastoreItem>
</file>

<file path=customXml/itemProps28.xml><?xml version="1.0" encoding="utf-8"?>
<ds:datastoreItem xmlns:ds="http://schemas.openxmlformats.org/officeDocument/2006/customXml" ds:itemID="{15FA7E58-92E7-43FD-89C9-35F1EDA399AB}">
  <ds:schemaRefs>
    <ds:schemaRef ds:uri="http://schemas.openxmlformats.org/officeDocument/2006/bibliography"/>
  </ds:schemaRefs>
</ds:datastoreItem>
</file>

<file path=customXml/itemProps280.xml><?xml version="1.0" encoding="utf-8"?>
<ds:datastoreItem xmlns:ds="http://schemas.openxmlformats.org/officeDocument/2006/customXml" ds:itemID="{BE599FA3-A907-4D8B-BCDA-9F5DCF7AC4F0}">
  <ds:schemaRefs>
    <ds:schemaRef ds:uri="http://schemas.openxmlformats.org/officeDocument/2006/bibliography"/>
  </ds:schemaRefs>
</ds:datastoreItem>
</file>

<file path=customXml/itemProps281.xml><?xml version="1.0" encoding="utf-8"?>
<ds:datastoreItem xmlns:ds="http://schemas.openxmlformats.org/officeDocument/2006/customXml" ds:itemID="{9C2E89CE-51B2-41D3-9579-1AA0D69DEEED}">
  <ds:schemaRefs>
    <ds:schemaRef ds:uri="http://schemas.openxmlformats.org/officeDocument/2006/bibliography"/>
  </ds:schemaRefs>
</ds:datastoreItem>
</file>

<file path=customXml/itemProps282.xml><?xml version="1.0" encoding="utf-8"?>
<ds:datastoreItem xmlns:ds="http://schemas.openxmlformats.org/officeDocument/2006/customXml" ds:itemID="{4A067D5F-FBF5-47F0-AADB-373F1F4E9929}">
  <ds:schemaRefs>
    <ds:schemaRef ds:uri="http://schemas.openxmlformats.org/officeDocument/2006/bibliography"/>
  </ds:schemaRefs>
</ds:datastoreItem>
</file>

<file path=customXml/itemProps283.xml><?xml version="1.0" encoding="utf-8"?>
<ds:datastoreItem xmlns:ds="http://schemas.openxmlformats.org/officeDocument/2006/customXml" ds:itemID="{E70D9E75-A414-4FDF-AB95-777E873E6041}">
  <ds:schemaRefs>
    <ds:schemaRef ds:uri="http://schemas.openxmlformats.org/officeDocument/2006/bibliography"/>
  </ds:schemaRefs>
</ds:datastoreItem>
</file>

<file path=customXml/itemProps284.xml><?xml version="1.0" encoding="utf-8"?>
<ds:datastoreItem xmlns:ds="http://schemas.openxmlformats.org/officeDocument/2006/customXml" ds:itemID="{BE22FD07-5547-4939-AA36-2EC2281C6687}">
  <ds:schemaRefs>
    <ds:schemaRef ds:uri="http://schemas.openxmlformats.org/officeDocument/2006/bibliography"/>
  </ds:schemaRefs>
</ds:datastoreItem>
</file>

<file path=customXml/itemProps285.xml><?xml version="1.0" encoding="utf-8"?>
<ds:datastoreItem xmlns:ds="http://schemas.openxmlformats.org/officeDocument/2006/customXml" ds:itemID="{72FC4E8A-8FAA-466D-9CEC-C07D03AA4D97}">
  <ds:schemaRefs>
    <ds:schemaRef ds:uri="http://schemas.openxmlformats.org/officeDocument/2006/bibliography"/>
  </ds:schemaRefs>
</ds:datastoreItem>
</file>

<file path=customXml/itemProps286.xml><?xml version="1.0" encoding="utf-8"?>
<ds:datastoreItem xmlns:ds="http://schemas.openxmlformats.org/officeDocument/2006/customXml" ds:itemID="{DE00FB26-4AB8-4DE5-818B-4630E1A5EA90}">
  <ds:schemaRefs>
    <ds:schemaRef ds:uri="http://schemas.openxmlformats.org/officeDocument/2006/bibliography"/>
  </ds:schemaRefs>
</ds:datastoreItem>
</file>

<file path=customXml/itemProps287.xml><?xml version="1.0" encoding="utf-8"?>
<ds:datastoreItem xmlns:ds="http://schemas.openxmlformats.org/officeDocument/2006/customXml" ds:itemID="{D3A25FDE-1C83-41E6-A27F-7E73BE8E7468}">
  <ds:schemaRefs>
    <ds:schemaRef ds:uri="http://schemas.openxmlformats.org/officeDocument/2006/bibliography"/>
  </ds:schemaRefs>
</ds:datastoreItem>
</file>

<file path=customXml/itemProps288.xml><?xml version="1.0" encoding="utf-8"?>
<ds:datastoreItem xmlns:ds="http://schemas.openxmlformats.org/officeDocument/2006/customXml" ds:itemID="{E0FD7932-1423-45A4-922C-7506695275C9}">
  <ds:schemaRefs>
    <ds:schemaRef ds:uri="http://schemas.openxmlformats.org/officeDocument/2006/bibliography"/>
  </ds:schemaRefs>
</ds:datastoreItem>
</file>

<file path=customXml/itemProps289.xml><?xml version="1.0" encoding="utf-8"?>
<ds:datastoreItem xmlns:ds="http://schemas.openxmlformats.org/officeDocument/2006/customXml" ds:itemID="{050EA3E5-E977-4AC3-BF3A-9813059F8CD8}">
  <ds:schemaRefs>
    <ds:schemaRef ds:uri="http://schemas.openxmlformats.org/officeDocument/2006/bibliography"/>
  </ds:schemaRefs>
</ds:datastoreItem>
</file>

<file path=customXml/itemProps29.xml><?xml version="1.0" encoding="utf-8"?>
<ds:datastoreItem xmlns:ds="http://schemas.openxmlformats.org/officeDocument/2006/customXml" ds:itemID="{389CD623-CD71-4C1F-9976-F9411B1B0346}">
  <ds:schemaRefs>
    <ds:schemaRef ds:uri="http://schemas.openxmlformats.org/officeDocument/2006/bibliography"/>
  </ds:schemaRefs>
</ds:datastoreItem>
</file>

<file path=customXml/itemProps290.xml><?xml version="1.0" encoding="utf-8"?>
<ds:datastoreItem xmlns:ds="http://schemas.openxmlformats.org/officeDocument/2006/customXml" ds:itemID="{F75605E7-FF49-4A3D-A29A-B542A817045E}">
  <ds:schemaRefs>
    <ds:schemaRef ds:uri="http://schemas.openxmlformats.org/officeDocument/2006/bibliography"/>
  </ds:schemaRefs>
</ds:datastoreItem>
</file>

<file path=customXml/itemProps291.xml><?xml version="1.0" encoding="utf-8"?>
<ds:datastoreItem xmlns:ds="http://schemas.openxmlformats.org/officeDocument/2006/customXml" ds:itemID="{1E1D3C17-4A97-48D6-B452-62E877EA4D6B}">
  <ds:schemaRefs>
    <ds:schemaRef ds:uri="http://schemas.openxmlformats.org/officeDocument/2006/bibliography"/>
  </ds:schemaRefs>
</ds:datastoreItem>
</file>

<file path=customXml/itemProps292.xml><?xml version="1.0" encoding="utf-8"?>
<ds:datastoreItem xmlns:ds="http://schemas.openxmlformats.org/officeDocument/2006/customXml" ds:itemID="{C305964B-F90B-48B5-9DB6-FFB6D351BBD3}">
  <ds:schemaRefs>
    <ds:schemaRef ds:uri="http://schemas.openxmlformats.org/officeDocument/2006/bibliography"/>
  </ds:schemaRefs>
</ds:datastoreItem>
</file>

<file path=customXml/itemProps293.xml><?xml version="1.0" encoding="utf-8"?>
<ds:datastoreItem xmlns:ds="http://schemas.openxmlformats.org/officeDocument/2006/customXml" ds:itemID="{BB5F2C98-316F-4A14-95BF-34ADD5FC6AC4}">
  <ds:schemaRefs>
    <ds:schemaRef ds:uri="http://schemas.openxmlformats.org/officeDocument/2006/bibliography"/>
  </ds:schemaRefs>
</ds:datastoreItem>
</file>

<file path=customXml/itemProps294.xml><?xml version="1.0" encoding="utf-8"?>
<ds:datastoreItem xmlns:ds="http://schemas.openxmlformats.org/officeDocument/2006/customXml" ds:itemID="{617A0AEB-7ED6-4096-B0DE-D1C79E1615DB}">
  <ds:schemaRefs>
    <ds:schemaRef ds:uri="http://schemas.openxmlformats.org/officeDocument/2006/bibliography"/>
  </ds:schemaRefs>
</ds:datastoreItem>
</file>

<file path=customXml/itemProps295.xml><?xml version="1.0" encoding="utf-8"?>
<ds:datastoreItem xmlns:ds="http://schemas.openxmlformats.org/officeDocument/2006/customXml" ds:itemID="{666AABF2-7A98-4471-ABE5-7B9E7CD89633}">
  <ds:schemaRefs>
    <ds:schemaRef ds:uri="http://schemas.openxmlformats.org/officeDocument/2006/bibliography"/>
  </ds:schemaRefs>
</ds:datastoreItem>
</file>

<file path=customXml/itemProps296.xml><?xml version="1.0" encoding="utf-8"?>
<ds:datastoreItem xmlns:ds="http://schemas.openxmlformats.org/officeDocument/2006/customXml" ds:itemID="{F425E2A0-FCE9-4CD3-9823-41D3BD8DFB26}">
  <ds:schemaRefs>
    <ds:schemaRef ds:uri="http://schemas.openxmlformats.org/officeDocument/2006/bibliography"/>
  </ds:schemaRefs>
</ds:datastoreItem>
</file>

<file path=customXml/itemProps297.xml><?xml version="1.0" encoding="utf-8"?>
<ds:datastoreItem xmlns:ds="http://schemas.openxmlformats.org/officeDocument/2006/customXml" ds:itemID="{689787A0-2144-4AD7-9084-777BDC25ED20}">
  <ds:schemaRefs>
    <ds:schemaRef ds:uri="http://schemas.openxmlformats.org/officeDocument/2006/bibliography"/>
  </ds:schemaRefs>
</ds:datastoreItem>
</file>

<file path=customXml/itemProps298.xml><?xml version="1.0" encoding="utf-8"?>
<ds:datastoreItem xmlns:ds="http://schemas.openxmlformats.org/officeDocument/2006/customXml" ds:itemID="{7A0AC3A3-E4F9-4DCE-BAD8-21664C24EE86}">
  <ds:schemaRefs>
    <ds:schemaRef ds:uri="http://schemas.openxmlformats.org/officeDocument/2006/bibliography"/>
  </ds:schemaRefs>
</ds:datastoreItem>
</file>

<file path=customXml/itemProps299.xml><?xml version="1.0" encoding="utf-8"?>
<ds:datastoreItem xmlns:ds="http://schemas.openxmlformats.org/officeDocument/2006/customXml" ds:itemID="{25D643B2-3142-45B5-818F-E37BF4221E93}">
  <ds:schemaRefs>
    <ds:schemaRef ds:uri="http://schemas.openxmlformats.org/officeDocument/2006/bibliography"/>
  </ds:schemaRefs>
</ds:datastoreItem>
</file>

<file path=customXml/itemProps3.xml><?xml version="1.0" encoding="utf-8"?>
<ds:datastoreItem xmlns:ds="http://schemas.openxmlformats.org/officeDocument/2006/customXml" ds:itemID="{433FE33D-1219-48B7-9E45-B9D34AAB42C9}">
  <ds:schemaRefs>
    <ds:schemaRef ds:uri="http://schemas.openxmlformats.org/officeDocument/2006/bibliography"/>
  </ds:schemaRefs>
</ds:datastoreItem>
</file>

<file path=customXml/itemProps30.xml><?xml version="1.0" encoding="utf-8"?>
<ds:datastoreItem xmlns:ds="http://schemas.openxmlformats.org/officeDocument/2006/customXml" ds:itemID="{417E8596-2DF6-4F43-B921-C45C8B30BF1B}">
  <ds:schemaRefs>
    <ds:schemaRef ds:uri="http://schemas.openxmlformats.org/officeDocument/2006/bibliography"/>
  </ds:schemaRefs>
</ds:datastoreItem>
</file>

<file path=customXml/itemProps300.xml><?xml version="1.0" encoding="utf-8"?>
<ds:datastoreItem xmlns:ds="http://schemas.openxmlformats.org/officeDocument/2006/customXml" ds:itemID="{50178549-3909-46C4-A5A7-0C8D3D95C799}">
  <ds:schemaRefs>
    <ds:schemaRef ds:uri="http://schemas.openxmlformats.org/officeDocument/2006/bibliography"/>
  </ds:schemaRefs>
</ds:datastoreItem>
</file>

<file path=customXml/itemProps301.xml><?xml version="1.0" encoding="utf-8"?>
<ds:datastoreItem xmlns:ds="http://schemas.openxmlformats.org/officeDocument/2006/customXml" ds:itemID="{180ED420-FD9B-4ECA-AE58-FC315B5585B9}">
  <ds:schemaRefs>
    <ds:schemaRef ds:uri="http://schemas.openxmlformats.org/officeDocument/2006/bibliography"/>
  </ds:schemaRefs>
</ds:datastoreItem>
</file>

<file path=customXml/itemProps302.xml><?xml version="1.0" encoding="utf-8"?>
<ds:datastoreItem xmlns:ds="http://schemas.openxmlformats.org/officeDocument/2006/customXml" ds:itemID="{DBCC7873-9586-4B30-A547-88EE9B91B8A7}">
  <ds:schemaRefs>
    <ds:schemaRef ds:uri="ba6694bc-41ce-4342-b796-40763f2f143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db11f1a-a6b6-4210-842b-ac5ed3abb301"/>
    <ds:schemaRef ds:uri="http://www.w3.org/XML/1998/namespace"/>
    <ds:schemaRef ds:uri="http://purl.org/dc/dcmitype/"/>
  </ds:schemaRefs>
</ds:datastoreItem>
</file>

<file path=customXml/itemProps303.xml><?xml version="1.0" encoding="utf-8"?>
<ds:datastoreItem xmlns:ds="http://schemas.openxmlformats.org/officeDocument/2006/customXml" ds:itemID="{EDB9D7ED-7620-4FF5-9334-E06EAEFA2C78}">
  <ds:schemaRefs>
    <ds:schemaRef ds:uri="http://schemas.openxmlformats.org/officeDocument/2006/bibliography"/>
  </ds:schemaRefs>
</ds:datastoreItem>
</file>

<file path=customXml/itemProps304.xml><?xml version="1.0" encoding="utf-8"?>
<ds:datastoreItem xmlns:ds="http://schemas.openxmlformats.org/officeDocument/2006/customXml" ds:itemID="{2BC40C5E-1FB9-45B5-B58C-C2AA07A8D533}">
  <ds:schemaRefs>
    <ds:schemaRef ds:uri="http://schemas.openxmlformats.org/officeDocument/2006/bibliography"/>
  </ds:schemaRefs>
</ds:datastoreItem>
</file>

<file path=customXml/itemProps305.xml><?xml version="1.0" encoding="utf-8"?>
<ds:datastoreItem xmlns:ds="http://schemas.openxmlformats.org/officeDocument/2006/customXml" ds:itemID="{1A47E405-E876-4108-8BC6-703A46706A0C}">
  <ds:schemaRefs>
    <ds:schemaRef ds:uri="http://schemas.openxmlformats.org/officeDocument/2006/bibliography"/>
  </ds:schemaRefs>
</ds:datastoreItem>
</file>

<file path=customXml/itemProps306.xml><?xml version="1.0" encoding="utf-8"?>
<ds:datastoreItem xmlns:ds="http://schemas.openxmlformats.org/officeDocument/2006/customXml" ds:itemID="{66C9EED8-1899-403E-B316-46C17F60F8CB}">
  <ds:schemaRefs>
    <ds:schemaRef ds:uri="http://schemas.openxmlformats.org/officeDocument/2006/bibliography"/>
  </ds:schemaRefs>
</ds:datastoreItem>
</file>

<file path=customXml/itemProps307.xml><?xml version="1.0" encoding="utf-8"?>
<ds:datastoreItem xmlns:ds="http://schemas.openxmlformats.org/officeDocument/2006/customXml" ds:itemID="{A46B4780-417A-43C4-819E-6E175D136BE7}">
  <ds:schemaRefs>
    <ds:schemaRef ds:uri="http://schemas.openxmlformats.org/officeDocument/2006/bibliography"/>
  </ds:schemaRefs>
</ds:datastoreItem>
</file>

<file path=customXml/itemProps308.xml><?xml version="1.0" encoding="utf-8"?>
<ds:datastoreItem xmlns:ds="http://schemas.openxmlformats.org/officeDocument/2006/customXml" ds:itemID="{C738287E-DE73-4DA7-8034-0EFC8598F331}">
  <ds:schemaRefs>
    <ds:schemaRef ds:uri="http://schemas.openxmlformats.org/officeDocument/2006/bibliography"/>
  </ds:schemaRefs>
</ds:datastoreItem>
</file>

<file path=customXml/itemProps309.xml><?xml version="1.0" encoding="utf-8"?>
<ds:datastoreItem xmlns:ds="http://schemas.openxmlformats.org/officeDocument/2006/customXml" ds:itemID="{E20A1591-D074-40AE-ADE7-800A487F5958}">
  <ds:schemaRefs>
    <ds:schemaRef ds:uri="http://schemas.openxmlformats.org/officeDocument/2006/bibliography"/>
  </ds:schemaRefs>
</ds:datastoreItem>
</file>

<file path=customXml/itemProps31.xml><?xml version="1.0" encoding="utf-8"?>
<ds:datastoreItem xmlns:ds="http://schemas.openxmlformats.org/officeDocument/2006/customXml" ds:itemID="{9D8035C8-1C20-4F2C-BDFB-2BE30F42A16F}">
  <ds:schemaRefs>
    <ds:schemaRef ds:uri="http://schemas.openxmlformats.org/officeDocument/2006/bibliography"/>
  </ds:schemaRefs>
</ds:datastoreItem>
</file>

<file path=customXml/itemProps310.xml><?xml version="1.0" encoding="utf-8"?>
<ds:datastoreItem xmlns:ds="http://schemas.openxmlformats.org/officeDocument/2006/customXml" ds:itemID="{D6B825AE-D23B-4A76-9F36-DA486460D4D4}">
  <ds:schemaRefs>
    <ds:schemaRef ds:uri="http://schemas.openxmlformats.org/officeDocument/2006/bibliography"/>
  </ds:schemaRefs>
</ds:datastoreItem>
</file>

<file path=customXml/itemProps311.xml><?xml version="1.0" encoding="utf-8"?>
<ds:datastoreItem xmlns:ds="http://schemas.openxmlformats.org/officeDocument/2006/customXml" ds:itemID="{3FFBD6BB-8054-4869-A78D-58D2869DA618}">
  <ds:schemaRefs>
    <ds:schemaRef ds:uri="http://schemas.openxmlformats.org/officeDocument/2006/bibliography"/>
  </ds:schemaRefs>
</ds:datastoreItem>
</file>

<file path=customXml/itemProps312.xml><?xml version="1.0" encoding="utf-8"?>
<ds:datastoreItem xmlns:ds="http://schemas.openxmlformats.org/officeDocument/2006/customXml" ds:itemID="{0C2C066A-EEAD-45B8-8EAD-08B411B08FDC}">
  <ds:schemaRefs>
    <ds:schemaRef ds:uri="http://schemas.openxmlformats.org/officeDocument/2006/bibliography"/>
  </ds:schemaRefs>
</ds:datastoreItem>
</file>

<file path=customXml/itemProps313.xml><?xml version="1.0" encoding="utf-8"?>
<ds:datastoreItem xmlns:ds="http://schemas.openxmlformats.org/officeDocument/2006/customXml" ds:itemID="{134C95B0-83F9-4DDC-B58A-2F66F0FB1899}">
  <ds:schemaRefs>
    <ds:schemaRef ds:uri="http://schemas.openxmlformats.org/officeDocument/2006/bibliography"/>
  </ds:schemaRefs>
</ds:datastoreItem>
</file>

<file path=customXml/itemProps314.xml><?xml version="1.0" encoding="utf-8"?>
<ds:datastoreItem xmlns:ds="http://schemas.openxmlformats.org/officeDocument/2006/customXml" ds:itemID="{7383E09E-2A28-4F9F-9656-90B666CD6B76}">
  <ds:schemaRefs>
    <ds:schemaRef ds:uri="http://schemas.openxmlformats.org/officeDocument/2006/bibliography"/>
  </ds:schemaRefs>
</ds:datastoreItem>
</file>

<file path=customXml/itemProps315.xml><?xml version="1.0" encoding="utf-8"?>
<ds:datastoreItem xmlns:ds="http://schemas.openxmlformats.org/officeDocument/2006/customXml" ds:itemID="{29B3F555-B661-42CE-BA74-A10CC2A05FCF}">
  <ds:schemaRefs>
    <ds:schemaRef ds:uri="http://schemas.openxmlformats.org/officeDocument/2006/bibliography"/>
  </ds:schemaRefs>
</ds:datastoreItem>
</file>

<file path=customXml/itemProps316.xml><?xml version="1.0" encoding="utf-8"?>
<ds:datastoreItem xmlns:ds="http://schemas.openxmlformats.org/officeDocument/2006/customXml" ds:itemID="{FD54DB76-5C56-4321-AF95-05C2ADECD4C0}">
  <ds:schemaRefs>
    <ds:schemaRef ds:uri="http://schemas.openxmlformats.org/officeDocument/2006/bibliography"/>
  </ds:schemaRefs>
</ds:datastoreItem>
</file>

<file path=customXml/itemProps317.xml><?xml version="1.0" encoding="utf-8"?>
<ds:datastoreItem xmlns:ds="http://schemas.openxmlformats.org/officeDocument/2006/customXml" ds:itemID="{0CC60E77-34E6-4B22-8DC9-FE022F28840E}">
  <ds:schemaRefs>
    <ds:schemaRef ds:uri="http://schemas.openxmlformats.org/officeDocument/2006/bibliography"/>
  </ds:schemaRefs>
</ds:datastoreItem>
</file>

<file path=customXml/itemProps318.xml><?xml version="1.0" encoding="utf-8"?>
<ds:datastoreItem xmlns:ds="http://schemas.openxmlformats.org/officeDocument/2006/customXml" ds:itemID="{D5C559BF-ECBE-40D1-9A60-14A26B9C91F3}">
  <ds:schemaRefs>
    <ds:schemaRef ds:uri="http://schemas.openxmlformats.org/officeDocument/2006/bibliography"/>
  </ds:schemaRefs>
</ds:datastoreItem>
</file>

<file path=customXml/itemProps319.xml><?xml version="1.0" encoding="utf-8"?>
<ds:datastoreItem xmlns:ds="http://schemas.openxmlformats.org/officeDocument/2006/customXml" ds:itemID="{C94F2684-3E85-45FF-992F-FB1F38488D04}">
  <ds:schemaRefs>
    <ds:schemaRef ds:uri="http://schemas.openxmlformats.org/officeDocument/2006/bibliography"/>
  </ds:schemaRefs>
</ds:datastoreItem>
</file>

<file path=customXml/itemProps32.xml><?xml version="1.0" encoding="utf-8"?>
<ds:datastoreItem xmlns:ds="http://schemas.openxmlformats.org/officeDocument/2006/customXml" ds:itemID="{4FB4BBDF-1869-46B8-A221-7F008D55D2B3}">
  <ds:schemaRefs>
    <ds:schemaRef ds:uri="http://schemas.openxmlformats.org/officeDocument/2006/bibliography"/>
  </ds:schemaRefs>
</ds:datastoreItem>
</file>

<file path=customXml/itemProps320.xml><?xml version="1.0" encoding="utf-8"?>
<ds:datastoreItem xmlns:ds="http://schemas.openxmlformats.org/officeDocument/2006/customXml" ds:itemID="{74BD8B7C-B376-4BEC-A53A-30F1EA89FC39}">
  <ds:schemaRefs>
    <ds:schemaRef ds:uri="http://schemas.openxmlformats.org/officeDocument/2006/bibliography"/>
  </ds:schemaRefs>
</ds:datastoreItem>
</file>

<file path=customXml/itemProps321.xml><?xml version="1.0" encoding="utf-8"?>
<ds:datastoreItem xmlns:ds="http://schemas.openxmlformats.org/officeDocument/2006/customXml" ds:itemID="{A598F8C8-D176-4DE5-9039-A6086AA0E6FD}">
  <ds:schemaRefs>
    <ds:schemaRef ds:uri="http://schemas.openxmlformats.org/officeDocument/2006/bibliography"/>
  </ds:schemaRefs>
</ds:datastoreItem>
</file>

<file path=customXml/itemProps322.xml><?xml version="1.0" encoding="utf-8"?>
<ds:datastoreItem xmlns:ds="http://schemas.openxmlformats.org/officeDocument/2006/customXml" ds:itemID="{D750C83F-77C4-4CB6-A0B4-2E8BD7480F11}">
  <ds:schemaRefs>
    <ds:schemaRef ds:uri="http://schemas.openxmlformats.org/officeDocument/2006/bibliography"/>
  </ds:schemaRefs>
</ds:datastoreItem>
</file>

<file path=customXml/itemProps323.xml><?xml version="1.0" encoding="utf-8"?>
<ds:datastoreItem xmlns:ds="http://schemas.openxmlformats.org/officeDocument/2006/customXml" ds:itemID="{B054F035-F767-436C-924A-9946DEA51DF0}">
  <ds:schemaRefs>
    <ds:schemaRef ds:uri="http://schemas.openxmlformats.org/officeDocument/2006/bibliography"/>
  </ds:schemaRefs>
</ds:datastoreItem>
</file>

<file path=customXml/itemProps324.xml><?xml version="1.0" encoding="utf-8"?>
<ds:datastoreItem xmlns:ds="http://schemas.openxmlformats.org/officeDocument/2006/customXml" ds:itemID="{97C62CB4-C41C-4E4E-A284-2F9852BD5D59}">
  <ds:schemaRefs>
    <ds:schemaRef ds:uri="http://schemas.openxmlformats.org/officeDocument/2006/bibliography"/>
  </ds:schemaRefs>
</ds:datastoreItem>
</file>

<file path=customXml/itemProps325.xml><?xml version="1.0" encoding="utf-8"?>
<ds:datastoreItem xmlns:ds="http://schemas.openxmlformats.org/officeDocument/2006/customXml" ds:itemID="{452767CA-B30E-4B66-B9DF-E3F9BF9BB374}">
  <ds:schemaRefs>
    <ds:schemaRef ds:uri="http://schemas.openxmlformats.org/officeDocument/2006/bibliography"/>
  </ds:schemaRefs>
</ds:datastoreItem>
</file>

<file path=customXml/itemProps326.xml><?xml version="1.0" encoding="utf-8"?>
<ds:datastoreItem xmlns:ds="http://schemas.openxmlformats.org/officeDocument/2006/customXml" ds:itemID="{59B908E6-1F3D-42C1-9552-E8C6621C7C2C}">
  <ds:schemaRefs>
    <ds:schemaRef ds:uri="http://schemas.openxmlformats.org/officeDocument/2006/bibliography"/>
  </ds:schemaRefs>
</ds:datastoreItem>
</file>

<file path=customXml/itemProps327.xml><?xml version="1.0" encoding="utf-8"?>
<ds:datastoreItem xmlns:ds="http://schemas.openxmlformats.org/officeDocument/2006/customXml" ds:itemID="{8AECB647-3E82-40A0-ADF8-283FCE5C221F}">
  <ds:schemaRefs>
    <ds:schemaRef ds:uri="http://schemas.openxmlformats.org/officeDocument/2006/bibliography"/>
  </ds:schemaRefs>
</ds:datastoreItem>
</file>

<file path=customXml/itemProps328.xml><?xml version="1.0" encoding="utf-8"?>
<ds:datastoreItem xmlns:ds="http://schemas.openxmlformats.org/officeDocument/2006/customXml" ds:itemID="{B6C34899-FCF1-4E10-881A-682EA0B9F4DD}">
  <ds:schemaRefs>
    <ds:schemaRef ds:uri="http://schemas.openxmlformats.org/officeDocument/2006/bibliography"/>
  </ds:schemaRefs>
</ds:datastoreItem>
</file>

<file path=customXml/itemProps329.xml><?xml version="1.0" encoding="utf-8"?>
<ds:datastoreItem xmlns:ds="http://schemas.openxmlformats.org/officeDocument/2006/customXml" ds:itemID="{71BF6D38-814E-4F3B-906B-D196BCA384F9}">
  <ds:schemaRefs>
    <ds:schemaRef ds:uri="http://schemas.openxmlformats.org/officeDocument/2006/bibliography"/>
  </ds:schemaRefs>
</ds:datastoreItem>
</file>

<file path=customXml/itemProps33.xml><?xml version="1.0" encoding="utf-8"?>
<ds:datastoreItem xmlns:ds="http://schemas.openxmlformats.org/officeDocument/2006/customXml" ds:itemID="{0F94CD5A-5577-419B-885D-A4565311236E}">
  <ds:schemaRefs>
    <ds:schemaRef ds:uri="http://schemas.openxmlformats.org/officeDocument/2006/bibliography"/>
  </ds:schemaRefs>
</ds:datastoreItem>
</file>

<file path=customXml/itemProps330.xml><?xml version="1.0" encoding="utf-8"?>
<ds:datastoreItem xmlns:ds="http://schemas.openxmlformats.org/officeDocument/2006/customXml" ds:itemID="{076C22DF-BE28-40E4-B83E-B27392EFC88E}">
  <ds:schemaRefs>
    <ds:schemaRef ds:uri="http://schemas.openxmlformats.org/officeDocument/2006/bibliography"/>
  </ds:schemaRefs>
</ds:datastoreItem>
</file>

<file path=customXml/itemProps331.xml><?xml version="1.0" encoding="utf-8"?>
<ds:datastoreItem xmlns:ds="http://schemas.openxmlformats.org/officeDocument/2006/customXml" ds:itemID="{517E2574-0F02-4CD5-B4F5-AD88161D23D8}">
  <ds:schemaRefs>
    <ds:schemaRef ds:uri="http://schemas.openxmlformats.org/officeDocument/2006/bibliography"/>
  </ds:schemaRefs>
</ds:datastoreItem>
</file>

<file path=customXml/itemProps332.xml><?xml version="1.0" encoding="utf-8"?>
<ds:datastoreItem xmlns:ds="http://schemas.openxmlformats.org/officeDocument/2006/customXml" ds:itemID="{F7323B1C-2B32-4DD7-9002-902C4ABF71E3}">
  <ds:schemaRefs>
    <ds:schemaRef ds:uri="http://schemas.openxmlformats.org/officeDocument/2006/bibliography"/>
  </ds:schemaRefs>
</ds:datastoreItem>
</file>

<file path=customXml/itemProps333.xml><?xml version="1.0" encoding="utf-8"?>
<ds:datastoreItem xmlns:ds="http://schemas.openxmlformats.org/officeDocument/2006/customXml" ds:itemID="{82442E59-CF79-4318-B015-8847CD6CD3EF}">
  <ds:schemaRefs>
    <ds:schemaRef ds:uri="http://schemas.openxmlformats.org/officeDocument/2006/bibliography"/>
  </ds:schemaRefs>
</ds:datastoreItem>
</file>

<file path=customXml/itemProps34.xml><?xml version="1.0" encoding="utf-8"?>
<ds:datastoreItem xmlns:ds="http://schemas.openxmlformats.org/officeDocument/2006/customXml" ds:itemID="{3A786A14-B3D8-45C3-8B25-978EFC4F625F}">
  <ds:schemaRefs>
    <ds:schemaRef ds:uri="http://schemas.openxmlformats.org/officeDocument/2006/bibliography"/>
  </ds:schemaRefs>
</ds:datastoreItem>
</file>

<file path=customXml/itemProps35.xml><?xml version="1.0" encoding="utf-8"?>
<ds:datastoreItem xmlns:ds="http://schemas.openxmlformats.org/officeDocument/2006/customXml" ds:itemID="{1DFE077B-FB50-433E-9617-729BA13F8474}">
  <ds:schemaRefs>
    <ds:schemaRef ds:uri="http://schemas.openxmlformats.org/officeDocument/2006/bibliography"/>
  </ds:schemaRefs>
</ds:datastoreItem>
</file>

<file path=customXml/itemProps36.xml><?xml version="1.0" encoding="utf-8"?>
<ds:datastoreItem xmlns:ds="http://schemas.openxmlformats.org/officeDocument/2006/customXml" ds:itemID="{37AC12AB-DCCC-40E0-BC0F-414966E5CD6B}">
  <ds:schemaRefs>
    <ds:schemaRef ds:uri="http://schemas.openxmlformats.org/officeDocument/2006/bibliography"/>
  </ds:schemaRefs>
</ds:datastoreItem>
</file>

<file path=customXml/itemProps37.xml><?xml version="1.0" encoding="utf-8"?>
<ds:datastoreItem xmlns:ds="http://schemas.openxmlformats.org/officeDocument/2006/customXml" ds:itemID="{B87D5037-FB4E-4981-9960-B1F050058A1B}">
  <ds:schemaRefs>
    <ds:schemaRef ds:uri="http://schemas.openxmlformats.org/officeDocument/2006/bibliography"/>
  </ds:schemaRefs>
</ds:datastoreItem>
</file>

<file path=customXml/itemProps38.xml><?xml version="1.0" encoding="utf-8"?>
<ds:datastoreItem xmlns:ds="http://schemas.openxmlformats.org/officeDocument/2006/customXml" ds:itemID="{D05B5446-8C14-413A-BEC2-FBD71C43784C}">
  <ds:schemaRefs>
    <ds:schemaRef ds:uri="http://schemas.openxmlformats.org/officeDocument/2006/bibliography"/>
  </ds:schemaRefs>
</ds:datastoreItem>
</file>

<file path=customXml/itemProps39.xml><?xml version="1.0" encoding="utf-8"?>
<ds:datastoreItem xmlns:ds="http://schemas.openxmlformats.org/officeDocument/2006/customXml" ds:itemID="{F5B5BAB8-9155-4269-A94E-25791929E2EC}">
  <ds:schemaRefs>
    <ds:schemaRef ds:uri="http://schemas.openxmlformats.org/officeDocument/2006/bibliography"/>
  </ds:schemaRefs>
</ds:datastoreItem>
</file>

<file path=customXml/itemProps4.xml><?xml version="1.0" encoding="utf-8"?>
<ds:datastoreItem xmlns:ds="http://schemas.openxmlformats.org/officeDocument/2006/customXml" ds:itemID="{CB2E863E-53B0-4D28-8415-994C3B273FAF}">
  <ds:schemaRefs>
    <ds:schemaRef ds:uri="http://schemas.openxmlformats.org/officeDocument/2006/bibliography"/>
  </ds:schemaRefs>
</ds:datastoreItem>
</file>

<file path=customXml/itemProps40.xml><?xml version="1.0" encoding="utf-8"?>
<ds:datastoreItem xmlns:ds="http://schemas.openxmlformats.org/officeDocument/2006/customXml" ds:itemID="{FB6A1D75-6949-4BD8-BFDB-B5A25EE9A3EC}">
  <ds:schemaRefs>
    <ds:schemaRef ds:uri="http://schemas.openxmlformats.org/officeDocument/2006/bibliography"/>
  </ds:schemaRefs>
</ds:datastoreItem>
</file>

<file path=customXml/itemProps41.xml><?xml version="1.0" encoding="utf-8"?>
<ds:datastoreItem xmlns:ds="http://schemas.openxmlformats.org/officeDocument/2006/customXml" ds:itemID="{32DA4472-5A3B-4680-B26F-CB4154E81F15}">
  <ds:schemaRefs>
    <ds:schemaRef ds:uri="http://schemas.openxmlformats.org/officeDocument/2006/bibliography"/>
  </ds:schemaRefs>
</ds:datastoreItem>
</file>

<file path=customXml/itemProps42.xml><?xml version="1.0" encoding="utf-8"?>
<ds:datastoreItem xmlns:ds="http://schemas.openxmlformats.org/officeDocument/2006/customXml" ds:itemID="{2BAF901F-3ED4-4494-8A43-90544970B45B}">
  <ds:schemaRefs>
    <ds:schemaRef ds:uri="http://schemas.openxmlformats.org/officeDocument/2006/bibliography"/>
  </ds:schemaRefs>
</ds:datastoreItem>
</file>

<file path=customXml/itemProps43.xml><?xml version="1.0" encoding="utf-8"?>
<ds:datastoreItem xmlns:ds="http://schemas.openxmlformats.org/officeDocument/2006/customXml" ds:itemID="{C2F69668-A51E-4817-8396-98419B9A6F71}">
  <ds:schemaRefs>
    <ds:schemaRef ds:uri="http://schemas.openxmlformats.org/officeDocument/2006/bibliography"/>
  </ds:schemaRefs>
</ds:datastoreItem>
</file>

<file path=customXml/itemProps44.xml><?xml version="1.0" encoding="utf-8"?>
<ds:datastoreItem xmlns:ds="http://schemas.openxmlformats.org/officeDocument/2006/customXml" ds:itemID="{D038EF7F-B70D-453A-AF31-788B93C66CEA}">
  <ds:schemaRefs>
    <ds:schemaRef ds:uri="http://schemas.openxmlformats.org/officeDocument/2006/bibliography"/>
  </ds:schemaRefs>
</ds:datastoreItem>
</file>

<file path=customXml/itemProps45.xml><?xml version="1.0" encoding="utf-8"?>
<ds:datastoreItem xmlns:ds="http://schemas.openxmlformats.org/officeDocument/2006/customXml" ds:itemID="{0452718F-D468-40DF-A052-C4FEF77411EB}">
  <ds:schemaRefs>
    <ds:schemaRef ds:uri="http://schemas.openxmlformats.org/officeDocument/2006/bibliography"/>
  </ds:schemaRefs>
</ds:datastoreItem>
</file>

<file path=customXml/itemProps46.xml><?xml version="1.0" encoding="utf-8"?>
<ds:datastoreItem xmlns:ds="http://schemas.openxmlformats.org/officeDocument/2006/customXml" ds:itemID="{7FAB7FB6-D4DB-4433-A275-D11F914831C2}">
  <ds:schemaRefs>
    <ds:schemaRef ds:uri="http://schemas.openxmlformats.org/officeDocument/2006/bibliography"/>
  </ds:schemaRefs>
</ds:datastoreItem>
</file>

<file path=customXml/itemProps47.xml><?xml version="1.0" encoding="utf-8"?>
<ds:datastoreItem xmlns:ds="http://schemas.openxmlformats.org/officeDocument/2006/customXml" ds:itemID="{FA786519-A94A-4C90-8472-2FD37BD3D7BD}">
  <ds:schemaRefs>
    <ds:schemaRef ds:uri="http://schemas.microsoft.com/sharepoint/v3/contenttype/forms"/>
  </ds:schemaRefs>
</ds:datastoreItem>
</file>

<file path=customXml/itemProps48.xml><?xml version="1.0" encoding="utf-8"?>
<ds:datastoreItem xmlns:ds="http://schemas.openxmlformats.org/officeDocument/2006/customXml" ds:itemID="{9E36D1AD-F2C4-47A3-B16B-724866CBCC71}">
  <ds:schemaRefs>
    <ds:schemaRef ds:uri="http://schemas.openxmlformats.org/officeDocument/2006/bibliography"/>
  </ds:schemaRefs>
</ds:datastoreItem>
</file>

<file path=customXml/itemProps49.xml><?xml version="1.0" encoding="utf-8"?>
<ds:datastoreItem xmlns:ds="http://schemas.openxmlformats.org/officeDocument/2006/customXml" ds:itemID="{7BCCDD61-76F1-4C35-BA4D-6B769DC1DA1B}">
  <ds:schemaRefs>
    <ds:schemaRef ds:uri="http://schemas.openxmlformats.org/officeDocument/2006/bibliography"/>
  </ds:schemaRefs>
</ds:datastoreItem>
</file>

<file path=customXml/itemProps5.xml><?xml version="1.0" encoding="utf-8"?>
<ds:datastoreItem xmlns:ds="http://schemas.openxmlformats.org/officeDocument/2006/customXml" ds:itemID="{164BE0BA-B1A5-42B3-8CC9-2A6E6BC3FE02}">
  <ds:schemaRefs>
    <ds:schemaRef ds:uri="http://schemas.openxmlformats.org/officeDocument/2006/bibliography"/>
  </ds:schemaRefs>
</ds:datastoreItem>
</file>

<file path=customXml/itemProps50.xml><?xml version="1.0" encoding="utf-8"?>
<ds:datastoreItem xmlns:ds="http://schemas.openxmlformats.org/officeDocument/2006/customXml" ds:itemID="{56775F3B-9851-4563-9430-58A3A14402F5}">
  <ds:schemaRefs>
    <ds:schemaRef ds:uri="http://schemas.openxmlformats.org/officeDocument/2006/bibliography"/>
  </ds:schemaRefs>
</ds:datastoreItem>
</file>

<file path=customXml/itemProps51.xml><?xml version="1.0" encoding="utf-8"?>
<ds:datastoreItem xmlns:ds="http://schemas.openxmlformats.org/officeDocument/2006/customXml" ds:itemID="{FB92B8A1-43F0-4F13-B395-A7879EA78281}">
  <ds:schemaRefs>
    <ds:schemaRef ds:uri="http://schemas.openxmlformats.org/officeDocument/2006/bibliography"/>
  </ds:schemaRefs>
</ds:datastoreItem>
</file>

<file path=customXml/itemProps52.xml><?xml version="1.0" encoding="utf-8"?>
<ds:datastoreItem xmlns:ds="http://schemas.openxmlformats.org/officeDocument/2006/customXml" ds:itemID="{28A94AF8-FD37-419D-940F-ADE29947CF4F}">
  <ds:schemaRefs>
    <ds:schemaRef ds:uri="http://schemas.openxmlformats.org/officeDocument/2006/bibliography"/>
  </ds:schemaRefs>
</ds:datastoreItem>
</file>

<file path=customXml/itemProps53.xml><?xml version="1.0" encoding="utf-8"?>
<ds:datastoreItem xmlns:ds="http://schemas.openxmlformats.org/officeDocument/2006/customXml" ds:itemID="{174CD174-9E90-4CCF-AED9-5144EB6BE528}">
  <ds:schemaRefs>
    <ds:schemaRef ds:uri="http://schemas.openxmlformats.org/officeDocument/2006/bibliography"/>
  </ds:schemaRefs>
</ds:datastoreItem>
</file>

<file path=customXml/itemProps54.xml><?xml version="1.0" encoding="utf-8"?>
<ds:datastoreItem xmlns:ds="http://schemas.openxmlformats.org/officeDocument/2006/customXml" ds:itemID="{548279B8-ACA2-4156-8A76-59E6C36D4435}">
  <ds:schemaRefs>
    <ds:schemaRef ds:uri="http://schemas.openxmlformats.org/officeDocument/2006/bibliography"/>
  </ds:schemaRefs>
</ds:datastoreItem>
</file>

<file path=customXml/itemProps55.xml><?xml version="1.0" encoding="utf-8"?>
<ds:datastoreItem xmlns:ds="http://schemas.openxmlformats.org/officeDocument/2006/customXml" ds:itemID="{B663AB46-DABA-479F-BCAD-62A8F69A0F74}">
  <ds:schemaRefs>
    <ds:schemaRef ds:uri="http://schemas.openxmlformats.org/officeDocument/2006/bibliography"/>
  </ds:schemaRefs>
</ds:datastoreItem>
</file>

<file path=customXml/itemProps56.xml><?xml version="1.0" encoding="utf-8"?>
<ds:datastoreItem xmlns:ds="http://schemas.openxmlformats.org/officeDocument/2006/customXml" ds:itemID="{864D7EB7-EFF2-45A6-A88A-518A137A639C}">
  <ds:schemaRefs>
    <ds:schemaRef ds:uri="http://schemas.openxmlformats.org/officeDocument/2006/bibliography"/>
  </ds:schemaRefs>
</ds:datastoreItem>
</file>

<file path=customXml/itemProps57.xml><?xml version="1.0" encoding="utf-8"?>
<ds:datastoreItem xmlns:ds="http://schemas.openxmlformats.org/officeDocument/2006/customXml" ds:itemID="{95147D32-789D-4372-93AB-1C939CB48F6A}">
  <ds:schemaRefs>
    <ds:schemaRef ds:uri="http://schemas.openxmlformats.org/officeDocument/2006/bibliography"/>
  </ds:schemaRefs>
</ds:datastoreItem>
</file>

<file path=customXml/itemProps58.xml><?xml version="1.0" encoding="utf-8"?>
<ds:datastoreItem xmlns:ds="http://schemas.openxmlformats.org/officeDocument/2006/customXml" ds:itemID="{16C6DDF4-305B-4527-8441-C44BF01D31AD}">
  <ds:schemaRefs>
    <ds:schemaRef ds:uri="http://schemas.openxmlformats.org/officeDocument/2006/bibliography"/>
  </ds:schemaRefs>
</ds:datastoreItem>
</file>

<file path=customXml/itemProps59.xml><?xml version="1.0" encoding="utf-8"?>
<ds:datastoreItem xmlns:ds="http://schemas.openxmlformats.org/officeDocument/2006/customXml" ds:itemID="{E38CB915-2BCB-4BA4-BAED-4B118803DD8E}">
  <ds:schemaRefs>
    <ds:schemaRef ds:uri="http://schemas.openxmlformats.org/officeDocument/2006/bibliography"/>
  </ds:schemaRefs>
</ds:datastoreItem>
</file>

<file path=customXml/itemProps6.xml><?xml version="1.0" encoding="utf-8"?>
<ds:datastoreItem xmlns:ds="http://schemas.openxmlformats.org/officeDocument/2006/customXml" ds:itemID="{E195EEA8-23D5-42A5-A2C6-29A73FB71BF0}">
  <ds:schemaRefs>
    <ds:schemaRef ds:uri="http://schemas.openxmlformats.org/officeDocument/2006/bibliography"/>
  </ds:schemaRefs>
</ds:datastoreItem>
</file>

<file path=customXml/itemProps60.xml><?xml version="1.0" encoding="utf-8"?>
<ds:datastoreItem xmlns:ds="http://schemas.openxmlformats.org/officeDocument/2006/customXml" ds:itemID="{A50F94C6-0016-4D26-9EF2-F0F0591BD10C}">
  <ds:schemaRefs>
    <ds:schemaRef ds:uri="http://schemas.openxmlformats.org/officeDocument/2006/bibliography"/>
  </ds:schemaRefs>
</ds:datastoreItem>
</file>

<file path=customXml/itemProps61.xml><?xml version="1.0" encoding="utf-8"?>
<ds:datastoreItem xmlns:ds="http://schemas.openxmlformats.org/officeDocument/2006/customXml" ds:itemID="{0D7DB781-2150-4FDE-AC51-9FFDE9688E2E}">
  <ds:schemaRefs>
    <ds:schemaRef ds:uri="http://schemas.microsoft.com/sharepoint/v3/contenttype/forms"/>
  </ds:schemaRefs>
</ds:datastoreItem>
</file>

<file path=customXml/itemProps62.xml><?xml version="1.0" encoding="utf-8"?>
<ds:datastoreItem xmlns:ds="http://schemas.openxmlformats.org/officeDocument/2006/customXml" ds:itemID="{45E326E8-1E12-47DD-A0CF-890B259954BD}">
  <ds:schemaRefs>
    <ds:schemaRef ds:uri="http://schemas.openxmlformats.org/officeDocument/2006/bibliography"/>
  </ds:schemaRefs>
</ds:datastoreItem>
</file>

<file path=customXml/itemProps63.xml><?xml version="1.0" encoding="utf-8"?>
<ds:datastoreItem xmlns:ds="http://schemas.openxmlformats.org/officeDocument/2006/customXml" ds:itemID="{7105BC0F-4B46-4A86-AE7B-5A935BB1E0FD}">
  <ds:schemaRefs>
    <ds:schemaRef ds:uri="http://schemas.openxmlformats.org/officeDocument/2006/bibliography"/>
  </ds:schemaRefs>
</ds:datastoreItem>
</file>

<file path=customXml/itemProps64.xml><?xml version="1.0" encoding="utf-8"?>
<ds:datastoreItem xmlns:ds="http://schemas.openxmlformats.org/officeDocument/2006/customXml" ds:itemID="{D3C9F6EF-8FA3-446D-B54D-1BF53328B726}">
  <ds:schemaRefs>
    <ds:schemaRef ds:uri="http://schemas.openxmlformats.org/officeDocument/2006/bibliography"/>
  </ds:schemaRefs>
</ds:datastoreItem>
</file>

<file path=customXml/itemProps65.xml><?xml version="1.0" encoding="utf-8"?>
<ds:datastoreItem xmlns:ds="http://schemas.openxmlformats.org/officeDocument/2006/customXml" ds:itemID="{795F90AF-13BE-44CC-9C2C-911971333BA7}">
  <ds:schemaRefs>
    <ds:schemaRef ds:uri="http://schemas.openxmlformats.org/officeDocument/2006/bibliography"/>
  </ds:schemaRefs>
</ds:datastoreItem>
</file>

<file path=customXml/itemProps66.xml><?xml version="1.0" encoding="utf-8"?>
<ds:datastoreItem xmlns:ds="http://schemas.openxmlformats.org/officeDocument/2006/customXml" ds:itemID="{95E0B3FC-5DB9-4A3C-BBE5-B97BCB4E9058}">
  <ds:schemaRefs>
    <ds:schemaRef ds:uri="http://schemas.openxmlformats.org/officeDocument/2006/bibliography"/>
  </ds:schemaRefs>
</ds:datastoreItem>
</file>

<file path=customXml/itemProps67.xml><?xml version="1.0" encoding="utf-8"?>
<ds:datastoreItem xmlns:ds="http://schemas.openxmlformats.org/officeDocument/2006/customXml" ds:itemID="{CB6413BE-8ACC-4047-BE0D-316542FF62CD}">
  <ds:schemaRefs>
    <ds:schemaRef ds:uri="http://schemas.openxmlformats.org/officeDocument/2006/bibliography"/>
  </ds:schemaRefs>
</ds:datastoreItem>
</file>

<file path=customXml/itemProps68.xml><?xml version="1.0" encoding="utf-8"?>
<ds:datastoreItem xmlns:ds="http://schemas.openxmlformats.org/officeDocument/2006/customXml" ds:itemID="{486B455F-0D32-4B4E-AFD3-ED583AFCDD5A}">
  <ds:schemaRefs>
    <ds:schemaRef ds:uri="http://schemas.openxmlformats.org/officeDocument/2006/bibliography"/>
  </ds:schemaRefs>
</ds:datastoreItem>
</file>

<file path=customXml/itemProps69.xml><?xml version="1.0" encoding="utf-8"?>
<ds:datastoreItem xmlns:ds="http://schemas.openxmlformats.org/officeDocument/2006/customXml" ds:itemID="{27A72859-5AEE-4CAD-81EC-68EF499FCD4A}">
  <ds:schemaRefs>
    <ds:schemaRef ds:uri="http://schemas.openxmlformats.org/officeDocument/2006/bibliography"/>
  </ds:schemaRefs>
</ds:datastoreItem>
</file>

<file path=customXml/itemProps7.xml><?xml version="1.0" encoding="utf-8"?>
<ds:datastoreItem xmlns:ds="http://schemas.openxmlformats.org/officeDocument/2006/customXml" ds:itemID="{456CA1D2-F5D8-4471-82A1-0AAAA2838D14}">
  <ds:schemaRefs>
    <ds:schemaRef ds:uri="http://schemas.openxmlformats.org/officeDocument/2006/bibliography"/>
  </ds:schemaRefs>
</ds:datastoreItem>
</file>

<file path=customXml/itemProps70.xml><?xml version="1.0" encoding="utf-8"?>
<ds:datastoreItem xmlns:ds="http://schemas.openxmlformats.org/officeDocument/2006/customXml" ds:itemID="{CBBA0361-66F0-445A-9C09-8839CDE63099}">
  <ds:schemaRefs>
    <ds:schemaRef ds:uri="http://schemas.openxmlformats.org/officeDocument/2006/bibliography"/>
  </ds:schemaRefs>
</ds:datastoreItem>
</file>

<file path=customXml/itemProps71.xml><?xml version="1.0" encoding="utf-8"?>
<ds:datastoreItem xmlns:ds="http://schemas.openxmlformats.org/officeDocument/2006/customXml" ds:itemID="{8301F016-92AD-4C32-9FF7-577260E89877}">
  <ds:schemaRefs>
    <ds:schemaRef ds:uri="http://schemas.openxmlformats.org/officeDocument/2006/bibliography"/>
  </ds:schemaRefs>
</ds:datastoreItem>
</file>

<file path=customXml/itemProps72.xml><?xml version="1.0" encoding="utf-8"?>
<ds:datastoreItem xmlns:ds="http://schemas.openxmlformats.org/officeDocument/2006/customXml" ds:itemID="{F6B49A4A-8C97-434C-AF29-E8ED0E819487}">
  <ds:schemaRefs>
    <ds:schemaRef ds:uri="http://schemas.openxmlformats.org/officeDocument/2006/bibliography"/>
  </ds:schemaRefs>
</ds:datastoreItem>
</file>

<file path=customXml/itemProps73.xml><?xml version="1.0" encoding="utf-8"?>
<ds:datastoreItem xmlns:ds="http://schemas.openxmlformats.org/officeDocument/2006/customXml" ds:itemID="{942E014D-889A-45C5-AA8F-6BA6A0EEE63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6694bc-41ce-4342-b796-40763f2f1432"/>
    <ds:schemaRef ds:uri="http://purl.org/dc/elements/1.1/"/>
    <ds:schemaRef ds:uri="http://schemas.microsoft.com/office/2006/metadata/properties"/>
    <ds:schemaRef ds:uri="2db11f1a-a6b6-4210-842b-ac5ed3abb301"/>
    <ds:schemaRef ds:uri="http://www.w3.org/XML/1998/namespace"/>
    <ds:schemaRef ds:uri="http://purl.org/dc/dcmitype/"/>
  </ds:schemaRefs>
</ds:datastoreItem>
</file>

<file path=customXml/itemProps74.xml><?xml version="1.0" encoding="utf-8"?>
<ds:datastoreItem xmlns:ds="http://schemas.openxmlformats.org/officeDocument/2006/customXml" ds:itemID="{8AC214C2-8169-42C4-928B-1828EBC5583F}">
  <ds:schemaRefs>
    <ds:schemaRef ds:uri="http://schemas.openxmlformats.org/officeDocument/2006/bibliography"/>
  </ds:schemaRefs>
</ds:datastoreItem>
</file>

<file path=customXml/itemProps75.xml><?xml version="1.0" encoding="utf-8"?>
<ds:datastoreItem xmlns:ds="http://schemas.openxmlformats.org/officeDocument/2006/customXml" ds:itemID="{9F0EE260-068D-4C56-A333-95FD13C689B9}">
  <ds:schemaRefs>
    <ds:schemaRef ds:uri="http://schemas.openxmlformats.org/officeDocument/2006/bibliography"/>
  </ds:schemaRefs>
</ds:datastoreItem>
</file>

<file path=customXml/itemProps76.xml><?xml version="1.0" encoding="utf-8"?>
<ds:datastoreItem xmlns:ds="http://schemas.openxmlformats.org/officeDocument/2006/customXml" ds:itemID="{C663B7C6-C099-4017-AAF4-1F148FCB6A04}">
  <ds:schemaRefs>
    <ds:schemaRef ds:uri="http://schemas.openxmlformats.org/officeDocument/2006/bibliography"/>
  </ds:schemaRefs>
</ds:datastoreItem>
</file>

<file path=customXml/itemProps77.xml><?xml version="1.0" encoding="utf-8"?>
<ds:datastoreItem xmlns:ds="http://schemas.openxmlformats.org/officeDocument/2006/customXml" ds:itemID="{C5FCBE31-7378-4600-88E2-44BC1E71CF52}">
  <ds:schemaRefs>
    <ds:schemaRef ds:uri="http://schemas.openxmlformats.org/officeDocument/2006/bibliography"/>
  </ds:schemaRefs>
</ds:datastoreItem>
</file>

<file path=customXml/itemProps78.xml><?xml version="1.0" encoding="utf-8"?>
<ds:datastoreItem xmlns:ds="http://schemas.openxmlformats.org/officeDocument/2006/customXml" ds:itemID="{1E1D44A1-9364-49BD-9E0F-7DE40AC6A3D1}">
  <ds:schemaRefs>
    <ds:schemaRef ds:uri="http://schemas.openxmlformats.org/officeDocument/2006/bibliography"/>
  </ds:schemaRefs>
</ds:datastoreItem>
</file>

<file path=customXml/itemProps79.xml><?xml version="1.0" encoding="utf-8"?>
<ds:datastoreItem xmlns:ds="http://schemas.openxmlformats.org/officeDocument/2006/customXml" ds:itemID="{C0457A1B-4146-4CB1-83A1-4AFA97938472}">
  <ds:schemaRefs>
    <ds:schemaRef ds:uri="http://schemas.openxmlformats.org/officeDocument/2006/bibliography"/>
  </ds:schemaRefs>
</ds:datastoreItem>
</file>

<file path=customXml/itemProps8.xml><?xml version="1.0" encoding="utf-8"?>
<ds:datastoreItem xmlns:ds="http://schemas.openxmlformats.org/officeDocument/2006/customXml" ds:itemID="{389DB56D-4EBC-4C1E-966E-00B113FE60F2}">
  <ds:schemaRefs>
    <ds:schemaRef ds:uri="http://schemas.openxmlformats.org/officeDocument/2006/bibliography"/>
  </ds:schemaRefs>
</ds:datastoreItem>
</file>

<file path=customXml/itemProps80.xml><?xml version="1.0" encoding="utf-8"?>
<ds:datastoreItem xmlns:ds="http://schemas.openxmlformats.org/officeDocument/2006/customXml" ds:itemID="{17E241CE-2834-4D87-A92A-145E291D3A9E}">
  <ds:schemaRefs>
    <ds:schemaRef ds:uri="http://schemas.openxmlformats.org/officeDocument/2006/bibliography"/>
  </ds:schemaRefs>
</ds:datastoreItem>
</file>

<file path=customXml/itemProps81.xml><?xml version="1.0" encoding="utf-8"?>
<ds:datastoreItem xmlns:ds="http://schemas.openxmlformats.org/officeDocument/2006/customXml" ds:itemID="{CF6791CE-513C-4465-9C83-8ECA02C2E438}">
  <ds:schemaRefs>
    <ds:schemaRef ds:uri="http://schemas.openxmlformats.org/officeDocument/2006/bibliography"/>
  </ds:schemaRefs>
</ds:datastoreItem>
</file>

<file path=customXml/itemProps82.xml><?xml version="1.0" encoding="utf-8"?>
<ds:datastoreItem xmlns:ds="http://schemas.openxmlformats.org/officeDocument/2006/customXml" ds:itemID="{BA019F04-B6EE-4E5A-A741-E549C99B21CB}">
  <ds:schemaRefs>
    <ds:schemaRef ds:uri="http://schemas.openxmlformats.org/officeDocument/2006/bibliography"/>
  </ds:schemaRefs>
</ds:datastoreItem>
</file>

<file path=customXml/itemProps83.xml><?xml version="1.0" encoding="utf-8"?>
<ds:datastoreItem xmlns:ds="http://schemas.openxmlformats.org/officeDocument/2006/customXml" ds:itemID="{42FE39ED-06C1-4747-B175-E3D2619E841B}">
  <ds:schemaRefs>
    <ds:schemaRef ds:uri="http://schemas.openxmlformats.org/officeDocument/2006/bibliography"/>
  </ds:schemaRefs>
</ds:datastoreItem>
</file>

<file path=customXml/itemProps84.xml><?xml version="1.0" encoding="utf-8"?>
<ds:datastoreItem xmlns:ds="http://schemas.openxmlformats.org/officeDocument/2006/customXml" ds:itemID="{F7612E23-CCA6-48C6-B5E1-564575A6148D}">
  <ds:schemaRefs>
    <ds:schemaRef ds:uri="http://schemas.openxmlformats.org/officeDocument/2006/bibliography"/>
  </ds:schemaRefs>
</ds:datastoreItem>
</file>

<file path=customXml/itemProps85.xml><?xml version="1.0" encoding="utf-8"?>
<ds:datastoreItem xmlns:ds="http://schemas.openxmlformats.org/officeDocument/2006/customXml" ds:itemID="{7F034AD5-E78E-4E49-B32E-A8F17CF0EFDE}">
  <ds:schemaRefs>
    <ds:schemaRef ds:uri="http://schemas.openxmlformats.org/officeDocument/2006/bibliography"/>
  </ds:schemaRefs>
</ds:datastoreItem>
</file>

<file path=customXml/itemProps86.xml><?xml version="1.0" encoding="utf-8"?>
<ds:datastoreItem xmlns:ds="http://schemas.openxmlformats.org/officeDocument/2006/customXml" ds:itemID="{F3E7A4F4-2B28-4DF7-B648-2D114040D8B9}">
  <ds:schemaRefs>
    <ds:schemaRef ds:uri="http://schemas.openxmlformats.org/officeDocument/2006/bibliography"/>
  </ds:schemaRefs>
</ds:datastoreItem>
</file>

<file path=customXml/itemProps87.xml><?xml version="1.0" encoding="utf-8"?>
<ds:datastoreItem xmlns:ds="http://schemas.openxmlformats.org/officeDocument/2006/customXml" ds:itemID="{496563DF-0BC5-421C-A9D3-50A8D029E33D}">
  <ds:schemaRefs>
    <ds:schemaRef ds:uri="http://schemas.openxmlformats.org/officeDocument/2006/bibliography"/>
  </ds:schemaRefs>
</ds:datastoreItem>
</file>

<file path=customXml/itemProps88.xml><?xml version="1.0" encoding="utf-8"?>
<ds:datastoreItem xmlns:ds="http://schemas.openxmlformats.org/officeDocument/2006/customXml" ds:itemID="{9A5ADC24-179E-4437-9D18-2901E88F4FF8}">
  <ds:schemaRefs>
    <ds:schemaRef ds:uri="http://schemas.openxmlformats.org/officeDocument/2006/bibliography"/>
  </ds:schemaRefs>
</ds:datastoreItem>
</file>

<file path=customXml/itemProps89.xml><?xml version="1.0" encoding="utf-8"?>
<ds:datastoreItem xmlns:ds="http://schemas.openxmlformats.org/officeDocument/2006/customXml" ds:itemID="{C0A1C21C-B5BD-4920-8370-6AC0958BF8B3}">
  <ds:schemaRefs>
    <ds:schemaRef ds:uri="http://schemas.openxmlformats.org/officeDocument/2006/bibliography"/>
  </ds:schemaRefs>
</ds:datastoreItem>
</file>

<file path=customXml/itemProps9.xml><?xml version="1.0" encoding="utf-8"?>
<ds:datastoreItem xmlns:ds="http://schemas.openxmlformats.org/officeDocument/2006/customXml" ds:itemID="{5E93DA15-59DD-4EA5-BE54-37F52E7F4439}">
  <ds:schemaRefs>
    <ds:schemaRef ds:uri="http://schemas.openxmlformats.org/officeDocument/2006/bibliography"/>
  </ds:schemaRefs>
</ds:datastoreItem>
</file>

<file path=customXml/itemProps90.xml><?xml version="1.0" encoding="utf-8"?>
<ds:datastoreItem xmlns:ds="http://schemas.openxmlformats.org/officeDocument/2006/customXml" ds:itemID="{F00B0FFB-4711-4019-923F-4FC9CD4366AB}">
  <ds:schemaRefs>
    <ds:schemaRef ds:uri="http://schemas.openxmlformats.org/officeDocument/2006/bibliography"/>
  </ds:schemaRefs>
</ds:datastoreItem>
</file>

<file path=customXml/itemProps91.xml><?xml version="1.0" encoding="utf-8"?>
<ds:datastoreItem xmlns:ds="http://schemas.openxmlformats.org/officeDocument/2006/customXml" ds:itemID="{5AC7AD33-956C-407B-AC65-F65980A747FA}">
  <ds:schemaRefs>
    <ds:schemaRef ds:uri="http://schemas.openxmlformats.org/officeDocument/2006/bibliography"/>
  </ds:schemaRefs>
</ds:datastoreItem>
</file>

<file path=customXml/itemProps92.xml><?xml version="1.0" encoding="utf-8"?>
<ds:datastoreItem xmlns:ds="http://schemas.openxmlformats.org/officeDocument/2006/customXml" ds:itemID="{EACC4A4F-AF72-415A-9AE0-CD7C95279207}">
  <ds:schemaRefs>
    <ds:schemaRef ds:uri="http://schemas.openxmlformats.org/officeDocument/2006/bibliography"/>
  </ds:schemaRefs>
</ds:datastoreItem>
</file>

<file path=customXml/itemProps93.xml><?xml version="1.0" encoding="utf-8"?>
<ds:datastoreItem xmlns:ds="http://schemas.openxmlformats.org/officeDocument/2006/customXml" ds:itemID="{DB6802D1-9A9D-4CF3-91B6-EA86E09E791A}">
  <ds:schemaRefs>
    <ds:schemaRef ds:uri="http://schemas.openxmlformats.org/officeDocument/2006/bibliography"/>
  </ds:schemaRefs>
</ds:datastoreItem>
</file>

<file path=customXml/itemProps94.xml><?xml version="1.0" encoding="utf-8"?>
<ds:datastoreItem xmlns:ds="http://schemas.openxmlformats.org/officeDocument/2006/customXml" ds:itemID="{922C1A66-5B04-4734-80A8-0CE223A2324C}">
  <ds:schemaRefs>
    <ds:schemaRef ds:uri="http://schemas.openxmlformats.org/officeDocument/2006/bibliography"/>
  </ds:schemaRefs>
</ds:datastoreItem>
</file>

<file path=customXml/itemProps95.xml><?xml version="1.0" encoding="utf-8"?>
<ds:datastoreItem xmlns:ds="http://schemas.openxmlformats.org/officeDocument/2006/customXml" ds:itemID="{D764A8DD-F959-4687-8511-41ECD879D0A3}">
  <ds:schemaRefs>
    <ds:schemaRef ds:uri="http://schemas.openxmlformats.org/officeDocument/2006/bibliography"/>
  </ds:schemaRefs>
</ds:datastoreItem>
</file>

<file path=customXml/itemProps96.xml><?xml version="1.0" encoding="utf-8"?>
<ds:datastoreItem xmlns:ds="http://schemas.openxmlformats.org/officeDocument/2006/customXml" ds:itemID="{F091AD98-CBC8-440E-B813-BE60AAC1EA59}">
  <ds:schemaRefs>
    <ds:schemaRef ds:uri="http://schemas.openxmlformats.org/officeDocument/2006/bibliography"/>
  </ds:schemaRefs>
</ds:datastoreItem>
</file>

<file path=customXml/itemProps97.xml><?xml version="1.0" encoding="utf-8"?>
<ds:datastoreItem xmlns:ds="http://schemas.openxmlformats.org/officeDocument/2006/customXml" ds:itemID="{0C4B69F6-7FF3-4912-BFD3-E41D61F2158C}">
  <ds:schemaRefs>
    <ds:schemaRef ds:uri="http://schemas.openxmlformats.org/officeDocument/2006/bibliography"/>
  </ds:schemaRefs>
</ds:datastoreItem>
</file>

<file path=customXml/itemProps98.xml><?xml version="1.0" encoding="utf-8"?>
<ds:datastoreItem xmlns:ds="http://schemas.openxmlformats.org/officeDocument/2006/customXml" ds:itemID="{47D50A58-6376-4031-AD8C-F53DE91F3B1D}">
  <ds:schemaRefs>
    <ds:schemaRef ds:uri="http://schemas.openxmlformats.org/officeDocument/2006/bibliography"/>
  </ds:schemaRefs>
</ds:datastoreItem>
</file>

<file path=customXml/itemProps99.xml><?xml version="1.0" encoding="utf-8"?>
<ds:datastoreItem xmlns:ds="http://schemas.openxmlformats.org/officeDocument/2006/customXml" ds:itemID="{03471619-E6CA-4E8F-9362-B74C6C21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80</Pages>
  <Words>35102</Words>
  <Characters>200085</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HMHL</Company>
  <LinksUpToDate>false</LinksUpToDate>
  <CharactersWithSpaces>234718</CharactersWithSpaces>
  <SharedDoc>false</SharedDoc>
  <HLinks>
    <vt:vector size="42" baseType="variant">
      <vt:variant>
        <vt:i4>8060966</vt:i4>
      </vt:variant>
      <vt:variant>
        <vt:i4>18</vt:i4>
      </vt:variant>
      <vt:variant>
        <vt:i4>0</vt:i4>
      </vt:variant>
      <vt:variant>
        <vt:i4>5</vt:i4>
      </vt:variant>
      <vt:variant>
        <vt:lpwstr>https://www.theaic.co.uk/sites/default/files/hidden-files/AICOngoingChargesCalculationMay12.pdf</vt:lpwstr>
      </vt:variant>
      <vt:variant>
        <vt:lpwstr/>
      </vt:variant>
      <vt:variant>
        <vt:i4>917585</vt:i4>
      </vt:variant>
      <vt:variant>
        <vt:i4>15</vt:i4>
      </vt:variant>
      <vt:variant>
        <vt:i4>0</vt:i4>
      </vt:variant>
      <vt:variant>
        <vt:i4>5</vt:i4>
      </vt:variant>
      <vt:variant>
        <vt:lpwstr>http://www.rtwfunds.com/venture-fund</vt:lpwstr>
      </vt:variant>
      <vt:variant>
        <vt:lpwstr/>
      </vt:variant>
      <vt:variant>
        <vt:i4>917585</vt:i4>
      </vt:variant>
      <vt:variant>
        <vt:i4>12</vt:i4>
      </vt:variant>
      <vt:variant>
        <vt:i4>0</vt:i4>
      </vt:variant>
      <vt:variant>
        <vt:i4>5</vt:i4>
      </vt:variant>
      <vt:variant>
        <vt:lpwstr>http://www.rtwfunds.com/venture-fund</vt:lpwstr>
      </vt:variant>
      <vt:variant>
        <vt:lpwstr/>
      </vt:variant>
      <vt:variant>
        <vt:i4>917585</vt:i4>
      </vt:variant>
      <vt:variant>
        <vt:i4>9</vt:i4>
      </vt:variant>
      <vt:variant>
        <vt:i4>0</vt:i4>
      </vt:variant>
      <vt:variant>
        <vt:i4>5</vt:i4>
      </vt:variant>
      <vt:variant>
        <vt:lpwstr>http://www.rtwfunds.com/venture-fund</vt:lpwstr>
      </vt:variant>
      <vt:variant>
        <vt:lpwstr/>
      </vt:variant>
      <vt:variant>
        <vt:i4>917585</vt:i4>
      </vt:variant>
      <vt:variant>
        <vt:i4>6</vt:i4>
      </vt:variant>
      <vt:variant>
        <vt:i4>0</vt:i4>
      </vt:variant>
      <vt:variant>
        <vt:i4>5</vt:i4>
      </vt:variant>
      <vt:variant>
        <vt:lpwstr>http://www.rtwfunds.com/venture-fund</vt:lpwstr>
      </vt:variant>
      <vt:variant>
        <vt:lpwstr/>
      </vt:variant>
      <vt:variant>
        <vt:i4>8126523</vt:i4>
      </vt:variant>
      <vt:variant>
        <vt:i4>3</vt:i4>
      </vt:variant>
      <vt:variant>
        <vt:i4>0</vt:i4>
      </vt:variant>
      <vt:variant>
        <vt:i4>5</vt:i4>
      </vt:variant>
      <vt:variant>
        <vt:lpwstr>http://www.frc.org.uk/</vt:lpwstr>
      </vt:variant>
      <vt:variant>
        <vt:lpwstr/>
      </vt:variant>
      <vt:variant>
        <vt:i4>5046386</vt:i4>
      </vt:variant>
      <vt:variant>
        <vt:i4>0</vt:i4>
      </vt:variant>
      <vt:variant>
        <vt:i4>0</vt:i4>
      </vt:variant>
      <vt:variant>
        <vt:i4>5</vt:i4>
      </vt:variant>
      <vt:variant>
        <vt:lpwstr>mailto:RTWVentureFund@rtwfunds.com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jlepage</dc:creator>
  <cp:lastModifiedBy>Holly Tierney</cp:lastModifiedBy>
  <cp:revision>17</cp:revision>
  <cp:lastPrinted>2020-03-18T11:25:00Z</cp:lastPrinted>
  <dcterms:created xsi:type="dcterms:W3CDTF">2020-04-21T15:42:00Z</dcterms:created>
  <dcterms:modified xsi:type="dcterms:W3CDTF">2020-04-21T18:33:00Z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-1882922149</vt:i4>
  </property>
  <property fmtid="{D5CDD505-2E9C-101B-9397-08002B2CF9AE}" pid="3" name="ContentTypeId">
    <vt:lpwstr>0x010100769FF41BC8779445B8BED6D77BDFD0BF</vt:lpwstr>
  </property>
</Properties>
</file>